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7980">
      <w:pPr>
        <w:rPr>
          <w:rFonts w:hint="default" w:ascii="Times New Roman" w:hAnsi="Times New Roman" w:eastAsia="仿宋_GB2312" w:cs="Times New Roman"/>
          <w:color w:val="auto"/>
          <w:sz w:val="36"/>
          <w:szCs w:val="36"/>
        </w:rPr>
      </w:pPr>
    </w:p>
    <w:p w14:paraId="45BADB0C">
      <w:pPr>
        <w:rPr>
          <w:rFonts w:hint="default" w:ascii="Times New Roman" w:hAnsi="Times New Roman" w:eastAsia="仿宋_GB2312" w:cs="Times New Roman"/>
          <w:color w:val="auto"/>
          <w:sz w:val="36"/>
          <w:szCs w:val="36"/>
        </w:rPr>
      </w:pPr>
    </w:p>
    <w:p w14:paraId="5946B1A7">
      <w:pPr>
        <w:rPr>
          <w:rFonts w:hint="default" w:ascii="Times New Roman" w:hAnsi="Times New Roman" w:eastAsia="仿宋_GB2312" w:cs="Times New Roman"/>
          <w:color w:val="auto"/>
          <w:sz w:val="36"/>
          <w:szCs w:val="36"/>
        </w:rPr>
      </w:pPr>
    </w:p>
    <w:p w14:paraId="0B9B659E">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59C5D9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992CF3A">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4F4A9AC6">
      <w:pPr>
        <w:jc w:val="center"/>
        <w:rPr>
          <w:rFonts w:hint="default" w:ascii="Times New Roman" w:hAnsi="Times New Roman" w:eastAsia="仿宋" w:cs="Times New Roman"/>
          <w:color w:val="auto"/>
          <w:sz w:val="52"/>
          <w:szCs w:val="52"/>
        </w:rPr>
      </w:pPr>
    </w:p>
    <w:p w14:paraId="28857A79">
      <w:pPr>
        <w:ind w:firstLine="1040"/>
        <w:rPr>
          <w:rFonts w:hint="default" w:ascii="Times New Roman" w:hAnsi="Times New Roman" w:eastAsia="仿宋" w:cs="Times New Roman"/>
          <w:color w:val="auto"/>
          <w:sz w:val="44"/>
          <w:szCs w:val="44"/>
        </w:rPr>
      </w:pPr>
    </w:p>
    <w:p w14:paraId="7742BF4F">
      <w:pPr>
        <w:ind w:firstLine="1040"/>
        <w:rPr>
          <w:rFonts w:hint="default" w:ascii="Times New Roman" w:hAnsi="Times New Roman" w:eastAsia="仿宋" w:cs="Times New Roman"/>
          <w:color w:val="auto"/>
          <w:sz w:val="44"/>
          <w:szCs w:val="44"/>
        </w:rPr>
      </w:pPr>
    </w:p>
    <w:p w14:paraId="16F73A1A">
      <w:pPr>
        <w:ind w:firstLine="1040"/>
        <w:rPr>
          <w:rFonts w:hint="default" w:ascii="Times New Roman" w:hAnsi="Times New Roman" w:eastAsia="仿宋" w:cs="Times New Roman"/>
          <w:color w:val="auto"/>
          <w:sz w:val="44"/>
          <w:szCs w:val="44"/>
        </w:rPr>
      </w:pPr>
    </w:p>
    <w:p w14:paraId="25EE3CB0">
      <w:pPr>
        <w:ind w:firstLine="1040"/>
        <w:rPr>
          <w:rFonts w:hint="default" w:ascii="Times New Roman" w:hAnsi="Times New Roman" w:eastAsia="仿宋" w:cs="Times New Roman"/>
          <w:color w:val="auto"/>
          <w:sz w:val="44"/>
          <w:szCs w:val="44"/>
        </w:rPr>
      </w:pPr>
    </w:p>
    <w:p w14:paraId="5980DAAC">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eastAsia" w:ascii="Times New Roman" w:hAnsi="Times New Roman" w:eastAsia="仿宋_GB2312" w:cs="Times New Roman"/>
          <w:color w:val="auto"/>
          <w:sz w:val="32"/>
          <w:szCs w:val="32"/>
          <w:u w:val="single"/>
          <w:lang w:val="en-US" w:eastAsia="zh-CN"/>
        </w:rPr>
        <w:t xml:space="preserve">         文达机械制造技改项目        </w:t>
      </w:r>
    </w:p>
    <w:p w14:paraId="68DFCFB6">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宝鸡市文达机械制造有限公司</w:t>
      </w:r>
      <w:r>
        <w:rPr>
          <w:rFonts w:hint="default" w:ascii="Times New Roman" w:hAnsi="Times New Roman" w:eastAsia="仿宋_GB2312" w:cs="Times New Roman"/>
          <w:color w:val="auto"/>
          <w:sz w:val="32"/>
          <w:szCs w:val="32"/>
          <w:u w:val="single"/>
        </w:rPr>
        <w:t xml:space="preserve">      </w:t>
      </w:r>
    </w:p>
    <w:p w14:paraId="056C7CA7">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202</w:t>
      </w:r>
      <w:r>
        <w:rPr>
          <w:rFonts w:hint="eastAsia"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4</w:t>
      </w:r>
      <w:r>
        <w:rPr>
          <w:rFonts w:hint="default" w:ascii="Times New Roman" w:hAnsi="Times New Roman" w:eastAsia="仿宋_GB2312" w:cs="Times New Roman"/>
          <w:color w:val="auto"/>
          <w:sz w:val="32"/>
          <w:szCs w:val="32"/>
          <w:u w:val="single"/>
        </w:rPr>
        <w:t xml:space="preserve">月             </w:t>
      </w:r>
    </w:p>
    <w:p w14:paraId="6ADF926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14:paraId="5BD6ADF8">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6C919C9D">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10F039A1">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482D7D0">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6"/>
        <w:gridCol w:w="3013"/>
        <w:gridCol w:w="2212"/>
        <w:gridCol w:w="2639"/>
      </w:tblGrid>
      <w:tr w14:paraId="43B66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13FC46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864" w:type="dxa"/>
            <w:gridSpan w:val="3"/>
            <w:noWrap w:val="0"/>
            <w:vAlign w:val="center"/>
          </w:tcPr>
          <w:p w14:paraId="1757E10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文达机械制造技改项目</w:t>
            </w:r>
          </w:p>
        </w:tc>
      </w:tr>
      <w:tr w14:paraId="2D45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A77C8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864" w:type="dxa"/>
            <w:gridSpan w:val="3"/>
            <w:noWrap w:val="0"/>
            <w:vAlign w:val="center"/>
          </w:tcPr>
          <w:p w14:paraId="75E0A2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1D89C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02C6DC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3013" w:type="dxa"/>
            <w:noWrap w:val="0"/>
            <w:vAlign w:val="center"/>
          </w:tcPr>
          <w:p w14:paraId="02F6A7B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eastAsia="zh-CN"/>
              </w:rPr>
            </w:pPr>
          </w:p>
        </w:tc>
        <w:tc>
          <w:tcPr>
            <w:tcW w:w="2212" w:type="dxa"/>
            <w:noWrap w:val="0"/>
            <w:vAlign w:val="center"/>
          </w:tcPr>
          <w:p w14:paraId="1BB569D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noWrap w:val="0"/>
            <w:vAlign w:val="center"/>
          </w:tcPr>
          <w:p w14:paraId="1F0BD1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p>
        </w:tc>
      </w:tr>
      <w:tr w14:paraId="3221D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46DA53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864" w:type="dxa"/>
            <w:gridSpan w:val="3"/>
            <w:noWrap w:val="0"/>
            <w:vAlign w:val="center"/>
          </w:tcPr>
          <w:p w14:paraId="4D15AF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u w:val="single"/>
              </w:rPr>
              <w:t>陕西</w:t>
            </w:r>
            <w:r>
              <w:rPr>
                <w:rFonts w:hint="default" w:ascii="Times New Roman" w:hAnsi="Times New Roman" w:cs="Times New Roman"/>
                <w:color w:val="auto"/>
                <w:szCs w:val="21"/>
              </w:rPr>
              <w:t>省（自治区）</w:t>
            </w:r>
            <w:r>
              <w:rPr>
                <w:rFonts w:hint="default" w:ascii="Times New Roman" w:hAnsi="Times New Roman" w:cs="Times New Roman"/>
                <w:color w:val="auto"/>
                <w:szCs w:val="21"/>
                <w:u w:val="single"/>
              </w:rPr>
              <w:t>宝鸡</w:t>
            </w:r>
            <w:r>
              <w:rPr>
                <w:rFonts w:hint="default" w:ascii="Times New Roman" w:hAnsi="Times New Roman" w:cs="Times New Roman"/>
                <w:color w:val="auto"/>
                <w:szCs w:val="21"/>
              </w:rPr>
              <w:t>市</w:t>
            </w:r>
            <w:r>
              <w:rPr>
                <w:rFonts w:hint="default" w:ascii="Times New Roman" w:hAnsi="Times New Roman" w:cs="Times New Roman"/>
                <w:color w:val="auto"/>
                <w:szCs w:val="21"/>
                <w:u w:val="single"/>
                <w:lang w:eastAsia="zh-CN"/>
              </w:rPr>
              <w:t>陈仓</w:t>
            </w:r>
            <w:r>
              <w:rPr>
                <w:rFonts w:hint="default" w:ascii="Times New Roman" w:hAnsi="Times New Roman" w:cs="Times New Roman"/>
                <w:color w:val="auto"/>
                <w:szCs w:val="21"/>
              </w:rPr>
              <w:t>区</w:t>
            </w:r>
            <w:r>
              <w:rPr>
                <w:rFonts w:hint="default" w:ascii="Times New Roman" w:hAnsi="Times New Roman" w:cs="Times New Roman"/>
                <w:color w:val="auto"/>
                <w:szCs w:val="21"/>
                <w:u w:val="single"/>
                <w:lang w:val="en-US" w:eastAsia="zh-CN"/>
              </w:rPr>
              <w:t>东关</w:t>
            </w:r>
            <w:r>
              <w:rPr>
                <w:rFonts w:hint="eastAsia" w:ascii="Times New Roman" w:hAnsi="Times New Roman" w:cs="Times New Roman"/>
                <w:color w:val="auto"/>
                <w:szCs w:val="21"/>
                <w:u w:val="single"/>
                <w:lang w:val="en-US" w:eastAsia="zh-CN"/>
              </w:rPr>
              <w:t>街道科技工业园区内</w:t>
            </w:r>
            <w:r>
              <w:rPr>
                <w:rFonts w:hint="default" w:ascii="Times New Roman" w:hAnsi="Times New Roman" w:cs="Times New Roman"/>
                <w:color w:val="auto"/>
                <w:szCs w:val="21"/>
                <w:u w:val="single"/>
              </w:rPr>
              <w:t xml:space="preserve"> </w:t>
            </w:r>
          </w:p>
        </w:tc>
      </w:tr>
      <w:tr w14:paraId="38E9F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46E927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864" w:type="dxa"/>
            <w:gridSpan w:val="3"/>
            <w:noWrap w:val="0"/>
            <w:vAlign w:val="center"/>
          </w:tcPr>
          <w:p w14:paraId="487CFD72">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eastAsia" w:ascii="Times New Roman" w:hAnsi="Times New Roman" w:cs="Times New Roman"/>
                <w:color w:val="auto"/>
                <w:szCs w:val="21"/>
                <w:u w:val="single"/>
                <w:lang w:val="en-US" w:eastAsia="zh-CN"/>
              </w:rPr>
              <w:t>25</w:t>
            </w:r>
            <w:r>
              <w:rPr>
                <w:rFonts w:hint="default" w:ascii="Times New Roman" w:hAnsi="Times New Roman" w:cs="Times New Roman"/>
                <w:color w:val="auto"/>
                <w:szCs w:val="21"/>
              </w:rPr>
              <w:t>分</w:t>
            </w:r>
            <w:r>
              <w:rPr>
                <w:rFonts w:hint="eastAsia" w:ascii="Times New Roman" w:hAnsi="Times New Roman" w:cs="Times New Roman"/>
                <w:color w:val="auto"/>
                <w:szCs w:val="21"/>
                <w:u w:val="single"/>
                <w:lang w:val="en-US" w:eastAsia="zh-CN"/>
              </w:rPr>
              <w:t>31.266</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34</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2</w:t>
            </w:r>
            <w:r>
              <w:rPr>
                <w:rFonts w:hint="default" w:ascii="Times New Roman" w:hAnsi="Times New Roman" w:cs="Times New Roman"/>
                <w:color w:val="auto"/>
                <w:szCs w:val="21"/>
                <w:u w:val="single"/>
                <w:lang w:val="en-US" w:eastAsia="zh-CN"/>
              </w:rPr>
              <w:t>1</w:t>
            </w:r>
            <w:r>
              <w:rPr>
                <w:rFonts w:hint="default" w:ascii="Times New Roman" w:hAnsi="Times New Roman" w:cs="Times New Roman"/>
                <w:color w:val="auto"/>
                <w:szCs w:val="21"/>
              </w:rPr>
              <w:t>分</w:t>
            </w:r>
            <w:r>
              <w:rPr>
                <w:rFonts w:hint="eastAsia" w:ascii="Times New Roman" w:hAnsi="Times New Roman" w:cs="Times New Roman"/>
                <w:color w:val="auto"/>
                <w:szCs w:val="21"/>
                <w:u w:val="single"/>
                <w:lang w:val="en-US" w:eastAsia="zh-CN"/>
              </w:rPr>
              <w:t>1.355</w:t>
            </w:r>
            <w:r>
              <w:rPr>
                <w:rFonts w:hint="default" w:ascii="Times New Roman" w:hAnsi="Times New Roman" w:cs="Times New Roman"/>
                <w:color w:val="auto"/>
                <w:szCs w:val="21"/>
              </w:rPr>
              <w:t>秒）</w:t>
            </w:r>
          </w:p>
        </w:tc>
      </w:tr>
      <w:tr w14:paraId="0AC2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noWrap w:val="0"/>
            <w:tcMar>
              <w:top w:w="16" w:type="dxa"/>
              <w:left w:w="16" w:type="dxa"/>
              <w:right w:w="16" w:type="dxa"/>
            </w:tcMar>
            <w:vAlign w:val="center"/>
          </w:tcPr>
          <w:p w14:paraId="024CF86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5395193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3013" w:type="dxa"/>
            <w:noWrap w:val="0"/>
            <w:vAlign w:val="center"/>
          </w:tcPr>
          <w:p w14:paraId="4C2FA70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C3824 电力电子元器件制造</w:t>
            </w:r>
          </w:p>
        </w:tc>
        <w:tc>
          <w:tcPr>
            <w:tcW w:w="2212" w:type="dxa"/>
            <w:noWrap w:val="0"/>
            <w:vAlign w:val="center"/>
          </w:tcPr>
          <w:p w14:paraId="6A85D74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1C2CA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639" w:type="dxa"/>
            <w:noWrap w:val="0"/>
            <w:vAlign w:val="center"/>
          </w:tcPr>
          <w:p w14:paraId="4B6ECBC4">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77.输配电及控制设备制造382</w:t>
            </w:r>
          </w:p>
        </w:tc>
      </w:tr>
      <w:tr w14:paraId="16F9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noWrap w:val="0"/>
            <w:tcMar>
              <w:top w:w="16" w:type="dxa"/>
              <w:left w:w="16" w:type="dxa"/>
              <w:right w:w="16" w:type="dxa"/>
            </w:tcMar>
            <w:vAlign w:val="center"/>
          </w:tcPr>
          <w:p w14:paraId="483004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3013" w:type="dxa"/>
            <w:noWrap w:val="0"/>
            <w:vAlign w:val="center"/>
          </w:tcPr>
          <w:p w14:paraId="5C038003">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6BE76E7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77B58A2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扩建</w:t>
            </w:r>
          </w:p>
          <w:p w14:paraId="4CE067FF">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技术改造</w:t>
            </w:r>
          </w:p>
        </w:tc>
        <w:tc>
          <w:tcPr>
            <w:tcW w:w="2212" w:type="dxa"/>
            <w:noWrap w:val="0"/>
            <w:vAlign w:val="center"/>
          </w:tcPr>
          <w:p w14:paraId="55B236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12277A0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14:paraId="78EFFE98">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19C0DEE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不予批准后再次申报项目</w:t>
            </w:r>
          </w:p>
          <w:p w14:paraId="152C41D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 xml:space="preserve">超五年重新审核项目     </w:t>
            </w:r>
          </w:p>
          <w:p w14:paraId="2ABC07E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重大变动重新报批项目</w:t>
            </w:r>
          </w:p>
        </w:tc>
      </w:tr>
      <w:tr w14:paraId="5510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noWrap w:val="0"/>
            <w:tcMar>
              <w:top w:w="16" w:type="dxa"/>
              <w:left w:w="16" w:type="dxa"/>
              <w:right w:w="16" w:type="dxa"/>
            </w:tcMar>
            <w:vAlign w:val="center"/>
          </w:tcPr>
          <w:p w14:paraId="5FB17D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项目备案部门</w:t>
            </w:r>
          </w:p>
        </w:tc>
        <w:tc>
          <w:tcPr>
            <w:tcW w:w="3013" w:type="dxa"/>
            <w:noWrap w:val="0"/>
            <w:vAlign w:val="center"/>
          </w:tcPr>
          <w:p w14:paraId="5724752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宝鸡市陈仓区发展和改革局</w:t>
            </w:r>
          </w:p>
        </w:tc>
        <w:tc>
          <w:tcPr>
            <w:tcW w:w="2212" w:type="dxa"/>
            <w:noWrap w:val="0"/>
            <w:vAlign w:val="center"/>
          </w:tcPr>
          <w:p w14:paraId="5D637D2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项目审批（核准/备案）文号（选填）</w:t>
            </w:r>
          </w:p>
        </w:tc>
        <w:tc>
          <w:tcPr>
            <w:tcW w:w="2639" w:type="dxa"/>
            <w:noWrap w:val="0"/>
            <w:vAlign w:val="center"/>
          </w:tcPr>
          <w:p w14:paraId="208160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2F84B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976C22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总投资</w:t>
            </w:r>
          </w:p>
          <w:p w14:paraId="5F0BBCB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（万元）</w:t>
            </w:r>
          </w:p>
        </w:tc>
        <w:tc>
          <w:tcPr>
            <w:tcW w:w="3013" w:type="dxa"/>
            <w:noWrap w:val="0"/>
            <w:vAlign w:val="center"/>
          </w:tcPr>
          <w:p w14:paraId="34CD1F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2212" w:type="dxa"/>
            <w:noWrap w:val="0"/>
            <w:tcMar>
              <w:top w:w="16" w:type="dxa"/>
              <w:left w:w="16" w:type="dxa"/>
              <w:right w:w="16" w:type="dxa"/>
            </w:tcMar>
            <w:vAlign w:val="center"/>
          </w:tcPr>
          <w:p w14:paraId="2596778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00BE1F8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27</w:t>
            </w:r>
          </w:p>
        </w:tc>
      </w:tr>
      <w:tr w14:paraId="1C44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6229E31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3013" w:type="dxa"/>
            <w:noWrap w:val="0"/>
            <w:vAlign w:val="center"/>
          </w:tcPr>
          <w:p w14:paraId="39DD7B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33.75</w:t>
            </w:r>
          </w:p>
        </w:tc>
        <w:tc>
          <w:tcPr>
            <w:tcW w:w="2212" w:type="dxa"/>
            <w:noWrap w:val="0"/>
            <w:tcMar>
              <w:top w:w="16" w:type="dxa"/>
              <w:left w:w="16" w:type="dxa"/>
              <w:right w:w="16" w:type="dxa"/>
            </w:tcMar>
            <w:vAlign w:val="center"/>
          </w:tcPr>
          <w:p w14:paraId="3ED5B59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14:paraId="629AD46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个月</w:t>
            </w:r>
          </w:p>
        </w:tc>
      </w:tr>
      <w:tr w14:paraId="254B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274FD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3013" w:type="dxa"/>
            <w:noWrap w:val="0"/>
            <w:vAlign w:val="center"/>
          </w:tcPr>
          <w:p w14:paraId="037869A8">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否</w:t>
            </w:r>
          </w:p>
          <w:p w14:paraId="1CFD882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是：</w:t>
            </w:r>
            <w:r>
              <w:rPr>
                <w:rFonts w:hint="eastAsia" w:ascii="Times New Roman" w:hAnsi="Times New Roman" w:cs="Times New Roman"/>
                <w:color w:val="auto"/>
                <w:szCs w:val="21"/>
                <w:u w:val="single"/>
                <w:lang w:val="en-US" w:eastAsia="zh-CN"/>
              </w:rPr>
              <w:t>根据</w:t>
            </w:r>
            <w:r>
              <w:rPr>
                <w:rFonts w:hint="eastAsia" w:cs="Times New Roman"/>
                <w:color w:val="auto"/>
                <w:szCs w:val="21"/>
                <w:u w:val="single"/>
                <w:lang w:val="en-US" w:eastAsia="zh-CN"/>
              </w:rPr>
              <w:t>现场勘查</w:t>
            </w:r>
            <w:r>
              <w:rPr>
                <w:rFonts w:hint="eastAsia" w:ascii="Times New Roman" w:hAnsi="Times New Roman" w:cs="Times New Roman"/>
                <w:color w:val="auto"/>
                <w:szCs w:val="21"/>
                <w:u w:val="single"/>
                <w:lang w:val="en-US" w:eastAsia="zh-CN"/>
              </w:rPr>
              <w:t>，企业已将部分设备安装完毕，正在向相关部门申请办理罚款缴纳手续。</w:t>
            </w:r>
            <w:r>
              <w:rPr>
                <w:rFonts w:hint="default" w:ascii="Times New Roman" w:hAnsi="Times New Roman" w:cs="Times New Roman"/>
                <w:color w:val="auto"/>
                <w:szCs w:val="21"/>
                <w:u w:val="single"/>
              </w:rPr>
              <w:t xml:space="preserve">             </w:t>
            </w:r>
          </w:p>
        </w:tc>
        <w:tc>
          <w:tcPr>
            <w:tcW w:w="2212" w:type="dxa"/>
            <w:noWrap w:val="0"/>
            <w:tcMar>
              <w:top w:w="16" w:type="dxa"/>
              <w:left w:w="16" w:type="dxa"/>
              <w:right w:w="16" w:type="dxa"/>
            </w:tcMar>
            <w:vAlign w:val="center"/>
          </w:tcPr>
          <w:p w14:paraId="0AEADCB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165DB1A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2639" w:type="dxa"/>
            <w:noWrap w:val="0"/>
            <w:vAlign w:val="center"/>
          </w:tcPr>
          <w:p w14:paraId="384CA3A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14:paraId="35C8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BEF460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864" w:type="dxa"/>
            <w:gridSpan w:val="3"/>
            <w:noWrap w:val="0"/>
            <w:vAlign w:val="center"/>
          </w:tcPr>
          <w:p w14:paraId="4A42421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18505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3C8B5D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w:t>
            </w:r>
          </w:p>
          <w:p w14:paraId="390BD1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情况</w:t>
            </w:r>
          </w:p>
        </w:tc>
        <w:tc>
          <w:tcPr>
            <w:tcW w:w="7864" w:type="dxa"/>
            <w:gridSpan w:val="3"/>
            <w:noWrap w:val="0"/>
            <w:vAlign w:val="center"/>
          </w:tcPr>
          <w:p w14:paraId="0EC76C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规划名称：</w:t>
            </w:r>
            <w:r>
              <w:rPr>
                <w:rFonts w:hint="default" w:ascii="Times New Roman" w:hAnsi="Times New Roman" w:eastAsia="宋体" w:cs="Times New Roman"/>
                <w:color w:val="auto"/>
                <w:sz w:val="24"/>
                <w:szCs w:val="24"/>
              </w:rPr>
              <w:t>《陈仓区科技工业园二期、三期（东区）规划》</w:t>
            </w:r>
          </w:p>
          <w:p w14:paraId="3F181E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b/>
                <w:bCs/>
                <w:color w:val="auto"/>
                <w:sz w:val="24"/>
                <w:szCs w:val="24"/>
                <w:lang w:eastAsia="zh-CN"/>
              </w:rPr>
              <w:t>审批机关</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color w:val="auto"/>
                <w:sz w:val="24"/>
                <w:szCs w:val="24"/>
                <w:lang w:eastAsia="zh-CN"/>
              </w:rPr>
              <w:t>宝鸡市人民政府</w:t>
            </w:r>
          </w:p>
        </w:tc>
      </w:tr>
      <w:tr w14:paraId="2FE83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141170B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0548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864" w:type="dxa"/>
            <w:gridSpan w:val="3"/>
            <w:noWrap w:val="0"/>
            <w:vAlign w:val="center"/>
          </w:tcPr>
          <w:p w14:paraId="1037D7B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 w:val="24"/>
                <w:szCs w:val="24"/>
              </w:rPr>
            </w:pPr>
            <w:r>
              <w:rPr>
                <w:rFonts w:hint="eastAsia" w:ascii="Times New Roman" w:hAnsi="Times New Roman" w:cs="Times New Roman"/>
                <w:b/>
                <w:bCs/>
                <w:color w:val="auto"/>
                <w:kern w:val="0"/>
                <w:sz w:val="24"/>
                <w:szCs w:val="24"/>
                <w:lang w:eastAsia="zh-CN"/>
              </w:rPr>
              <w:t>规划环境影响评价文件名称：</w:t>
            </w:r>
            <w:r>
              <w:rPr>
                <w:rFonts w:hint="default" w:ascii="Times New Roman" w:hAnsi="Times New Roman" w:cs="Times New Roman"/>
                <w:color w:val="auto"/>
                <w:kern w:val="0"/>
                <w:sz w:val="24"/>
                <w:szCs w:val="24"/>
              </w:rPr>
              <w:t>陈仓区科技工业园二期、三期（东区）规划环境影响报告书</w:t>
            </w:r>
          </w:p>
          <w:p w14:paraId="3137097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b/>
                <w:bCs/>
                <w:color w:val="auto"/>
                <w:kern w:val="0"/>
                <w:sz w:val="24"/>
                <w:szCs w:val="24"/>
              </w:rPr>
              <w:t>召集审查机关：</w:t>
            </w:r>
            <w:r>
              <w:rPr>
                <w:rFonts w:hint="default" w:ascii="Times New Roman" w:hAnsi="Times New Roman" w:cs="Times New Roman"/>
                <w:color w:val="auto"/>
                <w:kern w:val="0"/>
                <w:sz w:val="24"/>
                <w:szCs w:val="24"/>
              </w:rPr>
              <w:t>宝鸡市环境保护局</w:t>
            </w:r>
          </w:p>
          <w:p w14:paraId="3B2B005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szCs w:val="24"/>
              </w:rPr>
              <w:t>审查文件名称及文号：</w:t>
            </w:r>
            <w:r>
              <w:rPr>
                <w:rFonts w:hint="default" w:ascii="Times New Roman" w:hAnsi="Times New Roman" w:cs="Times New Roman"/>
                <w:color w:val="auto"/>
                <w:kern w:val="0"/>
                <w:sz w:val="24"/>
                <w:szCs w:val="24"/>
              </w:rPr>
              <w:t>《关于陈仓区科技工业园二期、三期（东区）规划环境影响报告书的审查意见》，宝市环函</w:t>
            </w:r>
            <w:r>
              <w:rPr>
                <w:rFonts w:hint="eastAsia" w:cs="Times New Roman"/>
                <w:color w:val="auto"/>
                <w:kern w:val="0"/>
                <w:sz w:val="24"/>
                <w:szCs w:val="24"/>
                <w:lang w:eastAsia="zh-CN"/>
              </w:rPr>
              <w:t>〔2017〕86号</w:t>
            </w:r>
          </w:p>
        </w:tc>
      </w:tr>
      <w:tr w14:paraId="7CAA8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4C897F0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14:paraId="62A250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7864" w:type="dxa"/>
            <w:gridSpan w:val="3"/>
            <w:noWrap w:val="0"/>
            <w:vAlign w:val="center"/>
          </w:tcPr>
          <w:p w14:paraId="664294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1-1   项目与</w:t>
            </w:r>
            <w:r>
              <w:rPr>
                <w:rFonts w:hint="default" w:ascii="Times New Roman" w:hAnsi="Times New Roman" w:cs="Times New Roman"/>
                <w:b/>
                <w:bCs/>
                <w:color w:val="auto"/>
                <w:sz w:val="21"/>
                <w:szCs w:val="21"/>
              </w:rPr>
              <w:t>规划及规划</w:t>
            </w:r>
            <w:r>
              <w:rPr>
                <w:rFonts w:hint="default" w:ascii="Times New Roman" w:hAnsi="Times New Roman" w:cs="Times New Roman"/>
                <w:b/>
                <w:bCs/>
                <w:color w:val="auto"/>
                <w:sz w:val="21"/>
                <w:szCs w:val="21"/>
                <w:lang w:eastAsia="zh-CN"/>
              </w:rPr>
              <w:t>环境影响评价结论、审查意见</w:t>
            </w:r>
            <w:r>
              <w:rPr>
                <w:rFonts w:hint="default" w:ascii="Times New Roman" w:hAnsi="Times New Roman" w:cs="Times New Roman"/>
                <w:b/>
                <w:bCs/>
                <w:color w:val="auto"/>
                <w:sz w:val="21"/>
                <w:szCs w:val="21"/>
              </w:rPr>
              <w:t>相符性分析</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37"/>
              <w:gridCol w:w="2538"/>
              <w:gridCol w:w="2540"/>
            </w:tblGrid>
            <w:tr w14:paraId="43837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tcBorders>
                    <w:tl2br w:val="nil"/>
                    <w:tr2bl w:val="nil"/>
                  </w:tcBorders>
                  <w:noWrap w:val="0"/>
                  <w:vAlign w:val="center"/>
                </w:tcPr>
                <w:p w14:paraId="004726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类别</w:t>
                  </w:r>
                </w:p>
              </w:tc>
              <w:tc>
                <w:tcPr>
                  <w:tcW w:w="1666" w:type="pct"/>
                  <w:tcBorders>
                    <w:tl2br w:val="nil"/>
                    <w:tr2bl w:val="nil"/>
                  </w:tcBorders>
                  <w:noWrap w:val="0"/>
                  <w:vAlign w:val="center"/>
                </w:tcPr>
                <w:p w14:paraId="1089ED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本项目情况</w:t>
                  </w:r>
                </w:p>
              </w:tc>
              <w:tc>
                <w:tcPr>
                  <w:tcW w:w="1667" w:type="pct"/>
                  <w:tcBorders>
                    <w:tl2br w:val="nil"/>
                    <w:tr2bl w:val="nil"/>
                  </w:tcBorders>
                  <w:noWrap w:val="0"/>
                  <w:vAlign w:val="center"/>
                </w:tcPr>
                <w:p w14:paraId="6F85A2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符合性</w:t>
                  </w:r>
                </w:p>
              </w:tc>
            </w:tr>
            <w:tr w14:paraId="6B680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noWrap w:val="0"/>
                  <w:vAlign w:val="center"/>
                </w:tcPr>
                <w:p w14:paraId="629579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kern w:val="0"/>
                      <w:szCs w:val="21"/>
                    </w:rPr>
                    <w:t>《陈仓区科技工业</w:t>
                  </w:r>
                  <w:r>
                    <w:rPr>
                      <w:rFonts w:hint="default" w:ascii="Times New Roman" w:hAnsi="Times New Roman" w:cs="Times New Roman"/>
                      <w:color w:val="auto"/>
                      <w:kern w:val="0"/>
                      <w:szCs w:val="21"/>
                      <w:lang w:eastAsia="zh-CN"/>
                    </w:rPr>
                    <w:t>示范</w:t>
                  </w:r>
                  <w:r>
                    <w:rPr>
                      <w:rFonts w:hint="default" w:ascii="Times New Roman" w:hAnsi="Times New Roman" w:cs="Times New Roman"/>
                      <w:color w:val="auto"/>
                      <w:kern w:val="0"/>
                      <w:szCs w:val="21"/>
                    </w:rPr>
                    <w:t>园</w:t>
                  </w:r>
                  <w:r>
                    <w:rPr>
                      <w:rFonts w:hint="default" w:ascii="Times New Roman" w:hAnsi="Times New Roman" w:cs="Times New Roman"/>
                      <w:color w:val="auto"/>
                      <w:kern w:val="0"/>
                      <w:szCs w:val="21"/>
                      <w:lang w:eastAsia="zh-CN"/>
                    </w:rPr>
                    <w:t>控制详细</w:t>
                  </w:r>
                  <w:r>
                    <w:rPr>
                      <w:rFonts w:hint="default" w:ascii="Times New Roman" w:hAnsi="Times New Roman" w:cs="Times New Roman"/>
                      <w:color w:val="auto"/>
                      <w:kern w:val="0"/>
                      <w:szCs w:val="21"/>
                    </w:rPr>
                    <w:t>规划》</w:t>
                  </w:r>
                </w:p>
              </w:tc>
              <w:tc>
                <w:tcPr>
                  <w:tcW w:w="1666" w:type="pct"/>
                  <w:tcBorders>
                    <w:tl2br w:val="nil"/>
                    <w:tr2bl w:val="nil"/>
                  </w:tcBorders>
                  <w:noWrap w:val="0"/>
                  <w:vAlign w:val="center"/>
                </w:tcPr>
                <w:p w14:paraId="5FDE362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产业定位</w:t>
                  </w:r>
                  <w:r>
                    <w:rPr>
                      <w:rFonts w:hint="default" w:ascii="Times New Roman" w:hAnsi="Times New Roman" w:cs="Times New Roman"/>
                      <w:color w:val="auto"/>
                    </w:rPr>
                    <w:t>：</w:t>
                  </w:r>
                  <w:r>
                    <w:rPr>
                      <w:rFonts w:hint="default" w:ascii="Times New Roman" w:hAnsi="Times New Roman" w:cs="Times New Roman"/>
                      <w:color w:val="auto"/>
                      <w:kern w:val="0"/>
                      <w:szCs w:val="21"/>
                    </w:rPr>
                    <w:t>以发展先进制造业、电子信息、现代食品、生物医药、光电一体化为主的科技工业示范园区。</w:t>
                  </w:r>
                </w:p>
              </w:tc>
              <w:tc>
                <w:tcPr>
                  <w:tcW w:w="1667" w:type="pct"/>
                  <w:tcBorders>
                    <w:tl2br w:val="nil"/>
                    <w:tr2bl w:val="nil"/>
                  </w:tcBorders>
                  <w:noWrap w:val="0"/>
                  <w:vAlign w:val="center"/>
                </w:tcPr>
                <w:p w14:paraId="7DCC06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本项目为</w:t>
                  </w:r>
                  <w:r>
                    <w:rPr>
                      <w:rFonts w:hint="default" w:ascii="Times New Roman" w:hAnsi="Times New Roman" w:cs="Times New Roman"/>
                      <w:color w:val="auto"/>
                      <w:lang w:val="en-US" w:eastAsia="zh-CN"/>
                    </w:rPr>
                    <w:t>输配电及控制设备</w:t>
                  </w:r>
                  <w:r>
                    <w:rPr>
                      <w:rFonts w:hint="eastAsia" w:ascii="Times New Roman" w:hAnsi="Times New Roman" w:cs="Times New Roman"/>
                      <w:color w:val="auto"/>
                      <w:lang w:val="en-US" w:eastAsia="zh-CN"/>
                    </w:rPr>
                    <w:t>元器件零部件生产制造</w:t>
                  </w:r>
                  <w:r>
                    <w:rPr>
                      <w:rFonts w:hint="default" w:ascii="Times New Roman" w:hAnsi="Times New Roman" w:cs="Times New Roman"/>
                      <w:color w:val="auto"/>
                      <w:lang w:eastAsia="zh-CN"/>
                    </w:rPr>
                    <w:t>，与规划发展产业</w:t>
                  </w:r>
                  <w:r>
                    <w:rPr>
                      <w:rFonts w:hint="default" w:ascii="Times New Roman" w:hAnsi="Times New Roman" w:cs="Times New Roman"/>
                      <w:color w:val="auto"/>
                      <w:lang w:val="en-US" w:eastAsia="zh-CN"/>
                    </w:rPr>
                    <w:t>一致</w:t>
                  </w:r>
                  <w:r>
                    <w:rPr>
                      <w:rFonts w:hint="eastAsia" w:ascii="Times New Roman" w:hAnsi="Times New Roman" w:cs="Times New Roman"/>
                      <w:color w:val="auto"/>
                      <w:lang w:val="en-US" w:eastAsia="zh-CN"/>
                    </w:rPr>
                    <w:t>。</w:t>
                  </w:r>
                </w:p>
              </w:tc>
            </w:tr>
            <w:tr w14:paraId="27F26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noWrap w:val="0"/>
                  <w:vAlign w:val="center"/>
                </w:tcPr>
                <w:p w14:paraId="3DA1E7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p>
              </w:tc>
              <w:tc>
                <w:tcPr>
                  <w:tcW w:w="1666" w:type="pct"/>
                  <w:tcBorders>
                    <w:tl2br w:val="nil"/>
                    <w:tr2bl w:val="nil"/>
                  </w:tcBorders>
                  <w:noWrap w:val="0"/>
                  <w:vAlign w:val="center"/>
                </w:tcPr>
                <w:p w14:paraId="7C6A9E3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规划内容：</w:t>
                  </w:r>
                  <w:r>
                    <w:rPr>
                      <w:rFonts w:hint="default" w:ascii="Times New Roman" w:hAnsi="Times New Roman" w:cs="Times New Roman"/>
                      <w:color w:val="auto"/>
                      <w:kern w:val="0"/>
                      <w:szCs w:val="21"/>
                    </w:rPr>
                    <w:t>陈仓区科技工业园二、三期（东区）规划区位于宝鸡市陈仓区东部，二期范围为陇海铁路线以南，渭河以北，西至虢磻路，东至太公庙村毛退渠，包含园区一期规划建设用地0.7km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，总规划面积6.33km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p>
              </w:tc>
              <w:tc>
                <w:tcPr>
                  <w:tcW w:w="1667" w:type="pct"/>
                  <w:tcBorders>
                    <w:tl2br w:val="nil"/>
                    <w:tr2bl w:val="nil"/>
                  </w:tcBorders>
                  <w:noWrap w:val="0"/>
                  <w:vAlign w:val="center"/>
                </w:tcPr>
                <w:p w14:paraId="5FD6CF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本项目位于</w:t>
                  </w:r>
                  <w:r>
                    <w:rPr>
                      <w:rFonts w:hint="default" w:ascii="Times New Roman" w:hAnsi="Times New Roman" w:cs="Times New Roman"/>
                      <w:color w:val="auto"/>
                      <w:lang w:val="en-US" w:eastAsia="zh-CN"/>
                    </w:rPr>
                    <w:t>东关</w:t>
                  </w:r>
                  <w:r>
                    <w:rPr>
                      <w:rFonts w:hint="eastAsia" w:ascii="Times New Roman" w:hAnsi="Times New Roman" w:cs="Times New Roman"/>
                      <w:color w:val="auto"/>
                      <w:lang w:val="en-US" w:eastAsia="zh-CN"/>
                    </w:rPr>
                    <w:t>科技工业园区内</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属于科技工业</w:t>
                  </w:r>
                  <w:r>
                    <w:rPr>
                      <w:rFonts w:hint="eastAsia" w:cs="Times New Roman"/>
                      <w:color w:val="auto"/>
                      <w:lang w:eastAsia="zh-CN"/>
                    </w:rPr>
                    <w:t>示范园区</w:t>
                  </w:r>
                  <w:r>
                    <w:rPr>
                      <w:rFonts w:hint="eastAsia" w:ascii="Times New Roman" w:hAnsi="Times New Roman" w:cs="Times New Roman"/>
                      <w:color w:val="auto"/>
                      <w:lang w:eastAsia="zh-CN"/>
                    </w:rPr>
                    <w:t>。</w:t>
                  </w:r>
                </w:p>
              </w:tc>
            </w:tr>
            <w:tr w14:paraId="776B7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noWrap w:val="0"/>
                  <w:vAlign w:val="center"/>
                </w:tcPr>
                <w:p w14:paraId="4CCEAC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陈仓区科技工业园二期、三期（东区）规划环境影响报告书结论</w:t>
                  </w:r>
                </w:p>
              </w:tc>
              <w:tc>
                <w:tcPr>
                  <w:tcW w:w="1666" w:type="pct"/>
                  <w:tcBorders>
                    <w:tl2br w:val="nil"/>
                    <w:tr2bl w:val="nil"/>
                  </w:tcBorders>
                  <w:noWrap w:val="0"/>
                  <w:vAlign w:val="center"/>
                </w:tcPr>
                <w:p w14:paraId="60817C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对入区行业类型的把控需要严格准入，避免大规模扩大工业用地规模，集约用地，禁止新建、扩建火电、钢铁、水泥、电解铝、焦化、有色冶炼、传统煤化工等行业建设项目。</w:t>
                  </w:r>
                </w:p>
              </w:tc>
              <w:tc>
                <w:tcPr>
                  <w:tcW w:w="1667" w:type="pct"/>
                  <w:tcBorders>
                    <w:tl2br w:val="nil"/>
                    <w:tr2bl w:val="nil"/>
                  </w:tcBorders>
                  <w:noWrap w:val="0"/>
                  <w:vAlign w:val="center"/>
                </w:tcPr>
                <w:p w14:paraId="71C4F2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本项目不属于禁止类项目，符合要求</w:t>
                  </w:r>
                  <w:r>
                    <w:rPr>
                      <w:rFonts w:hint="eastAsia" w:ascii="Times New Roman" w:hAnsi="Times New Roman" w:cs="Times New Roman"/>
                      <w:color w:val="auto"/>
                      <w:lang w:eastAsia="zh-CN"/>
                    </w:rPr>
                    <w:t>。</w:t>
                  </w:r>
                </w:p>
              </w:tc>
            </w:tr>
            <w:tr w14:paraId="6F61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continue"/>
                  <w:tcBorders>
                    <w:tl2br w:val="nil"/>
                    <w:tr2bl w:val="nil"/>
                  </w:tcBorders>
                  <w:noWrap w:val="0"/>
                  <w:vAlign w:val="center"/>
                </w:tcPr>
                <w:p w14:paraId="6D03CF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p>
              </w:tc>
              <w:tc>
                <w:tcPr>
                  <w:tcW w:w="1666" w:type="pct"/>
                  <w:tcBorders>
                    <w:tl2br w:val="nil"/>
                    <w:tr2bl w:val="nil"/>
                  </w:tcBorders>
                  <w:noWrap w:val="0"/>
                  <w:vAlign w:val="center"/>
                </w:tcPr>
                <w:p w14:paraId="22980B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危险废物安全处置率100%；医疗废物安全处置率100%；完善规划区环保基础设施</w:t>
                  </w:r>
                </w:p>
              </w:tc>
              <w:tc>
                <w:tcPr>
                  <w:tcW w:w="1667" w:type="pct"/>
                  <w:tcBorders>
                    <w:tl2br w:val="nil"/>
                    <w:tr2bl w:val="nil"/>
                  </w:tcBorders>
                  <w:noWrap w:val="0"/>
                  <w:vAlign w:val="center"/>
                </w:tcPr>
                <w:p w14:paraId="7CA74B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本项目危险废物全部交资质单位清运处置</w:t>
                  </w:r>
                  <w:r>
                    <w:rPr>
                      <w:rFonts w:hint="eastAsia" w:ascii="Times New Roman" w:hAnsi="Times New Roman" w:cs="Times New Roman"/>
                      <w:color w:val="auto"/>
                      <w:lang w:eastAsia="zh-CN"/>
                    </w:rPr>
                    <w:t>。</w:t>
                  </w:r>
                </w:p>
              </w:tc>
            </w:tr>
            <w:tr w14:paraId="35235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6" w:type="pct"/>
                  <w:vMerge w:val="continue"/>
                  <w:tcBorders>
                    <w:tl2br w:val="nil"/>
                    <w:tr2bl w:val="nil"/>
                  </w:tcBorders>
                  <w:noWrap w:val="0"/>
                  <w:vAlign w:val="center"/>
                </w:tcPr>
                <w:p w14:paraId="19EE2F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p>
              </w:tc>
              <w:tc>
                <w:tcPr>
                  <w:tcW w:w="1666" w:type="pct"/>
                  <w:tcBorders>
                    <w:tl2br w:val="nil"/>
                    <w:tr2bl w:val="nil"/>
                  </w:tcBorders>
                  <w:noWrap w:val="0"/>
                  <w:vAlign w:val="center"/>
                </w:tcPr>
                <w:p w14:paraId="5CF64C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陈仓区科技工业园的开发建设和生产过程势必会对其所在区域的社会和环境产生影响，特别是对生态环境和地表水环境。规划实施过程，要严格按照优化和调整后的总体规划和本报告书提出的建设规模、建设时序、空间布局、</w:t>
                  </w:r>
                  <w:r>
                    <w:rPr>
                      <w:rFonts w:hint="eastAsia" w:ascii="Times New Roman" w:hAnsi="Times New Roman" w:cs="Times New Roman"/>
                      <w:color w:val="auto"/>
                      <w:lang w:eastAsia="zh-CN"/>
                    </w:rPr>
                    <w:t>清洁</w:t>
                  </w:r>
                  <w:r>
                    <w:rPr>
                      <w:rFonts w:hint="default" w:ascii="Times New Roman" w:hAnsi="Times New Roman" w:cs="Times New Roman"/>
                      <w:color w:val="auto"/>
                    </w:rPr>
                    <w:t>生产和循环经济、节能减排以及环境影响减缓措施组织实施，满足规划区环境功能和总量控制目标，保证规划区受影响居民的生活质量不下降，规划实施的环境影响可以得到减缓，在环境可承受的范围内。从环境保护角度看，本规划是可行的。</w:t>
                  </w:r>
                </w:p>
              </w:tc>
              <w:tc>
                <w:tcPr>
                  <w:tcW w:w="1667" w:type="pct"/>
                  <w:tcBorders>
                    <w:tl2br w:val="nil"/>
                    <w:tr2bl w:val="nil"/>
                  </w:tcBorders>
                  <w:noWrap w:val="0"/>
                  <w:vAlign w:val="center"/>
                </w:tcPr>
                <w:p w14:paraId="16A825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szCs w:val="21"/>
                      <w:lang w:val="en-US" w:eastAsia="zh-CN"/>
                    </w:rPr>
                    <w:t>本项目激光切割、焊接、抛丸工序的废气经</w:t>
                  </w:r>
                  <w:r>
                    <w:rPr>
                      <w:rFonts w:hint="eastAsia" w:cs="Times New Roman"/>
                      <w:color w:val="auto"/>
                      <w:szCs w:val="21"/>
                      <w:lang w:val="en-US" w:eastAsia="zh-CN"/>
                    </w:rPr>
                    <w:t>收集</w:t>
                  </w:r>
                  <w:r>
                    <w:rPr>
                      <w:rFonts w:hint="eastAsia" w:ascii="Times New Roman" w:hAnsi="Times New Roman" w:cs="Times New Roman"/>
                      <w:color w:val="auto"/>
                      <w:szCs w:val="21"/>
                      <w:lang w:val="en-US" w:eastAsia="zh-CN"/>
                    </w:rPr>
                    <w:t>后进入滤筒除尘器处理后由15米排气筒（DA001）排放；固化及天然气燃烧废气分别经二级活性炭吸附处理和低氮燃烧器处理后经同一根15米排气筒（DA002）高空排放；喷粉工序在密闭喷粉室内进行静电喷涂，产生的废气收集后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处理后回用。</w:t>
                  </w:r>
                  <w:r>
                    <w:rPr>
                      <w:rFonts w:hint="default" w:ascii="Times New Roman" w:hAnsi="Times New Roman" w:cs="Times New Roman"/>
                      <w:color w:val="auto"/>
                      <w:lang w:val="en-US" w:eastAsia="zh-CN"/>
                    </w:rPr>
                    <w:t>经核算废气可达标排放。</w:t>
                  </w:r>
                  <w:r>
                    <w:rPr>
                      <w:rFonts w:hint="default" w:ascii="Times New Roman" w:hAnsi="Times New Roman" w:cs="Times New Roman"/>
                      <w:color w:val="auto"/>
                      <w:lang w:eastAsia="zh-CN"/>
                    </w:rPr>
                    <w:t>生产废水</w:t>
                  </w:r>
                  <w:r>
                    <w:rPr>
                      <w:rFonts w:hint="eastAsia" w:ascii="Times New Roman" w:hAnsi="Times New Roman" w:cs="Times New Roman"/>
                      <w:color w:val="auto"/>
                      <w:lang w:val="en-US" w:eastAsia="zh-CN"/>
                    </w:rPr>
                    <w:t>经处理达标后循环使用</w:t>
                  </w:r>
                  <w:r>
                    <w:rPr>
                      <w:rFonts w:hint="default" w:ascii="Times New Roman" w:hAnsi="Times New Roman" w:cs="Times New Roman"/>
                      <w:color w:val="auto"/>
                      <w:lang w:eastAsia="zh-CN"/>
                    </w:rPr>
                    <w:t>，不外排。一般工业固废外售综合利用，</w:t>
                  </w:r>
                  <w:r>
                    <w:rPr>
                      <w:rFonts w:hint="eastAsia" w:cs="Times New Roman"/>
                      <w:color w:val="auto"/>
                      <w:lang w:eastAsia="zh-CN"/>
                    </w:rPr>
                    <w:t>危险废物</w:t>
                  </w:r>
                  <w:r>
                    <w:rPr>
                      <w:rFonts w:hint="default" w:ascii="Times New Roman" w:hAnsi="Times New Roman" w:cs="Times New Roman"/>
                      <w:color w:val="auto"/>
                      <w:lang w:eastAsia="zh-CN"/>
                    </w:rPr>
                    <w:t>交资质单位定期清运处置。</w:t>
                  </w:r>
                </w:p>
              </w:tc>
            </w:tr>
            <w:tr w14:paraId="406E3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noWrap w:val="0"/>
                  <w:vAlign w:val="center"/>
                </w:tcPr>
                <w:p w14:paraId="52D0D4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陈仓区科技工业园二期、三期（东区）规划环境影响报告书审查意见</w:t>
                  </w:r>
                </w:p>
              </w:tc>
              <w:tc>
                <w:tcPr>
                  <w:tcW w:w="1666" w:type="pct"/>
                  <w:tcBorders>
                    <w:tl2br w:val="nil"/>
                    <w:tr2bl w:val="nil"/>
                  </w:tcBorders>
                  <w:noWrap w:val="0"/>
                  <w:vAlign w:val="center"/>
                </w:tcPr>
                <w:p w14:paraId="75709E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按“雨污分流、清污分流、中水回用”的要求，加快建设园区内截污管网和污水处理</w:t>
                  </w:r>
                  <w:r>
                    <w:rPr>
                      <w:rFonts w:hint="eastAsia" w:cs="Times New Roman"/>
                      <w:color w:val="auto"/>
                      <w:lang w:eastAsia="zh-CN"/>
                    </w:rPr>
                    <w:t>设施</w:t>
                  </w:r>
                  <w:r>
                    <w:rPr>
                      <w:rFonts w:hint="default" w:ascii="Times New Roman" w:hAnsi="Times New Roman" w:cs="Times New Roman"/>
                      <w:color w:val="auto"/>
                    </w:rPr>
                    <w:t>。园区实行集中供热，不得建设分散燃煤小锅炉。建立统一的固废收集、贮存、运输、综合利用和安全处置的运营管理体系，推行工业固体废物园区内循环利用。危险废物的收集、贮存、运送符合国家《危险废物贮存污染控制标准》（GB18597-2001）要求，防止产生二次污染。生活垃圾应统一收集并送往城市垃圾填埋场进行无害化处置。</w:t>
                  </w:r>
                </w:p>
              </w:tc>
              <w:tc>
                <w:tcPr>
                  <w:tcW w:w="1667" w:type="pct"/>
                  <w:tcBorders>
                    <w:tl2br w:val="nil"/>
                    <w:tr2bl w:val="nil"/>
                  </w:tcBorders>
                  <w:noWrap w:val="0"/>
                  <w:vAlign w:val="center"/>
                </w:tcPr>
                <w:p w14:paraId="46FA64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w:t>
                  </w:r>
                  <w:r>
                    <w:rPr>
                      <w:rFonts w:hint="eastAsia" w:ascii="Times New Roman" w:hAnsi="Times New Roman" w:cs="Times New Roman"/>
                      <w:color w:val="auto"/>
                      <w:lang w:val="en-US" w:eastAsia="zh-CN"/>
                    </w:rPr>
                    <w:t>生产废水</w:t>
                  </w:r>
                  <w:r>
                    <w:rPr>
                      <w:rFonts w:hint="eastAsia" w:cs="Times New Roman"/>
                      <w:color w:val="auto"/>
                      <w:lang w:val="en-US" w:eastAsia="zh-CN"/>
                    </w:rPr>
                    <w:t>经处理后</w:t>
                  </w:r>
                  <w:r>
                    <w:rPr>
                      <w:rFonts w:hint="eastAsia" w:ascii="Times New Roman" w:hAnsi="Times New Roman" w:cs="Times New Roman"/>
                      <w:color w:val="auto"/>
                      <w:lang w:val="en-US" w:eastAsia="zh-CN"/>
                    </w:rPr>
                    <w:t>循环利用不外排</w:t>
                  </w:r>
                  <w:r>
                    <w:rPr>
                      <w:rFonts w:hint="default" w:ascii="Times New Roman" w:hAnsi="Times New Roman" w:cs="Times New Roman"/>
                      <w:color w:val="auto"/>
                      <w:lang w:eastAsia="zh-CN"/>
                    </w:rPr>
                    <w:t>；一般固废收集后外售</w:t>
                  </w:r>
                  <w:r>
                    <w:rPr>
                      <w:rFonts w:hint="eastAsia" w:cs="Times New Roman"/>
                      <w:color w:val="auto"/>
                      <w:lang w:eastAsia="zh-CN"/>
                    </w:rPr>
                    <w:t>给物资</w:t>
                  </w:r>
                  <w:r>
                    <w:rPr>
                      <w:rFonts w:hint="default" w:ascii="Times New Roman" w:hAnsi="Times New Roman" w:cs="Times New Roman"/>
                      <w:color w:val="auto"/>
                      <w:lang w:eastAsia="zh-CN"/>
                    </w:rPr>
                    <w:t>回收部门；危险废物</w:t>
                  </w:r>
                  <w:r>
                    <w:rPr>
                      <w:rFonts w:hint="eastAsia" w:cs="Times New Roman"/>
                      <w:color w:val="auto"/>
                      <w:lang w:val="en-US" w:eastAsia="zh-CN"/>
                    </w:rPr>
                    <w:t>按照</w:t>
                  </w:r>
                  <w:r>
                    <w:rPr>
                      <w:rFonts w:hint="default" w:ascii="Times New Roman" w:hAnsi="Times New Roman" w:cs="Times New Roman"/>
                      <w:color w:val="auto"/>
                      <w:lang w:eastAsia="zh-CN"/>
                    </w:rPr>
                    <w:t>《危险废物贮存污染控制标准》</w:t>
                  </w:r>
                  <w:r>
                    <w:rPr>
                      <w:rFonts w:hint="eastAsia" w:cs="Times New Roman"/>
                      <w:color w:val="auto"/>
                      <w:lang w:val="en-US" w:eastAsia="zh-CN"/>
                    </w:rPr>
                    <w:t>相关</w:t>
                  </w:r>
                  <w:r>
                    <w:rPr>
                      <w:rFonts w:hint="default" w:ascii="Times New Roman" w:hAnsi="Times New Roman" w:cs="Times New Roman"/>
                      <w:color w:val="auto"/>
                      <w:lang w:eastAsia="zh-CN"/>
                    </w:rPr>
                    <w:t>要求</w:t>
                  </w:r>
                  <w:r>
                    <w:rPr>
                      <w:rFonts w:hint="eastAsia" w:cs="Times New Roman"/>
                      <w:color w:val="auto"/>
                      <w:lang w:val="en-US" w:eastAsia="zh-CN"/>
                    </w:rPr>
                    <w:t>进行收集、暂存及委外处置</w:t>
                  </w:r>
                  <w:r>
                    <w:rPr>
                      <w:rFonts w:hint="default" w:ascii="Times New Roman" w:hAnsi="Times New Roman" w:cs="Times New Roman"/>
                      <w:color w:val="auto"/>
                      <w:lang w:eastAsia="zh-CN"/>
                    </w:rPr>
                    <w:t>。</w:t>
                  </w:r>
                </w:p>
              </w:tc>
            </w:tr>
            <w:tr w14:paraId="17083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noWrap w:val="0"/>
                  <w:vAlign w:val="center"/>
                </w:tcPr>
                <w:p w14:paraId="47F4A3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p>
              </w:tc>
              <w:tc>
                <w:tcPr>
                  <w:tcW w:w="1666" w:type="pct"/>
                  <w:tcBorders>
                    <w:tl2br w:val="nil"/>
                    <w:tr2bl w:val="nil"/>
                  </w:tcBorders>
                  <w:noWrap w:val="0"/>
                  <w:vAlign w:val="center"/>
                </w:tcPr>
                <w:p w14:paraId="24AE0F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环境治理要求大气污染物</w:t>
                  </w:r>
                </w:p>
                <w:p w14:paraId="7FE452E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排放达标率达到100%，废水</w:t>
                  </w:r>
                  <w:r>
                    <w:rPr>
                      <w:rFonts w:hint="eastAsia" w:ascii="Times New Roman" w:hAnsi="Times New Roman" w:cs="Times New Roman"/>
                      <w:color w:val="auto"/>
                      <w:lang w:eastAsia="zh-CN"/>
                    </w:rPr>
                    <w:t>排</w:t>
                  </w:r>
                  <w:r>
                    <w:rPr>
                      <w:rFonts w:hint="default" w:ascii="Times New Roman" w:hAnsi="Times New Roman" w:cs="Times New Roman"/>
                      <w:color w:val="auto"/>
                    </w:rPr>
                    <w:t>放达标率达到100%，固体废物处置利用率达到100%，危险废物安全处理率达到100%，噪声排放达标率达到100%，“三同时”执行率达到100%。</w:t>
                  </w:r>
                </w:p>
              </w:tc>
              <w:tc>
                <w:tcPr>
                  <w:tcW w:w="1667" w:type="pct"/>
                  <w:tcBorders>
                    <w:tl2br w:val="nil"/>
                    <w:tr2bl w:val="nil"/>
                  </w:tcBorders>
                  <w:noWrap w:val="0"/>
                  <w:vAlign w:val="center"/>
                </w:tcPr>
                <w:p w14:paraId="211A75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eastAsia" w:ascii="Times New Roman" w:hAnsi="Times New Roman" w:cs="Times New Roman"/>
                      <w:color w:val="auto"/>
                      <w:szCs w:val="21"/>
                      <w:lang w:val="en-US" w:eastAsia="zh-CN"/>
                    </w:rPr>
                    <w:t>本项目激光切割、焊接、抛丸工序的废气经</w:t>
                  </w:r>
                  <w:r>
                    <w:rPr>
                      <w:rFonts w:hint="eastAsia" w:cs="Times New Roman"/>
                      <w:color w:val="auto"/>
                      <w:szCs w:val="21"/>
                      <w:lang w:val="en-US" w:eastAsia="zh-CN"/>
                    </w:rPr>
                    <w:t>收集</w:t>
                  </w:r>
                  <w:r>
                    <w:rPr>
                      <w:rFonts w:hint="eastAsia" w:ascii="Times New Roman" w:hAnsi="Times New Roman" w:cs="Times New Roman"/>
                      <w:color w:val="auto"/>
                      <w:szCs w:val="21"/>
                      <w:lang w:val="en-US" w:eastAsia="zh-CN"/>
                    </w:rPr>
                    <w:t>后进入滤筒除尘器处理后由15米排气筒（DA001）排放；固化及天然气燃烧废气分别经二级活性炭吸附处理和低氮燃烧器处理后经同一根15米排气筒（DA002）高空排放；</w:t>
                  </w:r>
                  <w:r>
                    <w:rPr>
                      <w:rFonts w:hint="eastAsia" w:cs="Times New Roman"/>
                      <w:color w:val="auto"/>
                      <w:szCs w:val="21"/>
                      <w:lang w:val="en-US" w:eastAsia="zh-CN"/>
                    </w:rPr>
                    <w:t>喷粉</w:t>
                  </w:r>
                  <w:r>
                    <w:rPr>
                      <w:rFonts w:hint="eastAsia" w:ascii="Times New Roman" w:hAnsi="Times New Roman" w:cs="Times New Roman"/>
                      <w:color w:val="auto"/>
                      <w:szCs w:val="21"/>
                      <w:lang w:val="en-US" w:eastAsia="zh-CN"/>
                    </w:rPr>
                    <w:t>工序在密闭喷粉室内进行静电喷涂，产生的废气收集后经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处理后回用。</w:t>
                  </w:r>
                  <w:r>
                    <w:rPr>
                      <w:rFonts w:hint="default" w:ascii="Times New Roman" w:hAnsi="Times New Roman" w:cs="Times New Roman"/>
                      <w:color w:val="auto"/>
                      <w:lang w:val="en-US" w:eastAsia="zh-CN"/>
                    </w:rPr>
                    <w:t>经核算</w:t>
                  </w:r>
                  <w:r>
                    <w:rPr>
                      <w:rFonts w:hint="eastAsia" w:cs="Times New Roman"/>
                      <w:color w:val="auto"/>
                      <w:lang w:val="en-US" w:eastAsia="zh-CN"/>
                    </w:rPr>
                    <w:t>，废气</w:t>
                  </w:r>
                  <w:r>
                    <w:rPr>
                      <w:rFonts w:hint="default" w:ascii="Times New Roman" w:hAnsi="Times New Roman" w:cs="Times New Roman"/>
                      <w:color w:val="auto"/>
                      <w:lang w:val="en-US" w:eastAsia="zh-CN"/>
                    </w:rPr>
                    <w:t>可达标排放</w:t>
                  </w:r>
                  <w:r>
                    <w:rPr>
                      <w:rFonts w:hint="eastAsia" w:cs="Times New Roman"/>
                      <w:color w:val="auto"/>
                      <w:lang w:val="en-US" w:eastAsia="zh-CN"/>
                    </w:rPr>
                    <w:t>；</w:t>
                  </w:r>
                  <w:r>
                    <w:rPr>
                      <w:rFonts w:hint="default" w:ascii="Times New Roman" w:hAnsi="Times New Roman" w:cs="Times New Roman"/>
                      <w:color w:val="auto"/>
                      <w:lang w:eastAsia="zh-CN"/>
                    </w:rPr>
                    <w:t>生产废水</w:t>
                  </w:r>
                  <w:r>
                    <w:rPr>
                      <w:rFonts w:hint="eastAsia" w:ascii="Times New Roman" w:hAnsi="Times New Roman" w:cs="Times New Roman"/>
                      <w:color w:val="auto"/>
                      <w:lang w:val="en-US" w:eastAsia="zh-CN"/>
                    </w:rPr>
                    <w:t>循环使用</w:t>
                  </w:r>
                  <w:r>
                    <w:rPr>
                      <w:rFonts w:hint="default" w:ascii="Times New Roman" w:hAnsi="Times New Roman" w:cs="Times New Roman"/>
                      <w:color w:val="auto"/>
                      <w:lang w:eastAsia="zh-CN"/>
                    </w:rPr>
                    <w:t>，不外排。一般工业固废外售综合利用，</w:t>
                  </w:r>
                  <w:r>
                    <w:rPr>
                      <w:rFonts w:hint="eastAsia" w:cs="Times New Roman"/>
                      <w:color w:val="auto"/>
                      <w:lang w:eastAsia="zh-CN"/>
                    </w:rPr>
                    <w:t>危险废物</w:t>
                  </w:r>
                  <w:r>
                    <w:rPr>
                      <w:rFonts w:hint="default" w:ascii="Times New Roman" w:hAnsi="Times New Roman" w:cs="Times New Roman"/>
                      <w:color w:val="auto"/>
                      <w:lang w:eastAsia="zh-CN"/>
                    </w:rPr>
                    <w:t>交资质单位定期清运处置。</w:t>
                  </w:r>
                </w:p>
              </w:tc>
            </w:tr>
            <w:tr w14:paraId="4D201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noWrap w:val="0"/>
                  <w:vAlign w:val="center"/>
                </w:tcPr>
                <w:p w14:paraId="5DD048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p>
              </w:tc>
              <w:tc>
                <w:tcPr>
                  <w:tcW w:w="1666" w:type="pct"/>
                  <w:tcBorders>
                    <w:tl2br w:val="nil"/>
                    <w:tr2bl w:val="nil"/>
                  </w:tcBorders>
                  <w:noWrap w:val="0"/>
                  <w:vAlign w:val="center"/>
                </w:tcPr>
                <w:p w14:paraId="48DF45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按照大气环境污染防治及关中限排要求，入园企业要加强废气排放的环境管理，严格落实国、省、市大气污染防治行动计划、“治污降霾•保卫蓝天”等防治措施。入园企业使用节水工艺、设备，提高水资源利用率，污</w:t>
                  </w:r>
                  <w:r>
                    <w:rPr>
                      <w:rFonts w:hint="eastAsia" w:cs="Times New Roman"/>
                      <w:color w:val="auto"/>
                      <w:lang w:val="en-US" w:eastAsia="zh-CN"/>
                    </w:rPr>
                    <w:t>水、</w:t>
                  </w:r>
                  <w:r>
                    <w:rPr>
                      <w:rFonts w:hint="default" w:ascii="Times New Roman" w:hAnsi="Times New Roman" w:cs="Times New Roman"/>
                      <w:color w:val="auto"/>
                    </w:rPr>
                    <w:t>废水必须经厂内预处理，达到《</w:t>
                  </w:r>
                  <w:r>
                    <w:rPr>
                      <w:rFonts w:hint="eastAsia" w:ascii="Times New Roman" w:hAnsi="Times New Roman" w:cs="Times New Roman"/>
                      <w:color w:val="auto"/>
                      <w:lang w:eastAsia="zh-CN"/>
                    </w:rPr>
                    <w:t>陕西省黄河流域污水综合排放标准</w:t>
                  </w:r>
                  <w:r>
                    <w:rPr>
                      <w:rFonts w:hint="default" w:ascii="Times New Roman" w:hAnsi="Times New Roman" w:cs="Times New Roman"/>
                      <w:color w:val="auto"/>
                    </w:rPr>
                    <w:t>》</w:t>
                  </w:r>
                  <w:r>
                    <w:rPr>
                      <w:rFonts w:hint="eastAsia" w:ascii="Times New Roman" w:hAnsi="Times New Roman" w:cs="Times New Roman"/>
                      <w:color w:val="auto"/>
                      <w:lang w:eastAsia="zh-CN"/>
                    </w:rPr>
                    <w:t>（DB61/224-2018）</w:t>
                  </w:r>
                  <w:r>
                    <w:rPr>
                      <w:rFonts w:hint="default" w:ascii="Times New Roman" w:hAnsi="Times New Roman" w:cs="Times New Roman"/>
                      <w:color w:val="auto"/>
                    </w:rPr>
                    <w:t>二级标准、《污水综合排放标准》（GB8978-1996）三级标准，经园区污水管网进入园区污水处理厂处理。充分考虑“中水”利用项目，提高企业水的重复利用率，处理后</w:t>
                  </w:r>
                  <w:r>
                    <w:rPr>
                      <w:rFonts w:hint="eastAsia" w:cs="Times New Roman"/>
                      <w:color w:val="auto"/>
                      <w:lang w:eastAsia="zh-CN"/>
                    </w:rPr>
                    <w:t>的废水</w:t>
                  </w:r>
                  <w:r>
                    <w:rPr>
                      <w:rFonts w:hint="default" w:ascii="Times New Roman" w:hAnsi="Times New Roman" w:cs="Times New Roman"/>
                      <w:color w:val="auto"/>
                    </w:rPr>
                    <w:t>须尽可能用作绿化、道路喷洒等，减少园区用排水量。</w:t>
                  </w:r>
                </w:p>
              </w:tc>
              <w:tc>
                <w:tcPr>
                  <w:tcW w:w="1667" w:type="pct"/>
                  <w:tcBorders>
                    <w:tl2br w:val="nil"/>
                    <w:tr2bl w:val="nil"/>
                  </w:tcBorders>
                  <w:noWrap w:val="0"/>
                  <w:vAlign w:val="center"/>
                </w:tcPr>
                <w:p w14:paraId="424D92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本项目生产废水</w:t>
                  </w:r>
                  <w:r>
                    <w:rPr>
                      <w:rFonts w:hint="eastAsia" w:cs="Times New Roman"/>
                      <w:color w:val="auto"/>
                      <w:lang w:val="en-US" w:eastAsia="zh-CN"/>
                    </w:rPr>
                    <w:t>经处理后</w:t>
                  </w:r>
                  <w:r>
                    <w:rPr>
                      <w:rFonts w:hint="eastAsia" w:ascii="Times New Roman" w:hAnsi="Times New Roman" w:cs="Times New Roman"/>
                      <w:color w:val="auto"/>
                      <w:lang w:val="en-US" w:eastAsia="zh-CN"/>
                    </w:rPr>
                    <w:t>循环使用，不外排。</w:t>
                  </w:r>
                </w:p>
              </w:tc>
            </w:tr>
          </w:tbl>
          <w:p w14:paraId="7BC743EA">
            <w:pPr>
              <w:pStyle w:val="2"/>
              <w:ind w:left="0" w:leftChars="0" w:firstLine="0" w:firstLineChars="0"/>
              <w:rPr>
                <w:rFonts w:hint="default" w:ascii="Times New Roman" w:hAnsi="Times New Roman" w:cs="Times New Roman"/>
                <w:color w:val="auto"/>
                <w:lang w:eastAsia="zh-CN"/>
              </w:rPr>
            </w:pPr>
          </w:p>
        </w:tc>
      </w:tr>
      <w:tr w14:paraId="62379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dxa"/>
            <w:noWrap w:val="0"/>
            <w:vAlign w:val="center"/>
          </w:tcPr>
          <w:p w14:paraId="358E55A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64" w:type="dxa"/>
            <w:gridSpan w:val="3"/>
            <w:noWrap w:val="0"/>
            <w:vAlign w:val="center"/>
          </w:tcPr>
          <w:p w14:paraId="60E85A3A">
            <w:pPr>
              <w:spacing w:line="360" w:lineRule="auto"/>
              <w:ind w:firstLine="482" w:firstLineChars="200"/>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1.项目与</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三线一单</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相符性分析</w:t>
            </w:r>
          </w:p>
          <w:p w14:paraId="055D31DA">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根据《陕西省“三线一单”生态环境分区管理应用技术指南》进行建设项目与“三线一单”生态环境分区管控符合性分析，采用“一图、一表、一说明”的形式表达（详见附件）。</w:t>
            </w:r>
          </w:p>
          <w:p w14:paraId="7E73A1CC">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aps w:val="0"/>
                <w:smallCaps w:val="0"/>
                <w:color w:val="auto"/>
                <w:spacing w:val="0"/>
                <w:w w:val="100"/>
                <w:sz w:val="24"/>
                <w:szCs w:val="24"/>
                <w:lang w:val="en-US" w:eastAsia="zh-CN"/>
              </w:rPr>
              <w:t>（1）</w:t>
            </w:r>
            <w:r>
              <w:rPr>
                <w:rFonts w:hint="default" w:ascii="Times New Roman" w:hAnsi="Times New Roman" w:cs="Times New Roman"/>
                <w:caps w:val="0"/>
                <w:smallCaps w:val="0"/>
                <w:color w:val="auto"/>
                <w:spacing w:val="0"/>
                <w:w w:val="100"/>
                <w:sz w:val="24"/>
                <w:szCs w:val="24"/>
                <w:lang w:val="en-US" w:eastAsia="zh-CN"/>
              </w:rPr>
              <w:t>“一图”</w:t>
            </w:r>
          </w:p>
          <w:p w14:paraId="01C174DE">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default" w:ascii="Times New Roman" w:hAnsi="Times New Roman" w:cs="Times New Roman"/>
                <w:caps w:val="0"/>
                <w:smallCaps w:val="0"/>
                <w:color w:val="auto"/>
                <w:spacing w:val="0"/>
                <w:w w:val="100"/>
                <w:sz w:val="24"/>
                <w:szCs w:val="24"/>
                <w:lang w:val="en-US" w:eastAsia="zh-CN"/>
              </w:rPr>
              <w:t>根据陕西省“三线一单”数据应用管理平台，形成对照分析示意图，图中所示本项目位于重点管控单元，管控单元对照分析示意图见下图：</w:t>
            </w:r>
          </w:p>
          <w:p w14:paraId="0EAF5F51">
            <w:pPr>
              <w:autoSpaceDE w:val="0"/>
              <w:autoSpaceDN w:val="0"/>
              <w:adjustRightInd w:val="0"/>
              <w:snapToGrid w:val="0"/>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1593215</wp:posOffset>
                      </wp:positionH>
                      <wp:positionV relativeFrom="paragraph">
                        <wp:posOffset>2393950</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4975225" y="157988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45pt;margin-top:188.5pt;height:23.95pt;width:62.95pt;z-index:251662336;v-text-anchor:middle;mso-width-relative:page;mso-height-relative:page;" fillcolor="#FFFFFF [3212]" filled="t" stroked="t" coordsize="21600,21600" o:gfxdata="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r7eY0&#10;2wAAAAsBAAAPAAAAAAAAAAEAIAAAACIAAABkcnMvZG93bnJldi54bWxQSwECFAAUAAAACACHTuJA&#10;zY1Y08kCAACKBQAADgAAAAAAAAABACAAAAAqAQAAZHJzL2Uyb0RvYy54bWxQSwUGAAAAAAYABgBZ&#10;AQAAZQY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color w:val="auto"/>
              </w:rPr>
              <w:drawing>
                <wp:inline distT="0" distB="0" distL="114300" distR="114300">
                  <wp:extent cx="3505200" cy="6038850"/>
                  <wp:effectExtent l="9525" t="9525" r="952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3505200" cy="6038850"/>
                          </a:xfrm>
                          <a:prstGeom prst="rect">
                            <a:avLst/>
                          </a:prstGeom>
                          <a:noFill/>
                          <a:ln>
                            <a:solidFill>
                              <a:schemeClr val="tx1"/>
                            </a:solidFill>
                          </a:ln>
                        </pic:spPr>
                      </pic:pic>
                    </a:graphicData>
                  </a:graphic>
                </wp:inline>
              </w:drawing>
            </w:r>
          </w:p>
          <w:p w14:paraId="476D44B1">
            <w:pPr>
              <w:pStyle w:val="176"/>
              <w:bidi w:val="0"/>
              <w:spacing w:line="36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图1-1  本项目与环境管控单元对照分析示意图</w:t>
            </w:r>
          </w:p>
          <w:p w14:paraId="4B397BE5">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“一表”</w:t>
            </w:r>
          </w:p>
          <w:p w14:paraId="35E7A75D">
            <w:pPr>
              <w:autoSpaceDE w:val="0"/>
              <w:autoSpaceDN w:val="0"/>
              <w:adjustRightInd w:val="0"/>
              <w:snapToGrid w:val="0"/>
              <w:spacing w:line="360" w:lineRule="auto"/>
              <w:ind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经查阅陕西省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数据应用系统（V1.0），</w:t>
            </w:r>
            <w:r>
              <w:rPr>
                <w:rFonts w:hint="default" w:ascii="Times New Roman" w:hAnsi="Times New Roman" w:cs="Times New Roman"/>
                <w:caps w:val="0"/>
                <w:smallCaps w:val="0"/>
                <w:color w:val="auto"/>
                <w:spacing w:val="0"/>
                <w:w w:val="100"/>
                <w:sz w:val="24"/>
                <w:szCs w:val="24"/>
                <w:lang w:eastAsia="zh-CN"/>
              </w:rPr>
              <w:t>本项目不涉及优先保护单元</w:t>
            </w:r>
            <w:r>
              <w:rPr>
                <w:rFonts w:hint="default" w:ascii="Times New Roman" w:hAnsi="Times New Roman" w:cs="Times New Roman"/>
                <w:caps w:val="0"/>
                <w:smallCaps w:val="0"/>
                <w:color w:val="auto"/>
                <w:spacing w:val="0"/>
                <w:w w:val="100"/>
                <w:sz w:val="24"/>
                <w:szCs w:val="24"/>
                <w:lang w:val="en-US" w:eastAsia="zh-CN"/>
              </w:rPr>
              <w:t>，不涉及一般管控单元</w:t>
            </w:r>
            <w:r>
              <w:rPr>
                <w:rFonts w:hint="default" w:ascii="Times New Roman" w:hAnsi="Times New Roman" w:cs="Times New Roman"/>
                <w:caps w:val="0"/>
                <w:smallCaps w:val="0"/>
                <w:color w:val="auto"/>
                <w:spacing w:val="0"/>
                <w:w w:val="100"/>
                <w:sz w:val="24"/>
                <w:szCs w:val="24"/>
                <w:lang w:eastAsia="zh-CN"/>
              </w:rPr>
              <w:t>，</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单元准入清单及符合性说明详见下表</w:t>
            </w:r>
            <w:r>
              <w:rPr>
                <w:rFonts w:hint="default" w:ascii="Times New Roman" w:hAnsi="Times New Roman" w:cs="Times New Roman"/>
                <w:caps w:val="0"/>
                <w:smallCaps w:val="0"/>
                <w:color w:val="auto"/>
                <w:spacing w:val="0"/>
                <w:w w:val="100"/>
                <w:sz w:val="24"/>
                <w:szCs w:val="24"/>
                <w:lang w:val="en-US" w:eastAsia="zh-CN"/>
              </w:rPr>
              <w:t>：</w:t>
            </w:r>
          </w:p>
          <w:p w14:paraId="71A0C135">
            <w:pPr>
              <w:autoSpaceDE w:val="0"/>
              <w:autoSpaceDN w:val="0"/>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2</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732"/>
              <w:gridCol w:w="719"/>
              <w:gridCol w:w="3228"/>
              <w:gridCol w:w="2246"/>
            </w:tblGrid>
            <w:tr w14:paraId="1B21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noWrap w:val="0"/>
                  <w:vAlign w:val="center"/>
                </w:tcPr>
                <w:p w14:paraId="693E4800">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环境管控单元名称</w:t>
                  </w:r>
                </w:p>
              </w:tc>
              <w:tc>
                <w:tcPr>
                  <w:tcW w:w="479" w:type="pct"/>
                  <w:noWrap w:val="0"/>
                  <w:vAlign w:val="center"/>
                </w:tcPr>
                <w:p w14:paraId="32420A75">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单元要素属性</w:t>
                  </w:r>
                </w:p>
              </w:tc>
              <w:tc>
                <w:tcPr>
                  <w:tcW w:w="471" w:type="pct"/>
                  <w:noWrap w:val="0"/>
                  <w:vAlign w:val="center"/>
                </w:tcPr>
                <w:p w14:paraId="10B5F925">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管控要求分类</w:t>
                  </w:r>
                </w:p>
              </w:tc>
              <w:tc>
                <w:tcPr>
                  <w:tcW w:w="2113" w:type="pct"/>
                  <w:noWrap w:val="0"/>
                  <w:vAlign w:val="center"/>
                </w:tcPr>
                <w:p w14:paraId="7551F93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w:t>
                  </w:r>
                </w:p>
              </w:tc>
              <w:tc>
                <w:tcPr>
                  <w:tcW w:w="1470" w:type="pct"/>
                  <w:noWrap w:val="0"/>
                  <w:vAlign w:val="center"/>
                </w:tcPr>
                <w:p w14:paraId="3B937F23">
                  <w:pPr>
                    <w:autoSpaceDE w:val="0"/>
                    <w:autoSpaceDN w:val="0"/>
                    <w:adjustRightInd w:val="0"/>
                    <w:snapToGrid w:val="0"/>
                    <w:jc w:val="center"/>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与本项目符合性</w:t>
                  </w:r>
                </w:p>
              </w:tc>
            </w:tr>
            <w:tr w14:paraId="6605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restart"/>
                  <w:noWrap w:val="0"/>
                  <w:vAlign w:val="center"/>
                </w:tcPr>
                <w:p w14:paraId="7887DA29">
                  <w:pPr>
                    <w:widowControl/>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w:t>
                  </w:r>
                  <w:r>
                    <w:rPr>
                      <w:rFonts w:hint="eastAsia" w:ascii="Times New Roman" w:hAnsi="Times New Roman" w:cs="Times New Roman"/>
                      <w:color w:val="auto"/>
                      <w:sz w:val="21"/>
                      <w:szCs w:val="21"/>
                      <w:shd w:val="clear" w:color="auto" w:fill="auto"/>
                      <w:lang w:val="en-US" w:eastAsia="zh-CN"/>
                    </w:rPr>
                    <w:t>陈仓区重点管控单元9</w:t>
                  </w:r>
                </w:p>
              </w:tc>
              <w:tc>
                <w:tcPr>
                  <w:tcW w:w="479" w:type="pct"/>
                  <w:vMerge w:val="restart"/>
                  <w:noWrap w:val="0"/>
                  <w:vAlign w:val="center"/>
                </w:tcPr>
                <w:p w14:paraId="53D59525">
                  <w:pPr>
                    <w:widowControl/>
                    <w:adjustRightInd w:val="0"/>
                    <w:snapToGrid w:val="0"/>
                    <w:jc w:val="center"/>
                    <w:rPr>
                      <w:rFonts w:hint="default" w:ascii="Times New Roman" w:hAnsi="Times New Roman" w:cs="Times New Roman"/>
                      <w:color w:val="auto"/>
                      <w:sz w:val="21"/>
                      <w:szCs w:val="21"/>
                      <w:shd w:val="clear" w:color="auto" w:fill="auto"/>
                      <w:lang w:val="en-US"/>
                    </w:rPr>
                  </w:pPr>
                  <w:r>
                    <w:rPr>
                      <w:rFonts w:hint="default" w:ascii="Times New Roman" w:hAnsi="Times New Roman" w:cs="Times New Roman"/>
                      <w:bCs/>
                      <w:color w:val="auto"/>
                      <w:sz w:val="21"/>
                      <w:szCs w:val="21"/>
                      <w:shd w:val="clear" w:color="auto" w:fill="auto"/>
                      <w:lang w:val="en-US" w:eastAsia="zh-CN"/>
                    </w:rPr>
                    <w:t>大气环境受体敏感重点管控区、水环境</w:t>
                  </w:r>
                  <w:r>
                    <w:rPr>
                      <w:rFonts w:hint="eastAsia" w:ascii="Times New Roman" w:hAnsi="Times New Roman" w:cs="Times New Roman"/>
                      <w:bCs/>
                      <w:color w:val="auto"/>
                      <w:sz w:val="21"/>
                      <w:szCs w:val="21"/>
                      <w:shd w:val="clear" w:color="auto" w:fill="auto"/>
                      <w:lang w:val="en-US" w:eastAsia="zh-CN"/>
                    </w:rPr>
                    <w:t>城镇生活</w:t>
                  </w:r>
                  <w:r>
                    <w:rPr>
                      <w:rFonts w:hint="default" w:ascii="Times New Roman" w:hAnsi="Times New Roman" w:cs="Times New Roman"/>
                      <w:bCs/>
                      <w:color w:val="auto"/>
                      <w:sz w:val="21"/>
                      <w:szCs w:val="21"/>
                      <w:shd w:val="clear" w:color="auto" w:fill="auto"/>
                      <w:lang w:val="en-US" w:eastAsia="zh-CN"/>
                    </w:rPr>
                    <w:t>污染重点管控区、生态用水补给区管控区、</w:t>
                  </w:r>
                  <w:r>
                    <w:rPr>
                      <w:rFonts w:hint="eastAsia" w:ascii="Times New Roman" w:hAnsi="Times New Roman" w:cs="Times New Roman"/>
                      <w:bCs/>
                      <w:color w:val="auto"/>
                      <w:sz w:val="21"/>
                      <w:szCs w:val="21"/>
                      <w:shd w:val="clear" w:color="auto" w:fill="auto"/>
                      <w:lang w:val="en-US" w:eastAsia="zh-CN"/>
                    </w:rPr>
                    <w:t>土地资源重点管控区、</w:t>
                  </w:r>
                  <w:r>
                    <w:rPr>
                      <w:rFonts w:hint="default" w:ascii="Times New Roman" w:hAnsi="Times New Roman" w:cs="Times New Roman"/>
                      <w:bCs/>
                      <w:color w:val="auto"/>
                      <w:sz w:val="21"/>
                      <w:szCs w:val="21"/>
                      <w:shd w:val="clear" w:color="auto" w:fill="auto"/>
                      <w:lang w:val="en-US" w:eastAsia="zh-CN"/>
                    </w:rPr>
                    <w:t>高污染燃料禁燃区</w:t>
                  </w:r>
                  <w:r>
                    <w:rPr>
                      <w:rFonts w:hint="eastAsia" w:ascii="Times New Roman" w:hAnsi="Times New Roman" w:cs="Times New Roman"/>
                      <w:bCs/>
                      <w:color w:val="auto"/>
                      <w:sz w:val="21"/>
                      <w:szCs w:val="21"/>
                      <w:shd w:val="clear" w:color="auto" w:fill="auto"/>
                      <w:lang w:val="en-US" w:eastAsia="zh-CN"/>
                    </w:rPr>
                    <w:t>、陈仓科技工业园</w:t>
                  </w:r>
                </w:p>
              </w:tc>
              <w:tc>
                <w:tcPr>
                  <w:tcW w:w="471" w:type="pct"/>
                  <w:noWrap w:val="0"/>
                  <w:vAlign w:val="center"/>
                </w:tcPr>
                <w:p w14:paraId="57DB8527">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2113" w:type="pct"/>
                  <w:noWrap w:val="0"/>
                  <w:vAlign w:val="center"/>
                </w:tcPr>
                <w:p w14:paraId="0EA0F0C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w:t>
                  </w:r>
                </w:p>
                <w:p w14:paraId="66BF73E9">
                  <w:pPr>
                    <w:keepNext w:val="0"/>
                    <w:keepLines w:val="0"/>
                    <w:widowControl/>
                    <w:numPr>
                      <w:ilvl w:val="0"/>
                      <w:numId w:val="1"/>
                    </w:numPr>
                    <w:suppressLineNumbers w:val="0"/>
                    <w:jc w:val="left"/>
                    <w:rPr>
                      <w:rFonts w:hint="default"/>
                      <w:color w:val="auto"/>
                      <w:lang w:val="en-US" w:eastAsia="zh-CN"/>
                    </w:rPr>
                  </w:pPr>
                  <w:r>
                    <w:rPr>
                      <w:rFonts w:hint="default" w:ascii="Times New Roman" w:hAnsi="Times New Roman" w:eastAsia="宋体" w:cs="Times New Roman"/>
                      <w:color w:val="auto"/>
                      <w:kern w:val="0"/>
                      <w:sz w:val="21"/>
                      <w:szCs w:val="21"/>
                      <w:lang w:val="en-US" w:eastAsia="zh-CN" w:bidi="ar"/>
                    </w:rPr>
                    <w:t>严禁新增钢铁、焦化、水泥熟料、平板玻璃、电解铝、氧化铝、煤化工产能。</w:t>
                  </w:r>
                  <w:r>
                    <w:rPr>
                      <w:rFonts w:hint="eastAsia" w:ascii="Times New Roman" w:hAnsi="Times New Roman" w:eastAsia="宋体" w:cs="Times New Roman"/>
                      <w:color w:val="auto"/>
                      <w:kern w:val="0"/>
                      <w:sz w:val="21"/>
                      <w:szCs w:val="21"/>
                      <w:lang w:val="en-US" w:eastAsia="zh-CN" w:bidi="ar"/>
                    </w:rPr>
                    <w:t>3.推动重污染企业搬迁入园或依法关闭，实施工业企业退城搬迁改造。4.新建商住楼必须设置专用烟道，配套安装高效油烟净化设施。</w:t>
                  </w:r>
                </w:p>
                <w:p w14:paraId="6B83A482">
                  <w:pPr>
                    <w:keepNext w:val="0"/>
                    <w:keepLines w:val="0"/>
                    <w:widowControl/>
                    <w:suppressLineNumbers w:val="0"/>
                    <w:jc w:val="left"/>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eastAsia" w:ascii="Times New Roman" w:hAnsi="Times New Roman" w:cs="Times New Roman"/>
                      <w:b w:val="0"/>
                      <w:bCs w:val="0"/>
                      <w:color w:val="auto"/>
                      <w:kern w:val="0"/>
                      <w:sz w:val="21"/>
                      <w:szCs w:val="21"/>
                      <w:lang w:val="en-US" w:eastAsia="zh-CN" w:bidi="ar"/>
                    </w:rPr>
                    <w:t>持续推进城中村、老旧城区、城乡</w:t>
                  </w:r>
                  <w:r>
                    <w:rPr>
                      <w:rFonts w:hint="eastAsia" w:cs="Times New Roman"/>
                      <w:b w:val="0"/>
                      <w:bCs w:val="0"/>
                      <w:color w:val="auto"/>
                      <w:kern w:val="0"/>
                      <w:sz w:val="21"/>
                      <w:szCs w:val="21"/>
                      <w:lang w:val="en-US" w:eastAsia="zh-CN" w:bidi="ar"/>
                    </w:rPr>
                    <w:t>接</w:t>
                  </w:r>
                  <w:r>
                    <w:rPr>
                      <w:rFonts w:hint="eastAsia" w:ascii="Times New Roman" w:hAnsi="Times New Roman" w:cs="Times New Roman"/>
                      <w:b w:val="0"/>
                      <w:bCs w:val="0"/>
                      <w:color w:val="auto"/>
                      <w:kern w:val="0"/>
                      <w:sz w:val="21"/>
                      <w:szCs w:val="21"/>
                      <w:lang w:val="en-US" w:eastAsia="zh-CN" w:bidi="ar"/>
                    </w:rPr>
                    <w:t>合部</w:t>
                  </w:r>
                  <w:bookmarkStart w:id="6" w:name="_GoBack"/>
                  <w:bookmarkEnd w:id="6"/>
                  <w:r>
                    <w:rPr>
                      <w:rFonts w:hint="eastAsia" w:ascii="Times New Roman" w:hAnsi="Times New Roman" w:cs="Times New Roman"/>
                      <w:b w:val="0"/>
                      <w:bCs w:val="0"/>
                      <w:color w:val="auto"/>
                      <w:kern w:val="0"/>
                      <w:sz w:val="21"/>
                      <w:szCs w:val="21"/>
                      <w:lang w:val="en-US" w:eastAsia="zh-CN" w:bidi="ar"/>
                    </w:rPr>
                    <w:t>污水截流、收集和城市雨污管道新建、改建。到2025年底，基本实现城市和县城建成区内生活污水全收集。</w:t>
                  </w:r>
                </w:p>
                <w:p w14:paraId="2277CBB8">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
                    </w:rPr>
                    <w:t>陈仓科技工业：</w:t>
                  </w:r>
                  <w:r>
                    <w:rPr>
                      <w:rFonts w:hint="eastAsia" w:ascii="Times New Roman" w:hAnsi="Times New Roman" w:cs="Times New Roman"/>
                      <w:b w:val="0"/>
                      <w:bCs w:val="0"/>
                      <w:color w:val="auto"/>
                      <w:kern w:val="0"/>
                      <w:sz w:val="21"/>
                      <w:szCs w:val="21"/>
                      <w:lang w:val="en-US" w:eastAsia="zh-CN" w:bidi="ar"/>
                    </w:rPr>
                    <w:t>1.执行宝鸡市生态环境要素分区总体准入清单中“5.1大气环境受体敏感重点管控区的空间布局约束”；2.执行宝鸡市生态环境要素分区总体准入清单中“5.3大气环境布局敏感重点管控区的空间布局约束”；3.执行宝鸡市生态环境要素分区总体准入清单中“5.5水环境工业污染重点管控区的空间布局约束”；4.执行宝鸡市生态环境要素分区总体准入清单中“5.9建设用地污染风险重点管控区的空间布局约束”；5.农用地优先保护区执行宝鸡市生态环境要素分区总体准入清单中“4.2农用地优先保护区的空间布局约束”</w:t>
                  </w:r>
                </w:p>
              </w:tc>
              <w:tc>
                <w:tcPr>
                  <w:tcW w:w="1470" w:type="pct"/>
                  <w:noWrap w:val="0"/>
                  <w:vAlign w:val="center"/>
                </w:tcPr>
                <w:p w14:paraId="539D4615">
                  <w:pPr>
                    <w:numPr>
                      <w:ilvl w:val="0"/>
                      <w:numId w:val="0"/>
                    </w:numPr>
                    <w:autoSpaceDE w:val="0"/>
                    <w:autoSpaceDN w:val="0"/>
                    <w:adjustRightInd w:val="0"/>
                    <w:snapToGrid w:val="0"/>
                    <w:jc w:val="both"/>
                    <w:rPr>
                      <w:rFonts w:hint="eastAsia"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4F405F1D">
                  <w:pPr>
                    <w:numPr>
                      <w:ilvl w:val="0"/>
                      <w:numId w:val="0"/>
                    </w:num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shd w:val="clear" w:color="auto" w:fill="auto"/>
                      <w:lang w:val="en-US" w:eastAsia="zh-CN"/>
                    </w:rPr>
                    <w:t>1.</w:t>
                  </w:r>
                  <w:r>
                    <w:rPr>
                      <w:rFonts w:hint="default" w:ascii="Times New Roman" w:hAnsi="Times New Roman" w:cs="Times New Roman"/>
                      <w:bCs/>
                      <w:color w:val="auto"/>
                      <w:sz w:val="21"/>
                      <w:szCs w:val="21"/>
                      <w:shd w:val="clear" w:color="auto" w:fill="auto"/>
                      <w:lang w:val="en-US" w:eastAsia="zh-CN"/>
                    </w:rPr>
                    <w:t>本项目为</w:t>
                  </w:r>
                  <w:r>
                    <w:rPr>
                      <w:rFonts w:hint="default" w:ascii="Times New Roman" w:hAnsi="Times New Roman" w:cs="Times New Roman"/>
                      <w:color w:val="auto"/>
                      <w:szCs w:val="21"/>
                    </w:rPr>
                    <w:t>电力电子元器件制造</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shd w:val="clear" w:color="auto" w:fill="auto"/>
                      <w:lang w:val="en-US" w:eastAsia="zh-CN"/>
                    </w:rPr>
                    <w:t>经查阅《陕西省“两高”项目管理暂行目录》（2022年版）</w:t>
                  </w: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行业项目</w:t>
                  </w:r>
                  <w:r>
                    <w:rPr>
                      <w:rFonts w:hint="eastAsia" w:ascii="Times New Roman" w:hAnsi="Times New Roman" w:eastAsia="宋体" w:cs="Times New Roman"/>
                      <w:color w:val="auto"/>
                      <w:kern w:val="0"/>
                      <w:sz w:val="21"/>
                      <w:szCs w:val="21"/>
                      <w:lang w:val="en-US" w:eastAsia="zh-CN" w:bidi="ar"/>
                    </w:rPr>
                    <w:t>。</w:t>
                  </w:r>
                </w:p>
                <w:p w14:paraId="6BBFCCAC">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2.本项目</w:t>
                  </w:r>
                  <w:r>
                    <w:rPr>
                      <w:rFonts w:hint="default" w:ascii="Times New Roman" w:hAnsi="Times New Roman" w:eastAsia="宋体" w:cs="Times New Roman"/>
                      <w:color w:val="auto"/>
                      <w:kern w:val="0"/>
                      <w:sz w:val="21"/>
                      <w:szCs w:val="21"/>
                      <w:lang w:val="en-US" w:eastAsia="zh-CN" w:bidi="ar"/>
                    </w:rPr>
                    <w:t>不属于钢铁、焦化、水泥熟料、平板玻璃、电解铝、氧化铝、煤化工产能</w:t>
                  </w:r>
                  <w:r>
                    <w:rPr>
                      <w:rFonts w:hint="default" w:ascii="Times New Roman" w:hAnsi="Times New Roman" w:cs="Times New Roman"/>
                      <w:color w:val="auto"/>
                      <w:kern w:val="0"/>
                      <w:sz w:val="21"/>
                      <w:szCs w:val="21"/>
                      <w:lang w:val="en-US" w:eastAsia="zh-CN" w:bidi="ar"/>
                    </w:rPr>
                    <w:t>；本项目不属于</w:t>
                  </w:r>
                  <w:r>
                    <w:rPr>
                      <w:rFonts w:hint="default" w:ascii="Times New Roman" w:hAnsi="Times New Roman" w:cs="Times New Roman"/>
                      <w:b w:val="0"/>
                      <w:bCs w:val="0"/>
                      <w:color w:val="auto"/>
                      <w:kern w:val="0"/>
                      <w:sz w:val="21"/>
                      <w:szCs w:val="21"/>
                      <w:lang w:val="en-US" w:eastAsia="zh-CN" w:bidi="ar"/>
                    </w:rPr>
                    <w:t>化学制浆造纸、化工、印染、果汁和淀粉加工等高耗水、高污染项目，符合要求。</w:t>
                  </w:r>
                </w:p>
                <w:p w14:paraId="4087244C">
                  <w:pPr>
                    <w:numPr>
                      <w:ilvl w:val="0"/>
                      <w:numId w:val="0"/>
                    </w:numPr>
                    <w:autoSpaceDE w:val="0"/>
                    <w:autoSpaceDN w:val="0"/>
                    <w:adjustRightInd w:val="0"/>
                    <w:snapToGrid w:val="0"/>
                    <w:jc w:val="both"/>
                    <w:rPr>
                      <w:rFonts w:hint="eastAsia" w:ascii="Times New Roman" w:hAnsi="Times New Roman"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3.本项目所处地位于陈仓科技工业园内，符合要求；</w:t>
                  </w:r>
                </w:p>
                <w:p w14:paraId="539A24B6">
                  <w:pPr>
                    <w:numPr>
                      <w:ilvl w:val="0"/>
                      <w:numId w:val="0"/>
                    </w:numPr>
                    <w:autoSpaceDE w:val="0"/>
                    <w:autoSpaceDN w:val="0"/>
                    <w:adjustRightInd w:val="0"/>
                    <w:snapToGrid w:val="0"/>
                    <w:jc w:val="both"/>
                    <w:rPr>
                      <w:rFonts w:hint="eastAsia" w:ascii="Times New Roman" w:hAnsi="Times New Roman"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4.不涉及商住楼及油烟。</w:t>
                  </w:r>
                </w:p>
                <w:p w14:paraId="6FF07587">
                  <w:pPr>
                    <w:numPr>
                      <w:ilvl w:val="0"/>
                      <w:numId w:val="0"/>
                    </w:num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1.本项目无新增生活污水，原有生活污水拉运农田用于土壤改良，生产废水经处理达标后循环使用，不外排。</w:t>
                  </w:r>
                  <w:r>
                    <w:rPr>
                      <w:rFonts w:hint="eastAsia" w:ascii="Times New Roman" w:hAnsi="Times New Roman" w:cs="Times New Roman"/>
                      <w:b/>
                      <w:bCs/>
                      <w:color w:val="auto"/>
                      <w:kern w:val="0"/>
                      <w:sz w:val="21"/>
                      <w:szCs w:val="21"/>
                      <w:lang w:val="en-US" w:eastAsia="zh-CN" w:bidi="ar"/>
                    </w:rPr>
                    <w:t>陈仓科技工业：</w:t>
                  </w:r>
                  <w:r>
                    <w:rPr>
                      <w:rFonts w:hint="eastAsia" w:ascii="Times New Roman" w:hAnsi="Times New Roman" w:cs="Times New Roman"/>
                      <w:b w:val="0"/>
                      <w:bCs w:val="0"/>
                      <w:color w:val="auto"/>
                      <w:kern w:val="0"/>
                      <w:sz w:val="21"/>
                      <w:szCs w:val="21"/>
                      <w:lang w:val="en-US" w:eastAsia="zh-CN" w:bidi="ar"/>
                    </w:rPr>
                    <w:t>严格按照宝鸡市生态环境要素进行建设并执行相关规定。</w:t>
                  </w:r>
                </w:p>
              </w:tc>
            </w:tr>
            <w:tr w14:paraId="5D1D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14:paraId="3B21AA93">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noWrap w:val="0"/>
                  <w:vAlign w:val="center"/>
                </w:tcPr>
                <w:p w14:paraId="47674EC0">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noWrap w:val="0"/>
                  <w:vAlign w:val="center"/>
                </w:tcPr>
                <w:p w14:paraId="6BF6146E">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2113" w:type="pct"/>
                  <w:noWrap w:val="0"/>
                  <w:vAlign w:val="center"/>
                </w:tcPr>
                <w:p w14:paraId="558145F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11563D8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5.市辖区及开发区新、改、扩建涉气重点行业企业应达到环保绩效A级、绩效引领性水平。</w:t>
                  </w:r>
                </w:p>
                <w:p w14:paraId="19FB6D17">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加强城镇污水收集处理设施建设与提标改造。全省黄河流域城镇生活污水处理达到《陕西省黄河流域污水综合排放标准》（DB61/224-2018）加强城镇生活污水处理，提高对生活污水的处理能力，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1.执行宝鸡市生态环境要素分区总体准入清单中“5.1 大气环境受体敏感重点管控</w:t>
                  </w:r>
                </w:p>
                <w:p w14:paraId="4A12CD13">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区的污染物排放管控”；2.执行宝鸡市生态环境要素分区总体准入清单中“5.3 大气环境布局敏感重点管控区的污染物排放管控”；3.执行宝鸡市生态环境要素分区总体准入清单中“5.5 水环境工业污染重点管控区的污染物排放管控”。</w:t>
                  </w:r>
                </w:p>
              </w:tc>
              <w:tc>
                <w:tcPr>
                  <w:tcW w:w="1470" w:type="pct"/>
                  <w:noWrap w:val="0"/>
                  <w:vAlign w:val="center"/>
                </w:tcPr>
                <w:p w14:paraId="6CC97BCF">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3659F22B">
                  <w:pPr>
                    <w:autoSpaceDE w:val="0"/>
                    <w:autoSpaceDN w:val="0"/>
                    <w:adjustRightInd w:val="0"/>
                    <w:snapToGrid w:val="0"/>
                    <w:jc w:val="both"/>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snapToGrid w:val="0"/>
                      <w:color w:val="auto"/>
                      <w:sz w:val="21"/>
                      <w:szCs w:val="21"/>
                      <w:lang w:val="en-US" w:eastAsia="zh-CN"/>
                    </w:rPr>
                    <w:t>经查阅《重污染天气重点行业应急减排措施制定技术指南（2020年修订版）》，本项目</w:t>
                  </w:r>
                  <w:r>
                    <w:rPr>
                      <w:rFonts w:hint="eastAsia" w:ascii="Times New Roman" w:hAnsi="Times New Roman" w:cs="Times New Roman"/>
                      <w:snapToGrid w:val="0"/>
                      <w:color w:val="auto"/>
                      <w:sz w:val="21"/>
                      <w:szCs w:val="21"/>
                      <w:lang w:val="en-US" w:eastAsia="zh-CN"/>
                    </w:rPr>
                    <w:t>虽不属于</w:t>
                  </w:r>
                  <w:r>
                    <w:rPr>
                      <w:rFonts w:hint="default" w:ascii="Times New Roman" w:hAnsi="Times New Roman" w:cs="Times New Roman"/>
                      <w:snapToGrid w:val="0"/>
                      <w:color w:val="auto"/>
                      <w:sz w:val="21"/>
                      <w:szCs w:val="21"/>
                      <w:lang w:val="en-US" w:eastAsia="zh-CN"/>
                    </w:rPr>
                    <w:t>指南中三十九个</w:t>
                  </w:r>
                  <w:r>
                    <w:rPr>
                      <w:rFonts w:hint="eastAsia" w:cs="Times New Roman"/>
                      <w:snapToGrid w:val="0"/>
                      <w:color w:val="auto"/>
                      <w:sz w:val="21"/>
                      <w:szCs w:val="21"/>
                      <w:lang w:val="en-US" w:eastAsia="zh-CN"/>
                    </w:rPr>
                    <w:t>涉气</w:t>
                  </w:r>
                  <w:r>
                    <w:rPr>
                      <w:rFonts w:hint="default" w:ascii="Times New Roman" w:hAnsi="Times New Roman" w:cs="Times New Roman"/>
                      <w:snapToGrid w:val="0"/>
                      <w:color w:val="auto"/>
                      <w:sz w:val="21"/>
                      <w:szCs w:val="21"/>
                      <w:lang w:val="en-US" w:eastAsia="zh-CN"/>
                    </w:rPr>
                    <w:t>重点行业企业，</w:t>
                  </w:r>
                  <w:r>
                    <w:rPr>
                      <w:rFonts w:hint="eastAsia" w:ascii="Times New Roman" w:hAnsi="Times New Roman" w:cs="Times New Roman"/>
                      <w:snapToGrid w:val="0"/>
                      <w:color w:val="auto"/>
                      <w:sz w:val="21"/>
                      <w:szCs w:val="21"/>
                      <w:lang w:val="en-US" w:eastAsia="zh-CN"/>
                    </w:rPr>
                    <w:t>但生产工序中涉及喷涂，</w:t>
                  </w:r>
                  <w:r>
                    <w:rPr>
                      <w:rFonts w:hint="default" w:ascii="Times New Roman" w:hAnsi="Times New Roman" w:cs="Times New Roman"/>
                      <w:snapToGrid w:val="0"/>
                      <w:color w:val="auto"/>
                      <w:sz w:val="21"/>
                      <w:szCs w:val="21"/>
                      <w:lang w:val="en-US" w:eastAsia="zh-CN"/>
                    </w:rPr>
                    <w:t>因此需满足环保绩效A级</w:t>
                  </w:r>
                  <w:r>
                    <w:rPr>
                      <w:rFonts w:hint="default" w:ascii="Times New Roman" w:hAnsi="Times New Roman" w:cs="Times New Roman"/>
                      <w:color w:val="auto"/>
                      <w:kern w:val="0"/>
                      <w:sz w:val="21"/>
                      <w:szCs w:val="21"/>
                      <w:lang w:val="en-US" w:eastAsia="zh-CN" w:bidi="ar"/>
                    </w:rPr>
                    <w:t>。具体</w:t>
                  </w:r>
                  <w:r>
                    <w:rPr>
                      <w:rFonts w:hint="eastAsia" w:cs="Times New Roman"/>
                      <w:color w:val="auto"/>
                      <w:kern w:val="0"/>
                      <w:sz w:val="21"/>
                      <w:szCs w:val="21"/>
                      <w:lang w:val="en-US" w:eastAsia="zh-CN" w:bidi="ar"/>
                    </w:rPr>
                    <w:t>详见绩效分析</w:t>
                  </w:r>
                  <w:r>
                    <w:rPr>
                      <w:rFonts w:hint="default" w:ascii="Times New Roman" w:hAnsi="Times New Roman" w:cs="Times New Roman"/>
                      <w:color w:val="auto"/>
                      <w:kern w:val="0"/>
                      <w:sz w:val="21"/>
                      <w:szCs w:val="21"/>
                      <w:lang w:val="en-US" w:eastAsia="zh-CN" w:bidi="ar"/>
                    </w:rPr>
                    <w:t>；</w:t>
                  </w:r>
                </w:p>
                <w:p w14:paraId="3A232A6A">
                  <w:pPr>
                    <w:autoSpaceDE w:val="0"/>
                    <w:autoSpaceDN w:val="0"/>
                    <w:adjustRightInd w:val="0"/>
                    <w:snapToGrid w:val="0"/>
                    <w:jc w:val="center"/>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bCs/>
                      <w:color w:val="auto"/>
                      <w:kern w:val="0"/>
                      <w:sz w:val="21"/>
                      <w:szCs w:val="21"/>
                      <w:lang w:val="en-US" w:eastAsia="zh-CN" w:bidi="ar"/>
                    </w:rPr>
                    <w:t>：</w:t>
                  </w:r>
                  <w:r>
                    <w:rPr>
                      <w:rFonts w:hint="eastAsia" w:ascii="Times New Roman" w:hAnsi="Times New Roman" w:cs="Times New Roman"/>
                      <w:b w:val="0"/>
                      <w:bCs w:val="0"/>
                      <w:color w:val="auto"/>
                      <w:kern w:val="0"/>
                      <w:sz w:val="21"/>
                      <w:szCs w:val="21"/>
                      <w:lang w:val="en-US" w:eastAsia="zh-CN" w:bidi="ar"/>
                    </w:rPr>
                    <w:t>1.本项目无新增生活污水，原有生活污水拉运农田用于土壤改良，生产废水经处理达标后循环使用，不外排。不涉及其他。</w:t>
                  </w:r>
                </w:p>
                <w:p w14:paraId="76BE8DAD">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w:t>
                  </w:r>
                  <w:r>
                    <w:rPr>
                      <w:rFonts w:hint="eastAsia"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3273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14:paraId="7EC5E7FE">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noWrap w:val="0"/>
                  <w:vAlign w:val="center"/>
                </w:tcPr>
                <w:p w14:paraId="11C1D607">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noWrap w:val="0"/>
                  <w:vAlign w:val="center"/>
                </w:tcPr>
                <w:p w14:paraId="70B16FBE">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cs="Times New Roman"/>
                      <w:bCs/>
                      <w:color w:val="auto"/>
                      <w:sz w:val="21"/>
                      <w:szCs w:val="21"/>
                      <w:shd w:val="clear" w:color="auto" w:fill="auto"/>
                      <w:lang w:val="en-US" w:eastAsia="zh-CN"/>
                    </w:rPr>
                    <w:t>环境风险防控环境风险防控</w:t>
                  </w:r>
                </w:p>
              </w:tc>
              <w:tc>
                <w:tcPr>
                  <w:tcW w:w="2113" w:type="pct"/>
                  <w:noWrap w:val="0"/>
                  <w:vAlign w:val="center"/>
                </w:tcPr>
                <w:p w14:paraId="29623F65">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 xml:space="preserve"> 1.执行宝鸡市生态环境要素分区总体准入清单中“5.9建设用地污染风险重点管控区的环境风险防控”。</w:t>
                  </w:r>
                </w:p>
              </w:tc>
              <w:tc>
                <w:tcPr>
                  <w:tcW w:w="1470" w:type="pct"/>
                  <w:noWrap w:val="0"/>
                  <w:vAlign w:val="center"/>
                </w:tcPr>
                <w:p w14:paraId="19023430">
                  <w:pPr>
                    <w:autoSpaceDE w:val="0"/>
                    <w:autoSpaceDN w:val="0"/>
                    <w:adjustRightInd w:val="0"/>
                    <w:snapToGrid w:val="0"/>
                    <w:jc w:val="both"/>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陈仓科技工业园：</w:t>
                  </w:r>
                  <w:r>
                    <w:rPr>
                      <w:rFonts w:hint="eastAsia"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2D2C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noWrap w:val="0"/>
                  <w:vAlign w:val="center"/>
                </w:tcPr>
                <w:p w14:paraId="7D4C6FA2">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noWrap w:val="0"/>
                  <w:vAlign w:val="center"/>
                </w:tcPr>
                <w:p w14:paraId="0FCED00A">
                  <w:pPr>
                    <w:widowControl/>
                    <w:adjustRightInd w:val="0"/>
                    <w:snapToGrid w:val="0"/>
                    <w:jc w:val="center"/>
                    <w:rPr>
                      <w:rFonts w:hint="default" w:ascii="Times New Roman" w:hAnsi="Times New Roman" w:cs="Times New Roman"/>
                      <w:color w:val="auto"/>
                      <w:sz w:val="21"/>
                      <w:szCs w:val="21"/>
                      <w:shd w:val="clear" w:color="auto" w:fill="auto"/>
                    </w:rPr>
                  </w:pPr>
                </w:p>
              </w:tc>
              <w:tc>
                <w:tcPr>
                  <w:tcW w:w="471" w:type="pct"/>
                  <w:noWrap w:val="0"/>
                  <w:vAlign w:val="center"/>
                </w:tcPr>
                <w:p w14:paraId="38F9A87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2113" w:type="pct"/>
                  <w:noWrap w:val="0"/>
                  <w:vAlign w:val="center"/>
                </w:tcPr>
                <w:p w14:paraId="42169F1E">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p>
                <w:p w14:paraId="6FEA83EC">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r>
                    <w:rPr>
                      <w:rFonts w:hint="eastAsia" w:ascii="Times New Roman" w:hAnsi="Times New Roman" w:cs="Times New Roman"/>
                      <w:b/>
                      <w:bCs/>
                      <w:color w:val="auto"/>
                      <w:kern w:val="0"/>
                      <w:sz w:val="21"/>
                      <w:szCs w:val="21"/>
                      <w:lang w:val="en-US" w:eastAsia="zh-CN" w:bidi="ar"/>
                    </w:rPr>
                    <w:t>土地资源重点管控区：</w:t>
                  </w:r>
                  <w:r>
                    <w:rPr>
                      <w:rFonts w:hint="eastAsia" w:ascii="Times New Roman" w:hAnsi="Times New Roman" w:cs="Times New Roman"/>
                      <w:b w:val="0"/>
                      <w:bCs w:val="0"/>
                      <w:color w:val="auto"/>
                      <w:kern w:val="0"/>
                      <w:sz w:val="21"/>
                      <w:szCs w:val="21"/>
                      <w:lang w:val="en-US" w:eastAsia="zh-CN" w:bidi="ar"/>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w:t>
                  </w:r>
                </w:p>
                <w:p w14:paraId="66D46519">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1.禁止销售、燃用高污染燃料（35蒸吨及以上锅炉、火力发电企业机组除外）。3.禁止新建、扩建燃用高污染燃料的锅炉、窑炉、炉灶等设施，不得将其他燃料燃用设施改造为高污染燃料燃用设施。</w:t>
                  </w:r>
                </w:p>
                <w:p w14:paraId="6A2E2954">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 xml:space="preserve">陈仓科技工业园 </w:t>
                  </w:r>
                  <w:r>
                    <w:rPr>
                      <w:rFonts w:hint="default" w:ascii="Times New Roman" w:hAnsi="Times New Roman" w:cs="Times New Roman"/>
                      <w:b w:val="0"/>
                      <w:bCs w:val="0"/>
                      <w:color w:val="auto"/>
                      <w:kern w:val="0"/>
                      <w:sz w:val="21"/>
                      <w:szCs w:val="21"/>
                      <w:lang w:val="en-US" w:eastAsia="zh-CN" w:bidi="ar"/>
                    </w:rPr>
                    <w:t>1.执行宝鸡市生态环境要素分区总体准入清单中“5.10 生态用水补给区管控分区的资源利用效率要求”；2.执行宝鸡市生态环境要素分区总体准入清单中</w:t>
                  </w:r>
                </w:p>
                <w:p w14:paraId="317AAC13">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“5.12 土地资源重点管控区的资源利用效率要求”；3.执行宝鸡市生态环境要素分区总体准入清单中“5.13 高污染燃料禁燃区的资源利用效率要求”。</w:t>
                  </w:r>
                </w:p>
              </w:tc>
              <w:tc>
                <w:tcPr>
                  <w:tcW w:w="1470" w:type="pct"/>
                  <w:noWrap w:val="0"/>
                  <w:vAlign w:val="center"/>
                </w:tcPr>
                <w:p w14:paraId="38A3063D">
                  <w:pPr>
                    <w:autoSpaceDE w:val="0"/>
                    <w:autoSpaceDN w:val="0"/>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b/>
                      <w:bCs/>
                      <w:color w:val="auto"/>
                      <w:kern w:val="0"/>
                      <w:sz w:val="21"/>
                      <w:szCs w:val="21"/>
                      <w:lang w:val="en-US" w:eastAsia="zh-CN" w:bidi="ar"/>
                    </w:rPr>
                    <w:t>土地资源重点管控区：</w:t>
                  </w:r>
                  <w:r>
                    <w:rPr>
                      <w:rFonts w:hint="eastAsia" w:ascii="Times New Roman" w:hAnsi="Times New Roman" w:eastAsia="宋体" w:cs="Times New Roman"/>
                      <w:color w:val="auto"/>
                      <w:szCs w:val="21"/>
                      <w:lang w:val="en-US" w:eastAsia="zh-CN"/>
                    </w:rPr>
                    <w:t>1.本项目为</w:t>
                  </w:r>
                  <w:r>
                    <w:rPr>
                      <w:rFonts w:hint="default" w:ascii="Times New Roman" w:hAnsi="Times New Roman" w:eastAsia="宋体" w:cs="Times New Roman"/>
                      <w:color w:val="auto"/>
                      <w:szCs w:val="21"/>
                    </w:rPr>
                    <w:t>电</w:t>
                  </w:r>
                  <w:r>
                    <w:rPr>
                      <w:rFonts w:hint="default" w:ascii="Times New Roman" w:hAnsi="Times New Roman" w:cs="Times New Roman"/>
                      <w:color w:val="auto"/>
                      <w:szCs w:val="21"/>
                    </w:rPr>
                    <w:t>力电子元器件制造</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范围属于陈仓科技工业园内。</w:t>
                  </w:r>
                </w:p>
                <w:p w14:paraId="2859A8C2">
                  <w:pPr>
                    <w:autoSpaceDE w:val="0"/>
                    <w:autoSpaceDN w:val="0"/>
                    <w:adjustRightInd w:val="0"/>
                    <w:snapToGrid w:val="0"/>
                    <w:jc w:val="both"/>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2.本项目在现有项目地块内预留位置安装设备，不新增土地。</w:t>
                  </w:r>
                </w:p>
                <w:p w14:paraId="2E967CBD">
                  <w:pPr>
                    <w:autoSpaceDE w:val="0"/>
                    <w:autoSpaceDN w:val="0"/>
                    <w:adjustRightInd w:val="0"/>
                    <w:snapToGrid w:val="0"/>
                    <w:jc w:val="center"/>
                    <w:rPr>
                      <w:rFonts w:hint="eastAsia"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eastAsia" w:ascii="Times New Roman" w:hAnsi="Times New Roman" w:cs="Times New Roman"/>
                      <w:b w:val="0"/>
                      <w:bCs w:val="0"/>
                      <w:color w:val="auto"/>
                      <w:kern w:val="0"/>
                      <w:sz w:val="21"/>
                      <w:szCs w:val="21"/>
                      <w:lang w:val="en-US" w:eastAsia="zh-CN" w:bidi="ar"/>
                    </w:rPr>
                    <w:t>1.本项目烘干炉和固化炉不属于禁止类炉窑，参数未超过35蒸吨。2.使用的燃料是天然气，不属于高污染燃料。</w:t>
                  </w:r>
                </w:p>
                <w:p w14:paraId="3F2C2567">
                  <w:pPr>
                    <w:autoSpaceDE w:val="0"/>
                    <w:autoSpaceDN w:val="0"/>
                    <w:adjustRightInd w:val="0"/>
                    <w:snapToGrid w:val="0"/>
                    <w:jc w:val="center"/>
                    <w:rPr>
                      <w:rFonts w:hint="eastAsia" w:ascii="Times New Roman" w:hAnsi="Times New Roman"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陈仓科技工业园</w:t>
                  </w:r>
                  <w:r>
                    <w:rPr>
                      <w:rFonts w:hint="eastAsia" w:ascii="Times New Roman" w:hAnsi="Times New Roman" w:cs="Times New Roman"/>
                      <w:b/>
                      <w:bCs/>
                      <w:color w:val="auto"/>
                      <w:kern w:val="0"/>
                      <w:sz w:val="21"/>
                      <w:szCs w:val="21"/>
                      <w:lang w:val="en-US" w:eastAsia="zh-CN" w:bidi="ar"/>
                    </w:rPr>
                    <w:t>：</w:t>
                  </w:r>
                </w:p>
                <w:p w14:paraId="35A45DD0">
                  <w:pPr>
                    <w:autoSpaceDE w:val="0"/>
                    <w:autoSpaceDN w:val="0"/>
                    <w:adjustRightInd w:val="0"/>
                    <w:snapToGrid w:val="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
                    </w:rPr>
                    <w:t>严格按照宝鸡市生态环境要素进行建设及执行相关要求。</w:t>
                  </w:r>
                </w:p>
              </w:tc>
            </w:tr>
          </w:tbl>
          <w:p w14:paraId="39ECA7A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61208577">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根据上文“一图、一表”的分析，项目位于</w:t>
            </w:r>
            <w:r>
              <w:rPr>
                <w:rFonts w:hint="default" w:ascii="Times New Roman" w:hAnsi="Times New Roman" w:cs="Times New Roman"/>
                <w:color w:val="auto"/>
                <w:sz w:val="24"/>
                <w:szCs w:val="24"/>
                <w:shd w:val="clear" w:color="auto" w:fill="auto"/>
                <w:lang w:val="en-US" w:eastAsia="zh-CN"/>
              </w:rPr>
              <w:t>陕西省宝鸡市</w:t>
            </w:r>
            <w:r>
              <w:rPr>
                <w:rFonts w:hint="eastAsia" w:ascii="Times New Roman" w:hAnsi="Times New Roman" w:cs="Times New Roman"/>
                <w:color w:val="auto"/>
                <w:sz w:val="24"/>
                <w:szCs w:val="24"/>
                <w:shd w:val="clear" w:color="auto" w:fill="auto"/>
                <w:lang w:val="en-US" w:eastAsia="zh-CN"/>
              </w:rPr>
              <w:t>陈仓区</w:t>
            </w:r>
            <w:r>
              <w:rPr>
                <w:rFonts w:hint="default" w:ascii="Times New Roman" w:hAnsi="Times New Roman" w:cs="Times New Roman"/>
                <w:color w:val="auto"/>
                <w:sz w:val="24"/>
                <w:szCs w:val="24"/>
                <w:shd w:val="clear" w:color="auto" w:fill="auto"/>
                <w:lang w:val="en-US" w:eastAsia="zh-CN"/>
              </w:rPr>
              <w:t>重点管控单元</w:t>
            </w:r>
            <w:r>
              <w:rPr>
                <w:rFonts w:hint="eastAsia" w:ascii="Times New Roman" w:hAnsi="Times New Roman" w:cs="Times New Roman"/>
                <w:color w:val="auto"/>
                <w:sz w:val="24"/>
                <w:szCs w:val="24"/>
                <w:shd w:val="clear" w:color="auto" w:fill="auto"/>
                <w:lang w:val="en-US" w:eastAsia="zh-CN"/>
              </w:rPr>
              <w:t>9</w:t>
            </w:r>
            <w:r>
              <w:rPr>
                <w:rFonts w:hint="default" w:ascii="Times New Roman" w:hAnsi="Times New Roman" w:cs="Times New Roman"/>
                <w:b w:val="0"/>
                <w:bCs/>
                <w:color w:val="auto"/>
                <w:sz w:val="24"/>
                <w:szCs w:val="24"/>
                <w:highlight w:val="none"/>
                <w:lang w:val="en-US" w:eastAsia="zh-CN"/>
              </w:rPr>
              <w:t>，项目所在地不涉及生态红线，本项目生产过程中会产生一定的废气、废水、噪声及固废，经下文预测，废气、厂界噪声均能够达标排放；</w:t>
            </w:r>
            <w:r>
              <w:rPr>
                <w:rFonts w:hint="eastAsia" w:ascii="Times New Roman" w:hAnsi="Times New Roman" w:cs="Times New Roman"/>
                <w:b w:val="0"/>
                <w:bCs/>
                <w:color w:val="auto"/>
                <w:sz w:val="24"/>
                <w:szCs w:val="24"/>
                <w:highlight w:val="none"/>
                <w:lang w:val="en-US" w:eastAsia="zh-CN"/>
              </w:rPr>
              <w:t>废水经处理后循环使用不外排，</w:t>
            </w:r>
            <w:r>
              <w:rPr>
                <w:rFonts w:hint="default" w:ascii="Times New Roman" w:hAnsi="Times New Roman" w:cs="Times New Roman"/>
                <w:b w:val="0"/>
                <w:bCs/>
                <w:color w:val="auto"/>
                <w:sz w:val="24"/>
                <w:szCs w:val="24"/>
                <w:highlight w:val="none"/>
                <w:lang w:val="en-US" w:eastAsia="zh-CN"/>
              </w:rPr>
              <w:t>产生固废经收集后均能得到合理处置，可以满足相关环境管控单元的管控要求。</w:t>
            </w:r>
          </w:p>
          <w:p w14:paraId="39164FCE">
            <w:p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color w:val="auto"/>
                <w:sz w:val="24"/>
                <w:szCs w:val="24"/>
              </w:rPr>
              <w:t>项目</w:t>
            </w:r>
            <w:r>
              <w:rPr>
                <w:rFonts w:hint="eastAsia" w:ascii="Times New Roman" w:hAnsi="Times New Roman" w:eastAsia="宋体" w:cs="Times New Roman"/>
                <w:b/>
                <w:bCs w:val="0"/>
                <w:color w:val="auto"/>
                <w:sz w:val="24"/>
                <w:szCs w:val="24"/>
                <w:lang w:eastAsia="zh-CN"/>
              </w:rPr>
              <w:t>与</w:t>
            </w:r>
            <w:r>
              <w:rPr>
                <w:rFonts w:hint="default" w:ascii="Times New Roman" w:hAnsi="Times New Roman" w:eastAsia="宋体" w:cs="Times New Roman"/>
                <w:b/>
                <w:bCs w:val="0"/>
                <w:color w:val="auto"/>
                <w:sz w:val="24"/>
                <w:szCs w:val="24"/>
                <w:lang w:eastAsia="zh-CN"/>
              </w:rPr>
              <w:t>相关生态环境保护法律法</w:t>
            </w:r>
            <w:r>
              <w:rPr>
                <w:rFonts w:hint="eastAsia" w:ascii="Times New Roman" w:hAnsi="Times New Roman" w:eastAsia="宋体" w:cs="Times New Roman"/>
                <w:b/>
                <w:bCs w:val="0"/>
                <w:color w:val="auto"/>
                <w:sz w:val="24"/>
                <w:szCs w:val="24"/>
                <w:lang w:eastAsia="zh-CN"/>
              </w:rPr>
              <w:t>规和</w:t>
            </w:r>
            <w:r>
              <w:rPr>
                <w:rFonts w:hint="default" w:ascii="Times New Roman" w:hAnsi="Times New Roman" w:eastAsia="宋体" w:cs="Times New Roman"/>
                <w:b/>
                <w:bCs w:val="0"/>
                <w:color w:val="auto"/>
                <w:sz w:val="24"/>
                <w:szCs w:val="24"/>
                <w:lang w:eastAsia="zh-CN"/>
              </w:rPr>
              <w:t>政策、生态环境保护规划的符合性分析</w:t>
            </w:r>
            <w:r>
              <w:rPr>
                <w:rFonts w:hint="default" w:ascii="Times New Roman" w:hAnsi="Times New Roman" w:eastAsia="宋体" w:cs="Times New Roman"/>
                <w:b/>
                <w:bCs w:val="0"/>
                <w:color w:val="auto"/>
                <w:sz w:val="24"/>
                <w:szCs w:val="24"/>
              </w:rPr>
              <w:t>：</w:t>
            </w:r>
          </w:p>
          <w:p w14:paraId="549B8A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项目与生态环境保护法律法规政策、生态</w:t>
            </w:r>
            <w:r>
              <w:rPr>
                <w:rFonts w:hint="eastAsia" w:cs="Times New Roman"/>
                <w:b/>
                <w:bCs/>
                <w:color w:val="auto"/>
                <w:sz w:val="21"/>
                <w:szCs w:val="21"/>
                <w:lang w:val="en-US" w:eastAsia="zh-CN"/>
              </w:rPr>
              <w:t>环境</w:t>
            </w:r>
            <w:r>
              <w:rPr>
                <w:rFonts w:hint="default" w:ascii="Times New Roman" w:hAnsi="Times New Roman" w:eastAsia="宋体" w:cs="Times New Roman"/>
                <w:b/>
                <w:bCs/>
                <w:color w:val="auto"/>
                <w:sz w:val="21"/>
                <w:szCs w:val="21"/>
                <w:lang w:val="en-US" w:eastAsia="zh-CN"/>
              </w:rPr>
              <w:t>环保规划符合性分析一览表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3143"/>
              <w:gridCol w:w="2055"/>
              <w:gridCol w:w="871"/>
            </w:tblGrid>
            <w:tr w14:paraId="44EE4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tcBorders>
                    <w:tl2br w:val="nil"/>
                    <w:tr2bl w:val="nil"/>
                  </w:tcBorders>
                  <w:noWrap w:val="0"/>
                  <w:vAlign w:val="center"/>
                </w:tcPr>
                <w:p w14:paraId="5CFF94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063" w:type="pct"/>
                  <w:tcBorders>
                    <w:tl2br w:val="nil"/>
                    <w:tr2bl w:val="nil"/>
                  </w:tcBorders>
                  <w:noWrap w:val="0"/>
                  <w:vAlign w:val="center"/>
                </w:tcPr>
                <w:p w14:paraId="7F21C6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规划内容</w:t>
                  </w:r>
                </w:p>
              </w:tc>
              <w:tc>
                <w:tcPr>
                  <w:tcW w:w="1349" w:type="pct"/>
                  <w:tcBorders>
                    <w:tl2br w:val="nil"/>
                    <w:tr2bl w:val="nil"/>
                  </w:tcBorders>
                  <w:noWrap w:val="0"/>
                  <w:vAlign w:val="center"/>
                </w:tcPr>
                <w:p w14:paraId="420C515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本项目情况</w:t>
                  </w:r>
                </w:p>
              </w:tc>
              <w:tc>
                <w:tcPr>
                  <w:tcW w:w="571" w:type="pct"/>
                  <w:tcBorders>
                    <w:tl2br w:val="nil"/>
                    <w:tr2bl w:val="nil"/>
                  </w:tcBorders>
                  <w:noWrap w:val="0"/>
                  <w:vAlign w:val="center"/>
                </w:tcPr>
                <w:p w14:paraId="4E6869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符合性</w:t>
                  </w:r>
                </w:p>
              </w:tc>
            </w:tr>
            <w:tr w14:paraId="4AE81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5" w:type="pct"/>
                  <w:tcBorders>
                    <w:tl2br w:val="nil"/>
                    <w:tr2bl w:val="nil"/>
                  </w:tcBorders>
                  <w:noWrap w:val="0"/>
                  <w:vAlign w:val="center"/>
                </w:tcPr>
                <w:p w14:paraId="4E3EA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《陕西省“十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w:t>
                  </w:r>
                  <w:r>
                    <w:rPr>
                      <w:rFonts w:hint="default" w:ascii="Times New Roman" w:hAnsi="Times New Roman" w:eastAsia="宋体" w:cs="Times New Roman"/>
                      <w:color w:val="auto"/>
                      <w:lang w:eastAsia="zh-CN"/>
                    </w:rPr>
                    <w:t>生态</w:t>
                  </w:r>
                  <w:r>
                    <w:rPr>
                      <w:rFonts w:hint="default" w:ascii="Times New Roman" w:hAnsi="Times New Roman" w:eastAsia="宋体" w:cs="Times New Roman"/>
                      <w:color w:val="auto"/>
                    </w:rPr>
                    <w:t>环境保护规划》</w:t>
                  </w:r>
                </w:p>
              </w:tc>
              <w:tc>
                <w:tcPr>
                  <w:tcW w:w="2063" w:type="pct"/>
                  <w:tcBorders>
                    <w:tl2br w:val="nil"/>
                    <w:tr2bl w:val="nil"/>
                  </w:tcBorders>
                  <w:noWrap w:val="0"/>
                  <w:vAlign w:val="center"/>
                </w:tcPr>
                <w:p w14:paraId="64292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促进产业结构转型升级。严格能耗、环保、质量、安全、技术等综合标准，以钢铁、煤炭、水泥、电解铝、平板玻璃等行业为重点，依法依规淘汰落后产能。</w:t>
                  </w:r>
                  <w:r>
                    <w:rPr>
                      <w:rFonts w:hint="default" w:ascii="Times New Roman" w:hAnsi="Times New Roman" w:eastAsia="宋体" w:cs="Times New Roman"/>
                      <w:color w:val="auto"/>
                    </w:rPr>
                    <w:t>以钢铁、焦化、建材、有色、石化、化工、工业涂装、包装印刷、石油开采、农副食品加工等行业为重点，开展全流程清洁化、循环化、低碳化改造，促进传统产业绿色转型升级。</w:t>
                  </w:r>
                </w:p>
              </w:tc>
              <w:tc>
                <w:tcPr>
                  <w:tcW w:w="1349" w:type="pct"/>
                  <w:tcBorders>
                    <w:tl2br w:val="nil"/>
                    <w:tr2bl w:val="nil"/>
                  </w:tcBorders>
                  <w:noWrap w:val="0"/>
                  <w:vAlign w:val="center"/>
                </w:tcPr>
                <w:p w14:paraId="414C92D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本项目生产</w:t>
                  </w:r>
                  <w:r>
                    <w:rPr>
                      <w:rFonts w:hint="eastAsia" w:ascii="Times New Roman" w:hAnsi="Times New Roman" w:cs="Times New Roman"/>
                      <w:color w:val="auto"/>
                      <w:sz w:val="21"/>
                      <w:szCs w:val="21"/>
                      <w:lang w:val="en-US" w:eastAsia="zh-CN"/>
                    </w:rPr>
                    <w:t>电子元器件配件</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Cs w:val="21"/>
                      <w:lang w:eastAsia="zh-CN"/>
                    </w:rPr>
                    <w:t>不属于规划内的重点排污行业，</w:t>
                  </w:r>
                  <w:r>
                    <w:rPr>
                      <w:rFonts w:hint="default" w:ascii="Times New Roman" w:hAnsi="Times New Roman" w:eastAsia="宋体" w:cs="Times New Roman"/>
                      <w:color w:val="auto"/>
                      <w:lang w:eastAsia="zh-CN"/>
                    </w:rPr>
                    <w:t>生产过程主要消耗水</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电能</w:t>
                  </w:r>
                  <w:r>
                    <w:rPr>
                      <w:rFonts w:hint="eastAsia" w:ascii="Times New Roman" w:hAnsi="Times New Roman" w:eastAsia="宋体" w:cs="Times New Roman"/>
                      <w:color w:val="auto"/>
                      <w:lang w:val="en-US" w:eastAsia="zh-CN"/>
                    </w:rPr>
                    <w:t>和天然气</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生产废水综合利用，无外排</w:t>
                  </w:r>
                  <w:r>
                    <w:rPr>
                      <w:rFonts w:hint="eastAsia" w:ascii="Times New Roman" w:hAnsi="Times New Roman" w:eastAsia="宋体" w:cs="Times New Roman"/>
                      <w:color w:val="auto"/>
                      <w:lang w:val="en-US" w:eastAsia="zh-CN"/>
                    </w:rPr>
                    <w:t>生产</w:t>
                  </w:r>
                  <w:r>
                    <w:rPr>
                      <w:rFonts w:hint="eastAsia" w:ascii="Times New Roman" w:hAnsi="Times New Roman" w:eastAsia="宋体" w:cs="Times New Roman"/>
                      <w:color w:val="auto"/>
                      <w:lang w:eastAsia="zh-CN"/>
                    </w:rPr>
                    <w:t>废水</w:t>
                  </w:r>
                  <w:r>
                    <w:rPr>
                      <w:rFonts w:hint="default" w:ascii="Times New Roman" w:hAnsi="Times New Roman" w:eastAsia="宋体" w:cs="Times New Roman"/>
                      <w:color w:val="auto"/>
                      <w:lang w:eastAsia="zh-CN"/>
                    </w:rPr>
                    <w:t>，满足清洁化、循环化、低碳要求化，能够达到强制性能耗限额标准先进值和污染排放标准。</w:t>
                  </w:r>
                </w:p>
              </w:tc>
              <w:tc>
                <w:tcPr>
                  <w:tcW w:w="571" w:type="pct"/>
                  <w:tcBorders>
                    <w:tl2br w:val="nil"/>
                    <w:tr2bl w:val="nil"/>
                  </w:tcBorders>
                  <w:noWrap w:val="0"/>
                  <w:vAlign w:val="center"/>
                </w:tcPr>
                <w:p w14:paraId="4C4A49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6186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015" w:type="pct"/>
                  <w:vMerge w:val="restart"/>
                  <w:tcBorders>
                    <w:tl2br w:val="nil"/>
                    <w:tr2bl w:val="nil"/>
                  </w:tcBorders>
                  <w:noWrap w:val="0"/>
                  <w:vAlign w:val="center"/>
                </w:tcPr>
                <w:p w14:paraId="465CDF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《宝鸡市“十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五”生态环境保护规划》</w:t>
                  </w:r>
                </w:p>
              </w:tc>
              <w:tc>
                <w:tcPr>
                  <w:tcW w:w="2063" w:type="pct"/>
                  <w:tcBorders>
                    <w:tl2br w:val="nil"/>
                    <w:tr2bl w:val="nil"/>
                  </w:tcBorders>
                  <w:noWrap w:val="0"/>
                  <w:vAlign w:val="center"/>
                </w:tcPr>
                <w:p w14:paraId="367DC0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val="en-US" w:eastAsia="zh-CN"/>
                    </w:rPr>
                    <w:t>降低电力、水泥、玻璃、石油、化工、有色金属、纺织印染、建材等行业大气污染排放。</w:t>
                  </w:r>
                  <w:r>
                    <w:rPr>
                      <w:rFonts w:hint="default" w:ascii="Times New Roman" w:hAnsi="Times New Roman" w:eastAsia="宋体" w:cs="Times New Roman"/>
                      <w:color w:val="auto"/>
                      <w:lang w:eastAsia="zh-CN"/>
                    </w:rPr>
                    <w:t>严格执行重点行业主要大气污染物排放标准，倒逼相关企业对烟粉尘、二氧化硫、氮氧化物等主要污染物治理设施进行提标改造。</w:t>
                  </w:r>
                </w:p>
              </w:tc>
              <w:tc>
                <w:tcPr>
                  <w:tcW w:w="1349" w:type="pct"/>
                  <w:tcBorders>
                    <w:tl2br w:val="nil"/>
                    <w:tr2bl w:val="nil"/>
                  </w:tcBorders>
                  <w:noWrap w:val="0"/>
                  <w:vAlign w:val="center"/>
                </w:tcPr>
                <w:p w14:paraId="58E74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本项目激光切割、焊接、抛丸工序的废气经</w:t>
                  </w:r>
                  <w:r>
                    <w:rPr>
                      <w:rFonts w:hint="eastAsia" w:cs="Times New Roman"/>
                      <w:color w:val="auto"/>
                      <w:szCs w:val="21"/>
                      <w:lang w:val="en-US" w:eastAsia="zh-CN"/>
                    </w:rPr>
                    <w:t>收集</w:t>
                  </w:r>
                  <w:r>
                    <w:rPr>
                      <w:rFonts w:hint="eastAsia" w:ascii="Times New Roman" w:hAnsi="Times New Roman" w:cs="Times New Roman"/>
                      <w:color w:val="auto"/>
                      <w:szCs w:val="21"/>
                      <w:lang w:val="en-US" w:eastAsia="zh-CN"/>
                    </w:rPr>
                    <w:t>后进入滤筒除尘器处理后由15米排气筒（DA001）排放；固化及天然气燃烧废气分别经二级活性炭吸附处理和低氮燃烧器处理后经同一根15米排气筒（DA002）高空排放；喷粉工序在密闭喷粉室内进行静电喷涂，产生的废气收集后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处理后回用。</w:t>
                  </w:r>
                </w:p>
              </w:tc>
              <w:tc>
                <w:tcPr>
                  <w:tcW w:w="571" w:type="pct"/>
                  <w:tcBorders>
                    <w:tl2br w:val="nil"/>
                    <w:tr2bl w:val="nil"/>
                  </w:tcBorders>
                  <w:noWrap w:val="0"/>
                  <w:vAlign w:val="center"/>
                </w:tcPr>
                <w:p w14:paraId="38154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1273A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5A0BBC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2063" w:type="pct"/>
                  <w:tcBorders>
                    <w:tl2br w:val="nil"/>
                    <w:tr2bl w:val="nil"/>
                  </w:tcBorders>
                  <w:noWrap w:val="0"/>
                  <w:vAlign w:val="center"/>
                </w:tcPr>
                <w:p w14:paraId="67EF56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强化涉固体废物建设项目的环境准入管理，从源头杜绝工业固体废物产生量大且综合利用率低，难以实现经济效益、环境效益和社会效益相协调的项目落地。</w:t>
                  </w:r>
                </w:p>
              </w:tc>
              <w:tc>
                <w:tcPr>
                  <w:tcW w:w="1349" w:type="pct"/>
                  <w:tcBorders>
                    <w:tl2br w:val="nil"/>
                    <w:tr2bl w:val="nil"/>
                  </w:tcBorders>
                  <w:noWrap w:val="0"/>
                  <w:vAlign w:val="center"/>
                </w:tcPr>
                <w:p w14:paraId="303B9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eastAsia="宋体" w:cs="Times New Roman"/>
                      <w:color w:val="auto"/>
                      <w:lang w:eastAsia="zh-CN"/>
                    </w:rPr>
                    <w:t>本项目一般固废均收集至一般固废暂存区后外售利用，危险废物收集至危废暂存间后交由资质单位清运处置</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实现一般固废“资源化”利用，严格落实本评价提出的措施后，固体废物处置率达</w:t>
                  </w:r>
                  <w:r>
                    <w:rPr>
                      <w:rFonts w:hint="default" w:ascii="Times New Roman" w:hAnsi="Times New Roman" w:eastAsia="宋体" w:cs="Times New Roman"/>
                      <w:color w:val="auto"/>
                      <w:lang w:val="en-US" w:eastAsia="zh-CN"/>
                    </w:rPr>
                    <w:t>100%。</w:t>
                  </w:r>
                </w:p>
              </w:tc>
              <w:tc>
                <w:tcPr>
                  <w:tcW w:w="571" w:type="pct"/>
                  <w:tcBorders>
                    <w:tl2br w:val="nil"/>
                    <w:tr2bl w:val="nil"/>
                  </w:tcBorders>
                  <w:noWrap w:val="0"/>
                  <w:vAlign w:val="center"/>
                </w:tcPr>
                <w:p w14:paraId="2BC24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6C3F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tcBorders>
                    <w:tl2br w:val="nil"/>
                    <w:tr2bl w:val="nil"/>
                  </w:tcBorders>
                  <w:noWrap w:val="0"/>
                  <w:vAlign w:val="center"/>
                </w:tcPr>
                <w:p w14:paraId="63F34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cs="Times New Roman"/>
                      <w:snapToGrid w:val="0"/>
                      <w:color w:val="auto"/>
                      <w:szCs w:val="21"/>
                    </w:rPr>
                    <w:t>《宝鸡市大气污染防治条例》</w:t>
                  </w:r>
                </w:p>
              </w:tc>
              <w:tc>
                <w:tcPr>
                  <w:tcW w:w="2063" w:type="pct"/>
                  <w:tcBorders>
                    <w:tl2br w:val="nil"/>
                    <w:tr2bl w:val="nil"/>
                  </w:tcBorders>
                  <w:noWrap w:val="0"/>
                  <w:vAlign w:val="center"/>
                </w:tcPr>
                <w:p w14:paraId="3641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钢铁、建材、有色金属、石油、化工、制药、矿产开采等企业，应当加强精细化管理，采取集中收集处理等措施，严格控制粉尘和气态污染物的排放。</w:t>
                  </w:r>
                </w:p>
              </w:tc>
              <w:tc>
                <w:tcPr>
                  <w:tcW w:w="1349" w:type="pct"/>
                  <w:tcBorders>
                    <w:tl2br w:val="nil"/>
                    <w:tr2bl w:val="nil"/>
                  </w:tcBorders>
                  <w:noWrap w:val="0"/>
                  <w:vAlign w:val="center"/>
                </w:tcPr>
                <w:p w14:paraId="73AE1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eastAsia" w:ascii="Times New Roman" w:hAnsi="Times New Roman" w:cs="Times New Roman"/>
                      <w:color w:val="auto"/>
                      <w:szCs w:val="21"/>
                      <w:lang w:val="en-US" w:eastAsia="zh-CN"/>
                    </w:rPr>
                    <w:t>本项目激光切割、焊接、抛丸工序的废气经</w:t>
                  </w:r>
                  <w:r>
                    <w:rPr>
                      <w:rFonts w:hint="eastAsia" w:cs="Times New Roman"/>
                      <w:color w:val="auto"/>
                      <w:szCs w:val="21"/>
                      <w:lang w:val="en-US" w:eastAsia="zh-CN"/>
                    </w:rPr>
                    <w:t>收集</w:t>
                  </w:r>
                  <w:r>
                    <w:rPr>
                      <w:rFonts w:hint="eastAsia" w:ascii="Times New Roman" w:hAnsi="Times New Roman" w:cs="Times New Roman"/>
                      <w:color w:val="auto"/>
                      <w:szCs w:val="21"/>
                      <w:lang w:val="en-US" w:eastAsia="zh-CN"/>
                    </w:rPr>
                    <w:t>后进入滤筒除尘器处理后由15米排气筒（DA001）排放；固化及天然气燃烧废气分别经二级活性炭吸附处理和低氮燃烧器处理后经同一根15米排气筒（DA002）高空排放；喷粉工序在密闭喷粉室内进行静电喷涂，产生的废气收集后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处理后回用，部分废粉沉淀收集后外售。</w:t>
                  </w:r>
                </w:p>
              </w:tc>
              <w:tc>
                <w:tcPr>
                  <w:tcW w:w="571" w:type="pct"/>
                  <w:tcBorders>
                    <w:tl2br w:val="nil"/>
                    <w:tr2bl w:val="nil"/>
                  </w:tcBorders>
                  <w:noWrap w:val="0"/>
                  <w:vAlign w:val="center"/>
                </w:tcPr>
                <w:p w14:paraId="49F4C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4216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restart"/>
                  <w:tcBorders>
                    <w:tl2br w:val="nil"/>
                    <w:tr2bl w:val="nil"/>
                  </w:tcBorders>
                  <w:noWrap w:val="0"/>
                  <w:vAlign w:val="center"/>
                </w:tcPr>
                <w:p w14:paraId="1C61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宝鸡市大气污染专项行动方案</w:t>
                  </w: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2023-2027</w:t>
                  </w:r>
                  <w:r>
                    <w:rPr>
                      <w:rFonts w:hint="eastAsia" w:ascii="Times New Roman" w:hAnsi="Times New Roman" w:cs="Times New Roman"/>
                      <w:snapToGrid w:val="0"/>
                      <w:color w:val="auto"/>
                      <w:szCs w:val="21"/>
                      <w:lang w:eastAsia="zh-CN"/>
                    </w:rPr>
                    <w:t>）</w:t>
                  </w:r>
                </w:p>
              </w:tc>
              <w:tc>
                <w:tcPr>
                  <w:tcW w:w="2063" w:type="pct"/>
                  <w:tcBorders>
                    <w:tl2br w:val="nil"/>
                    <w:tr2bl w:val="nil"/>
                  </w:tcBorders>
                  <w:noWrap w:val="0"/>
                  <w:vAlign w:val="center"/>
                </w:tcPr>
                <w:p w14:paraId="35152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深化工业污染治理。动态巩固固定</w:t>
                  </w:r>
                  <w:r>
                    <w:rPr>
                      <w:rFonts w:hint="eastAsia" w:cs="Times New Roman"/>
                      <w:color w:val="auto"/>
                      <w:lang w:val="en-US" w:eastAsia="zh-CN"/>
                    </w:rPr>
                    <w:t>污染源排污许可</w:t>
                  </w:r>
                  <w:r>
                    <w:rPr>
                      <w:rFonts w:hint="eastAsia" w:ascii="Times New Roman" w:hAnsi="Times New Roman" w:cs="Times New Roman"/>
                      <w:color w:val="auto"/>
                      <w:lang w:val="en-US" w:eastAsia="zh-CN"/>
                    </w:rPr>
                    <w:t>管理全覆盖，强化排污许可“一证式”监管，持续推进重点涉气固定污染源治理。</w:t>
                  </w:r>
                </w:p>
              </w:tc>
              <w:tc>
                <w:tcPr>
                  <w:tcW w:w="1349" w:type="pct"/>
                  <w:tcBorders>
                    <w:tl2br w:val="nil"/>
                    <w:tr2bl w:val="nil"/>
                  </w:tcBorders>
                  <w:noWrap w:val="0"/>
                  <w:vAlign w:val="center"/>
                </w:tcPr>
                <w:p w14:paraId="0BCC3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本项目激光切割、焊接、抛丸工序的废气经</w:t>
                  </w:r>
                  <w:r>
                    <w:rPr>
                      <w:rFonts w:hint="eastAsia" w:cs="Times New Roman"/>
                      <w:color w:val="auto"/>
                      <w:szCs w:val="21"/>
                      <w:lang w:val="en-US" w:eastAsia="zh-CN"/>
                    </w:rPr>
                    <w:t>收集</w:t>
                  </w:r>
                  <w:r>
                    <w:rPr>
                      <w:rFonts w:hint="eastAsia" w:ascii="Times New Roman" w:hAnsi="Times New Roman" w:cs="Times New Roman"/>
                      <w:color w:val="auto"/>
                      <w:szCs w:val="21"/>
                      <w:lang w:val="en-US" w:eastAsia="zh-CN"/>
                    </w:rPr>
                    <w:t>后进入滤筒除尘器处理后由15米排气筒（DA001）排放；固化及天然气燃烧废气分别经二级活性炭吸附处理和低氮燃烧器处理后经同一根15米排气筒（DA002）高空排放；喷粉工序在密闭喷粉室内进行静电喷涂，产生的废气收集后经</w:t>
                  </w:r>
                  <w:r>
                    <w:rPr>
                      <w:rFonts w:hint="eastAsia" w:cs="Times New Roman"/>
                      <w:color w:val="auto"/>
                      <w:szCs w:val="21"/>
                      <w:lang w:val="en-US" w:eastAsia="zh-CN"/>
                    </w:rPr>
                    <w:t>大旋风除尘器</w:t>
                  </w:r>
                  <w:r>
                    <w:rPr>
                      <w:rFonts w:hint="eastAsia" w:ascii="Times New Roman" w:hAnsi="Times New Roman" w:cs="Times New Roman"/>
                      <w:color w:val="auto"/>
                      <w:szCs w:val="21"/>
                      <w:lang w:val="en-US" w:eastAsia="zh-CN"/>
                    </w:rPr>
                    <w:t>处理后回用，部分废粉沉淀收集后外售。严格落实排污许可相关要求。</w:t>
                  </w:r>
                </w:p>
              </w:tc>
              <w:tc>
                <w:tcPr>
                  <w:tcW w:w="571" w:type="pct"/>
                  <w:tcBorders>
                    <w:tl2br w:val="nil"/>
                    <w:tr2bl w:val="nil"/>
                  </w:tcBorders>
                  <w:noWrap w:val="0"/>
                  <w:vAlign w:val="center"/>
                </w:tcPr>
                <w:p w14:paraId="5DDB1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3692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5" w:type="pct"/>
                  <w:vMerge w:val="continue"/>
                  <w:tcBorders>
                    <w:tl2br w:val="nil"/>
                    <w:tr2bl w:val="nil"/>
                  </w:tcBorders>
                  <w:noWrap w:val="0"/>
                  <w:vAlign w:val="center"/>
                </w:tcPr>
                <w:p w14:paraId="3E141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eastAsia="zh-CN"/>
                    </w:rPr>
                  </w:pPr>
                </w:p>
              </w:tc>
              <w:tc>
                <w:tcPr>
                  <w:tcW w:w="2063" w:type="pct"/>
                  <w:tcBorders>
                    <w:tl2br w:val="nil"/>
                    <w:tr2bl w:val="nil"/>
                  </w:tcBorders>
                  <w:noWrap w:val="0"/>
                  <w:vAlign w:val="center"/>
                </w:tcPr>
                <w:p w14:paraId="4CD54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szCs w:val="21"/>
                      <w:highlight w:val="none"/>
                      <w:lang w:val="en-US" w:eastAsia="zh-CN"/>
                    </w:rPr>
                    <w:t>市辖区及开发区新、改、扩建涉及重点行业企业应达到环保绩效A级、绩效引领性水平。</w:t>
                  </w:r>
                </w:p>
              </w:tc>
              <w:tc>
                <w:tcPr>
                  <w:tcW w:w="1349" w:type="pct"/>
                  <w:tcBorders>
                    <w:tl2br w:val="nil"/>
                    <w:tr2bl w:val="nil"/>
                  </w:tcBorders>
                  <w:noWrap w:val="0"/>
                  <w:vAlign w:val="center"/>
                </w:tcPr>
                <w:p w14:paraId="5BC6E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本项目生产工序涉及喷涂，故需按</w:t>
                  </w:r>
                  <w:r>
                    <w:rPr>
                      <w:rFonts w:hint="eastAsia" w:ascii="Times New Roman" w:hAnsi="Times New Roman" w:cs="Times New Roman"/>
                      <w:color w:val="auto"/>
                      <w:szCs w:val="21"/>
                      <w:lang w:val="en-US" w:eastAsia="zh-CN"/>
                    </w:rPr>
                    <w:t>照环保绩效A级进行建设</w:t>
                  </w:r>
                  <w:r>
                    <w:rPr>
                      <w:rFonts w:hint="eastAsia" w:cs="Times New Roman"/>
                      <w:color w:val="auto"/>
                      <w:szCs w:val="21"/>
                      <w:lang w:val="en-US" w:eastAsia="zh-CN"/>
                    </w:rPr>
                    <w:t>并执行相关限值要求</w:t>
                  </w:r>
                  <w:r>
                    <w:rPr>
                      <w:rFonts w:hint="eastAsia" w:ascii="Times New Roman" w:hAnsi="Times New Roman" w:cs="Times New Roman"/>
                      <w:color w:val="auto"/>
                      <w:szCs w:val="21"/>
                      <w:lang w:val="en-US" w:eastAsia="zh-CN"/>
                    </w:rPr>
                    <w:t>。</w:t>
                  </w:r>
                </w:p>
              </w:tc>
              <w:tc>
                <w:tcPr>
                  <w:tcW w:w="571" w:type="pct"/>
                  <w:tcBorders>
                    <w:tl2br w:val="nil"/>
                    <w:tr2bl w:val="nil"/>
                  </w:tcBorders>
                  <w:noWrap w:val="0"/>
                  <w:vAlign w:val="center"/>
                </w:tcPr>
                <w:p w14:paraId="116FB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212E9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5" w:type="pct"/>
                  <w:tcBorders>
                    <w:tl2br w:val="nil"/>
                    <w:tr2bl w:val="nil"/>
                  </w:tcBorders>
                  <w:noWrap w:val="0"/>
                  <w:vAlign w:val="center"/>
                </w:tcPr>
                <w:p w14:paraId="12F4A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val="en-US" w:eastAsia="zh-CN"/>
                    </w:rPr>
                  </w:pPr>
                  <w:r>
                    <w:rPr>
                      <w:rFonts w:hint="eastAsia" w:ascii="Times New Roman" w:hAnsi="Times New Roman" w:cs="Times New Roman"/>
                      <w:snapToGrid w:val="0"/>
                      <w:color w:val="auto"/>
                      <w:szCs w:val="21"/>
                      <w:lang w:val="en-US" w:eastAsia="zh-CN"/>
                    </w:rPr>
                    <w:t>关于印发《2020年挥发性有机物治理攻坚方案》的通知 （环大气</w:t>
                  </w:r>
                  <w:r>
                    <w:rPr>
                      <w:rFonts w:hint="eastAsia" w:cs="Times New Roman"/>
                      <w:snapToGrid w:val="0"/>
                      <w:color w:val="auto"/>
                      <w:szCs w:val="21"/>
                      <w:lang w:val="en-US" w:eastAsia="zh-CN"/>
                    </w:rPr>
                    <w:t>〔2020〕33号</w:t>
                  </w:r>
                  <w:r>
                    <w:rPr>
                      <w:rFonts w:hint="eastAsia" w:ascii="Times New Roman" w:hAnsi="Times New Roman" w:cs="Times New Roman"/>
                      <w:snapToGrid w:val="0"/>
                      <w:color w:val="auto"/>
                      <w:szCs w:val="21"/>
                      <w:lang w:val="en-US" w:eastAsia="zh-CN"/>
                    </w:rPr>
                    <w:t>）</w:t>
                  </w:r>
                </w:p>
              </w:tc>
              <w:tc>
                <w:tcPr>
                  <w:tcW w:w="2063" w:type="pct"/>
                  <w:tcBorders>
                    <w:tl2br w:val="nil"/>
                    <w:tr2bl w:val="nil"/>
                  </w:tcBorders>
                  <w:noWrap w:val="0"/>
                  <w:vAlign w:val="center"/>
                </w:tcPr>
                <w:p w14:paraId="4672C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大力推进低（无）VOCS含量原辅材料替代。采用符合国家有关低VOCS含量产品规定的涂料、油墨、胶黏剂等，排放浓度稳定达标且排放速率满足相关规定的，相应生产工序可不要求建设末端治理设施；使用的原辅材料VOCS含量（质量比）均低于10%的工序，可不要求采取无组织排放收集和处理措施。</w:t>
                  </w:r>
                </w:p>
              </w:tc>
              <w:tc>
                <w:tcPr>
                  <w:tcW w:w="1349" w:type="pct"/>
                  <w:tcBorders>
                    <w:tl2br w:val="nil"/>
                    <w:tr2bl w:val="nil"/>
                  </w:tcBorders>
                  <w:noWrap w:val="0"/>
                  <w:vAlign w:val="center"/>
                </w:tcPr>
                <w:p w14:paraId="18E01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本项目使用的涂料为水性粉末涂料，经涂料检测报告检测结果可知，该涂料所含VOC</w:t>
                  </w:r>
                  <w:r>
                    <w:rPr>
                      <w:rFonts w:hint="eastAsia" w:ascii="Times New Roman" w:hAnsi="Times New Roman" w:cs="Times New Roman"/>
                      <w:color w:val="auto"/>
                      <w:szCs w:val="21"/>
                      <w:vertAlign w:val="subscript"/>
                      <w:lang w:val="en-US" w:eastAsia="zh-CN"/>
                    </w:rPr>
                    <w:t>S</w:t>
                  </w:r>
                  <w:r>
                    <w:rPr>
                      <w:rFonts w:hint="eastAsia" w:ascii="Times New Roman" w:hAnsi="Times New Roman" w:cs="Times New Roman"/>
                      <w:color w:val="auto"/>
                      <w:szCs w:val="21"/>
                      <w:lang w:val="en-US" w:eastAsia="zh-CN"/>
                    </w:rPr>
                    <w:t>未检出，符合相关要求，但为符合当地环保政策，本项目将挥发性有机废气收集后经活性炭吸附处理后由15米排气筒高空排放。</w:t>
                  </w:r>
                </w:p>
              </w:tc>
              <w:tc>
                <w:tcPr>
                  <w:tcW w:w="571" w:type="pct"/>
                  <w:tcBorders>
                    <w:tl2br w:val="nil"/>
                    <w:tr2bl w:val="nil"/>
                  </w:tcBorders>
                  <w:noWrap w:val="0"/>
                  <w:vAlign w:val="center"/>
                </w:tcPr>
                <w:p w14:paraId="65289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19B04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restart"/>
                  <w:tcBorders>
                    <w:tl2br w:val="nil"/>
                    <w:tr2bl w:val="nil"/>
                  </w:tcBorders>
                  <w:noWrap w:val="0"/>
                  <w:vAlign w:val="center"/>
                </w:tcPr>
                <w:p w14:paraId="0581B7E2">
                  <w:pPr>
                    <w:widowControl/>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工业炉窑大气污染综合治理方案》环大气</w:t>
                  </w:r>
                  <w:r>
                    <w:rPr>
                      <w:rFonts w:hint="eastAsia" w:cs="Times New Roman"/>
                      <w:color w:val="auto"/>
                      <w:sz w:val="21"/>
                      <w:szCs w:val="21"/>
                      <w:highlight w:val="none"/>
                      <w:lang w:val="en-US" w:eastAsia="zh-CN"/>
                    </w:rPr>
                    <w:t>〔2019〕56号</w:t>
                  </w:r>
                </w:p>
                <w:p w14:paraId="157DF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val="en-US" w:eastAsia="zh-CN"/>
                    </w:rPr>
                  </w:pPr>
                </w:p>
              </w:tc>
              <w:tc>
                <w:tcPr>
                  <w:tcW w:w="2063" w:type="pct"/>
                  <w:tcBorders>
                    <w:tl2br w:val="nil"/>
                    <w:tr2bl w:val="nil"/>
                  </w:tcBorders>
                  <w:noWrap w:val="0"/>
                  <w:vAlign w:val="center"/>
                </w:tcPr>
                <w:p w14:paraId="5A33CB04">
                  <w:pPr>
                    <w:adjustRightInd w:val="0"/>
                    <w:snapToGrid w:val="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加快燃料清洁低碳化替代。对以煤、渣油、重油等为燃料的工业炉窑，加快使用清洁低碳能源以及利用工厂余热、电厂热力等进行替代。</w:t>
                  </w:r>
                </w:p>
              </w:tc>
              <w:tc>
                <w:tcPr>
                  <w:tcW w:w="1349" w:type="pct"/>
                  <w:tcBorders>
                    <w:tl2br w:val="nil"/>
                    <w:tr2bl w:val="nil"/>
                  </w:tcBorders>
                  <w:noWrap w:val="0"/>
                  <w:vAlign w:val="center"/>
                </w:tcPr>
                <w:p w14:paraId="4F0A7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本项目烘干、固化工序采用天然气为燃料，属于清洁能源，符合相关要求。</w:t>
                  </w:r>
                </w:p>
              </w:tc>
              <w:tc>
                <w:tcPr>
                  <w:tcW w:w="571" w:type="pct"/>
                  <w:tcBorders>
                    <w:tl2br w:val="nil"/>
                    <w:tr2bl w:val="nil"/>
                  </w:tcBorders>
                  <w:noWrap w:val="0"/>
                  <w:vAlign w:val="center"/>
                </w:tcPr>
                <w:p w14:paraId="6FB4F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3D4BD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4D17E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szCs w:val="21"/>
                      <w:lang w:val="en-US" w:eastAsia="zh-CN"/>
                    </w:rPr>
                  </w:pPr>
                </w:p>
              </w:tc>
              <w:tc>
                <w:tcPr>
                  <w:tcW w:w="2063" w:type="pct"/>
                  <w:tcBorders>
                    <w:tl2br w:val="nil"/>
                    <w:tr2bl w:val="nil"/>
                  </w:tcBorders>
                  <w:noWrap w:val="0"/>
                  <w:vAlign w:val="center"/>
                </w:tcPr>
                <w:p w14:paraId="216127F3">
                  <w:pPr>
                    <w:adjustRightInd w:val="0"/>
                    <w:snapToGrid w:val="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加强排污许可证管理。按照排污许可管理名录规定按期完成涉工业炉窑行业排污许可证核发。</w:t>
                  </w:r>
                </w:p>
              </w:tc>
              <w:tc>
                <w:tcPr>
                  <w:tcW w:w="1349" w:type="pct"/>
                  <w:tcBorders>
                    <w:tl2br w:val="nil"/>
                    <w:tr2bl w:val="nil"/>
                  </w:tcBorders>
                  <w:noWrap w:val="0"/>
                  <w:vAlign w:val="center"/>
                </w:tcPr>
                <w:p w14:paraId="19D8D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szCs w:val="21"/>
                      <w:highlight w:val="none"/>
                      <w:lang w:val="en-US" w:eastAsia="zh-CN"/>
                    </w:rPr>
                    <w:t>要求</w:t>
                  </w:r>
                  <w:r>
                    <w:rPr>
                      <w:rFonts w:hint="default" w:ascii="Times New Roman" w:hAnsi="Times New Roman" w:eastAsia="宋体" w:cs="Times New Roman"/>
                      <w:color w:val="auto"/>
                      <w:szCs w:val="21"/>
                      <w:highlight w:val="none"/>
                      <w:lang w:val="en-US" w:eastAsia="zh-CN"/>
                    </w:rPr>
                    <w:t>建设单位在项目批准后按时申报排污许可证。</w:t>
                  </w:r>
                </w:p>
              </w:tc>
              <w:tc>
                <w:tcPr>
                  <w:tcW w:w="571" w:type="pct"/>
                  <w:tcBorders>
                    <w:tl2br w:val="nil"/>
                    <w:tr2bl w:val="nil"/>
                  </w:tcBorders>
                  <w:noWrap w:val="0"/>
                  <w:vAlign w:val="center"/>
                </w:tcPr>
                <w:p w14:paraId="1BD57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64434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restart"/>
                  <w:tcBorders>
                    <w:tl2br w:val="nil"/>
                    <w:tr2bl w:val="nil"/>
                  </w:tcBorders>
                  <w:noWrap w:val="0"/>
                  <w:vAlign w:val="center"/>
                </w:tcPr>
                <w:p w14:paraId="12D82C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《环境噪声与振动控制工程技术导则》</w:t>
                  </w:r>
                </w:p>
              </w:tc>
              <w:tc>
                <w:tcPr>
                  <w:tcW w:w="2063" w:type="pct"/>
                  <w:tcBorders>
                    <w:tl2br w:val="nil"/>
                    <w:tr2bl w:val="nil"/>
                  </w:tcBorders>
                  <w:noWrap w:val="0"/>
                  <w:vAlign w:val="center"/>
                </w:tcPr>
                <w:p w14:paraId="3EEB60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风机和空调机组与风管的隔振连接，宜采用防火帆布接头或弹性橡胶软管；并采用弹性支架进行隔振安装。</w:t>
                  </w:r>
                </w:p>
              </w:tc>
              <w:tc>
                <w:tcPr>
                  <w:tcW w:w="1349" w:type="pct"/>
                  <w:tcBorders>
                    <w:tl2br w:val="nil"/>
                    <w:tr2bl w:val="nil"/>
                  </w:tcBorders>
                  <w:noWrap w:val="0"/>
                  <w:vAlign w:val="center"/>
                </w:tcPr>
                <w:p w14:paraId="763083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本项目设</w:t>
                  </w:r>
                  <w:r>
                    <w:rPr>
                      <w:rFonts w:hint="default" w:ascii="Times New Roman" w:hAnsi="Times New Roman" w:eastAsia="宋体" w:cs="Times New Roman"/>
                      <w:color w:val="auto"/>
                      <w:lang w:val="en-US" w:eastAsia="zh-CN"/>
                    </w:rPr>
                    <w:t>备</w:t>
                  </w:r>
                  <w:r>
                    <w:rPr>
                      <w:rFonts w:hint="default" w:ascii="Times New Roman" w:hAnsi="Times New Roman" w:eastAsia="宋体" w:cs="Times New Roman"/>
                      <w:color w:val="auto"/>
                      <w:lang w:eastAsia="zh-CN"/>
                    </w:rPr>
                    <w:t>接口处均采用橡胶管和软接头连接。</w:t>
                  </w:r>
                </w:p>
              </w:tc>
              <w:tc>
                <w:tcPr>
                  <w:tcW w:w="571" w:type="pct"/>
                  <w:tcBorders>
                    <w:tl2br w:val="nil"/>
                    <w:tr2bl w:val="nil"/>
                  </w:tcBorders>
                  <w:noWrap w:val="0"/>
                  <w:vAlign w:val="center"/>
                </w:tcPr>
                <w:p w14:paraId="1B4FEB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6AB1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4BEFE8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063" w:type="pct"/>
                  <w:tcBorders>
                    <w:tl2br w:val="nil"/>
                    <w:tr2bl w:val="nil"/>
                  </w:tcBorders>
                  <w:noWrap w:val="0"/>
                  <w:vAlign w:val="center"/>
                </w:tcPr>
                <w:p w14:paraId="7871F1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对噪声传播途径进行隔声处理时，可采用具有一定高度的</w:t>
                  </w:r>
                  <w:r>
                    <w:rPr>
                      <w:rFonts w:hint="eastAsia" w:ascii="Times New Roman" w:hAnsi="Times New Roman" w:eastAsia="宋体" w:cs="Times New Roman"/>
                      <w:color w:val="auto"/>
                      <w:lang w:val="en-US" w:eastAsia="zh-CN"/>
                    </w:rPr>
                    <w:t>隔墙或</w:t>
                  </w:r>
                  <w:r>
                    <w:rPr>
                      <w:rFonts w:hint="default" w:ascii="Times New Roman" w:hAnsi="Times New Roman" w:eastAsia="宋体" w:cs="Times New Roman"/>
                      <w:color w:val="auto"/>
                      <w:lang w:eastAsia="zh-CN"/>
                    </w:rPr>
                    <w:t>隔声屏障（如利用路堑、土堤、房屋建筑等）；必要时应同时用上述几种结构相结合的形式。</w:t>
                  </w:r>
                </w:p>
              </w:tc>
              <w:tc>
                <w:tcPr>
                  <w:tcW w:w="1349" w:type="pct"/>
                  <w:tcBorders>
                    <w:tl2br w:val="nil"/>
                    <w:tr2bl w:val="nil"/>
                  </w:tcBorders>
                  <w:noWrap w:val="0"/>
                  <w:vAlign w:val="center"/>
                </w:tcPr>
                <w:p w14:paraId="2CCBC0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为</w:t>
                  </w:r>
                  <w:r>
                    <w:rPr>
                      <w:rFonts w:hint="default" w:ascii="Times New Roman" w:hAnsi="Times New Roman" w:eastAsia="宋体" w:cs="Times New Roman"/>
                      <w:color w:val="auto"/>
                      <w:lang w:val="en-US" w:eastAsia="zh-CN"/>
                    </w:rPr>
                    <w:t>砖混</w:t>
                  </w:r>
                  <w:r>
                    <w:rPr>
                      <w:rFonts w:hint="eastAsia" w:ascii="Times New Roman" w:hAnsi="Times New Roman" w:eastAsia="宋体" w:cs="Times New Roman"/>
                      <w:color w:val="auto"/>
                      <w:lang w:val="en-US" w:eastAsia="zh-CN"/>
                    </w:rPr>
                    <w:t>结构，房屋建筑</w:t>
                  </w:r>
                  <w:r>
                    <w:rPr>
                      <w:rFonts w:hint="default" w:ascii="Times New Roman" w:hAnsi="Times New Roman" w:eastAsia="宋体" w:cs="Times New Roman"/>
                      <w:color w:val="auto"/>
                      <w:lang w:val="en-US" w:eastAsia="zh-CN"/>
                    </w:rPr>
                    <w:t>对噪声传播途径进行隔声处理，可满足项目区域噪声排放标准限值要求。</w:t>
                  </w:r>
                </w:p>
              </w:tc>
              <w:tc>
                <w:tcPr>
                  <w:tcW w:w="571" w:type="pct"/>
                  <w:tcBorders>
                    <w:tl2br w:val="nil"/>
                    <w:tr2bl w:val="nil"/>
                  </w:tcBorders>
                  <w:noWrap w:val="0"/>
                  <w:vAlign w:val="center"/>
                </w:tcPr>
                <w:p w14:paraId="07D511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5DE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restart"/>
                  <w:tcBorders>
                    <w:tl2br w:val="nil"/>
                    <w:tr2bl w:val="nil"/>
                  </w:tcBorders>
                  <w:noWrap w:val="0"/>
                  <w:vAlign w:val="center"/>
                </w:tcPr>
                <w:p w14:paraId="6F64B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陕西省噪声污染防治行动计划</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2023</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2025年</w:t>
                  </w:r>
                  <w:r>
                    <w:rPr>
                      <w:rFonts w:hint="eastAsia" w:ascii="Times New Roman" w:hAnsi="Times New Roman" w:cs="Times New Roman"/>
                      <w:color w:val="auto"/>
                      <w:szCs w:val="21"/>
                      <w:lang w:eastAsia="zh-CN"/>
                    </w:rPr>
                    <w:t>）</w:t>
                  </w:r>
                </w:p>
              </w:tc>
              <w:tc>
                <w:tcPr>
                  <w:tcW w:w="2063" w:type="pct"/>
                  <w:tcBorders>
                    <w:tl2br w:val="nil"/>
                    <w:tr2bl w:val="nil"/>
                  </w:tcBorders>
                  <w:noWrap w:val="0"/>
                  <w:vAlign w:val="center"/>
                </w:tcPr>
                <w:p w14:paraId="35E336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349" w:type="pct"/>
                  <w:tcBorders>
                    <w:tl2br w:val="nil"/>
                    <w:tr2bl w:val="nil"/>
                  </w:tcBorders>
                  <w:noWrap w:val="0"/>
                  <w:vAlign w:val="center"/>
                </w:tcPr>
                <w:p w14:paraId="43D33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本项目环评正在办理中，项目噪声防治措施拟与主体工程同时设计、同时施工、同时投产使用。</w:t>
                  </w:r>
                </w:p>
              </w:tc>
              <w:tc>
                <w:tcPr>
                  <w:tcW w:w="571" w:type="pct"/>
                  <w:tcBorders>
                    <w:tl2br w:val="nil"/>
                    <w:tr2bl w:val="nil"/>
                  </w:tcBorders>
                  <w:noWrap w:val="0"/>
                  <w:vAlign w:val="center"/>
                </w:tcPr>
                <w:p w14:paraId="294F82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5293D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761742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063" w:type="pct"/>
                  <w:tcBorders>
                    <w:tl2br w:val="nil"/>
                    <w:tr2bl w:val="nil"/>
                  </w:tcBorders>
                  <w:noWrap w:val="0"/>
                  <w:vAlign w:val="center"/>
                </w:tcPr>
                <w:p w14:paraId="7CC086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落实工业噪声过程控制。噪声排放工业企业切实落实噪声污染防治措施，加强厂区内固定设备、运输工具、货物装卸等声源噪声管理，避免突发噪声扰民。</w:t>
                  </w:r>
                </w:p>
              </w:tc>
              <w:tc>
                <w:tcPr>
                  <w:tcW w:w="1349" w:type="pct"/>
                  <w:tcBorders>
                    <w:tl2br w:val="nil"/>
                    <w:tr2bl w:val="nil"/>
                  </w:tcBorders>
                  <w:noWrap w:val="0"/>
                  <w:vAlign w:val="center"/>
                </w:tcPr>
                <w:p w14:paraId="7DC43E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项目运营后的噪声主要来源于设备噪声，经采取基础减振、厂房隔声、距离衰减等措施后可达标排放。</w:t>
                  </w:r>
                </w:p>
              </w:tc>
              <w:tc>
                <w:tcPr>
                  <w:tcW w:w="571" w:type="pct"/>
                  <w:tcBorders>
                    <w:tl2br w:val="nil"/>
                    <w:tr2bl w:val="nil"/>
                  </w:tcBorders>
                  <w:noWrap w:val="0"/>
                  <w:vAlign w:val="center"/>
                </w:tcPr>
                <w:p w14:paraId="10BFD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4A9B8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tcBorders>
                    <w:tl2br w:val="nil"/>
                    <w:tr2bl w:val="nil"/>
                  </w:tcBorders>
                  <w:noWrap w:val="0"/>
                  <w:vAlign w:val="center"/>
                </w:tcPr>
                <w:p w14:paraId="17E992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陕西省生态环境厅关于进一步加强关中地区涉气重点行业项目环评管理的通知（陕环环评函〔2023〕76号</w:t>
                  </w:r>
                </w:p>
              </w:tc>
              <w:tc>
                <w:tcPr>
                  <w:tcW w:w="2063" w:type="pct"/>
                  <w:tcBorders>
                    <w:tl2br w:val="nil"/>
                    <w:tr2bl w:val="nil"/>
                  </w:tcBorders>
                  <w:noWrap w:val="0"/>
                  <w:vAlign w:val="center"/>
                </w:tcPr>
                <w:p w14:paraId="229FD4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关中地区涉气重点行业项目范围为生态环境部确定的39个重点行业的新改扩建项目，涉及关中各市（区）辖区及开发区范围内的应达到环保绩效A级、绩效引领性水平要求，西安市、安康市、渭南市的其他区域应达到环保绩效B级及以上要求。</w:t>
                  </w:r>
                </w:p>
              </w:tc>
              <w:tc>
                <w:tcPr>
                  <w:tcW w:w="1349" w:type="pct"/>
                  <w:tcBorders>
                    <w:tl2br w:val="nil"/>
                    <w:tr2bl w:val="nil"/>
                  </w:tcBorders>
                  <w:noWrap w:val="0"/>
                  <w:vAlign w:val="center"/>
                </w:tcPr>
                <w:p w14:paraId="3823EB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本项目位于宝鸡市陈仓区，生产工序涉及喷涂，故需按</w:t>
                  </w:r>
                  <w:r>
                    <w:rPr>
                      <w:rFonts w:hint="eastAsia" w:ascii="Times New Roman" w:hAnsi="Times New Roman" w:cs="Times New Roman"/>
                      <w:color w:val="auto"/>
                      <w:szCs w:val="21"/>
                      <w:lang w:val="en-US" w:eastAsia="zh-CN"/>
                    </w:rPr>
                    <w:t>照环保绩效A级进行建设</w:t>
                  </w:r>
                  <w:r>
                    <w:rPr>
                      <w:rFonts w:hint="eastAsia" w:cs="Times New Roman"/>
                      <w:color w:val="auto"/>
                      <w:szCs w:val="21"/>
                      <w:lang w:val="en-US" w:eastAsia="zh-CN"/>
                    </w:rPr>
                    <w:t>并执行相关限值要求</w:t>
                  </w:r>
                  <w:r>
                    <w:rPr>
                      <w:rFonts w:hint="eastAsia" w:ascii="Times New Roman" w:hAnsi="Times New Roman" w:cs="Times New Roman"/>
                      <w:color w:val="auto"/>
                      <w:szCs w:val="21"/>
                      <w:lang w:val="en-US" w:eastAsia="zh-CN"/>
                    </w:rPr>
                    <w:t>。</w:t>
                  </w:r>
                </w:p>
              </w:tc>
              <w:tc>
                <w:tcPr>
                  <w:tcW w:w="571" w:type="pct"/>
                  <w:tcBorders>
                    <w:tl2br w:val="nil"/>
                    <w:tr2bl w:val="nil"/>
                  </w:tcBorders>
                  <w:noWrap w:val="0"/>
                  <w:vAlign w:val="center"/>
                </w:tcPr>
                <w:p w14:paraId="01FC17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符合</w:t>
                  </w:r>
                </w:p>
              </w:tc>
            </w:tr>
          </w:tbl>
          <w:p w14:paraId="1BA5F8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经与《</w:t>
            </w:r>
            <w:r>
              <w:rPr>
                <w:rFonts w:hint="default" w:ascii="Times New Roman" w:hAnsi="Times New Roman" w:eastAsia="宋体" w:cs="Times New Roman"/>
                <w:color w:val="auto"/>
                <w:sz w:val="24"/>
              </w:rPr>
              <w:t>陕西省“十四五”生态环境保护规划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宝鸡市“十四五”生态环境保护规划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宝鸡市大气污染防治条例</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工业炉窑大气污染综合治理方案</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环境噪声与振动控制工程技术导则</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Hans"/>
              </w:rPr>
              <w:t>陕西省</w:t>
            </w:r>
            <w:r>
              <w:rPr>
                <w:rFonts w:hint="eastAsia" w:cs="Times New Roman"/>
                <w:color w:val="auto"/>
                <w:sz w:val="24"/>
                <w:lang w:val="en-US" w:eastAsia="zh-CN"/>
              </w:rPr>
              <w:t>蓝天、碧水、净土保卫战</w:t>
            </w:r>
            <w:r>
              <w:rPr>
                <w:rFonts w:hint="default" w:ascii="Times New Roman" w:hAnsi="Times New Roman" w:eastAsia="宋体" w:cs="Times New Roman"/>
                <w:color w:val="auto"/>
                <w:sz w:val="24"/>
                <w:lang w:eastAsia="zh-Hans"/>
              </w:rPr>
              <w:t>2022</w:t>
            </w:r>
            <w:r>
              <w:rPr>
                <w:rFonts w:hint="eastAsia" w:ascii="Times New Roman" w:hAnsi="Times New Roman" w:eastAsia="宋体" w:cs="Times New Roman"/>
                <w:color w:val="auto"/>
                <w:sz w:val="24"/>
                <w:lang w:val="en-US" w:eastAsia="zh-Hans"/>
              </w:rPr>
              <w:t>年工作方案</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等相关政策和环保政策进行符合性分析，项目建设内容和污染防治措施与以</w:t>
            </w:r>
            <w:r>
              <w:rPr>
                <w:rFonts w:hint="default" w:ascii="Times New Roman" w:hAnsi="Times New Roman" w:cs="Times New Roman"/>
                <w:color w:val="auto"/>
                <w:sz w:val="24"/>
              </w:rPr>
              <w:t>上规划、相关政策相符。</w:t>
            </w:r>
          </w:p>
          <w:p w14:paraId="7FF75E72">
            <w:pPr>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项目选址合理性分析：</w:t>
            </w:r>
          </w:p>
          <w:p w14:paraId="3ABA10F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1）本项目选址位于陕西省宝鸡市陈仓</w:t>
            </w:r>
            <w:r>
              <w:rPr>
                <w:rFonts w:hint="default" w:ascii="Times New Roman" w:hAnsi="Times New Roman" w:eastAsia="宋体" w:cs="Times New Roman"/>
                <w:bCs/>
                <w:color w:val="auto"/>
                <w:sz w:val="24"/>
                <w:lang w:val="en-US" w:eastAsia="zh-CN"/>
              </w:rPr>
              <w:t>区东关</w:t>
            </w:r>
            <w:r>
              <w:rPr>
                <w:rFonts w:hint="eastAsia" w:ascii="Times New Roman" w:hAnsi="Times New Roman" w:eastAsia="宋体" w:cs="Times New Roman"/>
                <w:bCs/>
                <w:color w:val="auto"/>
                <w:sz w:val="24"/>
                <w:lang w:val="en-US" w:eastAsia="zh-CN"/>
              </w:rPr>
              <w:t>科技工业园区内，</w:t>
            </w:r>
            <w:r>
              <w:rPr>
                <w:rFonts w:hint="default" w:ascii="Times New Roman" w:hAnsi="Times New Roman" w:cs="Times New Roman"/>
                <w:bCs/>
                <w:color w:val="auto"/>
                <w:sz w:val="24"/>
                <w:lang w:val="en-US" w:eastAsia="zh-CN"/>
              </w:rPr>
              <w:t>该地块土地</w:t>
            </w:r>
            <w:r>
              <w:rPr>
                <w:rFonts w:hint="default" w:ascii="Times New Roman" w:hAnsi="Times New Roman" w:eastAsia="宋体" w:cs="Times New Roman"/>
                <w:bCs/>
                <w:color w:val="auto"/>
                <w:sz w:val="24"/>
                <w:lang w:val="en-US" w:eastAsia="zh-CN"/>
              </w:rPr>
              <w:t>性质属于建设用地，</w:t>
            </w:r>
            <w:r>
              <w:rPr>
                <w:rFonts w:hint="eastAsia" w:ascii="Times New Roman" w:hAnsi="Times New Roman" w:cs="Times New Roman"/>
                <w:bCs/>
                <w:color w:val="auto"/>
                <w:sz w:val="24"/>
                <w:lang w:val="en-US" w:eastAsia="zh-CN"/>
              </w:rPr>
              <w:t>东侧</w:t>
            </w:r>
            <w:r>
              <w:rPr>
                <w:rFonts w:hint="eastAsia" w:cs="Times New Roman"/>
                <w:bCs/>
                <w:color w:val="auto"/>
                <w:sz w:val="24"/>
                <w:lang w:val="en-US" w:eastAsia="zh-CN"/>
              </w:rPr>
              <w:t>为空地、</w:t>
            </w:r>
            <w:r>
              <w:rPr>
                <w:rFonts w:hint="default" w:ascii="Times New Roman" w:hAnsi="Times New Roman" w:cs="Times New Roman"/>
                <w:bCs/>
                <w:color w:val="auto"/>
                <w:sz w:val="24"/>
                <w:lang w:val="en-US" w:eastAsia="zh-CN"/>
              </w:rPr>
              <w:t>南侧</w:t>
            </w:r>
            <w:r>
              <w:rPr>
                <w:rFonts w:hint="eastAsia" w:cs="Times New Roman"/>
                <w:bCs/>
                <w:color w:val="auto"/>
                <w:sz w:val="24"/>
                <w:lang w:val="en-US" w:eastAsia="zh-CN"/>
              </w:rPr>
              <w:t>为废弃加油站</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西侧紧邻志普有色金属加工厂</w:t>
            </w:r>
            <w:r>
              <w:rPr>
                <w:rFonts w:hint="default" w:ascii="Times New Roman" w:hAnsi="Times New Roman" w:cs="Times New Roman"/>
                <w:bCs/>
                <w:color w:val="auto"/>
                <w:sz w:val="24"/>
                <w:lang w:val="en-US" w:eastAsia="zh-CN"/>
              </w:rPr>
              <w:t>、</w:t>
            </w:r>
            <w:r>
              <w:rPr>
                <w:rFonts w:hint="eastAsia" w:ascii="Times New Roman" w:hAnsi="Times New Roman" w:cs="Times New Roman"/>
                <w:bCs/>
                <w:color w:val="auto"/>
                <w:sz w:val="24"/>
                <w:lang w:val="en-US" w:eastAsia="zh-CN"/>
              </w:rPr>
              <w:t>北侧</w:t>
            </w:r>
            <w:r>
              <w:rPr>
                <w:rFonts w:hint="default" w:ascii="Times New Roman" w:hAnsi="Times New Roman" w:cs="Times New Roman"/>
                <w:bCs/>
                <w:color w:val="auto"/>
                <w:sz w:val="24"/>
                <w:lang w:val="en-US" w:eastAsia="zh-CN"/>
              </w:rPr>
              <w:t>为</w:t>
            </w:r>
            <w:r>
              <w:rPr>
                <w:rFonts w:hint="eastAsia" w:ascii="Times New Roman" w:hAnsi="Times New Roman" w:cs="Times New Roman"/>
                <w:bCs/>
                <w:color w:val="auto"/>
                <w:sz w:val="24"/>
                <w:lang w:val="en-US" w:eastAsia="zh-CN"/>
              </w:rPr>
              <w:t>虢蔡路</w:t>
            </w:r>
            <w:r>
              <w:rPr>
                <w:rFonts w:hint="default" w:ascii="Times New Roman" w:hAnsi="Times New Roman" w:cs="Times New Roman"/>
                <w:bCs/>
                <w:color w:val="auto"/>
                <w:sz w:val="24"/>
                <w:lang w:val="en-US" w:eastAsia="zh-CN"/>
              </w:rPr>
              <w:t>，路网完善、交通便利。</w:t>
            </w:r>
          </w:p>
          <w:p w14:paraId="10EEA24F">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shd w:val="clear" w:color="auto" w:fill="auto"/>
              </w:rPr>
            </w:pPr>
            <w:r>
              <w:rPr>
                <w:rFonts w:hint="default" w:ascii="Times New Roman" w:hAnsi="Times New Roman" w:cs="Times New Roman"/>
                <w:bCs/>
                <w:color w:val="auto"/>
                <w:sz w:val="24"/>
                <w:lang w:val="en-US" w:eastAsia="zh-CN"/>
              </w:rPr>
              <w:t>2）</w:t>
            </w:r>
            <w:r>
              <w:rPr>
                <w:rFonts w:hint="default" w:ascii="Times New Roman" w:hAnsi="Times New Roman" w:eastAsia="宋体" w:cs="Times New Roman"/>
                <w:color w:val="auto"/>
                <w:sz w:val="24"/>
                <w:szCs w:val="24"/>
                <w:shd w:val="clear" w:color="auto" w:fill="auto"/>
                <w:lang w:eastAsia="zh-CN"/>
              </w:rPr>
              <w:t>项目</w:t>
            </w:r>
            <w:r>
              <w:rPr>
                <w:rFonts w:hint="default" w:ascii="Times New Roman" w:hAnsi="Times New Roman" w:eastAsia="宋体" w:cs="Times New Roman"/>
                <w:color w:val="auto"/>
                <w:sz w:val="24"/>
                <w:szCs w:val="24"/>
                <w:shd w:val="clear" w:color="auto" w:fill="auto"/>
              </w:rPr>
              <w:t>选址周围无需要特殊保护的野生动植物分布，无与建设项目性质不相符的其他建设项目，项目</w:t>
            </w:r>
            <w:r>
              <w:rPr>
                <w:rFonts w:hint="default" w:ascii="Times New Roman" w:hAnsi="Times New Roman" w:eastAsia="宋体" w:cs="Times New Roman"/>
                <w:color w:val="auto"/>
                <w:sz w:val="24"/>
                <w:szCs w:val="24"/>
                <w:shd w:val="clear" w:color="auto" w:fill="auto"/>
                <w:lang w:val="zh-CN"/>
              </w:rPr>
              <w:t>所在区域不属于自然保护区、森林公园、风景名胜区等禁止开发的生态红线区、重点保护生态红线区以及脆弱生态保护红线区内，项目建设不会占用</w:t>
            </w:r>
            <w:r>
              <w:rPr>
                <w:rFonts w:hint="eastAsia" w:cs="Times New Roman"/>
                <w:color w:val="auto"/>
                <w:sz w:val="24"/>
                <w:szCs w:val="24"/>
                <w:shd w:val="clear" w:color="auto" w:fill="auto"/>
                <w:lang w:val="zh-CN"/>
              </w:rPr>
              <w:t>生态功能保护区</w:t>
            </w:r>
            <w:r>
              <w:rPr>
                <w:rFonts w:hint="default" w:ascii="Times New Roman" w:hAnsi="Times New Roman" w:eastAsia="宋体" w:cs="Times New Roman"/>
                <w:color w:val="auto"/>
                <w:sz w:val="24"/>
                <w:szCs w:val="24"/>
                <w:shd w:val="clear" w:color="auto" w:fill="auto"/>
                <w:lang w:val="zh-CN"/>
              </w:rPr>
              <w:t>。</w:t>
            </w:r>
          </w:p>
          <w:p w14:paraId="294AC59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3）项目</w:t>
            </w:r>
            <w:r>
              <w:rPr>
                <w:rFonts w:hint="eastAsia" w:cs="Times New Roman"/>
                <w:bCs/>
                <w:color w:val="auto"/>
                <w:sz w:val="24"/>
                <w:lang w:val="en-US" w:eastAsia="zh-CN"/>
              </w:rPr>
              <w:t>切割、焊接、</w:t>
            </w:r>
            <w:r>
              <w:rPr>
                <w:rFonts w:hint="default" w:ascii="Times New Roman" w:hAnsi="Times New Roman" w:eastAsia="宋体" w:cs="Times New Roman"/>
                <w:bCs/>
                <w:color w:val="auto"/>
                <w:sz w:val="24"/>
                <w:lang w:val="en-US" w:eastAsia="zh-CN"/>
              </w:rPr>
              <w:t>抛丸工序产生</w:t>
            </w:r>
            <w:r>
              <w:rPr>
                <w:rFonts w:hint="eastAsia" w:cs="Times New Roman"/>
                <w:bCs/>
                <w:color w:val="auto"/>
                <w:sz w:val="24"/>
                <w:lang w:val="en-US" w:eastAsia="zh-CN"/>
              </w:rPr>
              <w:t>的废气配套滤筒除尘器</w:t>
            </w:r>
            <w:r>
              <w:rPr>
                <w:rFonts w:hint="eastAsia" w:ascii="Times New Roman" w:hAnsi="Times New Roman" w:eastAsia="宋体" w:cs="Times New Roman"/>
                <w:bCs/>
                <w:color w:val="auto"/>
                <w:sz w:val="24"/>
                <w:lang w:val="en-US" w:eastAsia="zh-CN"/>
              </w:rPr>
              <w:t>（TA001）</w:t>
            </w:r>
            <w:r>
              <w:rPr>
                <w:rFonts w:hint="eastAsia" w:cs="Times New Roman"/>
                <w:bCs/>
                <w:color w:val="auto"/>
                <w:sz w:val="24"/>
                <w:lang w:val="en-US" w:eastAsia="zh-CN"/>
              </w:rPr>
              <w:t>处理后由</w:t>
            </w:r>
            <w:r>
              <w:rPr>
                <w:rFonts w:hint="default" w:ascii="Times New Roman" w:hAnsi="Times New Roman" w:eastAsia="宋体" w:cs="Times New Roman"/>
                <w:bCs/>
                <w:color w:val="auto"/>
                <w:sz w:val="24"/>
                <w:lang w:val="en-US" w:eastAsia="zh-CN"/>
              </w:rPr>
              <w:t>15米排气筒</w:t>
            </w:r>
            <w:r>
              <w:rPr>
                <w:rFonts w:hint="eastAsia" w:ascii="Times New Roman" w:hAnsi="Times New Roman" w:eastAsia="宋体" w:cs="Times New Roman"/>
                <w:bCs/>
                <w:color w:val="auto"/>
                <w:sz w:val="24"/>
                <w:lang w:val="en-US" w:eastAsia="zh-CN"/>
              </w:rPr>
              <w:t>（DA001）</w:t>
            </w:r>
            <w:r>
              <w:rPr>
                <w:rFonts w:hint="default" w:ascii="Times New Roman" w:hAnsi="Times New Roman" w:eastAsia="宋体" w:cs="Times New Roman"/>
                <w:bCs/>
                <w:color w:val="auto"/>
                <w:sz w:val="24"/>
                <w:lang w:val="en-US" w:eastAsia="zh-CN"/>
              </w:rPr>
              <w:t>高空排放</w:t>
            </w:r>
            <w:r>
              <w:rPr>
                <w:rFonts w:hint="eastAsia" w:cs="Times New Roman"/>
                <w:bCs/>
                <w:color w:val="auto"/>
                <w:sz w:val="24"/>
                <w:lang w:val="en-US" w:eastAsia="zh-CN"/>
              </w:rPr>
              <w:t>；喷粉设密闭喷房，并设大旋风除尘器对未被工件吸附的粉末进行收集过滤，未收集部分粉尘较少，无组织排放；固化工序产生的非甲烷总烃经二级活性炭吸附处理后由排气筒（DA002）高空排放；天然气燃烧废气经低氮燃烧处理后由排气筒（DA002）高空排放；清洗废水经一体化污水处理设施处理后循环使用，处理水质可达到工业用水回用标准。</w:t>
            </w:r>
            <w:r>
              <w:rPr>
                <w:rFonts w:hint="eastAsia" w:ascii="Times New Roman" w:hAnsi="Times New Roman" w:eastAsia="宋体" w:cs="Times New Roman"/>
                <w:bCs/>
                <w:color w:val="auto"/>
                <w:sz w:val="24"/>
                <w:lang w:val="en-US" w:eastAsia="zh-CN"/>
              </w:rPr>
              <w:t>设备均</w:t>
            </w:r>
            <w:r>
              <w:rPr>
                <w:rFonts w:hint="eastAsia" w:cs="Times New Roman"/>
                <w:bCs/>
                <w:color w:val="auto"/>
                <w:sz w:val="24"/>
                <w:lang w:val="en-US" w:eastAsia="zh-CN"/>
              </w:rPr>
              <w:t>分散</w:t>
            </w:r>
            <w:r>
              <w:rPr>
                <w:rFonts w:hint="eastAsia" w:ascii="Times New Roman" w:hAnsi="Times New Roman" w:eastAsia="宋体" w:cs="Times New Roman"/>
                <w:bCs/>
                <w:color w:val="auto"/>
                <w:sz w:val="24"/>
                <w:lang w:val="en-US" w:eastAsia="zh-CN"/>
              </w:rPr>
              <w:t>设</w:t>
            </w:r>
            <w:r>
              <w:rPr>
                <w:rFonts w:hint="eastAsia" w:cs="Times New Roman"/>
                <w:bCs/>
                <w:color w:val="auto"/>
                <w:sz w:val="24"/>
                <w:lang w:val="en-US" w:eastAsia="zh-CN"/>
              </w:rPr>
              <w:t>置在</w:t>
            </w:r>
            <w:r>
              <w:rPr>
                <w:rFonts w:hint="eastAsia" w:ascii="Times New Roman" w:hAnsi="Times New Roman" w:eastAsia="宋体" w:cs="Times New Roman"/>
                <w:bCs/>
                <w:color w:val="auto"/>
                <w:sz w:val="24"/>
                <w:lang w:val="en-US" w:eastAsia="zh-CN"/>
              </w:rPr>
              <w:t>厂房内，</w:t>
            </w:r>
            <w:r>
              <w:rPr>
                <w:rFonts w:hint="eastAsia" w:cs="Times New Roman"/>
                <w:bCs/>
                <w:color w:val="auto"/>
                <w:sz w:val="24"/>
                <w:lang w:val="en-US" w:eastAsia="zh-CN"/>
              </w:rPr>
              <w:t>有效合理布局可降低设备噪声对厂界四周环境影响；</w:t>
            </w:r>
            <w:r>
              <w:rPr>
                <w:rFonts w:hint="default" w:ascii="Times New Roman" w:hAnsi="Times New Roman" w:eastAsia="宋体" w:cs="Times New Roman"/>
                <w:color w:val="auto"/>
                <w:kern w:val="0"/>
                <w:sz w:val="24"/>
                <w:szCs w:val="24"/>
                <w:lang w:val="en-US" w:eastAsia="zh-CN"/>
              </w:rPr>
              <w:t>运行期固废采取妥善处置，不会造成二次污染。</w:t>
            </w:r>
            <w:r>
              <w:rPr>
                <w:rFonts w:hint="default" w:ascii="Times New Roman" w:hAnsi="Times New Roman" w:cs="Times New Roman"/>
                <w:bCs/>
                <w:color w:val="auto"/>
                <w:sz w:val="24"/>
                <w:lang w:val="en-US" w:eastAsia="zh-CN"/>
              </w:rPr>
              <w:t>对周边环境不会产生明显不利影响。</w:t>
            </w:r>
          </w:p>
          <w:p w14:paraId="777E251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rPr>
              <w:t>项目厂界外500m范围不涉及自然保护区、风景名胜区、饮用水源保护区，距离项目最近</w:t>
            </w:r>
            <w:r>
              <w:rPr>
                <w:rFonts w:hint="eastAsia" w:ascii="Times New Roman" w:hAnsi="Times New Roman" w:eastAsia="宋体" w:cs="Times New Roman"/>
                <w:color w:val="auto"/>
                <w:kern w:val="0"/>
                <w:sz w:val="24"/>
                <w:szCs w:val="24"/>
                <w:lang w:val="en-US" w:eastAsia="zh-CN"/>
              </w:rPr>
              <w:t>敏感点</w:t>
            </w:r>
            <w:r>
              <w:rPr>
                <w:rFonts w:hint="default" w:ascii="Times New Roman" w:hAnsi="Times New Roman" w:eastAsia="宋体" w:cs="Times New Roman"/>
                <w:color w:val="auto"/>
                <w:kern w:val="0"/>
                <w:sz w:val="24"/>
                <w:szCs w:val="24"/>
                <w:lang w:val="en-US" w:eastAsia="zh-CN"/>
              </w:rPr>
              <w:t>为项目</w:t>
            </w:r>
            <w:r>
              <w:rPr>
                <w:rFonts w:hint="eastAsia" w:ascii="Times New Roman" w:hAnsi="Times New Roman" w:eastAsia="宋体" w:cs="Times New Roman"/>
                <w:color w:val="auto"/>
                <w:kern w:val="0"/>
                <w:sz w:val="24"/>
                <w:szCs w:val="24"/>
                <w:lang w:val="en-US" w:eastAsia="zh-CN"/>
              </w:rPr>
              <w:t>北</w:t>
            </w:r>
            <w:r>
              <w:rPr>
                <w:rFonts w:hint="default" w:ascii="Times New Roman" w:hAnsi="Times New Roman" w:eastAsia="宋体" w:cs="Times New Roman"/>
                <w:color w:val="auto"/>
                <w:kern w:val="0"/>
                <w:sz w:val="24"/>
                <w:szCs w:val="24"/>
                <w:lang w:val="en-US" w:eastAsia="zh-CN"/>
              </w:rPr>
              <w:t>侧约</w:t>
            </w:r>
            <w:r>
              <w:rPr>
                <w:rFonts w:hint="eastAsia" w:ascii="Times New Roman" w:hAnsi="Times New Roman" w:eastAsia="宋体" w:cs="Times New Roman"/>
                <w:color w:val="auto"/>
                <w:kern w:val="0"/>
                <w:sz w:val="24"/>
                <w:szCs w:val="24"/>
                <w:lang w:val="en-US" w:eastAsia="zh-CN"/>
              </w:rPr>
              <w:t>40</w:t>
            </w:r>
            <w:r>
              <w:rPr>
                <w:rFonts w:hint="default" w:ascii="Times New Roman" w:hAnsi="Times New Roman" w:eastAsia="宋体" w:cs="Times New Roman"/>
                <w:color w:val="auto"/>
                <w:kern w:val="0"/>
                <w:sz w:val="24"/>
                <w:szCs w:val="24"/>
                <w:lang w:val="en-US" w:eastAsia="zh-CN"/>
              </w:rPr>
              <w:t>m</w:t>
            </w:r>
            <w:r>
              <w:rPr>
                <w:rFonts w:hint="eastAsia" w:ascii="Times New Roman" w:hAnsi="Times New Roman" w:eastAsia="宋体" w:cs="Times New Roman"/>
                <w:color w:val="auto"/>
                <w:kern w:val="0"/>
                <w:sz w:val="24"/>
                <w:szCs w:val="24"/>
                <w:lang w:val="en-US" w:eastAsia="zh-CN"/>
              </w:rPr>
              <w:t>五一村，但该敏感点与本项目中间隔一条虢蔡路，本项目运行期对该地影响较小。</w:t>
            </w:r>
            <w:r>
              <w:rPr>
                <w:rFonts w:hint="default" w:ascii="Times New Roman" w:hAnsi="Times New Roman" w:eastAsia="宋体" w:cs="Times New Roman"/>
                <w:color w:val="auto"/>
                <w:kern w:val="0"/>
                <w:sz w:val="24"/>
                <w:szCs w:val="24"/>
                <w:lang w:val="en-US" w:eastAsia="zh-CN"/>
              </w:rPr>
              <w:t>故项目的建设不存在制约因素。</w:t>
            </w:r>
          </w:p>
          <w:p w14:paraId="7D3742F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w:t>
            </w:r>
            <w:r>
              <w:rPr>
                <w:rFonts w:hint="default" w:ascii="Times New Roman" w:hAnsi="Times New Roman" w:cs="Times New Roman"/>
                <w:color w:val="auto"/>
                <w:sz w:val="24"/>
                <w:lang w:eastAsia="zh-CN"/>
              </w:rPr>
              <w:t>从环境保护方面分析，</w:t>
            </w:r>
            <w:r>
              <w:rPr>
                <w:rFonts w:hint="default" w:ascii="Times New Roman" w:hAnsi="Times New Roman" w:cs="Times New Roman"/>
                <w:color w:val="auto"/>
                <w:sz w:val="24"/>
              </w:rPr>
              <w:t>项目选址基本合理。</w:t>
            </w:r>
          </w:p>
          <w:p w14:paraId="6939E5E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306480F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4924F17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13F67E4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66F17A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576AEB4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79EBBF4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75E5CFD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1475953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7FCE129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F3F8D0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BD65E2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440816C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0CAB55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49FC133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4807D29">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kern w:val="0"/>
                <w:szCs w:val="21"/>
              </w:rPr>
            </w:pPr>
          </w:p>
        </w:tc>
      </w:tr>
    </w:tbl>
    <w:p w14:paraId="02CBF638">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588D7AF">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3F165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noWrap w:val="0"/>
            <w:vAlign w:val="center"/>
          </w:tcPr>
          <w:p w14:paraId="139953C8">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635" w:type="dxa"/>
            <w:noWrap w:val="0"/>
            <w:vAlign w:val="top"/>
          </w:tcPr>
          <w:p w14:paraId="19622C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项目由来</w:t>
            </w:r>
          </w:p>
          <w:p w14:paraId="4EEBD237">
            <w:pPr>
              <w:wordWrap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宝鸡市文达机械制造有限公司于20</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lang w:val="en-US" w:eastAsia="zh-CN"/>
              </w:rPr>
              <w:t>年</w:t>
            </w:r>
            <w:r>
              <w:rPr>
                <w:rFonts w:hint="eastAsia" w:ascii="Times New Roman" w:hAnsi="Times New Roman" w:cs="Times New Roman"/>
                <w:color w:val="auto"/>
                <w:sz w:val="24"/>
                <w:lang w:val="en-US" w:eastAsia="zh-CN"/>
              </w:rPr>
              <w:t>11</w:t>
            </w:r>
            <w:r>
              <w:rPr>
                <w:rFonts w:hint="default" w:ascii="Times New Roman" w:hAnsi="Times New Roman" w:cs="Times New Roman"/>
                <w:color w:val="auto"/>
                <w:sz w:val="24"/>
                <w:lang w:val="en-US" w:eastAsia="zh-CN"/>
              </w:rPr>
              <w:t>月</w:t>
            </w:r>
            <w:r>
              <w:rPr>
                <w:rFonts w:hint="eastAsia" w:ascii="Times New Roman" w:hAnsi="Times New Roman" w:cs="Times New Roman"/>
                <w:color w:val="auto"/>
                <w:sz w:val="24"/>
                <w:lang w:val="en-US" w:eastAsia="zh-CN"/>
              </w:rPr>
              <w:t>在本地块布设切割机、剪板机、折弯机、冲床、压力机等</w:t>
            </w:r>
            <w:r>
              <w:rPr>
                <w:rFonts w:hint="default" w:ascii="Times New Roman" w:hAnsi="Times New Roman" w:cs="Times New Roman"/>
                <w:color w:val="auto"/>
                <w:sz w:val="24"/>
                <w:lang w:val="en-US" w:eastAsia="zh-CN"/>
              </w:rPr>
              <w:t>进行机械零件加工（无铆焊、电焊、碰焊及喷漆作业）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占地面积约</w:t>
            </w:r>
            <w:r>
              <w:rPr>
                <w:rFonts w:hint="eastAsia" w:ascii="Times New Roman" w:hAnsi="Times New Roman" w:cs="Times New Roman"/>
                <w:color w:val="auto"/>
                <w:sz w:val="24"/>
                <w:lang w:val="en-US" w:eastAsia="zh-CN"/>
              </w:rPr>
              <w:t>18413</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现</w:t>
            </w:r>
            <w:r>
              <w:rPr>
                <w:rFonts w:hint="default" w:ascii="Times New Roman" w:hAnsi="Times New Roman" w:cs="Times New Roman"/>
                <w:color w:val="auto"/>
                <w:sz w:val="24"/>
                <w:lang w:val="en-US" w:eastAsia="zh-CN"/>
              </w:rPr>
              <w:t>为进一步提高工件品质，</w:t>
            </w:r>
            <w:r>
              <w:rPr>
                <w:rFonts w:hint="eastAsia" w:ascii="Times New Roman" w:hAnsi="Times New Roman" w:cs="Times New Roman"/>
                <w:color w:val="auto"/>
                <w:sz w:val="24"/>
                <w:lang w:val="en-US" w:eastAsia="zh-CN"/>
              </w:rPr>
              <w:t>拟</w:t>
            </w:r>
            <w:r>
              <w:rPr>
                <w:rFonts w:hint="default" w:ascii="Times New Roman" w:hAnsi="Times New Roman" w:cs="Times New Roman"/>
                <w:color w:val="auto"/>
                <w:sz w:val="24"/>
                <w:lang w:val="en-US" w:eastAsia="zh-CN"/>
              </w:rPr>
              <w:t>在</w:t>
            </w:r>
            <w:r>
              <w:rPr>
                <w:rFonts w:hint="eastAsia" w:ascii="Times New Roman" w:hAnsi="Times New Roman" w:cs="Times New Roman"/>
                <w:color w:val="auto"/>
                <w:sz w:val="24"/>
                <w:lang w:val="en-US" w:eastAsia="zh-CN"/>
              </w:rPr>
              <w:t>现有</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厂区</w:t>
            </w:r>
            <w:r>
              <w:rPr>
                <w:rFonts w:hint="default" w:ascii="Times New Roman" w:hAnsi="Times New Roman" w:cs="Times New Roman"/>
                <w:color w:val="auto"/>
                <w:sz w:val="24"/>
                <w:lang w:val="en-US" w:eastAsia="zh-CN"/>
              </w:rPr>
              <w:t>内预留位置安装</w:t>
            </w:r>
            <w:r>
              <w:rPr>
                <w:rFonts w:hint="eastAsia" w:ascii="Times New Roman" w:hAnsi="Times New Roman" w:cs="Times New Roman"/>
                <w:color w:val="auto"/>
                <w:sz w:val="24"/>
                <w:lang w:val="en-US" w:eastAsia="zh-CN"/>
              </w:rPr>
              <w:t>激光切割设备、焊接设备、</w:t>
            </w:r>
            <w:r>
              <w:rPr>
                <w:rFonts w:hint="default" w:ascii="Times New Roman" w:hAnsi="Times New Roman" w:cs="Times New Roman"/>
                <w:color w:val="auto"/>
                <w:sz w:val="24"/>
                <w:lang w:val="en-US" w:eastAsia="zh-CN"/>
              </w:rPr>
              <w:t>抛丸</w:t>
            </w:r>
            <w:r>
              <w:rPr>
                <w:rFonts w:hint="eastAsia" w:ascii="Times New Roman" w:hAnsi="Times New Roman" w:cs="Times New Roman"/>
                <w:color w:val="auto"/>
                <w:sz w:val="24"/>
                <w:lang w:val="en-US" w:eastAsia="zh-CN"/>
              </w:rPr>
              <w:t>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喷粉涂装线</w:t>
            </w:r>
            <w:r>
              <w:rPr>
                <w:rFonts w:hint="default" w:ascii="Times New Roman" w:hAnsi="Times New Roman" w:cs="Times New Roman"/>
                <w:color w:val="auto"/>
                <w:sz w:val="24"/>
                <w:lang w:val="en-US" w:eastAsia="zh-CN"/>
              </w:rPr>
              <w:t>等生产加工设备，进行电气配件加工生产。</w:t>
            </w:r>
          </w:p>
          <w:p w14:paraId="464A98B4">
            <w:pPr>
              <w:wordWrap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根据《中华人民共和国环境影响评价法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建设项目环境保护管理条例》和《建设项目环境影响评价分类管理名录》</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2021年版</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本项目主要生产中低压断路器配件</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属于</w:t>
            </w:r>
            <w:r>
              <w:rPr>
                <w:rFonts w:hint="default" w:ascii="Times New Roman" w:hAnsi="Times New Roman" w:eastAsia="宋体" w:cs="Times New Roman"/>
                <w:color w:val="auto"/>
                <w:sz w:val="24"/>
              </w:rPr>
              <w:t>C3824 电力电子元器件制造；77.输配电及控制设备制造382</w:t>
            </w:r>
            <w:r>
              <w:rPr>
                <w:rFonts w:hint="eastAsia" w:ascii="Times New Roman" w:hAnsi="Times New Roman" w:eastAsia="宋体" w:cs="Times New Roman"/>
                <w:color w:val="auto"/>
                <w:sz w:val="24"/>
                <w:lang w:eastAsia="zh-CN"/>
              </w:rPr>
              <w:t>中</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其他（</w:t>
            </w:r>
            <w:r>
              <w:rPr>
                <w:rFonts w:hint="eastAsia" w:ascii="Times New Roman" w:hAnsi="Times New Roman" w:eastAsia="宋体" w:cs="Times New Roman"/>
                <w:color w:val="auto"/>
                <w:sz w:val="24"/>
                <w:lang w:val="en-US" w:eastAsia="zh-CN"/>
              </w:rPr>
              <w:t>仅分割、焊接、组装的除外；</w:t>
            </w:r>
            <w:r>
              <w:rPr>
                <w:rFonts w:hint="default" w:ascii="Times New Roman" w:hAnsi="Times New Roman" w:eastAsia="宋体" w:cs="Times New Roman"/>
                <w:color w:val="auto"/>
                <w:sz w:val="24"/>
                <w:lang w:val="en-US" w:eastAsia="zh-CN"/>
              </w:rPr>
              <w:t>年用非溶剂型低VOC</w:t>
            </w:r>
            <w:r>
              <w:rPr>
                <w:rFonts w:hint="default" w:ascii="Times New Roman" w:hAnsi="Times New Roman" w:eastAsia="宋体" w:cs="Times New Roman"/>
                <w:color w:val="auto"/>
                <w:sz w:val="24"/>
                <w:vertAlign w:val="subscript"/>
                <w:lang w:val="en-US" w:eastAsia="zh-CN"/>
              </w:rPr>
              <w:t>S</w:t>
            </w:r>
            <w:r>
              <w:rPr>
                <w:rFonts w:hint="default" w:ascii="Times New Roman" w:hAnsi="Times New Roman" w:eastAsia="宋体" w:cs="Times New Roman"/>
                <w:color w:val="auto"/>
                <w:sz w:val="24"/>
                <w:lang w:val="en-US" w:eastAsia="zh-CN"/>
              </w:rPr>
              <w:t>含量涂料10吨以下的除外）</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根据</w:t>
            </w:r>
            <w:r>
              <w:rPr>
                <w:rFonts w:hint="default" w:ascii="Times New Roman" w:hAnsi="Times New Roman" w:eastAsia="宋体" w:cs="Times New Roman"/>
                <w:color w:val="auto"/>
                <w:sz w:val="24"/>
              </w:rPr>
              <w:t>有关规定，</w:t>
            </w:r>
            <w:r>
              <w:rPr>
                <w:rFonts w:hint="default" w:ascii="Times New Roman" w:hAnsi="Times New Roman" w:eastAsia="宋体" w:cs="Times New Roman"/>
                <w:color w:val="auto"/>
                <w:sz w:val="24"/>
                <w:lang w:eastAsia="zh-CN"/>
              </w:rPr>
              <w:t>故</w:t>
            </w:r>
            <w:r>
              <w:rPr>
                <w:rFonts w:hint="default" w:ascii="Times New Roman" w:hAnsi="Times New Roman" w:eastAsia="宋体" w:cs="Times New Roman"/>
                <w:color w:val="auto"/>
                <w:sz w:val="24"/>
              </w:rPr>
              <w:t>该项目需进行环境影响评价，编制环境影响报告表。</w:t>
            </w:r>
          </w:p>
          <w:p w14:paraId="19FA5E6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项目概况</w:t>
            </w:r>
          </w:p>
          <w:p w14:paraId="6AD5D9F5">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项目名称：</w:t>
            </w:r>
            <w:r>
              <w:rPr>
                <w:rFonts w:hint="eastAsia" w:ascii="Times New Roman" w:hAnsi="Times New Roman" w:cs="Times New Roman"/>
                <w:color w:val="auto"/>
                <w:sz w:val="24"/>
                <w:lang w:val="en-US" w:eastAsia="zh-CN"/>
              </w:rPr>
              <w:t>文达机械制造技改项目</w:t>
            </w:r>
          </w:p>
          <w:p w14:paraId="0B01BB9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建设单位：</w:t>
            </w:r>
            <w:r>
              <w:rPr>
                <w:rFonts w:hint="default" w:ascii="Times New Roman" w:hAnsi="Times New Roman" w:cs="Times New Roman"/>
                <w:color w:val="auto"/>
                <w:sz w:val="24"/>
                <w:lang w:val="en-US" w:eastAsia="zh-CN"/>
              </w:rPr>
              <w:t>宝鸡市文达机械制造有限公司</w:t>
            </w:r>
          </w:p>
          <w:p w14:paraId="60400561">
            <w:pPr>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建设性质：</w:t>
            </w:r>
            <w:r>
              <w:rPr>
                <w:rFonts w:hint="eastAsia" w:cs="Times New Roman"/>
                <w:color w:val="auto"/>
                <w:sz w:val="24"/>
                <w:lang w:val="en-US" w:eastAsia="zh-CN"/>
              </w:rPr>
              <w:t>技改</w:t>
            </w:r>
          </w:p>
          <w:p w14:paraId="308C31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建设地点：本项目位于</w:t>
            </w:r>
            <w:r>
              <w:rPr>
                <w:rFonts w:hint="default" w:ascii="Times New Roman" w:hAnsi="Times New Roman" w:cs="Times New Roman"/>
                <w:color w:val="auto"/>
                <w:sz w:val="24"/>
                <w:lang w:eastAsia="zh-CN"/>
              </w:rPr>
              <w:t>陕西省宝鸡市陈仓区</w:t>
            </w:r>
            <w:r>
              <w:rPr>
                <w:rFonts w:hint="default" w:ascii="Times New Roman" w:hAnsi="Times New Roman" w:cs="Times New Roman"/>
                <w:color w:val="auto"/>
                <w:sz w:val="24"/>
                <w:lang w:val="en-US" w:eastAsia="zh-CN"/>
              </w:rPr>
              <w:t>东关</w:t>
            </w:r>
            <w:r>
              <w:rPr>
                <w:rFonts w:hint="eastAsia" w:ascii="Times New Roman" w:hAnsi="Times New Roman" w:cs="Times New Roman"/>
                <w:color w:val="auto"/>
                <w:sz w:val="24"/>
                <w:lang w:val="en-US" w:eastAsia="zh-CN"/>
              </w:rPr>
              <w:t>科技工业园区内</w:t>
            </w:r>
            <w:r>
              <w:rPr>
                <w:rFonts w:hint="default" w:ascii="Times New Roman" w:hAnsi="Times New Roman" w:cs="Times New Roman"/>
                <w:color w:val="auto"/>
                <w:sz w:val="24"/>
              </w:rPr>
              <w:t>，项目中心地理坐标为东经107°</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31.266</w:t>
            </w:r>
            <w:r>
              <w:rPr>
                <w:rFonts w:hint="default" w:ascii="Times New Roman" w:hAnsi="Times New Roman" w:cs="Times New Roman"/>
                <w:color w:val="auto"/>
                <w:sz w:val="24"/>
              </w:rPr>
              <w:t>″，北纬34°2</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1.355</w:t>
            </w:r>
            <w:r>
              <w:rPr>
                <w:rFonts w:hint="default" w:ascii="Times New Roman" w:hAnsi="Times New Roman" w:cs="Times New Roman"/>
                <w:color w:val="auto"/>
                <w:sz w:val="24"/>
              </w:rPr>
              <w:t>″。具体建设地理位置如附图1所示。</w:t>
            </w:r>
          </w:p>
          <w:p w14:paraId="707A7DA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建设工程内容及规模</w:t>
            </w:r>
          </w:p>
          <w:p w14:paraId="0AD7BD1E">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在</w:t>
            </w:r>
            <w:r>
              <w:rPr>
                <w:rFonts w:hint="eastAsia" w:ascii="Times New Roman" w:hAnsi="Times New Roman" w:cs="Times New Roman"/>
                <w:color w:val="auto"/>
                <w:sz w:val="24"/>
                <w:lang w:val="en-US" w:eastAsia="zh-CN"/>
              </w:rPr>
              <w:t>现有项目厂区内</w:t>
            </w:r>
            <w:r>
              <w:rPr>
                <w:rFonts w:hint="default" w:ascii="Times New Roman" w:hAnsi="Times New Roman" w:cs="Times New Roman"/>
                <w:color w:val="auto"/>
                <w:sz w:val="24"/>
                <w:lang w:val="en-US" w:eastAsia="zh-CN"/>
              </w:rPr>
              <w:t>预留位置安装抛丸</w:t>
            </w:r>
            <w:r>
              <w:rPr>
                <w:rFonts w:hint="eastAsia" w:ascii="Times New Roman" w:hAnsi="Times New Roman" w:cs="Times New Roman"/>
                <w:color w:val="auto"/>
                <w:sz w:val="24"/>
                <w:lang w:val="en-US" w:eastAsia="zh-CN"/>
              </w:rPr>
              <w:t>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焊接设备</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激光切割设备、</w:t>
            </w:r>
            <w:r>
              <w:rPr>
                <w:rFonts w:hint="eastAsia" w:cs="Times New Roman"/>
                <w:color w:val="auto"/>
                <w:sz w:val="24"/>
                <w:lang w:val="en-US" w:eastAsia="zh-CN"/>
              </w:rPr>
              <w:t>喷塑</w:t>
            </w:r>
            <w:r>
              <w:rPr>
                <w:rFonts w:hint="eastAsia" w:ascii="Times New Roman" w:hAnsi="Times New Roman" w:cs="Times New Roman"/>
                <w:color w:val="auto"/>
                <w:sz w:val="24"/>
                <w:lang w:val="en-US" w:eastAsia="zh-CN"/>
              </w:rPr>
              <w:t>生产线</w:t>
            </w:r>
            <w:r>
              <w:rPr>
                <w:rFonts w:hint="default" w:ascii="Times New Roman" w:hAnsi="Times New Roman" w:cs="Times New Roman"/>
                <w:color w:val="auto"/>
                <w:sz w:val="24"/>
                <w:lang w:val="en-US" w:eastAsia="zh-CN"/>
              </w:rPr>
              <w:t>等生产加工设备，进行电气配件加工生产，并配套相应的环保设施</w:t>
            </w:r>
            <w:r>
              <w:rPr>
                <w:rFonts w:hint="default" w:ascii="Times New Roman" w:hAnsi="Times New Roman" w:cs="Times New Roman"/>
                <w:color w:val="auto"/>
                <w:sz w:val="24"/>
              </w:rPr>
              <w:t>。本项目组成详见表2-1。</w:t>
            </w:r>
          </w:p>
          <w:p w14:paraId="665F17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项目组成一览表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440"/>
              <w:gridCol w:w="205"/>
              <w:gridCol w:w="646"/>
              <w:gridCol w:w="4858"/>
              <w:gridCol w:w="1347"/>
            </w:tblGrid>
            <w:tr w14:paraId="79DE0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30" w:type="pct"/>
                  <w:noWrap w:val="0"/>
                  <w:vAlign w:val="center"/>
                </w:tcPr>
                <w:p w14:paraId="3F29B4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769" w:type="pct"/>
                  <w:gridSpan w:val="3"/>
                  <w:noWrap w:val="0"/>
                  <w:vAlign w:val="center"/>
                </w:tcPr>
                <w:p w14:paraId="0C76B1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项目名称</w:t>
                  </w:r>
                </w:p>
              </w:tc>
              <w:tc>
                <w:tcPr>
                  <w:tcW w:w="2896" w:type="pct"/>
                  <w:noWrap w:val="0"/>
                  <w:vAlign w:val="center"/>
                </w:tcPr>
                <w:p w14:paraId="349A97F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项目组成</w:t>
                  </w:r>
                </w:p>
              </w:tc>
              <w:tc>
                <w:tcPr>
                  <w:tcW w:w="803" w:type="pct"/>
                  <w:noWrap w:val="0"/>
                  <w:vAlign w:val="center"/>
                </w:tcPr>
                <w:p w14:paraId="360FA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3F67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30" w:type="pct"/>
                  <w:vMerge w:val="restart"/>
                  <w:noWrap w:val="0"/>
                  <w:vAlign w:val="center"/>
                </w:tcPr>
                <w:p w14:paraId="06A4D4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14:paraId="61A6CF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262" w:type="pct"/>
                  <w:vMerge w:val="restart"/>
                  <w:noWrap w:val="0"/>
                  <w:vAlign w:val="center"/>
                </w:tcPr>
                <w:p w14:paraId="7C63180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507" w:type="pct"/>
                  <w:gridSpan w:val="2"/>
                  <w:noWrap w:val="0"/>
                  <w:vAlign w:val="center"/>
                </w:tcPr>
                <w:p w14:paraId="393979C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激光切割区</w:t>
                  </w:r>
                </w:p>
              </w:tc>
              <w:tc>
                <w:tcPr>
                  <w:tcW w:w="2896" w:type="pct"/>
                  <w:noWrap w:val="0"/>
                  <w:vAlign w:val="center"/>
                </w:tcPr>
                <w:p w14:paraId="17C86D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1层</w:t>
                  </w:r>
                  <w:r>
                    <w:rPr>
                      <w:rFonts w:hint="eastAsia" w:ascii="Times New Roman" w:hAnsi="Times New Roman" w:cs="Times New Roman"/>
                      <w:color w:val="auto"/>
                      <w:szCs w:val="21"/>
                      <w:lang w:val="en-US" w:eastAsia="zh-CN"/>
                    </w:rPr>
                    <w:t>钢</w:t>
                  </w:r>
                  <w:r>
                    <w:rPr>
                      <w:rFonts w:hint="default" w:ascii="Times New Roman" w:hAnsi="Times New Roman" w:cs="Times New Roman"/>
                      <w:color w:val="auto"/>
                      <w:szCs w:val="21"/>
                      <w:lang w:val="en-US" w:eastAsia="zh-CN"/>
                    </w:rPr>
                    <w:t>结构，</w:t>
                  </w:r>
                  <w:r>
                    <w:rPr>
                      <w:rFonts w:hint="eastAsia" w:ascii="Times New Roman" w:hAnsi="Times New Roman" w:cs="Times New Roman"/>
                      <w:color w:val="auto"/>
                      <w:szCs w:val="21"/>
                      <w:lang w:val="en-US" w:eastAsia="zh-CN"/>
                    </w:rPr>
                    <w:t>分为4跨，激光切割区位于厂房第2跨东侧位置，</w:t>
                  </w:r>
                  <w:r>
                    <w:rPr>
                      <w:rFonts w:hint="default" w:ascii="Times New Roman" w:hAnsi="Times New Roman" w:cs="Times New Roman"/>
                      <w:color w:val="auto"/>
                      <w:szCs w:val="21"/>
                      <w:lang w:eastAsia="zh-CN"/>
                    </w:rPr>
                    <w:t>占地面积</w:t>
                  </w:r>
                  <w:r>
                    <w:rPr>
                      <w:rFonts w:hint="eastAsia" w:ascii="Times New Roman" w:hAnsi="Times New Roman" w:cs="Times New Roman"/>
                      <w:color w:val="auto"/>
                      <w:szCs w:val="21"/>
                      <w:lang w:eastAsia="zh-CN"/>
                    </w:rPr>
                    <w:t>共计</w:t>
                  </w:r>
                  <w:r>
                    <w:rPr>
                      <w:rFonts w:hint="eastAsia" w:ascii="Times New Roman" w:hAnsi="Times New Roman" w:cs="Times New Roman"/>
                      <w:color w:val="auto"/>
                      <w:szCs w:val="21"/>
                      <w:lang w:val="en-US" w:eastAsia="zh-CN"/>
                    </w:rPr>
                    <w:t>288</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12</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13</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新增激光切割设备。</w:t>
                  </w:r>
                </w:p>
              </w:tc>
              <w:tc>
                <w:tcPr>
                  <w:tcW w:w="803" w:type="pct"/>
                  <w:vMerge w:val="restart"/>
                  <w:noWrap w:val="0"/>
                  <w:vAlign w:val="center"/>
                </w:tcPr>
                <w:p w14:paraId="4EDA1993">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依托厂房，新增设备及环保设施</w:t>
                  </w:r>
                </w:p>
              </w:tc>
            </w:tr>
            <w:tr w14:paraId="736DC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30" w:type="pct"/>
                  <w:vMerge w:val="continue"/>
                  <w:noWrap w:val="0"/>
                  <w:vAlign w:val="center"/>
                </w:tcPr>
                <w:p w14:paraId="7222E12C">
                  <w:pPr>
                    <w:adjustRightInd w:val="0"/>
                    <w:snapToGrid w:val="0"/>
                    <w:jc w:val="center"/>
                    <w:rPr>
                      <w:rFonts w:hint="default" w:ascii="Times New Roman" w:hAnsi="Times New Roman" w:cs="Times New Roman"/>
                      <w:color w:val="auto"/>
                      <w:szCs w:val="21"/>
                    </w:rPr>
                  </w:pPr>
                </w:p>
                <w:p w14:paraId="4AC223B2">
                  <w:pPr>
                    <w:pStyle w:val="2"/>
                    <w:rPr>
                      <w:rFonts w:hint="default" w:ascii="Times New Roman" w:hAnsi="Times New Roman" w:cs="Times New Roman"/>
                      <w:color w:val="auto"/>
                      <w:szCs w:val="21"/>
                    </w:rPr>
                  </w:pPr>
                </w:p>
                <w:p w14:paraId="0BB035B3">
                  <w:pPr>
                    <w:rPr>
                      <w:rFonts w:hint="default"/>
                      <w:color w:val="auto"/>
                    </w:rPr>
                  </w:pPr>
                </w:p>
              </w:tc>
              <w:tc>
                <w:tcPr>
                  <w:tcW w:w="262" w:type="pct"/>
                  <w:vMerge w:val="continue"/>
                  <w:noWrap w:val="0"/>
                  <w:vAlign w:val="center"/>
                </w:tcPr>
                <w:p w14:paraId="7D688094">
                  <w:pPr>
                    <w:adjustRightInd w:val="0"/>
                    <w:snapToGrid w:val="0"/>
                    <w:jc w:val="center"/>
                    <w:rPr>
                      <w:rFonts w:hint="default" w:ascii="Times New Roman" w:hAnsi="Times New Roman" w:cs="Times New Roman"/>
                      <w:color w:val="auto"/>
                      <w:szCs w:val="21"/>
                    </w:rPr>
                  </w:pPr>
                </w:p>
              </w:tc>
              <w:tc>
                <w:tcPr>
                  <w:tcW w:w="507" w:type="pct"/>
                  <w:gridSpan w:val="2"/>
                  <w:noWrap w:val="0"/>
                  <w:vAlign w:val="center"/>
                </w:tcPr>
                <w:p w14:paraId="0F6E0A8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焊接区</w:t>
                  </w:r>
                </w:p>
              </w:tc>
              <w:tc>
                <w:tcPr>
                  <w:tcW w:w="2896" w:type="pct"/>
                  <w:noWrap w:val="0"/>
                  <w:vAlign w:val="center"/>
                </w:tcPr>
                <w:p w14:paraId="0607014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1层</w:t>
                  </w:r>
                  <w:r>
                    <w:rPr>
                      <w:rFonts w:hint="eastAsia" w:ascii="Times New Roman" w:hAnsi="Times New Roman" w:cs="Times New Roman"/>
                      <w:color w:val="auto"/>
                      <w:szCs w:val="21"/>
                      <w:lang w:val="en-US" w:eastAsia="zh-CN"/>
                    </w:rPr>
                    <w:t>钢</w:t>
                  </w:r>
                  <w:r>
                    <w:rPr>
                      <w:rFonts w:hint="default" w:ascii="Times New Roman" w:hAnsi="Times New Roman" w:cs="Times New Roman"/>
                      <w:color w:val="auto"/>
                      <w:szCs w:val="21"/>
                      <w:lang w:val="en-US" w:eastAsia="zh-CN"/>
                    </w:rPr>
                    <w:t>结构，</w:t>
                  </w:r>
                  <w:r>
                    <w:rPr>
                      <w:rFonts w:hint="eastAsia" w:ascii="Times New Roman" w:hAnsi="Times New Roman" w:cs="Times New Roman"/>
                      <w:color w:val="auto"/>
                      <w:szCs w:val="21"/>
                      <w:lang w:val="en-US" w:eastAsia="zh-CN"/>
                    </w:rPr>
                    <w:t>分为4跨，焊接区位于厂房第2跨中间位置，设焊接房，</w:t>
                  </w:r>
                  <w:r>
                    <w:rPr>
                      <w:rFonts w:hint="default" w:ascii="Times New Roman" w:hAnsi="Times New Roman" w:cs="Times New Roman"/>
                      <w:color w:val="auto"/>
                      <w:szCs w:val="21"/>
                      <w:lang w:eastAsia="zh-CN"/>
                    </w:rPr>
                    <w:t>占地面积</w:t>
                  </w:r>
                  <w:r>
                    <w:rPr>
                      <w:rFonts w:hint="eastAsia" w:ascii="Times New Roman" w:hAnsi="Times New Roman" w:cs="Times New Roman"/>
                      <w:color w:val="auto"/>
                      <w:szCs w:val="21"/>
                      <w:lang w:eastAsia="zh-CN"/>
                    </w:rPr>
                    <w:t>共计</w:t>
                  </w:r>
                  <w:r>
                    <w:rPr>
                      <w:rFonts w:hint="eastAsia" w:ascii="Times New Roman" w:hAnsi="Times New Roman" w:cs="Times New Roman"/>
                      <w:color w:val="auto"/>
                      <w:szCs w:val="21"/>
                      <w:lang w:val="en-US" w:eastAsia="zh-CN"/>
                    </w:rPr>
                    <w:t>180</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15</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12</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新增焊接设备。</w:t>
                  </w:r>
                </w:p>
              </w:tc>
              <w:tc>
                <w:tcPr>
                  <w:tcW w:w="803" w:type="pct"/>
                  <w:vMerge w:val="continue"/>
                  <w:noWrap w:val="0"/>
                  <w:vAlign w:val="center"/>
                </w:tcPr>
                <w:p w14:paraId="649160FF">
                  <w:pPr>
                    <w:adjustRightInd w:val="0"/>
                    <w:snapToGrid w:val="0"/>
                    <w:jc w:val="center"/>
                    <w:rPr>
                      <w:rFonts w:hint="default" w:ascii="Times New Roman" w:hAnsi="Times New Roman" w:cs="Times New Roman"/>
                      <w:color w:val="auto"/>
                      <w:szCs w:val="21"/>
                      <w:lang w:eastAsia="zh-CN"/>
                    </w:rPr>
                  </w:pPr>
                </w:p>
              </w:tc>
            </w:tr>
            <w:tr w14:paraId="5E673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30" w:type="pct"/>
                  <w:vMerge w:val="continue"/>
                  <w:noWrap w:val="0"/>
                  <w:vAlign w:val="center"/>
                </w:tcPr>
                <w:p w14:paraId="43BB83BE">
                  <w:pPr>
                    <w:rPr>
                      <w:rFonts w:hint="default"/>
                      <w:color w:val="auto"/>
                    </w:rPr>
                  </w:pPr>
                </w:p>
              </w:tc>
              <w:tc>
                <w:tcPr>
                  <w:tcW w:w="262" w:type="pct"/>
                  <w:vMerge w:val="continue"/>
                  <w:noWrap w:val="0"/>
                  <w:vAlign w:val="center"/>
                </w:tcPr>
                <w:p w14:paraId="11C1D6E7">
                  <w:pPr>
                    <w:adjustRightInd w:val="0"/>
                    <w:snapToGrid w:val="0"/>
                    <w:jc w:val="center"/>
                    <w:rPr>
                      <w:rFonts w:hint="default" w:ascii="Times New Roman" w:hAnsi="Times New Roman" w:cs="Times New Roman"/>
                      <w:color w:val="auto"/>
                      <w:szCs w:val="21"/>
                    </w:rPr>
                  </w:pPr>
                </w:p>
              </w:tc>
              <w:tc>
                <w:tcPr>
                  <w:tcW w:w="507" w:type="pct"/>
                  <w:gridSpan w:val="2"/>
                  <w:noWrap w:val="0"/>
                  <w:vAlign w:val="center"/>
                </w:tcPr>
                <w:p w14:paraId="7536424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抛丸区</w:t>
                  </w:r>
                </w:p>
              </w:tc>
              <w:tc>
                <w:tcPr>
                  <w:tcW w:w="2896" w:type="pct"/>
                  <w:noWrap w:val="0"/>
                  <w:vAlign w:val="center"/>
                </w:tcPr>
                <w:p w14:paraId="77B4F67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抛丸区位于厂房第2跨西侧位置，共设3台，占地面积共计96㎡，</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（12m*8m*13m），用于工件表面的抛丸处理。</w:t>
                  </w:r>
                </w:p>
              </w:tc>
              <w:tc>
                <w:tcPr>
                  <w:tcW w:w="803" w:type="pct"/>
                  <w:vMerge w:val="continue"/>
                  <w:noWrap w:val="0"/>
                  <w:vAlign w:val="center"/>
                </w:tcPr>
                <w:p w14:paraId="6BE6652E">
                  <w:pPr>
                    <w:adjustRightInd w:val="0"/>
                    <w:snapToGrid w:val="0"/>
                    <w:jc w:val="center"/>
                    <w:rPr>
                      <w:rFonts w:hint="default" w:ascii="Times New Roman" w:hAnsi="Times New Roman" w:cs="Times New Roman"/>
                      <w:color w:val="auto"/>
                      <w:szCs w:val="21"/>
                      <w:lang w:eastAsia="zh-CN"/>
                    </w:rPr>
                  </w:pPr>
                </w:p>
              </w:tc>
            </w:tr>
            <w:tr w14:paraId="249C8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pct"/>
                  <w:vMerge w:val="continue"/>
                  <w:noWrap w:val="0"/>
                  <w:vAlign w:val="center"/>
                </w:tcPr>
                <w:p w14:paraId="305617B8">
                  <w:pPr>
                    <w:adjustRightInd w:val="0"/>
                    <w:snapToGrid w:val="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w:t>
                  </w:r>
                </w:p>
                <w:p w14:paraId="08603F07">
                  <w:pPr>
                    <w:pStyle w:val="2"/>
                    <w:rPr>
                      <w:rFonts w:hint="eastAsia" w:ascii="Times New Roman" w:hAnsi="Times New Roman" w:cs="Times New Roman"/>
                      <w:color w:val="auto"/>
                      <w:lang w:eastAsia="zh-CN"/>
                    </w:rPr>
                  </w:pPr>
                </w:p>
                <w:p w14:paraId="2886F6A6">
                  <w:pPr>
                    <w:rPr>
                      <w:rFonts w:hint="eastAsia" w:ascii="Times New Roman" w:hAnsi="Times New Roman" w:cs="Times New Roman"/>
                      <w:color w:val="auto"/>
                      <w:lang w:eastAsia="zh-CN"/>
                    </w:rPr>
                  </w:pPr>
                </w:p>
                <w:p w14:paraId="03A96E17">
                  <w:pPr>
                    <w:pStyle w:val="2"/>
                    <w:rPr>
                      <w:rFonts w:hint="eastAsia" w:ascii="Times New Roman" w:hAnsi="Times New Roman" w:cs="Times New Roman"/>
                      <w:color w:val="auto"/>
                      <w:lang w:eastAsia="zh-CN"/>
                    </w:rPr>
                  </w:pPr>
                </w:p>
                <w:p w14:paraId="4F0D3F88">
                  <w:pPr>
                    <w:rPr>
                      <w:rFonts w:hint="eastAsia" w:ascii="Times New Roman" w:hAnsi="Times New Roman" w:cs="Times New Roman"/>
                      <w:color w:val="auto"/>
                      <w:lang w:eastAsia="zh-CN"/>
                    </w:rPr>
                  </w:pPr>
                </w:p>
                <w:p w14:paraId="26DD5564">
                  <w:pPr>
                    <w:pStyle w:val="2"/>
                    <w:rPr>
                      <w:rFonts w:hint="eastAsia"/>
                      <w:color w:val="auto"/>
                      <w:lang w:eastAsia="zh-CN"/>
                    </w:rPr>
                  </w:pPr>
                </w:p>
              </w:tc>
              <w:tc>
                <w:tcPr>
                  <w:tcW w:w="262" w:type="pct"/>
                  <w:vMerge w:val="continue"/>
                  <w:noWrap w:val="0"/>
                  <w:vAlign w:val="center"/>
                </w:tcPr>
                <w:p w14:paraId="0E7413FA">
                  <w:pPr>
                    <w:adjustRightInd w:val="0"/>
                    <w:snapToGrid w:val="0"/>
                    <w:jc w:val="center"/>
                    <w:rPr>
                      <w:rFonts w:hint="default" w:ascii="Times New Roman" w:hAnsi="Times New Roman" w:cs="Times New Roman"/>
                      <w:color w:val="auto"/>
                    </w:rPr>
                  </w:pPr>
                </w:p>
              </w:tc>
              <w:tc>
                <w:tcPr>
                  <w:tcW w:w="507" w:type="pct"/>
                  <w:gridSpan w:val="2"/>
                  <w:noWrap w:val="0"/>
                  <w:vAlign w:val="center"/>
                </w:tcPr>
                <w:p w14:paraId="1940815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喷塑</w:t>
                  </w:r>
                  <w:r>
                    <w:rPr>
                      <w:rFonts w:hint="eastAsia" w:ascii="Times New Roman" w:hAnsi="Times New Roman" w:cs="Times New Roman"/>
                      <w:color w:val="auto"/>
                      <w:szCs w:val="21"/>
                      <w:lang w:val="en-US" w:eastAsia="zh-CN"/>
                    </w:rPr>
                    <w:t>区</w:t>
                  </w:r>
                </w:p>
              </w:tc>
              <w:tc>
                <w:tcPr>
                  <w:tcW w:w="2896" w:type="pct"/>
                  <w:noWrap w:val="0"/>
                  <w:vAlign w:val="center"/>
                </w:tcPr>
                <w:p w14:paraId="55B2D448">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1层钢结构，位于第4跨，在厂区最北侧位置，</w:t>
                  </w:r>
                  <w:r>
                    <w:rPr>
                      <w:rFonts w:hint="eastAsia" w:cs="Times New Roman"/>
                      <w:color w:val="auto"/>
                      <w:szCs w:val="21"/>
                      <w:lang w:val="en-US" w:eastAsia="zh-CN"/>
                    </w:rPr>
                    <w:t>设</w:t>
                  </w:r>
                  <w:r>
                    <w:rPr>
                      <w:rFonts w:hint="eastAsia" w:ascii="Times New Roman" w:hAnsi="Times New Roman" w:cs="Times New Roman"/>
                      <w:color w:val="auto"/>
                      <w:szCs w:val="21"/>
                      <w:lang w:val="en-US" w:eastAsia="zh-CN"/>
                    </w:rPr>
                    <w:t>喷涂生产线，含除油、水洗、烘干、</w:t>
                  </w:r>
                  <w:r>
                    <w:rPr>
                      <w:rFonts w:hint="eastAsia" w:cs="Times New Roman"/>
                      <w:color w:val="auto"/>
                      <w:szCs w:val="21"/>
                      <w:lang w:val="en-US" w:eastAsia="zh-CN"/>
                    </w:rPr>
                    <w:t>喷粉</w:t>
                  </w:r>
                  <w:r>
                    <w:rPr>
                      <w:rFonts w:hint="eastAsia" w:ascii="Times New Roman" w:hAnsi="Times New Roman" w:cs="Times New Roman"/>
                      <w:color w:val="auto"/>
                      <w:szCs w:val="21"/>
                      <w:lang w:val="en-US" w:eastAsia="zh-CN"/>
                    </w:rPr>
                    <w:t>、固化，</w:t>
                  </w:r>
                  <w:r>
                    <w:rPr>
                      <w:rFonts w:hint="default" w:ascii="Times New Roman" w:hAnsi="Times New Roman" w:cs="Times New Roman"/>
                      <w:color w:val="auto"/>
                      <w:szCs w:val="21"/>
                      <w:lang w:val="en-US" w:eastAsia="zh-CN"/>
                    </w:rPr>
                    <w:t>占地面积为</w:t>
                  </w:r>
                  <w:r>
                    <w:rPr>
                      <w:rFonts w:hint="eastAsia" w:ascii="Times New Roman" w:hAnsi="Times New Roman" w:cs="Times New Roman"/>
                      <w:color w:val="auto"/>
                      <w:szCs w:val="21"/>
                      <w:lang w:val="en-US" w:eastAsia="zh-CN"/>
                    </w:rPr>
                    <w:t>820</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长*宽*高=（</w:t>
                  </w:r>
                  <w:r>
                    <w:rPr>
                      <w:rFonts w:hint="eastAsia" w:ascii="Times New Roman" w:hAnsi="Times New Roman" w:cs="Times New Roman"/>
                      <w:color w:val="auto"/>
                      <w:szCs w:val="21"/>
                      <w:lang w:val="en-US" w:eastAsia="zh-CN"/>
                    </w:rPr>
                    <w:t>58</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14</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w:t>
                  </w:r>
                </w:p>
              </w:tc>
              <w:tc>
                <w:tcPr>
                  <w:tcW w:w="803" w:type="pct"/>
                  <w:vMerge w:val="continue"/>
                  <w:noWrap w:val="0"/>
                  <w:vAlign w:val="center"/>
                </w:tcPr>
                <w:p w14:paraId="629A2B66">
                  <w:pPr>
                    <w:adjustRightInd w:val="0"/>
                    <w:snapToGrid w:val="0"/>
                    <w:jc w:val="center"/>
                    <w:rPr>
                      <w:rFonts w:hint="default" w:ascii="Times New Roman" w:hAnsi="Times New Roman" w:cs="Times New Roman"/>
                      <w:color w:val="auto"/>
                      <w:szCs w:val="21"/>
                    </w:rPr>
                  </w:pPr>
                </w:p>
              </w:tc>
            </w:tr>
            <w:tr w14:paraId="357F5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noWrap w:val="0"/>
                  <w:vAlign w:val="center"/>
                </w:tcPr>
                <w:p w14:paraId="403ED7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辅助</w:t>
                  </w:r>
                </w:p>
                <w:p w14:paraId="437457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gridSpan w:val="3"/>
                  <w:tcBorders>
                    <w:top w:val="single" w:color="auto" w:sz="4" w:space="0"/>
                  </w:tcBorders>
                  <w:noWrap w:val="0"/>
                  <w:vAlign w:val="center"/>
                </w:tcPr>
                <w:p w14:paraId="4153E93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办公</w:t>
                  </w:r>
                  <w:r>
                    <w:rPr>
                      <w:rFonts w:hint="eastAsia" w:ascii="Times New Roman" w:hAnsi="Times New Roman" w:cs="Times New Roman"/>
                      <w:color w:val="auto"/>
                      <w:szCs w:val="21"/>
                      <w:lang w:eastAsia="zh-CN"/>
                    </w:rPr>
                    <w:t>室</w:t>
                  </w:r>
                </w:p>
              </w:tc>
              <w:tc>
                <w:tcPr>
                  <w:tcW w:w="2896" w:type="pct"/>
                  <w:noWrap w:val="0"/>
                  <w:vAlign w:val="center"/>
                </w:tcPr>
                <w:p w14:paraId="7A724B9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层，砖混结构，占地面积</w:t>
                  </w:r>
                  <w:r>
                    <w:rPr>
                      <w:rFonts w:hint="eastAsia" w:ascii="Times New Roman" w:hAnsi="Times New Roman" w:eastAsia="宋体" w:cs="Times New Roman"/>
                      <w:color w:val="auto"/>
                      <w:szCs w:val="21"/>
                      <w:lang w:val="en-US" w:eastAsia="zh-CN"/>
                    </w:rPr>
                    <w:t>180</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Cs w:val="21"/>
                      <w:lang w:val="en-US" w:eastAsia="zh-CN"/>
                    </w:rPr>
                    <w:t>18</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m</w:t>
                  </w:r>
                  <w:r>
                    <w:rPr>
                      <w:rFonts w:hint="eastAsia" w:ascii="Times New Roman" w:hAnsi="Times New Roman" w:eastAsia="宋体" w:cs="Times New Roman"/>
                      <w:color w:val="auto"/>
                      <w:szCs w:val="21"/>
                      <w:lang w:eastAsia="zh-CN"/>
                    </w:rPr>
                    <w:t>）</w:t>
                  </w:r>
                  <w:r>
                    <w:rPr>
                      <w:rFonts w:hint="default" w:ascii="Times New Roman" w:hAnsi="Times New Roman" w:cs="Times New Roman"/>
                      <w:color w:val="auto"/>
                      <w:szCs w:val="21"/>
                    </w:rPr>
                    <w:t>，位于</w:t>
                  </w:r>
                  <w:r>
                    <w:rPr>
                      <w:rFonts w:hint="eastAsia" w:ascii="Times New Roman" w:hAnsi="Times New Roman" w:cs="Times New Roman"/>
                      <w:color w:val="auto"/>
                      <w:szCs w:val="21"/>
                      <w:lang w:eastAsia="zh-CN"/>
                    </w:rPr>
                    <w:t>项目</w:t>
                  </w:r>
                  <w:r>
                    <w:rPr>
                      <w:rFonts w:hint="default" w:ascii="Times New Roman" w:hAnsi="Times New Roman" w:cs="Times New Roman"/>
                      <w:color w:val="auto"/>
                      <w:szCs w:val="21"/>
                      <w:lang w:eastAsia="zh-CN"/>
                    </w:rPr>
                    <w:t>东</w:t>
                  </w:r>
                  <w:r>
                    <w:rPr>
                      <w:rFonts w:hint="eastAsia" w:ascii="Times New Roman" w:hAnsi="Times New Roman" w:cs="Times New Roman"/>
                      <w:color w:val="auto"/>
                      <w:szCs w:val="21"/>
                      <w:lang w:val="en-US" w:eastAsia="zh-CN"/>
                    </w:rPr>
                    <w:t>南位置</w:t>
                  </w:r>
                  <w:r>
                    <w:rPr>
                      <w:rFonts w:hint="eastAsia" w:ascii="Times New Roman" w:hAnsi="Times New Roman" w:cs="Times New Roman"/>
                      <w:color w:val="auto"/>
                      <w:szCs w:val="21"/>
                      <w:lang w:eastAsia="zh-CN"/>
                    </w:rPr>
                    <w:t>，项目入口处</w:t>
                  </w:r>
                  <w:r>
                    <w:rPr>
                      <w:rFonts w:hint="eastAsia" w:ascii="Times New Roman" w:hAnsi="Times New Roman" w:cs="Times New Roman"/>
                      <w:color w:val="auto"/>
                      <w:szCs w:val="21"/>
                      <w:lang w:val="en-US" w:eastAsia="zh-CN"/>
                    </w:rPr>
                    <w:t>北</w:t>
                  </w:r>
                  <w:r>
                    <w:rPr>
                      <w:rFonts w:hint="eastAsia" w:ascii="Times New Roman" w:hAnsi="Times New Roman" w:cs="Times New Roman"/>
                      <w:color w:val="auto"/>
                      <w:szCs w:val="21"/>
                      <w:lang w:eastAsia="zh-CN"/>
                    </w:rPr>
                    <w:t>侧位置，用于行政办公。</w:t>
                  </w:r>
                </w:p>
              </w:tc>
              <w:tc>
                <w:tcPr>
                  <w:tcW w:w="803" w:type="pct"/>
                  <w:noWrap w:val="0"/>
                  <w:vAlign w:val="center"/>
                </w:tcPr>
                <w:p w14:paraId="33B362F4">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0AA5D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restart"/>
                  <w:noWrap w:val="0"/>
                  <w:vAlign w:val="center"/>
                </w:tcPr>
                <w:p w14:paraId="5F212A0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依托</w:t>
                  </w:r>
                </w:p>
                <w:p w14:paraId="2C1F21F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工程</w:t>
                  </w:r>
                </w:p>
              </w:tc>
              <w:tc>
                <w:tcPr>
                  <w:tcW w:w="769" w:type="pct"/>
                  <w:gridSpan w:val="3"/>
                  <w:tcBorders>
                    <w:top w:val="single" w:color="auto" w:sz="4" w:space="0"/>
                  </w:tcBorders>
                  <w:noWrap w:val="0"/>
                  <w:vAlign w:val="center"/>
                </w:tcPr>
                <w:p w14:paraId="07765CEB">
                  <w:pPr>
                    <w:adjustRightInd w:val="0"/>
                    <w:snapToGrid w:val="0"/>
                    <w:jc w:val="center"/>
                    <w:rPr>
                      <w:rFonts w:hint="default" w:ascii="Times New Roman" w:hAnsi="Times New Roman" w:cs="Times New Roman"/>
                      <w:color w:val="auto"/>
                      <w:szCs w:val="21"/>
                    </w:rPr>
                  </w:pPr>
                  <w:r>
                    <w:rPr>
                      <w:color w:val="auto"/>
                      <w:szCs w:val="21"/>
                    </w:rPr>
                    <w:t>下料区</w:t>
                  </w:r>
                </w:p>
              </w:tc>
              <w:tc>
                <w:tcPr>
                  <w:tcW w:w="2896" w:type="pct"/>
                  <w:noWrap w:val="0"/>
                  <w:vAlign w:val="center"/>
                </w:tcPr>
                <w:p w14:paraId="3E840484">
                  <w:pPr>
                    <w:adjustRightInd w:val="0"/>
                    <w:snapToGrid w:val="0"/>
                    <w:jc w:val="center"/>
                    <w:rPr>
                      <w:rFonts w:hint="eastAsia" w:ascii="Times New Roman" w:hAnsi="Times New Roman" w:eastAsia="宋体" w:cs="Times New Roman"/>
                      <w:color w:val="auto"/>
                      <w:szCs w:val="21"/>
                      <w:lang w:val="en-US" w:eastAsia="zh-CN"/>
                    </w:rPr>
                  </w:pPr>
                  <w:r>
                    <w:rPr>
                      <w:color w:val="auto"/>
                      <w:szCs w:val="21"/>
                    </w:rPr>
                    <w:t>1层</w:t>
                  </w:r>
                  <w:r>
                    <w:rPr>
                      <w:rFonts w:hint="eastAsia"/>
                      <w:color w:val="auto"/>
                      <w:szCs w:val="21"/>
                      <w:lang w:val="en-US" w:eastAsia="zh-CN"/>
                    </w:rPr>
                    <w:t>钢结构</w:t>
                  </w:r>
                  <w:r>
                    <w:rPr>
                      <w:color w:val="auto"/>
                      <w:szCs w:val="21"/>
                    </w:rPr>
                    <w:t>，</w:t>
                  </w:r>
                  <w:r>
                    <w:rPr>
                      <w:rFonts w:hint="eastAsia" w:ascii="Times New Roman" w:hAnsi="Times New Roman" w:cs="Times New Roman"/>
                      <w:color w:val="auto"/>
                      <w:szCs w:val="21"/>
                      <w:lang w:val="en-US" w:eastAsia="zh-CN"/>
                    </w:rPr>
                    <w:t>分为4跨，位于第1跨东侧位置</w:t>
                  </w:r>
                  <w:r>
                    <w:rPr>
                      <w:color w:val="auto"/>
                      <w:szCs w:val="21"/>
                    </w:rPr>
                    <w:t>，占地面积</w:t>
                  </w:r>
                  <w:r>
                    <w:rPr>
                      <w:rFonts w:hint="eastAsia"/>
                      <w:color w:val="auto"/>
                      <w:szCs w:val="21"/>
                    </w:rPr>
                    <w:t>220</w:t>
                  </w:r>
                  <w:r>
                    <w:rPr>
                      <w:color w:val="auto"/>
                      <w:szCs w:val="21"/>
                    </w:rPr>
                    <w:t>㎡，长*宽*高=（</w:t>
                  </w:r>
                  <w:r>
                    <w:rPr>
                      <w:rFonts w:hint="eastAsia"/>
                      <w:color w:val="auto"/>
                      <w:szCs w:val="21"/>
                    </w:rPr>
                    <w:t>20</w:t>
                  </w:r>
                  <w:r>
                    <w:rPr>
                      <w:color w:val="auto"/>
                      <w:szCs w:val="21"/>
                    </w:rPr>
                    <w:t>m*</w:t>
                  </w:r>
                  <w:r>
                    <w:rPr>
                      <w:rFonts w:hint="eastAsia"/>
                      <w:color w:val="auto"/>
                      <w:szCs w:val="21"/>
                    </w:rPr>
                    <w:t>11</w:t>
                  </w:r>
                  <w:r>
                    <w:rPr>
                      <w:color w:val="auto"/>
                      <w:szCs w:val="21"/>
                    </w:rPr>
                    <w:t>m*</w:t>
                  </w:r>
                  <w:r>
                    <w:rPr>
                      <w:rFonts w:hint="eastAsia"/>
                      <w:color w:val="auto"/>
                      <w:szCs w:val="21"/>
                    </w:rPr>
                    <w:t>3</w:t>
                  </w:r>
                  <w:r>
                    <w:rPr>
                      <w:color w:val="auto"/>
                      <w:szCs w:val="21"/>
                    </w:rPr>
                    <w:t>m），主要设置</w:t>
                  </w:r>
                  <w:r>
                    <w:rPr>
                      <w:rFonts w:hint="eastAsia"/>
                      <w:color w:val="auto"/>
                      <w:szCs w:val="21"/>
                    </w:rPr>
                    <w:t>剪板机等下料设备</w:t>
                  </w:r>
                  <w:r>
                    <w:rPr>
                      <w:rFonts w:hint="eastAsia"/>
                      <w:color w:val="auto"/>
                      <w:szCs w:val="21"/>
                      <w:lang w:eastAsia="zh-CN"/>
                    </w:rPr>
                    <w:t>。</w:t>
                  </w:r>
                </w:p>
              </w:tc>
              <w:tc>
                <w:tcPr>
                  <w:tcW w:w="803" w:type="pct"/>
                  <w:noWrap w:val="0"/>
                  <w:vAlign w:val="center"/>
                </w:tcPr>
                <w:p w14:paraId="75FC4A1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3FCA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4046D65B">
                  <w:pPr>
                    <w:adjustRightInd w:val="0"/>
                    <w:snapToGrid w:val="0"/>
                    <w:jc w:val="center"/>
                    <w:rPr>
                      <w:rFonts w:hint="eastAsia" w:ascii="Times New Roman" w:hAnsi="Times New Roman" w:cs="Times New Roman"/>
                      <w:color w:val="auto"/>
                      <w:szCs w:val="21"/>
                      <w:lang w:val="en-US" w:eastAsia="zh-CN"/>
                    </w:rPr>
                  </w:pPr>
                </w:p>
              </w:tc>
              <w:tc>
                <w:tcPr>
                  <w:tcW w:w="769" w:type="pct"/>
                  <w:gridSpan w:val="3"/>
                  <w:tcBorders>
                    <w:top w:val="single" w:color="auto" w:sz="4" w:space="0"/>
                  </w:tcBorders>
                  <w:noWrap w:val="0"/>
                  <w:vAlign w:val="center"/>
                </w:tcPr>
                <w:p w14:paraId="587A6B8C">
                  <w:pPr>
                    <w:adjustRightInd w:val="0"/>
                    <w:snapToGrid w:val="0"/>
                    <w:jc w:val="center"/>
                    <w:rPr>
                      <w:rFonts w:hint="default" w:eastAsia="宋体"/>
                      <w:color w:val="auto"/>
                      <w:szCs w:val="21"/>
                      <w:lang w:val="en-US" w:eastAsia="zh-CN"/>
                    </w:rPr>
                  </w:pPr>
                  <w:r>
                    <w:rPr>
                      <w:rFonts w:hint="eastAsia"/>
                      <w:color w:val="auto"/>
                      <w:szCs w:val="21"/>
                      <w:lang w:val="en-US" w:eastAsia="zh-CN"/>
                    </w:rPr>
                    <w:t>机加区</w:t>
                  </w:r>
                </w:p>
              </w:tc>
              <w:tc>
                <w:tcPr>
                  <w:tcW w:w="2896" w:type="pct"/>
                  <w:noWrap w:val="0"/>
                  <w:vAlign w:val="center"/>
                </w:tcPr>
                <w:p w14:paraId="0F210556">
                  <w:pPr>
                    <w:adjustRightInd w:val="0"/>
                    <w:snapToGrid w:val="0"/>
                    <w:jc w:val="both"/>
                    <w:rPr>
                      <w:rFonts w:hint="eastAsia" w:eastAsia="宋体"/>
                      <w:color w:val="auto"/>
                      <w:szCs w:val="21"/>
                      <w:lang w:val="en-US" w:eastAsia="zh-CN"/>
                    </w:rPr>
                  </w:pPr>
                  <w:r>
                    <w:rPr>
                      <w:rFonts w:hint="eastAsia"/>
                      <w:color w:val="auto"/>
                      <w:szCs w:val="21"/>
                      <w:lang w:val="en-US" w:eastAsia="zh-CN"/>
                    </w:rPr>
                    <w:t>位于第1跨北侧位置，主要设置冲床、折弯机、压力机、钻床等机加设备，</w:t>
                  </w:r>
                  <w:r>
                    <w:rPr>
                      <w:color w:val="auto"/>
                      <w:szCs w:val="21"/>
                    </w:rPr>
                    <w:t>占地面积</w:t>
                  </w:r>
                  <w:r>
                    <w:rPr>
                      <w:rFonts w:hint="eastAsia"/>
                      <w:color w:val="auto"/>
                      <w:szCs w:val="21"/>
                      <w:lang w:val="en-US" w:eastAsia="zh-CN"/>
                    </w:rPr>
                    <w:t>1067</w:t>
                  </w:r>
                  <w:r>
                    <w:rPr>
                      <w:color w:val="auto"/>
                      <w:szCs w:val="21"/>
                    </w:rPr>
                    <w:t>㎡，长*宽*高=（</w:t>
                  </w:r>
                  <w:r>
                    <w:rPr>
                      <w:rFonts w:hint="eastAsia"/>
                      <w:color w:val="auto"/>
                      <w:szCs w:val="21"/>
                      <w:lang w:val="en-US" w:eastAsia="zh-CN"/>
                    </w:rPr>
                    <w:t>97</w:t>
                  </w:r>
                  <w:r>
                    <w:rPr>
                      <w:color w:val="auto"/>
                      <w:szCs w:val="21"/>
                    </w:rPr>
                    <w:t>m*</w:t>
                  </w:r>
                  <w:r>
                    <w:rPr>
                      <w:rFonts w:hint="eastAsia"/>
                      <w:color w:val="auto"/>
                      <w:szCs w:val="21"/>
                    </w:rPr>
                    <w:t>11</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eastAsia"/>
                      <w:color w:val="auto"/>
                      <w:szCs w:val="21"/>
                      <w:lang w:eastAsia="zh-CN"/>
                    </w:rPr>
                    <w:t>。</w:t>
                  </w:r>
                </w:p>
              </w:tc>
              <w:tc>
                <w:tcPr>
                  <w:tcW w:w="803" w:type="pct"/>
                  <w:noWrap w:val="0"/>
                  <w:vAlign w:val="center"/>
                </w:tcPr>
                <w:p w14:paraId="291D7AC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依托</w:t>
                  </w:r>
                </w:p>
              </w:tc>
            </w:tr>
            <w:tr w14:paraId="4C9BC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pct"/>
                  <w:vMerge w:val="continue"/>
                  <w:noWrap w:val="0"/>
                  <w:vAlign w:val="center"/>
                </w:tcPr>
                <w:p w14:paraId="500811C5">
                  <w:pPr>
                    <w:adjustRightInd w:val="0"/>
                    <w:snapToGrid w:val="0"/>
                    <w:jc w:val="center"/>
                    <w:rPr>
                      <w:rFonts w:hint="default" w:ascii="Times New Roman" w:hAnsi="Times New Roman" w:cs="Times New Roman"/>
                      <w:color w:val="auto"/>
                      <w:szCs w:val="21"/>
                    </w:rPr>
                  </w:pPr>
                </w:p>
              </w:tc>
              <w:tc>
                <w:tcPr>
                  <w:tcW w:w="769" w:type="pct"/>
                  <w:gridSpan w:val="3"/>
                  <w:tcBorders>
                    <w:top w:val="single" w:color="auto" w:sz="4" w:space="0"/>
                  </w:tcBorders>
                  <w:noWrap w:val="0"/>
                  <w:vAlign w:val="center"/>
                </w:tcPr>
                <w:p w14:paraId="7ACA40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原料区</w:t>
                  </w:r>
                </w:p>
              </w:tc>
              <w:tc>
                <w:tcPr>
                  <w:tcW w:w="2896" w:type="pct"/>
                  <w:noWrap w:val="0"/>
                  <w:vAlign w:val="center"/>
                </w:tcPr>
                <w:p w14:paraId="47622D9B">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1层，</w:t>
                  </w:r>
                  <w:r>
                    <w:rPr>
                      <w:rFonts w:hint="eastAsia" w:ascii="Times New Roman" w:hAnsi="Times New Roman" w:cs="Times New Roman"/>
                      <w:color w:val="auto"/>
                      <w:szCs w:val="21"/>
                      <w:lang w:val="en-US" w:eastAsia="zh-CN"/>
                    </w:rPr>
                    <w:t>位于第1跨位置南侧位置</w:t>
                  </w:r>
                  <w:r>
                    <w:rPr>
                      <w:rFonts w:hint="default" w:ascii="Times New Roman" w:hAnsi="Times New Roman" w:cs="Times New Roman"/>
                      <w:color w:val="auto"/>
                      <w:szCs w:val="21"/>
                    </w:rPr>
                    <w:t>，用于本项目原料的堆放</w:t>
                  </w:r>
                  <w:r>
                    <w:rPr>
                      <w:rFonts w:hint="default" w:ascii="Times New Roman" w:hAnsi="Times New Roman" w:cs="Times New Roman"/>
                      <w:color w:val="auto"/>
                      <w:szCs w:val="21"/>
                      <w:lang w:val="en-US" w:eastAsia="zh-CN"/>
                    </w:rPr>
                    <w:t>；</w:t>
                  </w:r>
                  <w:r>
                    <w:rPr>
                      <w:color w:val="auto"/>
                      <w:szCs w:val="21"/>
                    </w:rPr>
                    <w:t>占地面积</w:t>
                  </w:r>
                  <w:r>
                    <w:rPr>
                      <w:rFonts w:hint="eastAsia"/>
                      <w:color w:val="auto"/>
                      <w:szCs w:val="21"/>
                      <w:lang w:val="en-US" w:eastAsia="zh-CN"/>
                    </w:rPr>
                    <w:t>300</w:t>
                  </w:r>
                  <w:r>
                    <w:rPr>
                      <w:color w:val="auto"/>
                      <w:szCs w:val="21"/>
                    </w:rPr>
                    <w:t>㎡，长*宽*高=（</w:t>
                  </w:r>
                  <w:r>
                    <w:rPr>
                      <w:rFonts w:hint="eastAsia"/>
                      <w:color w:val="auto"/>
                      <w:szCs w:val="21"/>
                      <w:lang w:val="en-US" w:eastAsia="zh-CN"/>
                    </w:rPr>
                    <w:t>50</w:t>
                  </w:r>
                  <w:r>
                    <w:rPr>
                      <w:color w:val="auto"/>
                      <w:szCs w:val="21"/>
                    </w:rPr>
                    <w:t>m*</w:t>
                  </w:r>
                  <w:r>
                    <w:rPr>
                      <w:rFonts w:hint="eastAsia"/>
                      <w:color w:val="auto"/>
                      <w:szCs w:val="21"/>
                      <w:lang w:val="en-US" w:eastAsia="zh-CN"/>
                    </w:rPr>
                    <w:t>6</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eastAsia"/>
                      <w:color w:val="auto"/>
                      <w:szCs w:val="21"/>
                      <w:lang w:eastAsia="zh-CN"/>
                    </w:rPr>
                    <w:t>。</w:t>
                  </w:r>
                </w:p>
              </w:tc>
              <w:tc>
                <w:tcPr>
                  <w:tcW w:w="803" w:type="pct"/>
                  <w:noWrap w:val="0"/>
                  <w:vAlign w:val="center"/>
                </w:tcPr>
                <w:p w14:paraId="60CC8912">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39E1E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7519B937">
                  <w:pPr>
                    <w:adjustRightInd w:val="0"/>
                    <w:snapToGrid w:val="0"/>
                    <w:jc w:val="center"/>
                    <w:rPr>
                      <w:rFonts w:hint="default" w:ascii="Times New Roman" w:hAnsi="Times New Roman" w:cs="Times New Roman"/>
                      <w:color w:val="auto"/>
                      <w:szCs w:val="21"/>
                    </w:rPr>
                  </w:pPr>
                </w:p>
              </w:tc>
              <w:tc>
                <w:tcPr>
                  <w:tcW w:w="769" w:type="pct"/>
                  <w:gridSpan w:val="3"/>
                  <w:tcBorders>
                    <w:top w:val="single" w:color="auto" w:sz="4" w:space="0"/>
                  </w:tcBorders>
                  <w:noWrap w:val="0"/>
                  <w:vAlign w:val="center"/>
                </w:tcPr>
                <w:p w14:paraId="5A6946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成品区</w:t>
                  </w:r>
                </w:p>
              </w:tc>
              <w:tc>
                <w:tcPr>
                  <w:tcW w:w="2896" w:type="pct"/>
                  <w:noWrap w:val="0"/>
                  <w:vAlign w:val="center"/>
                </w:tcPr>
                <w:p w14:paraId="01F86275">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1层，</w:t>
                  </w:r>
                  <w:r>
                    <w:rPr>
                      <w:rFonts w:hint="eastAsia" w:ascii="Times New Roman" w:hAnsi="Times New Roman" w:cs="Times New Roman"/>
                      <w:color w:val="auto"/>
                      <w:szCs w:val="21"/>
                      <w:lang w:val="en-US" w:eastAsia="zh-CN"/>
                    </w:rPr>
                    <w:t>钢结构</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位于第三跨位置，</w:t>
                  </w:r>
                  <w:r>
                    <w:rPr>
                      <w:rFonts w:hint="default" w:ascii="Times New Roman" w:hAnsi="Times New Roman" w:cs="Times New Roman"/>
                      <w:color w:val="auto"/>
                      <w:szCs w:val="21"/>
                    </w:rPr>
                    <w:t>占地面积</w:t>
                  </w:r>
                  <w:r>
                    <w:rPr>
                      <w:rFonts w:hint="eastAsia" w:ascii="Times New Roman" w:hAnsi="Times New Roman" w:cs="Times New Roman"/>
                      <w:color w:val="auto"/>
                      <w:szCs w:val="21"/>
                      <w:lang w:val="en-US" w:eastAsia="zh-CN"/>
                    </w:rPr>
                    <w:t>485</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w:t>
                  </w:r>
                  <w:r>
                    <w:rPr>
                      <w:color w:val="auto"/>
                      <w:szCs w:val="21"/>
                    </w:rPr>
                    <w:t>长*宽*高=（</w:t>
                  </w:r>
                  <w:r>
                    <w:rPr>
                      <w:rFonts w:hint="eastAsia"/>
                      <w:color w:val="auto"/>
                      <w:szCs w:val="21"/>
                      <w:lang w:val="en-US" w:eastAsia="zh-CN"/>
                    </w:rPr>
                    <w:t>97</w:t>
                  </w:r>
                  <w:r>
                    <w:rPr>
                      <w:color w:val="auto"/>
                      <w:szCs w:val="21"/>
                    </w:rPr>
                    <w:t>m*</w:t>
                  </w:r>
                  <w:r>
                    <w:rPr>
                      <w:rFonts w:hint="eastAsia"/>
                      <w:color w:val="auto"/>
                      <w:szCs w:val="21"/>
                      <w:lang w:val="en-US" w:eastAsia="zh-CN"/>
                    </w:rPr>
                    <w:t>5</w:t>
                  </w:r>
                  <w:r>
                    <w:rPr>
                      <w:color w:val="auto"/>
                      <w:szCs w:val="21"/>
                    </w:rPr>
                    <w:t>m*</w:t>
                  </w:r>
                  <w:r>
                    <w:rPr>
                      <w:rFonts w:hint="eastAsia"/>
                      <w:color w:val="auto"/>
                      <w:szCs w:val="21"/>
                      <w:lang w:val="en-US" w:eastAsia="zh-CN"/>
                    </w:rPr>
                    <w:t>1</w:t>
                  </w:r>
                  <w:r>
                    <w:rPr>
                      <w:rFonts w:hint="eastAsia"/>
                      <w:color w:val="auto"/>
                      <w:szCs w:val="21"/>
                    </w:rPr>
                    <w:t>3</w:t>
                  </w:r>
                  <w:r>
                    <w:rPr>
                      <w:color w:val="auto"/>
                      <w:szCs w:val="21"/>
                    </w:rPr>
                    <w:t>m）</w:t>
                  </w:r>
                  <w:r>
                    <w:rPr>
                      <w:rFonts w:hint="default" w:ascii="Times New Roman" w:hAnsi="Times New Roman" w:cs="Times New Roman"/>
                      <w:color w:val="auto"/>
                      <w:szCs w:val="21"/>
                    </w:rPr>
                    <w:t>用于成品</w:t>
                  </w:r>
                  <w:r>
                    <w:rPr>
                      <w:rFonts w:hint="eastAsia" w:ascii="Times New Roman" w:hAnsi="Times New Roman" w:cs="Times New Roman"/>
                      <w:color w:val="auto"/>
                      <w:szCs w:val="21"/>
                      <w:lang w:eastAsia="zh-CN"/>
                    </w:rPr>
                    <w:t>暂存。</w:t>
                  </w:r>
                </w:p>
              </w:tc>
              <w:tc>
                <w:tcPr>
                  <w:tcW w:w="803" w:type="pct"/>
                  <w:noWrap w:val="0"/>
                  <w:vAlign w:val="center"/>
                </w:tcPr>
                <w:p w14:paraId="35BA9711">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1CCB7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55F01929">
                  <w:pPr>
                    <w:adjustRightInd w:val="0"/>
                    <w:snapToGrid w:val="0"/>
                    <w:jc w:val="center"/>
                    <w:rPr>
                      <w:rFonts w:hint="default" w:ascii="Times New Roman" w:hAnsi="Times New Roman" w:cs="Times New Roman"/>
                      <w:color w:val="auto"/>
                      <w:szCs w:val="21"/>
                    </w:rPr>
                  </w:pPr>
                </w:p>
              </w:tc>
              <w:tc>
                <w:tcPr>
                  <w:tcW w:w="384" w:type="pct"/>
                  <w:gridSpan w:val="2"/>
                  <w:vMerge w:val="restart"/>
                  <w:tcBorders>
                    <w:top w:val="single" w:color="auto" w:sz="4" w:space="0"/>
                  </w:tcBorders>
                  <w:noWrap w:val="0"/>
                  <w:vAlign w:val="center"/>
                </w:tcPr>
                <w:p w14:paraId="5541AE5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385" w:type="pct"/>
                  <w:tcBorders>
                    <w:top w:val="single" w:color="auto" w:sz="4" w:space="0"/>
                  </w:tcBorders>
                  <w:noWrap w:val="0"/>
                  <w:vAlign w:val="center"/>
                </w:tcPr>
                <w:p w14:paraId="2A2B861E">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一般</w:t>
                  </w:r>
                </w:p>
                <w:p w14:paraId="1E61C1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固废</w:t>
                  </w:r>
                </w:p>
              </w:tc>
              <w:tc>
                <w:tcPr>
                  <w:tcW w:w="2896" w:type="pct"/>
                  <w:noWrap w:val="0"/>
                  <w:vAlign w:val="center"/>
                </w:tcPr>
                <w:p w14:paraId="781CDECF">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snapToGrid w:val="0"/>
                      <w:color w:val="auto"/>
                      <w:szCs w:val="21"/>
                      <w:lang w:eastAsia="zh-CN"/>
                    </w:rPr>
                    <w:t>废金属屑、废边角料</w:t>
                  </w:r>
                  <w:r>
                    <w:rPr>
                      <w:rFonts w:hint="eastAsia" w:ascii="Times New Roman" w:hAnsi="Times New Roman" w:eastAsia="宋体" w:cs="Times New Roman"/>
                      <w:snapToGrid w:val="0"/>
                      <w:color w:val="auto"/>
                      <w:szCs w:val="21"/>
                      <w:lang w:eastAsia="zh-CN"/>
                    </w:rPr>
                    <w:t>、废钢丸、</w:t>
                  </w:r>
                  <w:r>
                    <w:rPr>
                      <w:rFonts w:hint="eastAsia" w:ascii="Times New Roman" w:hAnsi="Times New Roman" w:eastAsia="宋体" w:cs="Times New Roman"/>
                      <w:snapToGrid w:val="0"/>
                      <w:color w:val="auto"/>
                      <w:szCs w:val="21"/>
                      <w:lang w:val="en-US" w:eastAsia="zh-CN"/>
                    </w:rPr>
                    <w:t>废粉</w:t>
                  </w:r>
                  <w:r>
                    <w:rPr>
                      <w:rFonts w:hint="eastAsia" w:ascii="Times New Roman" w:hAnsi="Times New Roman" w:eastAsia="宋体" w:cs="Times New Roman"/>
                      <w:snapToGrid w:val="0"/>
                      <w:color w:val="auto"/>
                      <w:szCs w:val="21"/>
                      <w:lang w:eastAsia="zh-CN"/>
                    </w:rPr>
                    <w:t>、收尘灰</w:t>
                  </w:r>
                  <w:r>
                    <w:rPr>
                      <w:rFonts w:hint="default" w:ascii="Times New Roman" w:hAnsi="Times New Roman" w:eastAsia="宋体" w:cs="Times New Roman"/>
                      <w:snapToGrid w:val="0"/>
                      <w:color w:val="auto"/>
                      <w:szCs w:val="21"/>
                      <w:lang w:eastAsia="zh-CN"/>
                    </w:rPr>
                    <w:t>暂存一般固废暂存区（占地</w:t>
                  </w:r>
                  <w:r>
                    <w:rPr>
                      <w:rFonts w:hint="eastAsia" w:cs="Times New Roman"/>
                      <w:snapToGrid w:val="0"/>
                      <w:color w:val="auto"/>
                      <w:szCs w:val="21"/>
                      <w:lang w:val="en-US" w:eastAsia="zh-CN"/>
                    </w:rPr>
                    <w:t>2</w:t>
                  </w:r>
                  <w:r>
                    <w:rPr>
                      <w:rFonts w:hint="default" w:ascii="Times New Roman" w:hAnsi="Times New Roman" w:eastAsia="宋体" w:cs="Times New Roman"/>
                      <w:snapToGrid w:val="0"/>
                      <w:color w:val="auto"/>
                      <w:szCs w:val="21"/>
                      <w:lang w:val="en-US" w:eastAsia="zh-CN"/>
                    </w:rPr>
                    <w:t>0㎡</w:t>
                  </w:r>
                  <w:r>
                    <w:rPr>
                      <w:rFonts w:hint="default" w:ascii="Times New Roman" w:hAnsi="Times New Roman" w:eastAsia="宋体" w:cs="Times New Roman"/>
                      <w:snapToGrid w:val="0"/>
                      <w:color w:val="auto"/>
                      <w:szCs w:val="21"/>
                      <w:lang w:eastAsia="zh-CN"/>
                    </w:rPr>
                    <w:t>）后定期外售处理</w:t>
                  </w:r>
                  <w:r>
                    <w:rPr>
                      <w:rFonts w:hint="eastAsia" w:ascii="Times New Roman" w:hAnsi="Times New Roman" w:eastAsia="宋体" w:cs="Times New Roman"/>
                      <w:snapToGrid w:val="0"/>
                      <w:color w:val="auto"/>
                      <w:szCs w:val="21"/>
                      <w:lang w:eastAsia="zh-CN"/>
                    </w:rPr>
                    <w:t>。</w:t>
                  </w:r>
                </w:p>
              </w:tc>
              <w:tc>
                <w:tcPr>
                  <w:tcW w:w="803" w:type="pct"/>
                  <w:noWrap w:val="0"/>
                  <w:vAlign w:val="center"/>
                </w:tcPr>
                <w:p w14:paraId="252DEC60">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依托</w:t>
                  </w:r>
                </w:p>
              </w:tc>
            </w:tr>
            <w:tr w14:paraId="35C1C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31A9FC45">
                  <w:pPr>
                    <w:adjustRightInd w:val="0"/>
                    <w:snapToGrid w:val="0"/>
                    <w:jc w:val="center"/>
                    <w:rPr>
                      <w:rFonts w:hint="default" w:ascii="Times New Roman" w:hAnsi="Times New Roman" w:cs="Times New Roman"/>
                      <w:color w:val="auto"/>
                      <w:szCs w:val="21"/>
                    </w:rPr>
                  </w:pPr>
                </w:p>
              </w:tc>
              <w:tc>
                <w:tcPr>
                  <w:tcW w:w="384" w:type="pct"/>
                  <w:gridSpan w:val="2"/>
                  <w:vMerge w:val="continue"/>
                  <w:noWrap w:val="0"/>
                  <w:vAlign w:val="center"/>
                </w:tcPr>
                <w:p w14:paraId="62E8739C">
                  <w:pPr>
                    <w:adjustRightInd w:val="0"/>
                    <w:snapToGrid w:val="0"/>
                    <w:jc w:val="center"/>
                    <w:rPr>
                      <w:rFonts w:hint="default" w:ascii="Times New Roman" w:hAnsi="Times New Roman" w:cs="Times New Roman"/>
                      <w:color w:val="auto"/>
                      <w:szCs w:val="21"/>
                    </w:rPr>
                  </w:pPr>
                </w:p>
              </w:tc>
              <w:tc>
                <w:tcPr>
                  <w:tcW w:w="385" w:type="pct"/>
                  <w:tcBorders>
                    <w:top w:val="single" w:color="auto" w:sz="4" w:space="0"/>
                  </w:tcBorders>
                  <w:noWrap w:val="0"/>
                  <w:vAlign w:val="center"/>
                </w:tcPr>
                <w:p w14:paraId="0D2A0CB7">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危险</w:t>
                  </w:r>
                </w:p>
                <w:p w14:paraId="46A6C1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废物</w:t>
                  </w:r>
                </w:p>
              </w:tc>
              <w:tc>
                <w:tcPr>
                  <w:tcW w:w="2896" w:type="pct"/>
                  <w:noWrap w:val="0"/>
                  <w:vAlign w:val="center"/>
                </w:tcPr>
                <w:p w14:paraId="4403FC0E">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snapToGrid w:val="0"/>
                      <w:color w:val="auto"/>
                      <w:szCs w:val="21"/>
                      <w:lang w:eastAsia="zh-CN"/>
                    </w:rPr>
                    <w:t>危险废物（</w:t>
                  </w:r>
                  <w:r>
                    <w:rPr>
                      <w:rFonts w:hint="eastAsia" w:cs="Times New Roman"/>
                      <w:snapToGrid w:val="0"/>
                      <w:color w:val="auto"/>
                      <w:szCs w:val="21"/>
                      <w:lang w:val="en-US" w:eastAsia="zh-CN"/>
                    </w:rPr>
                    <w:t>污泥、</w:t>
                  </w:r>
                  <w:r>
                    <w:rPr>
                      <w:rFonts w:hint="eastAsia" w:ascii="Times New Roman" w:hAnsi="Times New Roman" w:eastAsia="宋体" w:cs="Times New Roman"/>
                      <w:snapToGrid w:val="0"/>
                      <w:color w:val="auto"/>
                      <w:szCs w:val="21"/>
                      <w:lang w:val="en-US" w:eastAsia="zh-CN"/>
                    </w:rPr>
                    <w:t>废活性炭、</w:t>
                  </w:r>
                  <w:r>
                    <w:rPr>
                      <w:rFonts w:hint="default" w:ascii="Times New Roman" w:hAnsi="Times New Roman" w:eastAsia="宋体" w:cs="Times New Roman"/>
                      <w:snapToGrid w:val="0"/>
                      <w:color w:val="auto"/>
                      <w:szCs w:val="21"/>
                      <w:lang w:eastAsia="zh-CN"/>
                    </w:rPr>
                    <w:t>废</w:t>
                  </w:r>
                  <w:r>
                    <w:rPr>
                      <w:rFonts w:hint="eastAsia" w:ascii="Times New Roman" w:hAnsi="Times New Roman" w:eastAsia="宋体" w:cs="Times New Roman"/>
                      <w:snapToGrid w:val="0"/>
                      <w:color w:val="auto"/>
                      <w:szCs w:val="21"/>
                      <w:lang w:eastAsia="zh-CN"/>
                    </w:rPr>
                    <w:t>矿物</w:t>
                  </w:r>
                  <w:r>
                    <w:rPr>
                      <w:rFonts w:hint="default" w:ascii="Times New Roman" w:hAnsi="Times New Roman" w:eastAsia="宋体" w:cs="Times New Roman"/>
                      <w:snapToGrid w:val="0"/>
                      <w:color w:val="auto"/>
                      <w:szCs w:val="21"/>
                      <w:lang w:eastAsia="zh-CN"/>
                    </w:rPr>
                    <w:t>油、废油桶、</w:t>
                  </w:r>
                  <w:r>
                    <w:rPr>
                      <w:rFonts w:hint="eastAsia" w:ascii="Times New Roman" w:hAnsi="Times New Roman" w:eastAsia="宋体" w:cs="Times New Roman"/>
                      <w:snapToGrid w:val="0"/>
                      <w:color w:val="auto"/>
                      <w:szCs w:val="21"/>
                      <w:lang w:eastAsia="zh-CN"/>
                    </w:rPr>
                    <w:t>废切削液</w:t>
                  </w:r>
                  <w:r>
                    <w:rPr>
                      <w:rFonts w:hint="eastAsia" w:ascii="Times New Roman" w:hAnsi="Times New Roman" w:eastAsia="宋体" w:cs="Times New Roman"/>
                      <w:snapToGrid w:val="0"/>
                      <w:color w:val="auto"/>
                      <w:szCs w:val="21"/>
                      <w:lang w:val="en-US" w:eastAsia="zh-CN"/>
                    </w:rPr>
                    <w:t>桶、废</w:t>
                  </w:r>
                  <w:r>
                    <w:rPr>
                      <w:rFonts w:hint="default" w:ascii="Times New Roman" w:hAnsi="Times New Roman" w:eastAsia="宋体" w:cs="Times New Roman"/>
                      <w:snapToGrid w:val="0"/>
                      <w:color w:val="auto"/>
                      <w:szCs w:val="21"/>
                      <w:lang w:eastAsia="zh-CN"/>
                    </w:rPr>
                    <w:t>含油抹布、手套）暂存于危废暂存间（占地</w:t>
                  </w:r>
                  <w:r>
                    <w:rPr>
                      <w:rFonts w:hint="eastAsia" w:cs="Times New Roman"/>
                      <w:snapToGrid w:val="0"/>
                      <w:color w:val="auto"/>
                      <w:szCs w:val="21"/>
                      <w:lang w:val="en-US" w:eastAsia="zh-CN"/>
                    </w:rPr>
                    <w:t>12</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eastAsia" w:ascii="Times New Roman" w:hAnsi="Times New Roman" w:eastAsia="宋体" w:cs="Times New Roman"/>
                      <w:snapToGrid w:val="0"/>
                      <w:color w:val="auto"/>
                      <w:szCs w:val="21"/>
                      <w:lang w:eastAsia="zh-CN"/>
                    </w:rPr>
                    <w:t>宝鸡明瑞昕盛环保科技有限公司</w:t>
                  </w:r>
                  <w:r>
                    <w:rPr>
                      <w:rFonts w:hint="default" w:ascii="Times New Roman" w:hAnsi="Times New Roman" w:eastAsia="宋体" w:cs="Times New Roman"/>
                      <w:snapToGrid w:val="0"/>
                      <w:color w:val="auto"/>
                      <w:szCs w:val="21"/>
                      <w:lang w:eastAsia="zh-CN"/>
                    </w:rPr>
                    <w:t>处理</w:t>
                  </w:r>
                  <w:r>
                    <w:rPr>
                      <w:rFonts w:hint="eastAsia" w:ascii="Times New Roman" w:hAnsi="Times New Roman" w:eastAsia="宋体" w:cs="Times New Roman"/>
                      <w:snapToGrid w:val="0"/>
                      <w:color w:val="auto"/>
                      <w:szCs w:val="21"/>
                      <w:lang w:eastAsia="zh-CN"/>
                    </w:rPr>
                    <w:t>。</w:t>
                  </w:r>
                </w:p>
              </w:tc>
              <w:tc>
                <w:tcPr>
                  <w:tcW w:w="803" w:type="pct"/>
                  <w:noWrap w:val="0"/>
                  <w:vAlign w:val="center"/>
                </w:tcPr>
                <w:p w14:paraId="6FAE28B2">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依托</w:t>
                  </w:r>
                </w:p>
              </w:tc>
            </w:tr>
            <w:tr w14:paraId="50EFF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0" w:type="pct"/>
                  <w:vMerge w:val="restart"/>
                  <w:noWrap w:val="0"/>
                  <w:vAlign w:val="center"/>
                </w:tcPr>
                <w:p w14:paraId="336020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公用</w:t>
                  </w:r>
                </w:p>
                <w:p w14:paraId="1C43F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gridSpan w:val="3"/>
                  <w:noWrap w:val="0"/>
                  <w:vAlign w:val="center"/>
                </w:tcPr>
                <w:p w14:paraId="72A15B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2896" w:type="pct"/>
                  <w:noWrap w:val="0"/>
                  <w:vAlign w:val="center"/>
                </w:tcPr>
                <w:p w14:paraId="7A6229C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由供电系统供给</w:t>
                  </w:r>
                  <w:r>
                    <w:rPr>
                      <w:rFonts w:hint="eastAsia" w:ascii="Times New Roman" w:hAnsi="Times New Roman" w:cs="Times New Roman"/>
                      <w:color w:val="auto"/>
                      <w:szCs w:val="21"/>
                      <w:lang w:eastAsia="zh-CN"/>
                    </w:rPr>
                    <w:t>。</w:t>
                  </w:r>
                </w:p>
              </w:tc>
              <w:tc>
                <w:tcPr>
                  <w:tcW w:w="803" w:type="pct"/>
                  <w:noWrap w:val="0"/>
                  <w:vAlign w:val="top"/>
                </w:tcPr>
                <w:p w14:paraId="38413683">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1852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0" w:type="pct"/>
                  <w:vMerge w:val="continue"/>
                  <w:noWrap w:val="0"/>
                  <w:vAlign w:val="center"/>
                </w:tcPr>
                <w:p w14:paraId="4945267A">
                  <w:pPr>
                    <w:adjustRightInd w:val="0"/>
                    <w:snapToGrid w:val="0"/>
                    <w:jc w:val="center"/>
                    <w:rPr>
                      <w:rFonts w:hint="default" w:ascii="Times New Roman" w:hAnsi="Times New Roman" w:cs="Times New Roman"/>
                      <w:color w:val="auto"/>
                      <w:szCs w:val="21"/>
                    </w:rPr>
                  </w:pPr>
                </w:p>
              </w:tc>
              <w:tc>
                <w:tcPr>
                  <w:tcW w:w="769" w:type="pct"/>
                  <w:gridSpan w:val="3"/>
                  <w:noWrap w:val="0"/>
                  <w:vAlign w:val="center"/>
                </w:tcPr>
                <w:p w14:paraId="1DA749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2896" w:type="pct"/>
                  <w:noWrap w:val="0"/>
                  <w:vAlign w:val="center"/>
                </w:tcPr>
                <w:p w14:paraId="22334FD9">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由供水管网供给</w:t>
                  </w:r>
                  <w:r>
                    <w:rPr>
                      <w:rFonts w:hint="eastAsia" w:ascii="Times New Roman" w:hAnsi="Times New Roman" w:cs="Times New Roman"/>
                      <w:color w:val="auto"/>
                      <w:szCs w:val="21"/>
                      <w:lang w:eastAsia="zh-CN"/>
                    </w:rPr>
                    <w:t>。</w:t>
                  </w:r>
                </w:p>
              </w:tc>
              <w:tc>
                <w:tcPr>
                  <w:tcW w:w="803" w:type="pct"/>
                  <w:noWrap w:val="0"/>
                  <w:vAlign w:val="top"/>
                </w:tcPr>
                <w:p w14:paraId="747F64DA">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62D8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restart"/>
                  <w:noWrap w:val="0"/>
                  <w:vAlign w:val="center"/>
                </w:tcPr>
                <w:p w14:paraId="12EDB3E5">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环保</w:t>
                  </w:r>
                </w:p>
                <w:p w14:paraId="095C760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工程</w:t>
                  </w:r>
                </w:p>
              </w:tc>
              <w:tc>
                <w:tcPr>
                  <w:tcW w:w="769" w:type="pct"/>
                  <w:gridSpan w:val="3"/>
                  <w:vMerge w:val="restart"/>
                  <w:noWrap w:val="0"/>
                  <w:vAlign w:val="center"/>
                </w:tcPr>
                <w:p w14:paraId="71C77D3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废气处理系统</w:t>
                  </w:r>
                </w:p>
              </w:tc>
              <w:tc>
                <w:tcPr>
                  <w:tcW w:w="2896" w:type="pct"/>
                  <w:noWrap w:val="0"/>
                  <w:vAlign w:val="center"/>
                </w:tcPr>
                <w:p w14:paraId="75483C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激光切割废气在切割处设集气口，将废气收集后通过管道进入滤筒除尘器进行处理（TA001），处理后经15</w:t>
                  </w:r>
                  <w:r>
                    <w:rPr>
                      <w:rFonts w:hint="default" w:ascii="Times New Roman" w:hAnsi="Times New Roman" w:cs="Times New Roman"/>
                      <w:color w:val="auto"/>
                      <w:szCs w:val="21"/>
                      <w:lang w:val="en-US" w:eastAsia="zh-CN"/>
                    </w:rPr>
                    <w:t>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ascii="Times New Roman" w:hAnsi="Times New Roman" w:cs="Times New Roman"/>
                      <w:color w:val="auto"/>
                      <w:szCs w:val="21"/>
                      <w:lang w:val="en-US" w:eastAsia="zh-CN"/>
                    </w:rPr>
                    <w:t>。</w:t>
                  </w:r>
                </w:p>
              </w:tc>
              <w:tc>
                <w:tcPr>
                  <w:tcW w:w="803" w:type="pct"/>
                  <w:noWrap w:val="0"/>
                  <w:vAlign w:val="center"/>
                </w:tcPr>
                <w:p w14:paraId="21AEC85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6934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3B16A7E3">
                  <w:pPr>
                    <w:adjustRightInd w:val="0"/>
                    <w:snapToGrid w:val="0"/>
                    <w:jc w:val="center"/>
                    <w:rPr>
                      <w:rFonts w:hint="eastAsia" w:ascii="Times New Roman" w:hAnsi="Times New Roman" w:cs="Times New Roman"/>
                      <w:color w:val="auto"/>
                      <w:szCs w:val="21"/>
                      <w:lang w:eastAsia="zh-CN"/>
                    </w:rPr>
                  </w:pPr>
                </w:p>
              </w:tc>
              <w:tc>
                <w:tcPr>
                  <w:tcW w:w="769" w:type="pct"/>
                  <w:gridSpan w:val="3"/>
                  <w:vMerge w:val="continue"/>
                  <w:noWrap w:val="0"/>
                  <w:vAlign w:val="center"/>
                </w:tcPr>
                <w:p w14:paraId="4F8AC6C3">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52922A3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焊接废气设密闭焊接房，并在焊接房上方设集气口，废气经收集后通过管道进入滤筒除尘器进行处理（TA001），处理后经15</w:t>
                  </w:r>
                  <w:r>
                    <w:rPr>
                      <w:rFonts w:hint="default" w:ascii="Times New Roman" w:hAnsi="Times New Roman" w:cs="Times New Roman"/>
                      <w:color w:val="auto"/>
                      <w:szCs w:val="21"/>
                      <w:lang w:val="en-US" w:eastAsia="zh-CN"/>
                    </w:rPr>
                    <w:t>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ascii="Times New Roman" w:hAnsi="Times New Roman" w:cs="Times New Roman"/>
                      <w:color w:val="auto"/>
                      <w:szCs w:val="21"/>
                      <w:lang w:val="en-US" w:eastAsia="zh-CN"/>
                    </w:rPr>
                    <w:t>。</w:t>
                  </w:r>
                </w:p>
              </w:tc>
              <w:tc>
                <w:tcPr>
                  <w:tcW w:w="803" w:type="pct"/>
                  <w:noWrap w:val="0"/>
                  <w:vAlign w:val="center"/>
                </w:tcPr>
                <w:p w14:paraId="1849334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77B8F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51BE03D7">
                  <w:pPr>
                    <w:adjustRightInd w:val="0"/>
                    <w:snapToGrid w:val="0"/>
                    <w:jc w:val="center"/>
                    <w:rPr>
                      <w:rFonts w:hint="eastAsia" w:ascii="Times New Roman" w:hAnsi="Times New Roman" w:cs="Times New Roman"/>
                      <w:color w:val="auto"/>
                      <w:szCs w:val="21"/>
                      <w:lang w:eastAsia="zh-CN"/>
                    </w:rPr>
                  </w:pPr>
                </w:p>
              </w:tc>
              <w:tc>
                <w:tcPr>
                  <w:tcW w:w="769" w:type="pct"/>
                  <w:gridSpan w:val="3"/>
                  <w:vMerge w:val="continue"/>
                  <w:noWrap w:val="0"/>
                  <w:vAlign w:val="center"/>
                </w:tcPr>
                <w:p w14:paraId="57D2EB97">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28069447">
                  <w:pPr>
                    <w:adjustRightInd w:val="0"/>
                    <w:snapToGrid w:val="0"/>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抛丸</w:t>
                  </w:r>
                  <w:r>
                    <w:rPr>
                      <w:rFonts w:hint="eastAsia" w:ascii="Times New Roman" w:hAnsi="Times New Roman" w:cs="Times New Roman"/>
                      <w:color w:val="auto"/>
                      <w:szCs w:val="21"/>
                      <w:lang w:val="en-US" w:eastAsia="zh-CN"/>
                    </w:rPr>
                    <w:t>设备运行</w:t>
                  </w:r>
                  <w:r>
                    <w:rPr>
                      <w:rFonts w:hint="default" w:ascii="Times New Roman" w:hAnsi="Times New Roman" w:cs="Times New Roman"/>
                      <w:color w:val="auto"/>
                      <w:szCs w:val="21"/>
                      <w:lang w:val="en-US" w:eastAsia="zh-CN"/>
                    </w:rPr>
                    <w:t>产生的废气经</w:t>
                  </w:r>
                  <w:r>
                    <w:rPr>
                      <w:rFonts w:hint="default" w:ascii="Times New Roman" w:hAnsi="Times New Roman" w:cs="Times New Roman"/>
                      <w:color w:val="auto"/>
                      <w:szCs w:val="21"/>
                      <w:lang w:eastAsia="zh-CN"/>
                    </w:rPr>
                    <w:t>集气系统收集后由</w:t>
                  </w:r>
                  <w:r>
                    <w:rPr>
                      <w:rFonts w:hint="eastAsia" w:ascii="Times New Roman" w:hAnsi="Times New Roman" w:cs="Times New Roman"/>
                      <w:color w:val="auto"/>
                      <w:szCs w:val="21"/>
                      <w:lang w:val="en-US" w:eastAsia="zh-CN"/>
                    </w:rPr>
                    <w:t>自带袋式除尘器处理后统一收至滤筒除尘器进行处理（TA001），</w:t>
                  </w:r>
                  <w:r>
                    <w:rPr>
                      <w:rFonts w:hint="default" w:ascii="Times New Roman" w:hAnsi="Times New Roman" w:cs="Times New Roman"/>
                      <w:color w:val="auto"/>
                      <w:szCs w:val="21"/>
                      <w:lang w:eastAsia="zh-CN"/>
                    </w:rPr>
                    <w:t>处理后经</w:t>
                  </w:r>
                  <w:r>
                    <w:rPr>
                      <w:rFonts w:hint="default" w:ascii="Times New Roman" w:hAnsi="Times New Roman" w:cs="Times New Roman"/>
                      <w:color w:val="auto"/>
                      <w:szCs w:val="21"/>
                      <w:lang w:val="en-US" w:eastAsia="zh-CN"/>
                    </w:rPr>
                    <w:t>15米排气筒</w:t>
                  </w:r>
                  <w:r>
                    <w:rPr>
                      <w:rFonts w:hint="eastAsia" w:ascii="Times New Roman" w:hAnsi="Times New Roman" w:cs="Times New Roman"/>
                      <w:color w:val="auto"/>
                      <w:szCs w:val="21"/>
                      <w:lang w:val="en-US" w:eastAsia="zh-CN"/>
                    </w:rPr>
                    <w:t>（DA001）</w:t>
                  </w:r>
                  <w:r>
                    <w:rPr>
                      <w:rFonts w:hint="default" w:ascii="Times New Roman" w:hAnsi="Times New Roman" w:cs="Times New Roman"/>
                      <w:color w:val="auto"/>
                      <w:szCs w:val="21"/>
                      <w:lang w:val="en-US" w:eastAsia="zh-CN"/>
                    </w:rPr>
                    <w:t>高空排放</w:t>
                  </w:r>
                  <w:r>
                    <w:rPr>
                      <w:rFonts w:hint="eastAsia" w:ascii="Times New Roman" w:hAnsi="Times New Roman" w:cs="Times New Roman"/>
                      <w:color w:val="auto"/>
                      <w:szCs w:val="21"/>
                      <w:lang w:val="en-US" w:eastAsia="zh-CN"/>
                    </w:rPr>
                    <w:t>。</w:t>
                  </w:r>
                </w:p>
              </w:tc>
              <w:tc>
                <w:tcPr>
                  <w:tcW w:w="803" w:type="pct"/>
                  <w:noWrap w:val="0"/>
                  <w:vAlign w:val="center"/>
                </w:tcPr>
                <w:p w14:paraId="16533E0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7A2AD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633E8695">
                  <w:pPr>
                    <w:adjustRightInd w:val="0"/>
                    <w:snapToGrid w:val="0"/>
                    <w:jc w:val="center"/>
                    <w:rPr>
                      <w:rFonts w:hint="eastAsia" w:ascii="Times New Roman" w:hAnsi="Times New Roman" w:cs="Times New Roman"/>
                      <w:color w:val="auto"/>
                      <w:szCs w:val="21"/>
                      <w:lang w:eastAsia="zh-CN"/>
                    </w:rPr>
                  </w:pPr>
                </w:p>
              </w:tc>
              <w:tc>
                <w:tcPr>
                  <w:tcW w:w="769" w:type="pct"/>
                  <w:gridSpan w:val="3"/>
                  <w:vMerge w:val="continue"/>
                  <w:noWrap w:val="0"/>
                  <w:vAlign w:val="center"/>
                </w:tcPr>
                <w:p w14:paraId="7DFE7EC7">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6C851819">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r>
                    <w:rPr>
                      <w:rFonts w:hint="eastAsia" w:ascii="Times New Roman" w:hAnsi="Times New Roman" w:cs="Times New Roman"/>
                      <w:color w:val="auto"/>
                      <w:szCs w:val="21"/>
                      <w:lang w:val="en-US" w:eastAsia="zh-CN"/>
                    </w:rPr>
                    <w:t>产生的颗粒物经收集后进入旋风除尘器</w:t>
                  </w:r>
                  <w:r>
                    <w:rPr>
                      <w:rFonts w:hint="eastAsia" w:cs="Times New Roman"/>
                      <w:color w:val="auto"/>
                      <w:szCs w:val="21"/>
                      <w:lang w:val="en-US" w:eastAsia="zh-CN"/>
                    </w:rPr>
                    <w:t>（TA002）</w:t>
                  </w:r>
                  <w:r>
                    <w:rPr>
                      <w:rFonts w:hint="eastAsia" w:ascii="Times New Roman" w:hAnsi="Times New Roman" w:cs="Times New Roman"/>
                      <w:color w:val="auto"/>
                      <w:szCs w:val="21"/>
                      <w:lang w:val="en-US" w:eastAsia="zh-CN"/>
                    </w:rPr>
                    <w:t>后回用，部分废粉沉淀后收集外售废粉回收公司。</w:t>
                  </w:r>
                </w:p>
              </w:tc>
              <w:tc>
                <w:tcPr>
                  <w:tcW w:w="803" w:type="pct"/>
                  <w:noWrap w:val="0"/>
                  <w:vAlign w:val="center"/>
                </w:tcPr>
                <w:p w14:paraId="664E30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新建</w:t>
                  </w:r>
                </w:p>
              </w:tc>
            </w:tr>
            <w:tr w14:paraId="120AB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7C11855C">
                  <w:pPr>
                    <w:adjustRightInd w:val="0"/>
                    <w:snapToGrid w:val="0"/>
                    <w:jc w:val="center"/>
                    <w:rPr>
                      <w:rFonts w:hint="eastAsia" w:ascii="Times New Roman" w:hAnsi="Times New Roman" w:cs="Times New Roman"/>
                      <w:color w:val="auto"/>
                      <w:szCs w:val="21"/>
                      <w:lang w:eastAsia="zh-CN"/>
                    </w:rPr>
                  </w:pPr>
                </w:p>
              </w:tc>
              <w:tc>
                <w:tcPr>
                  <w:tcW w:w="769" w:type="pct"/>
                  <w:gridSpan w:val="3"/>
                  <w:vMerge w:val="continue"/>
                  <w:noWrap w:val="0"/>
                  <w:vAlign w:val="center"/>
                </w:tcPr>
                <w:p w14:paraId="0C5AF2E9">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1705ACB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固化产生的有机废气经收集后由二级活性炭（TA00</w:t>
                  </w: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）处理后经15米排气筒（DA002）高空排放。</w:t>
                  </w:r>
                </w:p>
              </w:tc>
              <w:tc>
                <w:tcPr>
                  <w:tcW w:w="803" w:type="pct"/>
                  <w:noWrap w:val="0"/>
                  <w:vAlign w:val="center"/>
                </w:tcPr>
                <w:p w14:paraId="03D8A5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新建</w:t>
                  </w:r>
                </w:p>
              </w:tc>
            </w:tr>
            <w:tr w14:paraId="2D38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44E574B5">
                  <w:pPr>
                    <w:adjustRightInd w:val="0"/>
                    <w:snapToGrid w:val="0"/>
                    <w:jc w:val="center"/>
                    <w:rPr>
                      <w:rFonts w:hint="eastAsia" w:ascii="Times New Roman" w:hAnsi="Times New Roman" w:cs="Times New Roman"/>
                      <w:color w:val="auto"/>
                      <w:szCs w:val="21"/>
                      <w:lang w:eastAsia="zh-CN"/>
                    </w:rPr>
                  </w:pPr>
                </w:p>
              </w:tc>
              <w:tc>
                <w:tcPr>
                  <w:tcW w:w="769" w:type="pct"/>
                  <w:gridSpan w:val="3"/>
                  <w:vMerge w:val="continue"/>
                  <w:tcBorders>
                    <w:bottom w:val="single" w:color="auto" w:sz="4" w:space="0"/>
                  </w:tcBorders>
                  <w:noWrap w:val="0"/>
                  <w:vAlign w:val="center"/>
                </w:tcPr>
                <w:p w14:paraId="0E8C8FAD">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50590FB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天然气燃烧废气经收集后由低氮燃烧器</w:t>
                  </w:r>
                  <w:r>
                    <w:rPr>
                      <w:rFonts w:hint="eastAsia" w:ascii="Times New Roman" w:hAnsi="Times New Roman" w:cs="Times New Roman"/>
                      <w:color w:val="auto"/>
                      <w:szCs w:val="21"/>
                      <w:lang w:val="en-US" w:eastAsia="zh-CN"/>
                    </w:rPr>
                    <w:br w:type="textWrapping"/>
                  </w:r>
                  <w:r>
                    <w:rPr>
                      <w:rFonts w:hint="eastAsia" w:cs="Times New Roman"/>
                      <w:color w:val="auto"/>
                      <w:szCs w:val="21"/>
                      <w:lang w:val="en-US" w:eastAsia="zh-CN"/>
                    </w:rPr>
                    <w:t>（TA004）</w:t>
                  </w:r>
                  <w:r>
                    <w:rPr>
                      <w:rFonts w:hint="eastAsia" w:ascii="Times New Roman" w:hAnsi="Times New Roman" w:cs="Times New Roman"/>
                      <w:color w:val="auto"/>
                      <w:szCs w:val="21"/>
                      <w:lang w:val="en-US" w:eastAsia="zh-CN"/>
                    </w:rPr>
                    <w:t>处理后由15米排气筒（DA002）高空排放。</w:t>
                  </w:r>
                </w:p>
              </w:tc>
              <w:tc>
                <w:tcPr>
                  <w:tcW w:w="803" w:type="pct"/>
                  <w:noWrap w:val="0"/>
                  <w:vAlign w:val="center"/>
                </w:tcPr>
                <w:p w14:paraId="39BC227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0D152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6D3ABC3D">
                  <w:pPr>
                    <w:adjustRightInd w:val="0"/>
                    <w:snapToGrid w:val="0"/>
                    <w:jc w:val="center"/>
                    <w:rPr>
                      <w:rFonts w:hint="eastAsia" w:ascii="Times New Roman" w:hAnsi="Times New Roman" w:cs="Times New Roman"/>
                      <w:color w:val="auto"/>
                      <w:szCs w:val="21"/>
                      <w:lang w:eastAsia="zh-CN"/>
                    </w:rPr>
                  </w:pPr>
                </w:p>
              </w:tc>
              <w:tc>
                <w:tcPr>
                  <w:tcW w:w="769" w:type="pct"/>
                  <w:gridSpan w:val="3"/>
                  <w:tcBorders>
                    <w:bottom w:val="single" w:color="auto" w:sz="4" w:space="0"/>
                  </w:tcBorders>
                  <w:noWrap w:val="0"/>
                  <w:vAlign w:val="center"/>
                </w:tcPr>
                <w:p w14:paraId="4E1737DC">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废水处理系统</w:t>
                  </w:r>
                </w:p>
              </w:tc>
              <w:tc>
                <w:tcPr>
                  <w:tcW w:w="2896" w:type="pct"/>
                  <w:noWrap w:val="0"/>
                  <w:vAlign w:val="center"/>
                </w:tcPr>
                <w:p w14:paraId="0B366F2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本项目清洗废水经设污水处理设施处理后循环使用，处理后的</w:t>
                  </w:r>
                  <w:r>
                    <w:rPr>
                      <w:rFonts w:hint="eastAsia" w:ascii="Times New Roman" w:hAnsi="Times New Roman" w:eastAsia="宋体" w:cs="Times New Roman"/>
                      <w:color w:val="auto"/>
                      <w:kern w:val="2"/>
                      <w:sz w:val="21"/>
                      <w:szCs w:val="21"/>
                      <w:lang w:val="en-US" w:eastAsia="zh-CN" w:bidi="ar-SA"/>
                    </w:rPr>
                    <w:t>水质</w:t>
                  </w:r>
                  <w:r>
                    <w:rPr>
                      <w:rFonts w:hint="eastAsia" w:cs="Times New Roman"/>
                      <w:color w:val="auto"/>
                      <w:kern w:val="2"/>
                      <w:sz w:val="21"/>
                      <w:szCs w:val="21"/>
                      <w:lang w:val="en-US" w:eastAsia="zh-CN" w:bidi="ar-SA"/>
                    </w:rPr>
                    <w:t>需满足</w:t>
                  </w:r>
                  <w:r>
                    <w:rPr>
                      <w:rFonts w:hint="eastAsia" w:ascii="Times New Roman" w:hAnsi="Times New Roman" w:eastAsia="宋体" w:cs="Times New Roman"/>
                      <w:color w:val="auto"/>
                      <w:kern w:val="2"/>
                      <w:sz w:val="21"/>
                      <w:szCs w:val="21"/>
                      <w:lang w:val="en-US" w:eastAsia="zh-CN" w:bidi="ar-SA"/>
                    </w:rPr>
                    <w:t>《城市污水再生利用 工业用水水质》（GB/T 19923-2005）表1中洗涤用水水质标准限值</w:t>
                  </w:r>
                  <w:r>
                    <w:rPr>
                      <w:rFonts w:hint="eastAsia" w:cs="Times New Roman"/>
                      <w:color w:val="auto"/>
                      <w:kern w:val="2"/>
                      <w:sz w:val="21"/>
                      <w:szCs w:val="21"/>
                      <w:lang w:val="en-US" w:eastAsia="zh-CN" w:bidi="ar-SA"/>
                    </w:rPr>
                    <w:t>。</w:t>
                  </w:r>
                </w:p>
              </w:tc>
              <w:tc>
                <w:tcPr>
                  <w:tcW w:w="803" w:type="pct"/>
                  <w:noWrap w:val="0"/>
                  <w:vAlign w:val="center"/>
                </w:tcPr>
                <w:p w14:paraId="53E757B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新建</w:t>
                  </w:r>
                </w:p>
              </w:tc>
            </w:tr>
            <w:tr w14:paraId="352C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30" w:type="pct"/>
                  <w:vMerge w:val="continue"/>
                  <w:noWrap w:val="0"/>
                  <w:vAlign w:val="center"/>
                </w:tcPr>
                <w:p w14:paraId="328535C5">
                  <w:pPr>
                    <w:adjustRightInd w:val="0"/>
                    <w:snapToGrid w:val="0"/>
                    <w:jc w:val="center"/>
                    <w:rPr>
                      <w:rFonts w:hint="default" w:ascii="Times New Roman" w:hAnsi="Times New Roman" w:cs="Times New Roman"/>
                      <w:color w:val="auto"/>
                      <w:szCs w:val="21"/>
                    </w:rPr>
                  </w:pPr>
                </w:p>
              </w:tc>
              <w:tc>
                <w:tcPr>
                  <w:tcW w:w="769" w:type="pct"/>
                  <w:gridSpan w:val="3"/>
                  <w:noWrap w:val="0"/>
                  <w:vAlign w:val="center"/>
                </w:tcPr>
                <w:p w14:paraId="670498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噪声处理系统</w:t>
                  </w:r>
                </w:p>
              </w:tc>
              <w:tc>
                <w:tcPr>
                  <w:tcW w:w="2896" w:type="pct"/>
                  <w:noWrap w:val="0"/>
                  <w:vAlign w:val="center"/>
                </w:tcPr>
                <w:p w14:paraId="117DEB50">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snapToGrid w:val="0"/>
                      <w:color w:val="auto"/>
                      <w:szCs w:val="21"/>
                      <w:lang w:eastAsia="zh-CN"/>
                    </w:rPr>
                    <w:t>风机与风管处采用橡胶软连接、</w:t>
                  </w:r>
                  <w:r>
                    <w:rPr>
                      <w:rFonts w:hint="eastAsia" w:cs="Times New Roman"/>
                      <w:snapToGrid w:val="0"/>
                      <w:color w:val="auto"/>
                      <w:szCs w:val="21"/>
                      <w:lang w:val="en-US" w:eastAsia="zh-CN"/>
                    </w:rPr>
                    <w:t>设隔声罩、</w:t>
                  </w:r>
                  <w:r>
                    <w:rPr>
                      <w:rFonts w:hint="default" w:ascii="Times New Roman" w:hAnsi="Times New Roman" w:cs="Times New Roman"/>
                      <w:snapToGrid w:val="0"/>
                      <w:color w:val="auto"/>
                      <w:szCs w:val="21"/>
                      <w:lang w:eastAsia="zh-CN"/>
                    </w:rPr>
                    <w:t>设备润滑、墙体隔声、</w:t>
                  </w:r>
                  <w:r>
                    <w:rPr>
                      <w:rFonts w:hint="default" w:ascii="Times New Roman" w:hAnsi="Times New Roman" w:cs="Times New Roman"/>
                      <w:snapToGrid w:val="0"/>
                      <w:color w:val="auto"/>
                      <w:szCs w:val="21"/>
                    </w:rPr>
                    <w:t>距离衰减等</w:t>
                  </w:r>
                  <w:r>
                    <w:rPr>
                      <w:rFonts w:hint="eastAsia" w:ascii="Times New Roman" w:hAnsi="Times New Roman" w:cs="Times New Roman"/>
                      <w:snapToGrid w:val="0"/>
                      <w:color w:val="auto"/>
                      <w:szCs w:val="21"/>
                      <w:lang w:eastAsia="zh-CN"/>
                    </w:rPr>
                    <w:t>。</w:t>
                  </w:r>
                </w:p>
              </w:tc>
              <w:tc>
                <w:tcPr>
                  <w:tcW w:w="803" w:type="pct"/>
                  <w:noWrap w:val="0"/>
                  <w:vAlign w:val="center"/>
                </w:tcPr>
                <w:p w14:paraId="00D8252A">
                  <w:pPr>
                    <w:adjustRightInd w:val="0"/>
                    <w:snapToGrid w:val="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r>
                    <w:rPr>
                      <w:rFonts w:hint="eastAsia" w:ascii="Times New Roman" w:hAnsi="Times New Roman" w:cs="Times New Roman"/>
                      <w:snapToGrid w:val="0"/>
                      <w:color w:val="auto"/>
                      <w:szCs w:val="21"/>
                      <w:lang w:val="en-US" w:eastAsia="zh-CN"/>
                    </w:rPr>
                    <w:t>+依托</w:t>
                  </w:r>
                </w:p>
              </w:tc>
            </w:tr>
            <w:tr w14:paraId="55FB1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30" w:type="pct"/>
                  <w:vMerge w:val="continue"/>
                  <w:noWrap w:val="0"/>
                  <w:vAlign w:val="center"/>
                </w:tcPr>
                <w:p w14:paraId="4438B58C">
                  <w:pPr>
                    <w:adjustRightInd w:val="0"/>
                    <w:snapToGrid w:val="0"/>
                    <w:jc w:val="center"/>
                    <w:rPr>
                      <w:rFonts w:hint="default" w:ascii="Times New Roman" w:hAnsi="Times New Roman" w:cs="Times New Roman"/>
                      <w:color w:val="auto"/>
                      <w:szCs w:val="21"/>
                    </w:rPr>
                  </w:pPr>
                </w:p>
              </w:tc>
              <w:tc>
                <w:tcPr>
                  <w:tcW w:w="384" w:type="pct"/>
                  <w:gridSpan w:val="2"/>
                  <w:vMerge w:val="restart"/>
                  <w:noWrap w:val="0"/>
                  <w:vAlign w:val="center"/>
                </w:tcPr>
                <w:p w14:paraId="7DB6BEC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固废处理系统</w:t>
                  </w:r>
                </w:p>
              </w:tc>
              <w:tc>
                <w:tcPr>
                  <w:tcW w:w="385" w:type="pct"/>
                  <w:noWrap w:val="0"/>
                  <w:vAlign w:val="center"/>
                </w:tcPr>
                <w:p w14:paraId="6D7702FA">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一般固废</w:t>
                  </w:r>
                </w:p>
              </w:tc>
              <w:tc>
                <w:tcPr>
                  <w:tcW w:w="4858" w:type="dxa"/>
                  <w:noWrap w:val="0"/>
                  <w:vAlign w:val="center"/>
                </w:tcPr>
                <w:p w14:paraId="35FD8F12">
                  <w:pPr>
                    <w:adjustRightInd w:val="0"/>
                    <w:snapToGrid w:val="0"/>
                    <w:jc w:val="center"/>
                    <w:rPr>
                      <w:rFonts w:hint="default" w:ascii="Times New Roman" w:hAnsi="Times New Roman" w:cs="Times New Roman"/>
                      <w:snapToGrid w:val="0"/>
                      <w:color w:val="auto"/>
                      <w:szCs w:val="21"/>
                      <w:lang w:val="en-US" w:eastAsia="zh-CN"/>
                    </w:rPr>
                  </w:pPr>
                  <w:r>
                    <w:rPr>
                      <w:rFonts w:hint="default" w:ascii="Times New Roman" w:hAnsi="Times New Roman" w:eastAsia="宋体" w:cs="Times New Roman"/>
                      <w:snapToGrid w:val="0"/>
                      <w:color w:val="auto"/>
                      <w:szCs w:val="21"/>
                      <w:lang w:eastAsia="zh-CN"/>
                    </w:rPr>
                    <w:t>废金属屑、废边角料</w:t>
                  </w:r>
                  <w:r>
                    <w:rPr>
                      <w:rFonts w:hint="eastAsia" w:ascii="Times New Roman" w:hAnsi="Times New Roman" w:eastAsia="宋体" w:cs="Times New Roman"/>
                      <w:snapToGrid w:val="0"/>
                      <w:color w:val="auto"/>
                      <w:szCs w:val="21"/>
                      <w:lang w:eastAsia="zh-CN"/>
                    </w:rPr>
                    <w:t>、废钢丸、</w:t>
                  </w:r>
                  <w:r>
                    <w:rPr>
                      <w:rFonts w:hint="eastAsia" w:ascii="Times New Roman" w:hAnsi="Times New Roman" w:eastAsia="宋体" w:cs="Times New Roman"/>
                      <w:snapToGrid w:val="0"/>
                      <w:color w:val="auto"/>
                      <w:szCs w:val="21"/>
                      <w:lang w:val="en-US" w:eastAsia="zh-CN"/>
                    </w:rPr>
                    <w:t>废粉</w:t>
                  </w:r>
                  <w:r>
                    <w:rPr>
                      <w:rFonts w:hint="eastAsia" w:ascii="Times New Roman" w:hAnsi="Times New Roman" w:eastAsia="宋体" w:cs="Times New Roman"/>
                      <w:snapToGrid w:val="0"/>
                      <w:color w:val="auto"/>
                      <w:szCs w:val="21"/>
                      <w:lang w:eastAsia="zh-CN"/>
                    </w:rPr>
                    <w:t>、收尘灰</w:t>
                  </w:r>
                  <w:r>
                    <w:rPr>
                      <w:rFonts w:hint="default" w:ascii="Times New Roman" w:hAnsi="Times New Roman" w:eastAsia="宋体" w:cs="Times New Roman"/>
                      <w:snapToGrid w:val="0"/>
                      <w:color w:val="auto"/>
                      <w:szCs w:val="21"/>
                      <w:lang w:eastAsia="zh-CN"/>
                    </w:rPr>
                    <w:t>暂存一般固废暂存区（占地</w:t>
                  </w:r>
                  <w:r>
                    <w:rPr>
                      <w:rFonts w:hint="eastAsia" w:cs="Times New Roman"/>
                      <w:snapToGrid w:val="0"/>
                      <w:color w:val="auto"/>
                      <w:szCs w:val="21"/>
                      <w:lang w:val="en-US" w:eastAsia="zh-CN"/>
                    </w:rPr>
                    <w:t>2</w:t>
                  </w:r>
                  <w:r>
                    <w:rPr>
                      <w:rFonts w:hint="default" w:ascii="Times New Roman" w:hAnsi="Times New Roman" w:eastAsia="宋体" w:cs="Times New Roman"/>
                      <w:snapToGrid w:val="0"/>
                      <w:color w:val="auto"/>
                      <w:szCs w:val="21"/>
                      <w:lang w:val="en-US" w:eastAsia="zh-CN"/>
                    </w:rPr>
                    <w:t>0㎡</w:t>
                  </w:r>
                  <w:r>
                    <w:rPr>
                      <w:rFonts w:hint="default" w:ascii="Times New Roman" w:hAnsi="Times New Roman" w:eastAsia="宋体" w:cs="Times New Roman"/>
                      <w:snapToGrid w:val="0"/>
                      <w:color w:val="auto"/>
                      <w:szCs w:val="21"/>
                      <w:lang w:eastAsia="zh-CN"/>
                    </w:rPr>
                    <w:t>）后定期外售处理</w:t>
                  </w:r>
                  <w:r>
                    <w:rPr>
                      <w:rFonts w:hint="eastAsia" w:ascii="Times New Roman" w:hAnsi="Times New Roman" w:eastAsia="宋体" w:cs="Times New Roman"/>
                      <w:snapToGrid w:val="0"/>
                      <w:color w:val="auto"/>
                      <w:szCs w:val="21"/>
                      <w:lang w:eastAsia="zh-CN"/>
                    </w:rPr>
                    <w:t>。</w:t>
                  </w:r>
                </w:p>
              </w:tc>
              <w:tc>
                <w:tcPr>
                  <w:tcW w:w="803" w:type="pct"/>
                  <w:noWrap w:val="0"/>
                  <w:vAlign w:val="center"/>
                </w:tcPr>
                <w:p w14:paraId="09FDB34F">
                  <w:pPr>
                    <w:adjustRightInd w:val="0"/>
                    <w:snapToGrid w:val="0"/>
                    <w:jc w:val="center"/>
                    <w:rPr>
                      <w:rFonts w:hint="eastAsia"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依托</w:t>
                  </w:r>
                </w:p>
              </w:tc>
            </w:tr>
            <w:tr w14:paraId="25B5D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30" w:type="pct"/>
                  <w:vMerge w:val="continue"/>
                  <w:noWrap w:val="0"/>
                  <w:vAlign w:val="center"/>
                </w:tcPr>
                <w:p w14:paraId="688E48F9">
                  <w:pPr>
                    <w:adjustRightInd w:val="0"/>
                    <w:snapToGrid w:val="0"/>
                    <w:jc w:val="center"/>
                    <w:rPr>
                      <w:color w:val="auto"/>
                    </w:rPr>
                  </w:pPr>
                </w:p>
              </w:tc>
              <w:tc>
                <w:tcPr>
                  <w:tcW w:w="384" w:type="pct"/>
                  <w:gridSpan w:val="2"/>
                  <w:vMerge w:val="continue"/>
                  <w:noWrap w:val="0"/>
                  <w:vAlign w:val="center"/>
                </w:tcPr>
                <w:p w14:paraId="30CE94EC">
                  <w:pPr>
                    <w:adjustRightInd w:val="0"/>
                    <w:snapToGrid w:val="0"/>
                    <w:jc w:val="center"/>
                    <w:rPr>
                      <w:color w:val="auto"/>
                    </w:rPr>
                  </w:pPr>
                </w:p>
              </w:tc>
              <w:tc>
                <w:tcPr>
                  <w:tcW w:w="385" w:type="pct"/>
                  <w:noWrap w:val="0"/>
                  <w:vAlign w:val="center"/>
                </w:tcPr>
                <w:p w14:paraId="5C3034EB">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危险废物</w:t>
                  </w:r>
                </w:p>
              </w:tc>
              <w:tc>
                <w:tcPr>
                  <w:tcW w:w="4858" w:type="dxa"/>
                  <w:noWrap w:val="0"/>
                  <w:vAlign w:val="center"/>
                </w:tcPr>
                <w:p w14:paraId="4A05A863">
                  <w:pPr>
                    <w:adjustRightInd w:val="0"/>
                    <w:snapToGrid w:val="0"/>
                    <w:jc w:val="center"/>
                    <w:rPr>
                      <w:rFonts w:hint="eastAsia" w:cs="Times New Roman"/>
                      <w:color w:val="auto"/>
                      <w:szCs w:val="21"/>
                      <w:lang w:val="en-US" w:eastAsia="zh-CN"/>
                    </w:rPr>
                  </w:pPr>
                  <w:r>
                    <w:rPr>
                      <w:rFonts w:hint="default" w:ascii="Times New Roman" w:hAnsi="Times New Roman" w:eastAsia="宋体" w:cs="Times New Roman"/>
                      <w:snapToGrid w:val="0"/>
                      <w:color w:val="auto"/>
                      <w:szCs w:val="21"/>
                      <w:lang w:eastAsia="zh-CN"/>
                    </w:rPr>
                    <w:t>危险废物（</w:t>
                  </w:r>
                  <w:r>
                    <w:rPr>
                      <w:rFonts w:hint="eastAsia" w:cs="Times New Roman"/>
                      <w:snapToGrid w:val="0"/>
                      <w:color w:val="auto"/>
                      <w:szCs w:val="21"/>
                      <w:lang w:val="en-US" w:eastAsia="zh-CN"/>
                    </w:rPr>
                    <w:t>污泥、</w:t>
                  </w:r>
                  <w:r>
                    <w:rPr>
                      <w:rFonts w:hint="eastAsia" w:ascii="Times New Roman" w:hAnsi="Times New Roman" w:eastAsia="宋体" w:cs="Times New Roman"/>
                      <w:snapToGrid w:val="0"/>
                      <w:color w:val="auto"/>
                      <w:szCs w:val="21"/>
                      <w:lang w:val="en-US" w:eastAsia="zh-CN"/>
                    </w:rPr>
                    <w:t>废活性炭、</w:t>
                  </w:r>
                  <w:r>
                    <w:rPr>
                      <w:rFonts w:hint="default" w:ascii="Times New Roman" w:hAnsi="Times New Roman" w:eastAsia="宋体" w:cs="Times New Roman"/>
                      <w:snapToGrid w:val="0"/>
                      <w:color w:val="auto"/>
                      <w:szCs w:val="21"/>
                      <w:lang w:eastAsia="zh-CN"/>
                    </w:rPr>
                    <w:t>废</w:t>
                  </w:r>
                  <w:r>
                    <w:rPr>
                      <w:rFonts w:hint="eastAsia" w:ascii="Times New Roman" w:hAnsi="Times New Roman" w:eastAsia="宋体" w:cs="Times New Roman"/>
                      <w:snapToGrid w:val="0"/>
                      <w:color w:val="auto"/>
                      <w:szCs w:val="21"/>
                      <w:lang w:eastAsia="zh-CN"/>
                    </w:rPr>
                    <w:t>矿物</w:t>
                  </w:r>
                  <w:r>
                    <w:rPr>
                      <w:rFonts w:hint="default" w:ascii="Times New Roman" w:hAnsi="Times New Roman" w:eastAsia="宋体" w:cs="Times New Roman"/>
                      <w:snapToGrid w:val="0"/>
                      <w:color w:val="auto"/>
                      <w:szCs w:val="21"/>
                      <w:lang w:eastAsia="zh-CN"/>
                    </w:rPr>
                    <w:t>油、废油桶、</w:t>
                  </w:r>
                  <w:r>
                    <w:rPr>
                      <w:rFonts w:hint="eastAsia" w:ascii="Times New Roman" w:hAnsi="Times New Roman" w:eastAsia="宋体" w:cs="Times New Roman"/>
                      <w:snapToGrid w:val="0"/>
                      <w:color w:val="auto"/>
                      <w:szCs w:val="21"/>
                      <w:lang w:eastAsia="zh-CN"/>
                    </w:rPr>
                    <w:t>废切削液</w:t>
                  </w:r>
                  <w:r>
                    <w:rPr>
                      <w:rFonts w:hint="eastAsia" w:ascii="Times New Roman" w:hAnsi="Times New Roman" w:eastAsia="宋体" w:cs="Times New Roman"/>
                      <w:snapToGrid w:val="0"/>
                      <w:color w:val="auto"/>
                      <w:szCs w:val="21"/>
                      <w:lang w:val="en-US" w:eastAsia="zh-CN"/>
                    </w:rPr>
                    <w:t>桶、废</w:t>
                  </w:r>
                  <w:r>
                    <w:rPr>
                      <w:rFonts w:hint="default" w:ascii="Times New Roman" w:hAnsi="Times New Roman" w:eastAsia="宋体" w:cs="Times New Roman"/>
                      <w:snapToGrid w:val="0"/>
                      <w:color w:val="auto"/>
                      <w:szCs w:val="21"/>
                      <w:lang w:eastAsia="zh-CN"/>
                    </w:rPr>
                    <w:t>含油抹布、手套）暂存于危废暂存间（占地</w:t>
                  </w:r>
                  <w:r>
                    <w:rPr>
                      <w:rFonts w:hint="eastAsia" w:cs="Times New Roman"/>
                      <w:snapToGrid w:val="0"/>
                      <w:color w:val="auto"/>
                      <w:szCs w:val="21"/>
                      <w:lang w:val="en-US" w:eastAsia="zh-CN"/>
                    </w:rPr>
                    <w:t>12</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eastAsia" w:ascii="Times New Roman" w:hAnsi="Times New Roman" w:eastAsia="宋体" w:cs="Times New Roman"/>
                      <w:snapToGrid w:val="0"/>
                      <w:color w:val="auto"/>
                      <w:szCs w:val="21"/>
                      <w:lang w:eastAsia="zh-CN"/>
                    </w:rPr>
                    <w:t>宝鸡明瑞昕盛环保科技有限公司</w:t>
                  </w:r>
                  <w:r>
                    <w:rPr>
                      <w:rFonts w:hint="default" w:ascii="Times New Roman" w:hAnsi="Times New Roman" w:eastAsia="宋体" w:cs="Times New Roman"/>
                      <w:snapToGrid w:val="0"/>
                      <w:color w:val="auto"/>
                      <w:szCs w:val="21"/>
                      <w:lang w:eastAsia="zh-CN"/>
                    </w:rPr>
                    <w:t>处理</w:t>
                  </w:r>
                  <w:r>
                    <w:rPr>
                      <w:rFonts w:hint="eastAsia" w:ascii="Times New Roman" w:hAnsi="Times New Roman" w:eastAsia="宋体" w:cs="Times New Roman"/>
                      <w:snapToGrid w:val="0"/>
                      <w:color w:val="auto"/>
                      <w:szCs w:val="21"/>
                      <w:lang w:eastAsia="zh-CN"/>
                    </w:rPr>
                    <w:t>。</w:t>
                  </w:r>
                </w:p>
              </w:tc>
              <w:tc>
                <w:tcPr>
                  <w:tcW w:w="803" w:type="pct"/>
                  <w:noWrap w:val="0"/>
                  <w:vAlign w:val="center"/>
                </w:tcPr>
                <w:p w14:paraId="690481AA">
                  <w:pPr>
                    <w:adjustRightInd w:val="0"/>
                    <w:snapToGrid w:val="0"/>
                    <w:jc w:val="center"/>
                    <w:rPr>
                      <w:rFonts w:hint="eastAsia" w:cs="Times New Roman"/>
                      <w:color w:val="auto"/>
                      <w:szCs w:val="21"/>
                      <w:lang w:val="en-US" w:eastAsia="zh-CN"/>
                    </w:rPr>
                  </w:pPr>
                  <w:r>
                    <w:rPr>
                      <w:rFonts w:hint="eastAsia" w:cs="Times New Roman"/>
                      <w:snapToGrid w:val="0"/>
                      <w:color w:val="auto"/>
                      <w:szCs w:val="21"/>
                      <w:lang w:val="en-US" w:eastAsia="zh-CN"/>
                    </w:rPr>
                    <w:t>依托</w:t>
                  </w:r>
                </w:p>
              </w:tc>
            </w:tr>
          </w:tbl>
          <w:p w14:paraId="44B3C49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项目主要生产设施</w:t>
            </w:r>
          </w:p>
          <w:p w14:paraId="4B2762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项目主要生产设施见表2-2。</w:t>
            </w:r>
          </w:p>
          <w:p w14:paraId="6FF02A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表2-2  主要生产设施一览表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8"/>
              <w:gridCol w:w="2116"/>
              <w:gridCol w:w="1309"/>
              <w:gridCol w:w="886"/>
              <w:gridCol w:w="941"/>
              <w:gridCol w:w="846"/>
              <w:gridCol w:w="708"/>
              <w:gridCol w:w="1121"/>
            </w:tblGrid>
            <w:tr w14:paraId="38F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4F219F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261" w:type="pct"/>
                  <w:noWrap w:val="0"/>
                  <w:vAlign w:val="center"/>
                </w:tcPr>
                <w:p w14:paraId="0CCA38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780" w:type="pct"/>
                  <w:noWrap w:val="0"/>
                  <w:vAlign w:val="center"/>
                </w:tcPr>
                <w:p w14:paraId="62E56CD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设备</w:t>
                  </w:r>
                  <w:r>
                    <w:rPr>
                      <w:rFonts w:hint="default" w:ascii="Times New Roman" w:hAnsi="Times New Roman" w:cs="Times New Roman"/>
                      <w:color w:val="auto"/>
                      <w:szCs w:val="21"/>
                      <w:lang w:eastAsia="zh-CN"/>
                    </w:rPr>
                    <w:t>参数</w:t>
                  </w:r>
                </w:p>
              </w:tc>
              <w:tc>
                <w:tcPr>
                  <w:tcW w:w="528" w:type="pct"/>
                  <w:noWrap w:val="0"/>
                  <w:vAlign w:val="center"/>
                </w:tcPr>
                <w:p w14:paraId="4911F240">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扩建前</w:t>
                  </w:r>
                </w:p>
                <w:p w14:paraId="105E380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数量</w:t>
                  </w:r>
                </w:p>
              </w:tc>
              <w:tc>
                <w:tcPr>
                  <w:tcW w:w="561" w:type="pct"/>
                  <w:noWrap w:val="0"/>
                  <w:vAlign w:val="center"/>
                </w:tcPr>
                <w:p w14:paraId="6C2E215F">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扩建后</w:t>
                  </w:r>
                </w:p>
                <w:p w14:paraId="255730E0">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数量</w:t>
                  </w:r>
                </w:p>
              </w:tc>
              <w:tc>
                <w:tcPr>
                  <w:tcW w:w="504" w:type="pct"/>
                  <w:noWrap w:val="0"/>
                  <w:vAlign w:val="center"/>
                </w:tcPr>
                <w:p w14:paraId="10C6663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变化量</w:t>
                  </w:r>
                </w:p>
              </w:tc>
              <w:tc>
                <w:tcPr>
                  <w:tcW w:w="422" w:type="pct"/>
                  <w:noWrap w:val="0"/>
                  <w:vAlign w:val="center"/>
                </w:tcPr>
                <w:p w14:paraId="7A6B7D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668" w:type="pct"/>
                  <w:noWrap w:val="0"/>
                  <w:vAlign w:val="center"/>
                </w:tcPr>
                <w:p w14:paraId="7C26221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备注</w:t>
                  </w:r>
                </w:p>
              </w:tc>
            </w:tr>
            <w:tr w14:paraId="1AC46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2A1A06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61" w:type="pct"/>
                  <w:noWrap w:val="0"/>
                  <w:vAlign w:val="center"/>
                </w:tcPr>
                <w:p w14:paraId="5B097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激光切割机</w:t>
                  </w:r>
                </w:p>
              </w:tc>
              <w:tc>
                <w:tcPr>
                  <w:tcW w:w="780" w:type="pct"/>
                  <w:noWrap w:val="0"/>
                  <w:vAlign w:val="center"/>
                </w:tcPr>
                <w:p w14:paraId="2FB5607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r>
                    <w:rPr>
                      <w:rFonts w:hint="eastAsia" w:cs="Times New Roman"/>
                      <w:color w:val="auto"/>
                      <w:szCs w:val="21"/>
                      <w:lang w:val="en-US" w:eastAsia="zh-CN"/>
                    </w:rPr>
                    <w:t>kW</w:t>
                  </w:r>
                </w:p>
              </w:tc>
              <w:tc>
                <w:tcPr>
                  <w:tcW w:w="528" w:type="pct"/>
                  <w:noWrap w:val="0"/>
                  <w:vAlign w:val="center"/>
                </w:tcPr>
                <w:p w14:paraId="4D49E18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61" w:type="pct"/>
                  <w:noWrap w:val="0"/>
                  <w:vAlign w:val="center"/>
                </w:tcPr>
                <w:p w14:paraId="57650EF7">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504" w:type="pct"/>
                  <w:noWrap w:val="0"/>
                  <w:vAlign w:val="center"/>
                </w:tcPr>
                <w:p w14:paraId="7E0075E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422" w:type="pct"/>
                  <w:noWrap w:val="0"/>
                  <w:vAlign w:val="center"/>
                </w:tcPr>
                <w:p w14:paraId="1AE622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09EDD347">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7FC22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6D27F87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1261" w:type="pct"/>
                  <w:noWrap w:val="0"/>
                  <w:vAlign w:val="center"/>
                </w:tcPr>
                <w:p w14:paraId="37CAF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激光切割机</w:t>
                  </w:r>
                </w:p>
              </w:tc>
              <w:tc>
                <w:tcPr>
                  <w:tcW w:w="780" w:type="pct"/>
                  <w:noWrap w:val="0"/>
                  <w:vAlign w:val="center"/>
                </w:tcPr>
                <w:p w14:paraId="3E9E21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w:t>
                  </w:r>
                  <w:r>
                    <w:rPr>
                      <w:rFonts w:hint="eastAsia" w:cs="Times New Roman"/>
                      <w:color w:val="auto"/>
                      <w:szCs w:val="21"/>
                      <w:lang w:val="en-US" w:eastAsia="zh-CN"/>
                    </w:rPr>
                    <w:t>kW</w:t>
                  </w:r>
                </w:p>
              </w:tc>
              <w:tc>
                <w:tcPr>
                  <w:tcW w:w="528" w:type="pct"/>
                  <w:noWrap w:val="0"/>
                  <w:vAlign w:val="center"/>
                </w:tcPr>
                <w:p w14:paraId="3ADAE0A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61" w:type="pct"/>
                  <w:noWrap w:val="0"/>
                  <w:vAlign w:val="center"/>
                </w:tcPr>
                <w:p w14:paraId="3FF5FAE0">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504" w:type="pct"/>
                  <w:noWrap w:val="0"/>
                  <w:vAlign w:val="center"/>
                </w:tcPr>
                <w:p w14:paraId="1363296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422" w:type="pct"/>
                  <w:noWrap w:val="0"/>
                  <w:vAlign w:val="center"/>
                </w:tcPr>
                <w:p w14:paraId="6B2CBE56">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1562786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BB11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159A409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1261" w:type="pct"/>
                  <w:noWrap w:val="0"/>
                  <w:vAlign w:val="center"/>
                </w:tcPr>
                <w:p w14:paraId="0B7D9D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切割机</w:t>
                  </w:r>
                </w:p>
              </w:tc>
              <w:tc>
                <w:tcPr>
                  <w:tcW w:w="780" w:type="pct"/>
                  <w:noWrap w:val="0"/>
                  <w:vAlign w:val="center"/>
                </w:tcPr>
                <w:p w14:paraId="29D8E0C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28" w:type="pct"/>
                  <w:noWrap w:val="0"/>
                  <w:vAlign w:val="center"/>
                </w:tcPr>
                <w:p w14:paraId="7DD4D0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61" w:type="pct"/>
                  <w:noWrap w:val="0"/>
                  <w:vAlign w:val="center"/>
                </w:tcPr>
                <w:p w14:paraId="7323F4B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04" w:type="pct"/>
                  <w:noWrap w:val="0"/>
                  <w:vAlign w:val="center"/>
                </w:tcPr>
                <w:p w14:paraId="0AF3F9B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29E37B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2D2331B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7ED56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0FF5FCD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w:t>
                  </w:r>
                </w:p>
              </w:tc>
              <w:tc>
                <w:tcPr>
                  <w:tcW w:w="1261" w:type="pct"/>
                  <w:noWrap w:val="0"/>
                  <w:vAlign w:val="center"/>
                </w:tcPr>
                <w:p w14:paraId="6619D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砂轮切割机</w:t>
                  </w:r>
                </w:p>
              </w:tc>
              <w:tc>
                <w:tcPr>
                  <w:tcW w:w="780" w:type="pct"/>
                  <w:noWrap w:val="0"/>
                  <w:vAlign w:val="center"/>
                </w:tcPr>
                <w:p w14:paraId="2FAF085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28" w:type="pct"/>
                  <w:noWrap w:val="0"/>
                  <w:vAlign w:val="center"/>
                </w:tcPr>
                <w:p w14:paraId="4DAFB88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61" w:type="pct"/>
                  <w:noWrap w:val="0"/>
                  <w:vAlign w:val="center"/>
                </w:tcPr>
                <w:p w14:paraId="6480069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04" w:type="pct"/>
                  <w:noWrap w:val="0"/>
                  <w:vAlign w:val="center"/>
                </w:tcPr>
                <w:p w14:paraId="22B9B22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63AC2E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05401A9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04D83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6F896F3E">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w:t>
                  </w:r>
                </w:p>
              </w:tc>
              <w:tc>
                <w:tcPr>
                  <w:tcW w:w="1261" w:type="pct"/>
                  <w:noWrap w:val="0"/>
                  <w:vAlign w:val="center"/>
                </w:tcPr>
                <w:p w14:paraId="5DD288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锯床</w:t>
                  </w:r>
                </w:p>
              </w:tc>
              <w:tc>
                <w:tcPr>
                  <w:tcW w:w="780" w:type="pct"/>
                  <w:noWrap w:val="0"/>
                  <w:vAlign w:val="center"/>
                </w:tcPr>
                <w:p w14:paraId="32F278C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w:t>
                  </w:r>
                  <w:r>
                    <w:rPr>
                      <w:rFonts w:hint="eastAsia" w:cs="Times New Roman"/>
                      <w:color w:val="auto"/>
                      <w:kern w:val="2"/>
                      <w:sz w:val="21"/>
                      <w:szCs w:val="21"/>
                      <w:lang w:val="en-US" w:eastAsia="zh-CN" w:bidi="ar-SA"/>
                    </w:rPr>
                    <w:t>kW</w:t>
                  </w:r>
                </w:p>
              </w:tc>
              <w:tc>
                <w:tcPr>
                  <w:tcW w:w="528" w:type="pct"/>
                  <w:noWrap w:val="0"/>
                  <w:vAlign w:val="center"/>
                </w:tcPr>
                <w:p w14:paraId="1F15E10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561" w:type="pct"/>
                  <w:noWrap w:val="0"/>
                  <w:vAlign w:val="center"/>
                </w:tcPr>
                <w:p w14:paraId="54CE672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504" w:type="pct"/>
                  <w:noWrap w:val="0"/>
                  <w:vAlign w:val="center"/>
                </w:tcPr>
                <w:p w14:paraId="21439C9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12A097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5402B952">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401DB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24F9EFA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p>
              </w:tc>
              <w:tc>
                <w:tcPr>
                  <w:tcW w:w="1261" w:type="pct"/>
                  <w:noWrap w:val="0"/>
                  <w:vAlign w:val="center"/>
                </w:tcPr>
                <w:p w14:paraId="13EBCE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数控</w:t>
                  </w:r>
                  <w:r>
                    <w:rPr>
                      <w:rFonts w:hint="eastAsia" w:ascii="Times New Roman" w:hAnsi="Times New Roman" w:cs="Times New Roman"/>
                      <w:color w:val="auto"/>
                      <w:szCs w:val="21"/>
                      <w:lang w:val="en-US" w:eastAsia="zh-CN"/>
                    </w:rPr>
                    <w:t>前送料</w:t>
                  </w:r>
                  <w:r>
                    <w:rPr>
                      <w:rFonts w:hint="default" w:ascii="Times New Roman" w:hAnsi="Times New Roman" w:cs="Times New Roman"/>
                      <w:color w:val="auto"/>
                      <w:szCs w:val="21"/>
                      <w:lang w:val="en-US" w:eastAsia="zh-CN"/>
                    </w:rPr>
                    <w:t>剪板机</w:t>
                  </w:r>
                </w:p>
              </w:tc>
              <w:tc>
                <w:tcPr>
                  <w:tcW w:w="780" w:type="pct"/>
                  <w:noWrap w:val="0"/>
                  <w:vAlign w:val="center"/>
                </w:tcPr>
                <w:p w14:paraId="4165729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最大剪切厚度6mm，宽度3050mm</w:t>
                  </w:r>
                </w:p>
              </w:tc>
              <w:tc>
                <w:tcPr>
                  <w:tcW w:w="528" w:type="pct"/>
                  <w:noWrap w:val="0"/>
                  <w:vAlign w:val="center"/>
                </w:tcPr>
                <w:p w14:paraId="6E15D65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561" w:type="pct"/>
                  <w:noWrap w:val="0"/>
                  <w:vAlign w:val="center"/>
                </w:tcPr>
                <w:p w14:paraId="35E350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p>
              </w:tc>
              <w:tc>
                <w:tcPr>
                  <w:tcW w:w="504" w:type="pct"/>
                  <w:noWrap w:val="0"/>
                  <w:vAlign w:val="center"/>
                </w:tcPr>
                <w:p w14:paraId="1113B7E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006569A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503056A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020C6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5AFDF6B8">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w:t>
                  </w:r>
                </w:p>
              </w:tc>
              <w:tc>
                <w:tcPr>
                  <w:tcW w:w="1261" w:type="pct"/>
                  <w:noWrap w:val="0"/>
                  <w:vAlign w:val="center"/>
                </w:tcPr>
                <w:p w14:paraId="17C87C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数控液压闸式剪板机</w:t>
                  </w:r>
                </w:p>
              </w:tc>
              <w:tc>
                <w:tcPr>
                  <w:tcW w:w="780" w:type="pct"/>
                  <w:noWrap w:val="0"/>
                  <w:vAlign w:val="center"/>
                </w:tcPr>
                <w:p w14:paraId="1C807BE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28" w:type="pct"/>
                  <w:noWrap w:val="0"/>
                  <w:vAlign w:val="center"/>
                </w:tcPr>
                <w:p w14:paraId="7F38BD4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7F183E8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5F286DF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456E50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43D0C6F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444F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52801DC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w:t>
                  </w:r>
                </w:p>
              </w:tc>
              <w:tc>
                <w:tcPr>
                  <w:tcW w:w="1261" w:type="pct"/>
                  <w:noWrap w:val="0"/>
                  <w:vAlign w:val="center"/>
                </w:tcPr>
                <w:p w14:paraId="140F87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液压摆式剪板机</w:t>
                  </w:r>
                </w:p>
              </w:tc>
              <w:tc>
                <w:tcPr>
                  <w:tcW w:w="780" w:type="pct"/>
                  <w:noWrap w:val="0"/>
                  <w:vAlign w:val="center"/>
                </w:tcPr>
                <w:p w14:paraId="43208E57">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528" w:type="pct"/>
                  <w:noWrap w:val="0"/>
                  <w:vAlign w:val="center"/>
                </w:tcPr>
                <w:p w14:paraId="16EFC98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277CF32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721AFB8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25EDA91C">
                  <w:pPr>
                    <w:adjustRightInd w:val="0"/>
                    <w:snapToGrid w:val="0"/>
                    <w:jc w:val="center"/>
                    <w:rPr>
                      <w:rFonts w:hint="default" w:ascii="Times New Roman" w:hAnsi="Times New Roman" w:cs="Times New Roman"/>
                      <w:color w:val="auto"/>
                      <w:szCs w:val="21"/>
                    </w:rPr>
                  </w:pPr>
                </w:p>
              </w:tc>
              <w:tc>
                <w:tcPr>
                  <w:tcW w:w="668" w:type="pct"/>
                  <w:noWrap w:val="0"/>
                  <w:vAlign w:val="center"/>
                </w:tcPr>
                <w:p w14:paraId="789E917C">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51111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6BEB08C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w:t>
                  </w:r>
                </w:p>
              </w:tc>
              <w:tc>
                <w:tcPr>
                  <w:tcW w:w="1261" w:type="pct"/>
                  <w:noWrap w:val="0"/>
                  <w:vAlign w:val="center"/>
                </w:tcPr>
                <w:p w14:paraId="496EA7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剪板机</w:t>
                  </w:r>
                </w:p>
              </w:tc>
              <w:tc>
                <w:tcPr>
                  <w:tcW w:w="780" w:type="pct"/>
                  <w:noWrap w:val="0"/>
                  <w:vAlign w:val="center"/>
                </w:tcPr>
                <w:p w14:paraId="728AE23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28" w:type="pct"/>
                  <w:noWrap w:val="0"/>
                  <w:vAlign w:val="center"/>
                </w:tcPr>
                <w:p w14:paraId="29A36B7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394D1BE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5179D40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25C6FD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47A515E9">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48C58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2FE564D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261" w:type="pct"/>
                  <w:noWrap w:val="0"/>
                  <w:vAlign w:val="center"/>
                </w:tcPr>
                <w:p w14:paraId="095E58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铣床</w:t>
                  </w:r>
                </w:p>
              </w:tc>
              <w:tc>
                <w:tcPr>
                  <w:tcW w:w="780" w:type="pct"/>
                  <w:noWrap w:val="0"/>
                  <w:vAlign w:val="center"/>
                </w:tcPr>
                <w:p w14:paraId="3C1C21E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4.5</w:t>
                  </w:r>
                  <w:r>
                    <w:rPr>
                      <w:rFonts w:hint="eastAsia" w:cs="Times New Roman"/>
                      <w:color w:val="auto"/>
                      <w:kern w:val="2"/>
                      <w:sz w:val="21"/>
                      <w:szCs w:val="21"/>
                      <w:lang w:val="en-US" w:eastAsia="zh-CN" w:bidi="ar-SA"/>
                    </w:rPr>
                    <w:t>kW</w:t>
                  </w:r>
                </w:p>
              </w:tc>
              <w:tc>
                <w:tcPr>
                  <w:tcW w:w="528" w:type="pct"/>
                  <w:noWrap w:val="0"/>
                  <w:vAlign w:val="center"/>
                </w:tcPr>
                <w:p w14:paraId="7F3B14C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1815923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7A2896A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65EFDB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0A2BAD1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下料</w:t>
                  </w:r>
                  <w:r>
                    <w:rPr>
                      <w:rFonts w:hint="default" w:ascii="Times New Roman" w:hAnsi="Times New Roman" w:cs="Times New Roman"/>
                      <w:color w:val="auto"/>
                      <w:szCs w:val="21"/>
                      <w:lang w:val="en-US" w:eastAsia="zh-CN"/>
                    </w:rPr>
                    <w:t>工序</w:t>
                  </w:r>
                </w:p>
              </w:tc>
            </w:tr>
            <w:tr w14:paraId="18231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6526910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261" w:type="pct"/>
                  <w:noWrap w:val="0"/>
                  <w:vAlign w:val="center"/>
                </w:tcPr>
                <w:p w14:paraId="6221B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气动旋铆机</w:t>
                  </w:r>
                </w:p>
              </w:tc>
              <w:tc>
                <w:tcPr>
                  <w:tcW w:w="780" w:type="pct"/>
                  <w:noWrap w:val="0"/>
                  <w:vAlign w:val="center"/>
                </w:tcPr>
                <w:p w14:paraId="7F1E0CF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370w</w:t>
                  </w:r>
                </w:p>
              </w:tc>
              <w:tc>
                <w:tcPr>
                  <w:tcW w:w="528" w:type="pct"/>
                  <w:noWrap w:val="0"/>
                  <w:vAlign w:val="center"/>
                </w:tcPr>
                <w:p w14:paraId="7A03A5F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11EAD4B6">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4F585E0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7650082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1948401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EBE8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2050B08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1261" w:type="pct"/>
                  <w:noWrap w:val="0"/>
                  <w:vAlign w:val="center"/>
                </w:tcPr>
                <w:p w14:paraId="401D96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数控</w:t>
                  </w:r>
                  <w:r>
                    <w:rPr>
                      <w:rFonts w:hint="eastAsia" w:ascii="Times New Roman" w:hAnsi="Times New Roman" w:cs="Times New Roman"/>
                      <w:color w:val="auto"/>
                      <w:szCs w:val="21"/>
                      <w:lang w:val="en-US" w:eastAsia="zh-CN"/>
                    </w:rPr>
                    <w:t>砖塔</w:t>
                  </w:r>
                  <w:r>
                    <w:rPr>
                      <w:rFonts w:hint="default" w:ascii="Times New Roman" w:hAnsi="Times New Roman" w:cs="Times New Roman"/>
                      <w:color w:val="auto"/>
                      <w:szCs w:val="21"/>
                      <w:lang w:val="en-US" w:eastAsia="zh-CN"/>
                    </w:rPr>
                    <w:t>冲床</w:t>
                  </w:r>
                </w:p>
              </w:tc>
              <w:tc>
                <w:tcPr>
                  <w:tcW w:w="780" w:type="pct"/>
                  <w:noWrap w:val="0"/>
                  <w:vAlign w:val="center"/>
                </w:tcPr>
                <w:p w14:paraId="6F9C3F1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528" w:type="pct"/>
                  <w:noWrap w:val="0"/>
                  <w:vAlign w:val="center"/>
                </w:tcPr>
                <w:p w14:paraId="694C839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4DDF059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1E429C2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22" w:type="pct"/>
                  <w:noWrap w:val="0"/>
                  <w:vAlign w:val="center"/>
                </w:tcPr>
                <w:p w14:paraId="4F12471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77D1166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3A281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3E1CED5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13</w:t>
                  </w:r>
                </w:p>
              </w:tc>
              <w:tc>
                <w:tcPr>
                  <w:tcW w:w="1261" w:type="pct"/>
                  <w:noWrap w:val="0"/>
                  <w:vAlign w:val="center"/>
                </w:tcPr>
                <w:p w14:paraId="34DE14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小冲床</w:t>
                  </w:r>
                </w:p>
              </w:tc>
              <w:tc>
                <w:tcPr>
                  <w:tcW w:w="780" w:type="pct"/>
                  <w:noWrap w:val="0"/>
                  <w:vAlign w:val="center"/>
                </w:tcPr>
                <w:p w14:paraId="3C69D03E">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7.5t</w:t>
                  </w:r>
                </w:p>
              </w:tc>
              <w:tc>
                <w:tcPr>
                  <w:tcW w:w="528" w:type="pct"/>
                  <w:noWrap w:val="0"/>
                  <w:vAlign w:val="center"/>
                </w:tcPr>
                <w:p w14:paraId="349074B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561" w:type="pct"/>
                  <w:noWrap w:val="0"/>
                  <w:vAlign w:val="center"/>
                </w:tcPr>
                <w:p w14:paraId="61261AD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504" w:type="pct"/>
                  <w:noWrap w:val="0"/>
                  <w:vAlign w:val="center"/>
                </w:tcPr>
                <w:p w14:paraId="21D04D0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22" w:type="pct"/>
                  <w:noWrap w:val="0"/>
                  <w:vAlign w:val="center"/>
                </w:tcPr>
                <w:p w14:paraId="09C4840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0084A0B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733CE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04F00FD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1261" w:type="pct"/>
                  <w:noWrap w:val="0"/>
                  <w:vAlign w:val="center"/>
                </w:tcPr>
                <w:p w14:paraId="5E0C47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小冲床</w:t>
                  </w:r>
                </w:p>
              </w:tc>
              <w:tc>
                <w:tcPr>
                  <w:tcW w:w="780" w:type="pct"/>
                  <w:noWrap w:val="0"/>
                  <w:vAlign w:val="center"/>
                </w:tcPr>
                <w:p w14:paraId="1E9E03D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15t</w:t>
                  </w:r>
                </w:p>
              </w:tc>
              <w:tc>
                <w:tcPr>
                  <w:tcW w:w="528" w:type="pct"/>
                  <w:noWrap w:val="0"/>
                  <w:vAlign w:val="center"/>
                </w:tcPr>
                <w:p w14:paraId="012CF4DB">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5958EA7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0E2212D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422" w:type="pct"/>
                  <w:noWrap w:val="0"/>
                  <w:vAlign w:val="center"/>
                </w:tcPr>
                <w:p w14:paraId="245FAE9F">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0D254B9B">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234FF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1341BFC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1261" w:type="pct"/>
                  <w:noWrap w:val="0"/>
                  <w:vAlign w:val="center"/>
                </w:tcPr>
                <w:p w14:paraId="1FBD35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台式钻床</w:t>
                  </w:r>
                </w:p>
              </w:tc>
              <w:tc>
                <w:tcPr>
                  <w:tcW w:w="780" w:type="pct"/>
                  <w:noWrap w:val="0"/>
                  <w:vAlign w:val="center"/>
                </w:tcPr>
                <w:p w14:paraId="0C068B7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w:t>
                  </w:r>
                  <w:r>
                    <w:rPr>
                      <w:rFonts w:hint="eastAsia" w:cs="Times New Roman"/>
                      <w:color w:val="auto"/>
                      <w:kern w:val="2"/>
                      <w:sz w:val="21"/>
                      <w:szCs w:val="21"/>
                      <w:lang w:val="en-US" w:eastAsia="zh-CN" w:bidi="ar-SA"/>
                    </w:rPr>
                    <w:t>kW</w:t>
                  </w:r>
                </w:p>
              </w:tc>
              <w:tc>
                <w:tcPr>
                  <w:tcW w:w="528" w:type="pct"/>
                  <w:noWrap w:val="0"/>
                  <w:vAlign w:val="center"/>
                </w:tcPr>
                <w:p w14:paraId="1B276A08">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18</w:t>
                  </w:r>
                </w:p>
              </w:tc>
              <w:tc>
                <w:tcPr>
                  <w:tcW w:w="561" w:type="pct"/>
                  <w:noWrap w:val="0"/>
                  <w:vAlign w:val="center"/>
                </w:tcPr>
                <w:p w14:paraId="1AB223D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18</w:t>
                  </w:r>
                </w:p>
              </w:tc>
              <w:tc>
                <w:tcPr>
                  <w:tcW w:w="504" w:type="pct"/>
                  <w:noWrap w:val="0"/>
                  <w:vAlign w:val="center"/>
                </w:tcPr>
                <w:p w14:paraId="3857253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753B655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1ECB94C0">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2160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5389567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w:t>
                  </w:r>
                </w:p>
              </w:tc>
              <w:tc>
                <w:tcPr>
                  <w:tcW w:w="1261" w:type="pct"/>
                  <w:noWrap w:val="0"/>
                  <w:vAlign w:val="center"/>
                </w:tcPr>
                <w:p w14:paraId="2105EB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摇臂钻床</w:t>
                  </w:r>
                </w:p>
              </w:tc>
              <w:tc>
                <w:tcPr>
                  <w:tcW w:w="780" w:type="pct"/>
                  <w:noWrap w:val="0"/>
                  <w:vAlign w:val="center"/>
                </w:tcPr>
                <w:p w14:paraId="2F9CAA4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3</w:t>
                  </w:r>
                  <w:r>
                    <w:rPr>
                      <w:rFonts w:hint="eastAsia" w:cs="Times New Roman"/>
                      <w:color w:val="auto"/>
                      <w:szCs w:val="21"/>
                      <w:lang w:val="en-US" w:eastAsia="zh-CN"/>
                    </w:rPr>
                    <w:t>kW</w:t>
                  </w:r>
                </w:p>
              </w:tc>
              <w:tc>
                <w:tcPr>
                  <w:tcW w:w="528" w:type="pct"/>
                  <w:noWrap w:val="0"/>
                  <w:vAlign w:val="center"/>
                </w:tcPr>
                <w:p w14:paraId="101D19B1">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01CE94B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6D4C4EA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5DC3AC4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2F986CC3">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25FD9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57A1462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17</w:t>
                  </w:r>
                </w:p>
              </w:tc>
              <w:tc>
                <w:tcPr>
                  <w:tcW w:w="1261" w:type="pct"/>
                  <w:noWrap w:val="0"/>
                  <w:vAlign w:val="center"/>
                </w:tcPr>
                <w:p w14:paraId="36570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圆柱立式钻床</w:t>
                  </w:r>
                </w:p>
              </w:tc>
              <w:tc>
                <w:tcPr>
                  <w:tcW w:w="780" w:type="pct"/>
                  <w:noWrap w:val="0"/>
                  <w:vAlign w:val="center"/>
                </w:tcPr>
                <w:p w14:paraId="2E857E74">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1.38</w:t>
                  </w:r>
                  <w:r>
                    <w:rPr>
                      <w:rFonts w:hint="eastAsia" w:cs="Times New Roman"/>
                      <w:color w:val="auto"/>
                      <w:szCs w:val="21"/>
                      <w:lang w:val="en-US" w:eastAsia="zh-CN"/>
                    </w:rPr>
                    <w:t>kW</w:t>
                  </w:r>
                </w:p>
              </w:tc>
              <w:tc>
                <w:tcPr>
                  <w:tcW w:w="528" w:type="pct"/>
                  <w:noWrap w:val="0"/>
                  <w:vAlign w:val="center"/>
                </w:tcPr>
                <w:p w14:paraId="24F84806">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2E00845C">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19A2E74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2CF08C1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072FF9E2">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钻孔</w:t>
                  </w:r>
                </w:p>
              </w:tc>
            </w:tr>
            <w:tr w14:paraId="5AAE0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1957AD9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18</w:t>
                  </w:r>
                </w:p>
              </w:tc>
              <w:tc>
                <w:tcPr>
                  <w:tcW w:w="1261" w:type="pct"/>
                  <w:noWrap w:val="0"/>
                  <w:vAlign w:val="center"/>
                </w:tcPr>
                <w:p w14:paraId="416C33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数控液压板料折弯机</w:t>
                  </w:r>
                </w:p>
              </w:tc>
              <w:tc>
                <w:tcPr>
                  <w:tcW w:w="780" w:type="pct"/>
                  <w:noWrap w:val="0"/>
                  <w:vAlign w:val="center"/>
                </w:tcPr>
                <w:p w14:paraId="2C0DC2C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r>
                    <w:rPr>
                      <w:rFonts w:hint="eastAsia" w:cs="Times New Roman"/>
                      <w:color w:val="auto"/>
                      <w:szCs w:val="21"/>
                      <w:lang w:val="en-US" w:eastAsia="zh-CN"/>
                    </w:rPr>
                    <w:t>kW</w:t>
                  </w:r>
                </w:p>
              </w:tc>
              <w:tc>
                <w:tcPr>
                  <w:tcW w:w="528" w:type="pct"/>
                  <w:noWrap w:val="0"/>
                  <w:vAlign w:val="center"/>
                </w:tcPr>
                <w:p w14:paraId="68425C1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35EE8DF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30ACE90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45726E8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40D32AB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2ACA8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273" w:type="pct"/>
                  <w:noWrap w:val="0"/>
                  <w:vAlign w:val="center"/>
                </w:tcPr>
                <w:p w14:paraId="3116176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w:t>
                  </w:r>
                </w:p>
              </w:tc>
              <w:tc>
                <w:tcPr>
                  <w:tcW w:w="1261" w:type="pct"/>
                  <w:noWrap w:val="0"/>
                  <w:vAlign w:val="center"/>
                </w:tcPr>
                <w:p w14:paraId="1E3909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数控板料折弯机</w:t>
                  </w:r>
                </w:p>
              </w:tc>
              <w:tc>
                <w:tcPr>
                  <w:tcW w:w="780" w:type="pct"/>
                  <w:noWrap w:val="0"/>
                  <w:vAlign w:val="center"/>
                </w:tcPr>
                <w:p w14:paraId="0A52508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17</w:t>
                  </w:r>
                  <w:r>
                    <w:rPr>
                      <w:rFonts w:hint="eastAsia" w:cs="Times New Roman"/>
                      <w:color w:val="auto"/>
                      <w:szCs w:val="21"/>
                      <w:lang w:val="en-US" w:eastAsia="zh-CN"/>
                    </w:rPr>
                    <w:t>kW</w:t>
                  </w:r>
                </w:p>
              </w:tc>
              <w:tc>
                <w:tcPr>
                  <w:tcW w:w="528" w:type="pct"/>
                  <w:noWrap w:val="0"/>
                  <w:vAlign w:val="center"/>
                </w:tcPr>
                <w:p w14:paraId="131E5C5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22EDE8E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386E3E8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7DC16EB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6478A69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1BC92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45F992B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w:t>
                  </w:r>
                </w:p>
              </w:tc>
              <w:tc>
                <w:tcPr>
                  <w:tcW w:w="1261" w:type="pct"/>
                  <w:noWrap w:val="0"/>
                  <w:vAlign w:val="center"/>
                </w:tcPr>
                <w:p w14:paraId="4E5BE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液压折弯机</w:t>
                  </w:r>
                </w:p>
              </w:tc>
              <w:tc>
                <w:tcPr>
                  <w:tcW w:w="780" w:type="pct"/>
                  <w:noWrap w:val="0"/>
                  <w:vAlign w:val="center"/>
                </w:tcPr>
                <w:p w14:paraId="447E098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r>
                    <w:rPr>
                      <w:rFonts w:hint="eastAsia" w:cs="Times New Roman"/>
                      <w:color w:val="auto"/>
                      <w:szCs w:val="21"/>
                      <w:lang w:val="en-US" w:eastAsia="zh-CN"/>
                    </w:rPr>
                    <w:t>kW</w:t>
                  </w:r>
                </w:p>
              </w:tc>
              <w:tc>
                <w:tcPr>
                  <w:tcW w:w="528" w:type="pct"/>
                  <w:noWrap w:val="0"/>
                  <w:vAlign w:val="center"/>
                </w:tcPr>
                <w:p w14:paraId="78ADD7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3233BDE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6A266ED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71D6351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1A43B7AB">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55F27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33124B5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w:t>
                  </w:r>
                </w:p>
              </w:tc>
              <w:tc>
                <w:tcPr>
                  <w:tcW w:w="1261" w:type="pct"/>
                  <w:noWrap w:val="0"/>
                  <w:vAlign w:val="center"/>
                </w:tcPr>
                <w:p w14:paraId="7E86BC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数控折弯机</w:t>
                  </w:r>
                </w:p>
              </w:tc>
              <w:tc>
                <w:tcPr>
                  <w:tcW w:w="780" w:type="pct"/>
                  <w:noWrap w:val="0"/>
                  <w:vAlign w:val="center"/>
                </w:tcPr>
                <w:p w14:paraId="266B198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r>
                    <w:rPr>
                      <w:rFonts w:hint="eastAsia" w:cs="Times New Roman"/>
                      <w:color w:val="auto"/>
                      <w:szCs w:val="21"/>
                      <w:lang w:val="en-US" w:eastAsia="zh-CN"/>
                    </w:rPr>
                    <w:t>kW</w:t>
                  </w:r>
                </w:p>
              </w:tc>
              <w:tc>
                <w:tcPr>
                  <w:tcW w:w="528" w:type="pct"/>
                  <w:noWrap w:val="0"/>
                  <w:vAlign w:val="center"/>
                </w:tcPr>
                <w:p w14:paraId="0B18005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2C7EF1F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03E7E5E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3FB5583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2EBCF7BA">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60D3E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7AA687A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22</w:t>
                  </w:r>
                </w:p>
              </w:tc>
              <w:tc>
                <w:tcPr>
                  <w:tcW w:w="1261" w:type="pct"/>
                  <w:noWrap w:val="0"/>
                  <w:vAlign w:val="center"/>
                </w:tcPr>
                <w:p w14:paraId="58C549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数控液压折弯机</w:t>
                  </w:r>
                </w:p>
              </w:tc>
              <w:tc>
                <w:tcPr>
                  <w:tcW w:w="780" w:type="pct"/>
                  <w:noWrap w:val="0"/>
                  <w:vAlign w:val="center"/>
                </w:tcPr>
                <w:p w14:paraId="046019F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28" w:type="pct"/>
                  <w:noWrap w:val="0"/>
                  <w:vAlign w:val="center"/>
                </w:tcPr>
                <w:p w14:paraId="26CE337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05CFA2B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4FAEA7D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71F184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715FD8D4">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折弯</w:t>
                  </w:r>
                </w:p>
              </w:tc>
            </w:tr>
            <w:tr w14:paraId="1B426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3" w:type="pct"/>
                  <w:noWrap w:val="0"/>
                  <w:vAlign w:val="center"/>
                </w:tcPr>
                <w:p w14:paraId="7B4728D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w:t>
                  </w:r>
                </w:p>
              </w:tc>
              <w:tc>
                <w:tcPr>
                  <w:tcW w:w="1261" w:type="pct"/>
                  <w:noWrap w:val="0"/>
                  <w:vAlign w:val="center"/>
                </w:tcPr>
                <w:p w14:paraId="770AE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台式攻丝机</w:t>
                  </w:r>
                </w:p>
              </w:tc>
              <w:tc>
                <w:tcPr>
                  <w:tcW w:w="780" w:type="pct"/>
                  <w:noWrap w:val="0"/>
                  <w:vAlign w:val="center"/>
                </w:tcPr>
                <w:p w14:paraId="1A3AC8E8">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0.75</w:t>
                  </w:r>
                  <w:r>
                    <w:rPr>
                      <w:rFonts w:hint="eastAsia" w:cs="Times New Roman"/>
                      <w:color w:val="auto"/>
                      <w:kern w:val="2"/>
                      <w:sz w:val="21"/>
                      <w:szCs w:val="21"/>
                      <w:lang w:val="en-US" w:eastAsia="zh-CN" w:bidi="ar-SA"/>
                    </w:rPr>
                    <w:t>kW</w:t>
                  </w:r>
                </w:p>
              </w:tc>
              <w:tc>
                <w:tcPr>
                  <w:tcW w:w="528" w:type="pct"/>
                  <w:noWrap w:val="0"/>
                  <w:vAlign w:val="center"/>
                </w:tcPr>
                <w:p w14:paraId="37A1E31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12BDA59A">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3ABDF5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632CA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04E3CDC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攻丝</w:t>
                  </w:r>
                </w:p>
              </w:tc>
            </w:tr>
            <w:tr w14:paraId="3D6AA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726ED36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24</w:t>
                  </w:r>
                </w:p>
              </w:tc>
              <w:tc>
                <w:tcPr>
                  <w:tcW w:w="1261" w:type="pct"/>
                  <w:noWrap w:val="0"/>
                  <w:vAlign w:val="center"/>
                </w:tcPr>
                <w:p w14:paraId="74970A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80" w:type="pct"/>
                  <w:noWrap w:val="0"/>
                  <w:vAlign w:val="center"/>
                </w:tcPr>
                <w:p w14:paraId="0C59963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18.5</w:t>
                  </w:r>
                  <w:r>
                    <w:rPr>
                      <w:rFonts w:hint="eastAsia" w:cs="Times New Roman"/>
                      <w:color w:val="auto"/>
                      <w:kern w:val="2"/>
                      <w:sz w:val="21"/>
                      <w:szCs w:val="21"/>
                      <w:lang w:val="en-US" w:eastAsia="zh-CN" w:bidi="ar-SA"/>
                    </w:rPr>
                    <w:t>kW</w:t>
                  </w:r>
                </w:p>
              </w:tc>
              <w:tc>
                <w:tcPr>
                  <w:tcW w:w="528" w:type="pct"/>
                  <w:noWrap w:val="0"/>
                  <w:vAlign w:val="center"/>
                </w:tcPr>
                <w:p w14:paraId="0C39A27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561" w:type="pct"/>
                  <w:noWrap w:val="0"/>
                  <w:vAlign w:val="center"/>
                </w:tcPr>
                <w:p w14:paraId="682013D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p>
              </w:tc>
              <w:tc>
                <w:tcPr>
                  <w:tcW w:w="504" w:type="pct"/>
                  <w:noWrap w:val="0"/>
                  <w:vAlign w:val="center"/>
                </w:tcPr>
                <w:p w14:paraId="366AC11D">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0C1DE1B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台</w:t>
                  </w:r>
                </w:p>
              </w:tc>
              <w:tc>
                <w:tcPr>
                  <w:tcW w:w="668" w:type="pct"/>
                  <w:noWrap w:val="0"/>
                  <w:vAlign w:val="center"/>
                </w:tcPr>
                <w:p w14:paraId="5DE7BB8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整平</w:t>
                  </w:r>
                </w:p>
              </w:tc>
            </w:tr>
            <w:tr w14:paraId="4B13D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340A664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1261" w:type="pct"/>
                  <w:noWrap w:val="0"/>
                  <w:vAlign w:val="center"/>
                </w:tcPr>
                <w:p w14:paraId="54F6D6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台式压力机</w:t>
                  </w:r>
                </w:p>
              </w:tc>
              <w:tc>
                <w:tcPr>
                  <w:tcW w:w="780" w:type="pct"/>
                  <w:noWrap w:val="0"/>
                  <w:vAlign w:val="center"/>
                </w:tcPr>
                <w:p w14:paraId="387BA3E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528" w:type="pct"/>
                  <w:noWrap w:val="0"/>
                  <w:vAlign w:val="center"/>
                </w:tcPr>
                <w:p w14:paraId="1306B32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61" w:type="pct"/>
                  <w:noWrap w:val="0"/>
                  <w:vAlign w:val="center"/>
                </w:tcPr>
                <w:p w14:paraId="1990C4E6">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w:t>
                  </w:r>
                </w:p>
              </w:tc>
              <w:tc>
                <w:tcPr>
                  <w:tcW w:w="504" w:type="pct"/>
                  <w:noWrap w:val="0"/>
                  <w:vAlign w:val="center"/>
                </w:tcPr>
                <w:p w14:paraId="509F3F83">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4DEAE5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15D9F3FA">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整平</w:t>
                  </w:r>
                </w:p>
              </w:tc>
            </w:tr>
            <w:tr w14:paraId="7AD0A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7CADC6E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1261" w:type="pct"/>
                  <w:noWrap w:val="0"/>
                  <w:vAlign w:val="center"/>
                </w:tcPr>
                <w:p w14:paraId="2D0F25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台式压力机</w:t>
                  </w:r>
                </w:p>
              </w:tc>
              <w:tc>
                <w:tcPr>
                  <w:tcW w:w="780" w:type="pct"/>
                  <w:noWrap w:val="0"/>
                  <w:vAlign w:val="center"/>
                </w:tcPr>
                <w:p w14:paraId="106C664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w:t>
                  </w:r>
                </w:p>
              </w:tc>
              <w:tc>
                <w:tcPr>
                  <w:tcW w:w="528" w:type="pct"/>
                  <w:noWrap w:val="0"/>
                  <w:vAlign w:val="center"/>
                </w:tcPr>
                <w:p w14:paraId="573BA7D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561" w:type="pct"/>
                  <w:noWrap w:val="0"/>
                  <w:vAlign w:val="center"/>
                </w:tcPr>
                <w:p w14:paraId="2F2ABCBC">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4</w:t>
                  </w:r>
                </w:p>
              </w:tc>
              <w:tc>
                <w:tcPr>
                  <w:tcW w:w="504" w:type="pct"/>
                  <w:noWrap w:val="0"/>
                  <w:vAlign w:val="center"/>
                </w:tcPr>
                <w:p w14:paraId="07239C9A">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1DC856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29433E25">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整平</w:t>
                  </w:r>
                </w:p>
              </w:tc>
            </w:tr>
            <w:tr w14:paraId="4FD41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789AFAF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261" w:type="pct"/>
                  <w:noWrap w:val="0"/>
                  <w:vAlign w:val="center"/>
                </w:tcPr>
                <w:p w14:paraId="592C45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80" w:type="pct"/>
                  <w:noWrap w:val="0"/>
                  <w:vAlign w:val="center"/>
                </w:tcPr>
                <w:p w14:paraId="454B357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528" w:type="pct"/>
                  <w:noWrap w:val="0"/>
                  <w:vAlign w:val="center"/>
                </w:tcPr>
                <w:p w14:paraId="229FC7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561" w:type="pct"/>
                  <w:noWrap w:val="0"/>
                  <w:vAlign w:val="center"/>
                </w:tcPr>
                <w:p w14:paraId="783BBE8D">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3</w:t>
                  </w:r>
                </w:p>
              </w:tc>
              <w:tc>
                <w:tcPr>
                  <w:tcW w:w="504" w:type="pct"/>
                  <w:noWrap w:val="0"/>
                  <w:vAlign w:val="center"/>
                </w:tcPr>
                <w:p w14:paraId="3E80732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060C44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5AAA57F8">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整平</w:t>
                  </w:r>
                </w:p>
              </w:tc>
            </w:tr>
            <w:tr w14:paraId="7BAB9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03479A3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1261" w:type="pct"/>
                  <w:noWrap w:val="0"/>
                  <w:vAlign w:val="center"/>
                </w:tcPr>
                <w:p w14:paraId="4A2A7F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台式压力机</w:t>
                  </w:r>
                </w:p>
              </w:tc>
              <w:tc>
                <w:tcPr>
                  <w:tcW w:w="780" w:type="pct"/>
                  <w:noWrap w:val="0"/>
                  <w:vAlign w:val="center"/>
                </w:tcPr>
                <w:p w14:paraId="5BB00D5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5.5</w:t>
                  </w:r>
                </w:p>
              </w:tc>
              <w:tc>
                <w:tcPr>
                  <w:tcW w:w="528" w:type="pct"/>
                  <w:noWrap w:val="0"/>
                  <w:vAlign w:val="center"/>
                </w:tcPr>
                <w:p w14:paraId="6143E8B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61" w:type="pct"/>
                  <w:noWrap w:val="0"/>
                  <w:vAlign w:val="center"/>
                </w:tcPr>
                <w:p w14:paraId="6D6CAC21">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szCs w:val="21"/>
                      <w:lang w:val="en-US" w:eastAsia="zh-CN"/>
                    </w:rPr>
                    <w:t>1</w:t>
                  </w:r>
                </w:p>
              </w:tc>
              <w:tc>
                <w:tcPr>
                  <w:tcW w:w="504" w:type="pct"/>
                  <w:noWrap w:val="0"/>
                  <w:vAlign w:val="center"/>
                </w:tcPr>
                <w:p w14:paraId="085A264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599E15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4C385744">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整平</w:t>
                  </w:r>
                </w:p>
              </w:tc>
            </w:tr>
            <w:tr w14:paraId="4A6E0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1F30057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w:t>
                  </w:r>
                </w:p>
              </w:tc>
              <w:tc>
                <w:tcPr>
                  <w:tcW w:w="1261" w:type="pct"/>
                  <w:noWrap w:val="0"/>
                  <w:vAlign w:val="center"/>
                </w:tcPr>
                <w:p w14:paraId="538022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开式可倾压力机</w:t>
                  </w:r>
                </w:p>
              </w:tc>
              <w:tc>
                <w:tcPr>
                  <w:tcW w:w="780" w:type="pct"/>
                  <w:noWrap w:val="0"/>
                  <w:vAlign w:val="center"/>
                </w:tcPr>
                <w:p w14:paraId="1B74AEB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r>
                    <w:rPr>
                      <w:rFonts w:hint="eastAsia" w:cs="Times New Roman"/>
                      <w:color w:val="auto"/>
                      <w:szCs w:val="21"/>
                      <w:lang w:val="en-US" w:eastAsia="zh-CN"/>
                    </w:rPr>
                    <w:t>kW</w:t>
                  </w:r>
                </w:p>
              </w:tc>
              <w:tc>
                <w:tcPr>
                  <w:tcW w:w="528" w:type="pct"/>
                  <w:noWrap w:val="0"/>
                  <w:vAlign w:val="center"/>
                </w:tcPr>
                <w:p w14:paraId="53DA27A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561" w:type="pct"/>
                  <w:noWrap w:val="0"/>
                  <w:vAlign w:val="center"/>
                </w:tcPr>
                <w:p w14:paraId="1CCB4C1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p>
              </w:tc>
              <w:tc>
                <w:tcPr>
                  <w:tcW w:w="504" w:type="pct"/>
                  <w:noWrap w:val="0"/>
                  <w:vAlign w:val="center"/>
                </w:tcPr>
                <w:p w14:paraId="7F1FACA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422" w:type="pct"/>
                  <w:noWrap w:val="0"/>
                  <w:vAlign w:val="center"/>
                </w:tcPr>
                <w:p w14:paraId="17F846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3E3903AE">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整平</w:t>
                  </w:r>
                </w:p>
              </w:tc>
            </w:tr>
            <w:tr w14:paraId="621FD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29A3F2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1261" w:type="pct"/>
                  <w:noWrap w:val="0"/>
                  <w:vAlign w:val="center"/>
                </w:tcPr>
                <w:p w14:paraId="2512C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校平机</w:t>
                  </w:r>
                </w:p>
              </w:tc>
              <w:tc>
                <w:tcPr>
                  <w:tcW w:w="780" w:type="pct"/>
                  <w:noWrap w:val="0"/>
                  <w:vAlign w:val="center"/>
                </w:tcPr>
                <w:p w14:paraId="62793B8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w:t>
                  </w:r>
                  <w:r>
                    <w:rPr>
                      <w:rFonts w:hint="eastAsia" w:cs="Times New Roman"/>
                      <w:color w:val="auto"/>
                      <w:kern w:val="2"/>
                      <w:sz w:val="21"/>
                      <w:szCs w:val="21"/>
                      <w:lang w:val="en-US" w:eastAsia="zh-CN" w:bidi="ar-SA"/>
                    </w:rPr>
                    <w:t>kW</w:t>
                  </w:r>
                </w:p>
              </w:tc>
              <w:tc>
                <w:tcPr>
                  <w:tcW w:w="528" w:type="pct"/>
                  <w:noWrap w:val="0"/>
                  <w:vAlign w:val="center"/>
                </w:tcPr>
                <w:p w14:paraId="5949030E">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6DF6D623">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1958D1F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79815ECC">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44489A5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整平</w:t>
                  </w:r>
                </w:p>
              </w:tc>
            </w:tr>
            <w:tr w14:paraId="6CF2E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5E1193A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w:t>
                  </w:r>
                </w:p>
              </w:tc>
              <w:tc>
                <w:tcPr>
                  <w:tcW w:w="1261" w:type="pct"/>
                  <w:noWrap w:val="0"/>
                  <w:vAlign w:val="center"/>
                </w:tcPr>
                <w:p w14:paraId="0DBD62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气体保护焊机</w:t>
                  </w:r>
                </w:p>
              </w:tc>
              <w:tc>
                <w:tcPr>
                  <w:tcW w:w="780" w:type="pct"/>
                  <w:noWrap w:val="0"/>
                  <w:vAlign w:val="center"/>
                </w:tcPr>
                <w:p w14:paraId="53BB252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5.5</w:t>
                  </w:r>
                  <w:r>
                    <w:rPr>
                      <w:rFonts w:hint="eastAsia" w:cs="Times New Roman"/>
                      <w:color w:val="auto"/>
                      <w:kern w:val="2"/>
                      <w:sz w:val="21"/>
                      <w:szCs w:val="21"/>
                      <w:lang w:val="en-US" w:eastAsia="zh-CN" w:bidi="ar-SA"/>
                    </w:rPr>
                    <w:t>kW</w:t>
                  </w:r>
                </w:p>
              </w:tc>
              <w:tc>
                <w:tcPr>
                  <w:tcW w:w="528" w:type="pct"/>
                  <w:noWrap w:val="0"/>
                  <w:vAlign w:val="center"/>
                </w:tcPr>
                <w:p w14:paraId="6446A66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61" w:type="pct"/>
                  <w:noWrap w:val="0"/>
                  <w:vAlign w:val="center"/>
                </w:tcPr>
                <w:p w14:paraId="603D8309">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w:t>
                  </w:r>
                </w:p>
              </w:tc>
              <w:tc>
                <w:tcPr>
                  <w:tcW w:w="504" w:type="pct"/>
                  <w:noWrap w:val="0"/>
                  <w:vAlign w:val="center"/>
                </w:tcPr>
                <w:p w14:paraId="4915E7B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w:t>
                  </w:r>
                </w:p>
              </w:tc>
              <w:tc>
                <w:tcPr>
                  <w:tcW w:w="422" w:type="pct"/>
                  <w:noWrap w:val="0"/>
                  <w:vAlign w:val="center"/>
                </w:tcPr>
                <w:p w14:paraId="0F679B3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25847BE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333A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5FAA500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1261" w:type="pct"/>
                  <w:noWrap w:val="0"/>
                  <w:vAlign w:val="center"/>
                </w:tcPr>
                <w:p w14:paraId="007FA9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氩弧焊机</w:t>
                  </w:r>
                </w:p>
              </w:tc>
              <w:tc>
                <w:tcPr>
                  <w:tcW w:w="780" w:type="pct"/>
                  <w:noWrap w:val="0"/>
                  <w:vAlign w:val="center"/>
                </w:tcPr>
                <w:p w14:paraId="535A995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w:t>
                  </w:r>
                  <w:r>
                    <w:rPr>
                      <w:rFonts w:hint="eastAsia" w:cs="Times New Roman"/>
                      <w:color w:val="auto"/>
                      <w:kern w:val="2"/>
                      <w:sz w:val="21"/>
                      <w:szCs w:val="21"/>
                      <w:lang w:val="en-US" w:eastAsia="zh-CN" w:bidi="ar-SA"/>
                    </w:rPr>
                    <w:t>kW</w:t>
                  </w:r>
                </w:p>
              </w:tc>
              <w:tc>
                <w:tcPr>
                  <w:tcW w:w="528" w:type="pct"/>
                  <w:noWrap w:val="0"/>
                  <w:vAlign w:val="center"/>
                </w:tcPr>
                <w:p w14:paraId="0F998617">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61" w:type="pct"/>
                  <w:noWrap w:val="0"/>
                  <w:vAlign w:val="center"/>
                </w:tcPr>
                <w:p w14:paraId="19F1A2BA">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09252EA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w:t>
                  </w:r>
                </w:p>
              </w:tc>
              <w:tc>
                <w:tcPr>
                  <w:tcW w:w="422" w:type="pct"/>
                  <w:noWrap w:val="0"/>
                  <w:vAlign w:val="center"/>
                </w:tcPr>
                <w:p w14:paraId="553E4936">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14A29F30">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2CD17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0EACC16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c>
                <w:tcPr>
                  <w:tcW w:w="1261" w:type="pct"/>
                  <w:noWrap w:val="0"/>
                  <w:vAlign w:val="center"/>
                </w:tcPr>
                <w:p w14:paraId="66232E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螺柱焊机</w:t>
                  </w:r>
                </w:p>
              </w:tc>
              <w:tc>
                <w:tcPr>
                  <w:tcW w:w="780" w:type="pct"/>
                  <w:noWrap w:val="0"/>
                  <w:vAlign w:val="center"/>
                </w:tcPr>
                <w:p w14:paraId="6B10815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61D2792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561" w:type="pct"/>
                  <w:noWrap w:val="0"/>
                  <w:vAlign w:val="center"/>
                </w:tcPr>
                <w:p w14:paraId="718B661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09C37D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w:t>
                  </w:r>
                </w:p>
              </w:tc>
              <w:tc>
                <w:tcPr>
                  <w:tcW w:w="422" w:type="pct"/>
                  <w:noWrap w:val="0"/>
                  <w:vAlign w:val="center"/>
                </w:tcPr>
                <w:p w14:paraId="1409C13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0A3E5B7D">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焊接</w:t>
                  </w:r>
                </w:p>
              </w:tc>
            </w:tr>
            <w:tr w14:paraId="11899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217879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w:t>
                  </w:r>
                </w:p>
              </w:tc>
              <w:tc>
                <w:tcPr>
                  <w:tcW w:w="1261" w:type="pct"/>
                  <w:noWrap w:val="0"/>
                  <w:vAlign w:val="center"/>
                </w:tcPr>
                <w:p w14:paraId="49FC1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倒角机</w:t>
                  </w:r>
                </w:p>
              </w:tc>
              <w:tc>
                <w:tcPr>
                  <w:tcW w:w="780" w:type="pct"/>
                  <w:noWrap w:val="0"/>
                  <w:vAlign w:val="center"/>
                </w:tcPr>
                <w:p w14:paraId="1D6761B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7.5</w:t>
                  </w:r>
                  <w:r>
                    <w:rPr>
                      <w:rFonts w:hint="eastAsia" w:cs="Times New Roman"/>
                      <w:color w:val="auto"/>
                      <w:kern w:val="2"/>
                      <w:sz w:val="21"/>
                      <w:szCs w:val="21"/>
                      <w:lang w:val="en-US" w:eastAsia="zh-CN" w:bidi="ar-SA"/>
                    </w:rPr>
                    <w:t>kW</w:t>
                  </w:r>
                </w:p>
              </w:tc>
              <w:tc>
                <w:tcPr>
                  <w:tcW w:w="528" w:type="pct"/>
                  <w:noWrap w:val="0"/>
                  <w:vAlign w:val="center"/>
                </w:tcPr>
                <w:p w14:paraId="72A34E0C">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293207FF">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45F0C12C">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4ECE3DCB">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59F09D4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57A94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3" w:type="pct"/>
                  <w:noWrap w:val="0"/>
                  <w:vAlign w:val="center"/>
                </w:tcPr>
                <w:p w14:paraId="569453F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1261" w:type="pct"/>
                  <w:noWrap w:val="0"/>
                  <w:vAlign w:val="center"/>
                </w:tcPr>
                <w:p w14:paraId="379C2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平面磨床</w:t>
                  </w:r>
                </w:p>
              </w:tc>
              <w:tc>
                <w:tcPr>
                  <w:tcW w:w="780" w:type="pct"/>
                  <w:noWrap w:val="0"/>
                  <w:vAlign w:val="center"/>
                </w:tcPr>
                <w:p w14:paraId="23C5998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r>
                    <w:rPr>
                      <w:rFonts w:hint="eastAsia" w:cs="Times New Roman"/>
                      <w:color w:val="auto"/>
                      <w:kern w:val="2"/>
                      <w:sz w:val="21"/>
                      <w:szCs w:val="21"/>
                      <w:lang w:val="en-US" w:eastAsia="zh-CN" w:bidi="ar-SA"/>
                    </w:rPr>
                    <w:t>kW</w:t>
                  </w:r>
                </w:p>
              </w:tc>
              <w:tc>
                <w:tcPr>
                  <w:tcW w:w="528" w:type="pct"/>
                  <w:noWrap w:val="0"/>
                  <w:vAlign w:val="center"/>
                </w:tcPr>
                <w:p w14:paraId="4A38B1B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50B7DFA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356EC3F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776117B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56FC7CA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52781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224AC54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36</w:t>
                  </w:r>
                </w:p>
              </w:tc>
              <w:tc>
                <w:tcPr>
                  <w:tcW w:w="1261" w:type="pct"/>
                  <w:noWrap w:val="0"/>
                  <w:vAlign w:val="center"/>
                </w:tcPr>
                <w:p w14:paraId="7FFDAE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台式砂轮机</w:t>
                  </w:r>
                </w:p>
              </w:tc>
              <w:tc>
                <w:tcPr>
                  <w:tcW w:w="780" w:type="pct"/>
                  <w:noWrap w:val="0"/>
                  <w:vAlign w:val="center"/>
                </w:tcPr>
                <w:p w14:paraId="6CD3AB2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w:t>
                  </w:r>
                  <w:r>
                    <w:rPr>
                      <w:rFonts w:hint="eastAsia" w:cs="Times New Roman"/>
                      <w:color w:val="auto"/>
                      <w:kern w:val="2"/>
                      <w:sz w:val="21"/>
                      <w:szCs w:val="21"/>
                      <w:lang w:val="en-US" w:eastAsia="zh-CN" w:bidi="ar-SA"/>
                    </w:rPr>
                    <w:t>kW</w:t>
                  </w:r>
                </w:p>
              </w:tc>
              <w:tc>
                <w:tcPr>
                  <w:tcW w:w="528" w:type="pct"/>
                  <w:noWrap w:val="0"/>
                  <w:vAlign w:val="center"/>
                </w:tcPr>
                <w:p w14:paraId="28BAFE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2DB23C6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49656FB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068181DC">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79C5A0C8">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72DBC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3732DAD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37</w:t>
                  </w:r>
                </w:p>
              </w:tc>
              <w:tc>
                <w:tcPr>
                  <w:tcW w:w="1261" w:type="pct"/>
                  <w:noWrap w:val="0"/>
                  <w:vAlign w:val="center"/>
                </w:tcPr>
                <w:p w14:paraId="660A80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砂轮机</w:t>
                  </w:r>
                </w:p>
              </w:tc>
              <w:tc>
                <w:tcPr>
                  <w:tcW w:w="780" w:type="pct"/>
                  <w:noWrap w:val="0"/>
                  <w:vAlign w:val="center"/>
                </w:tcPr>
                <w:p w14:paraId="35251B7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w:t>
                  </w:r>
                  <w:r>
                    <w:rPr>
                      <w:rFonts w:hint="eastAsia" w:cs="Times New Roman"/>
                      <w:color w:val="auto"/>
                      <w:kern w:val="2"/>
                      <w:sz w:val="21"/>
                      <w:szCs w:val="21"/>
                      <w:lang w:val="en-US" w:eastAsia="zh-CN" w:bidi="ar-SA"/>
                    </w:rPr>
                    <w:t>kW</w:t>
                  </w:r>
                </w:p>
              </w:tc>
              <w:tc>
                <w:tcPr>
                  <w:tcW w:w="528" w:type="pct"/>
                  <w:noWrap w:val="0"/>
                  <w:vAlign w:val="center"/>
                </w:tcPr>
                <w:p w14:paraId="532CA2A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7D9C8F0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224D374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0E887331">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5F455EA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37397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3402D74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38</w:t>
                  </w:r>
                </w:p>
              </w:tc>
              <w:tc>
                <w:tcPr>
                  <w:tcW w:w="1261" w:type="pct"/>
                  <w:noWrap w:val="0"/>
                  <w:vAlign w:val="center"/>
                </w:tcPr>
                <w:p w14:paraId="2FE940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平面抛光机</w:t>
                  </w:r>
                </w:p>
              </w:tc>
              <w:tc>
                <w:tcPr>
                  <w:tcW w:w="780" w:type="pct"/>
                  <w:noWrap w:val="0"/>
                  <w:vAlign w:val="center"/>
                </w:tcPr>
                <w:p w14:paraId="4EEB44E2">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78D1AAE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61" w:type="pct"/>
                  <w:noWrap w:val="0"/>
                  <w:vAlign w:val="center"/>
                </w:tcPr>
                <w:p w14:paraId="46C04DEB">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504" w:type="pct"/>
                  <w:noWrap w:val="0"/>
                  <w:vAlign w:val="center"/>
                </w:tcPr>
                <w:p w14:paraId="31E0578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5C1F46D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668" w:type="pct"/>
                  <w:noWrap w:val="0"/>
                  <w:vAlign w:val="center"/>
                </w:tcPr>
                <w:p w14:paraId="055F141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表面处理</w:t>
                  </w:r>
                </w:p>
              </w:tc>
            </w:tr>
            <w:tr w14:paraId="3B8F1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305C5FB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39</w:t>
                  </w:r>
                </w:p>
              </w:tc>
              <w:tc>
                <w:tcPr>
                  <w:tcW w:w="1261" w:type="pct"/>
                  <w:noWrap w:val="0"/>
                  <w:vAlign w:val="center"/>
                </w:tcPr>
                <w:p w14:paraId="3C4335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圆柱抛光机</w:t>
                  </w:r>
                </w:p>
              </w:tc>
              <w:tc>
                <w:tcPr>
                  <w:tcW w:w="780" w:type="pct"/>
                  <w:noWrap w:val="0"/>
                  <w:vAlign w:val="center"/>
                </w:tcPr>
                <w:p w14:paraId="3BE2BC8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6695F29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61" w:type="pct"/>
                  <w:noWrap w:val="0"/>
                  <w:vAlign w:val="center"/>
                </w:tcPr>
                <w:p w14:paraId="4255438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49800E2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422" w:type="pct"/>
                  <w:noWrap w:val="0"/>
                  <w:vAlign w:val="center"/>
                </w:tcPr>
                <w:p w14:paraId="61FB89ED">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106A3B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kern w:val="2"/>
                      <w:sz w:val="21"/>
                      <w:szCs w:val="21"/>
                      <w:lang w:val="en-US" w:eastAsia="zh-CN" w:bidi="ar-SA"/>
                    </w:rPr>
                    <w:t>表面处理</w:t>
                  </w:r>
                </w:p>
              </w:tc>
            </w:tr>
            <w:tr w14:paraId="77480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599FABD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c>
                <w:tcPr>
                  <w:tcW w:w="1261" w:type="pct"/>
                  <w:noWrap w:val="0"/>
                  <w:vAlign w:val="center"/>
                </w:tcPr>
                <w:p w14:paraId="1AD7D6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履带式抛丸机</w:t>
                  </w:r>
                </w:p>
              </w:tc>
              <w:tc>
                <w:tcPr>
                  <w:tcW w:w="780" w:type="pct"/>
                  <w:noWrap w:val="0"/>
                  <w:vAlign w:val="center"/>
                </w:tcPr>
                <w:p w14:paraId="54FEFACC">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77CE780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30C9F23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504" w:type="pct"/>
                  <w:noWrap w:val="0"/>
                  <w:vAlign w:val="center"/>
                </w:tcPr>
                <w:p w14:paraId="189CB55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422" w:type="pct"/>
                  <w:noWrap w:val="0"/>
                  <w:vAlign w:val="center"/>
                </w:tcPr>
                <w:p w14:paraId="1E59864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619A362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kern w:val="2"/>
                      <w:sz w:val="21"/>
                      <w:szCs w:val="21"/>
                      <w:lang w:val="en-US" w:eastAsia="zh-CN" w:bidi="ar-SA"/>
                    </w:rPr>
                    <w:t>表面处理</w:t>
                  </w:r>
                </w:p>
              </w:tc>
            </w:tr>
            <w:tr w14:paraId="062A1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74913B3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41</w:t>
                  </w:r>
                </w:p>
              </w:tc>
              <w:tc>
                <w:tcPr>
                  <w:tcW w:w="1261" w:type="pct"/>
                  <w:noWrap w:val="0"/>
                  <w:vAlign w:val="center"/>
                </w:tcPr>
                <w:p w14:paraId="0BE6C0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吊钩式抛丸机</w:t>
                  </w:r>
                </w:p>
              </w:tc>
              <w:tc>
                <w:tcPr>
                  <w:tcW w:w="780" w:type="pct"/>
                  <w:noWrap w:val="0"/>
                  <w:vAlign w:val="center"/>
                </w:tcPr>
                <w:p w14:paraId="7455BC2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642F6B5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527F440E">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504" w:type="pct"/>
                  <w:noWrap w:val="0"/>
                  <w:vAlign w:val="center"/>
                </w:tcPr>
                <w:p w14:paraId="54D1560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6B62B724">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5F36709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kern w:val="2"/>
                      <w:sz w:val="21"/>
                      <w:szCs w:val="21"/>
                      <w:lang w:val="en-US" w:eastAsia="zh-CN" w:bidi="ar-SA"/>
                    </w:rPr>
                    <w:t>表面处理</w:t>
                  </w:r>
                </w:p>
              </w:tc>
            </w:tr>
            <w:tr w14:paraId="793A4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1611ACDE">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42</w:t>
                  </w:r>
                </w:p>
              </w:tc>
              <w:tc>
                <w:tcPr>
                  <w:tcW w:w="1261" w:type="pct"/>
                  <w:noWrap w:val="0"/>
                  <w:vAlign w:val="center"/>
                </w:tcPr>
                <w:p w14:paraId="0FB75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烘干炉</w:t>
                  </w:r>
                </w:p>
              </w:tc>
              <w:tc>
                <w:tcPr>
                  <w:tcW w:w="780" w:type="pct"/>
                  <w:noWrap w:val="0"/>
                  <w:vAlign w:val="center"/>
                </w:tcPr>
                <w:p w14:paraId="3B5959D1">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3DF5149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7284922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2463418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69BC97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47BD0D7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烘干</w:t>
                  </w:r>
                </w:p>
              </w:tc>
            </w:tr>
            <w:tr w14:paraId="64711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5AF25709">
                  <w:pPr>
                    <w:adjustRightInd w:val="0"/>
                    <w:snapToGrid w:val="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43</w:t>
                  </w:r>
                </w:p>
              </w:tc>
              <w:tc>
                <w:tcPr>
                  <w:tcW w:w="1261" w:type="pct"/>
                  <w:noWrap w:val="0"/>
                  <w:vAlign w:val="center"/>
                </w:tcPr>
                <w:p w14:paraId="63BD28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固化炉</w:t>
                  </w:r>
                </w:p>
              </w:tc>
              <w:tc>
                <w:tcPr>
                  <w:tcW w:w="780" w:type="pct"/>
                  <w:noWrap w:val="0"/>
                  <w:vAlign w:val="center"/>
                </w:tcPr>
                <w:p w14:paraId="70F35CAF">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528" w:type="pct"/>
                  <w:noWrap w:val="0"/>
                  <w:vAlign w:val="center"/>
                </w:tcPr>
                <w:p w14:paraId="56ACBB0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4AB6C3D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7EFAA8A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012EEBA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68" w:type="pct"/>
                  <w:noWrap w:val="0"/>
                  <w:vAlign w:val="center"/>
                </w:tcPr>
                <w:p w14:paraId="78B4084A">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固化</w:t>
                  </w:r>
                </w:p>
              </w:tc>
            </w:tr>
            <w:tr w14:paraId="43B6D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614D59F7">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44</w:t>
                  </w:r>
                </w:p>
              </w:tc>
              <w:tc>
                <w:tcPr>
                  <w:tcW w:w="1261" w:type="pct"/>
                  <w:noWrap w:val="0"/>
                  <w:vAlign w:val="center"/>
                </w:tcPr>
                <w:p w14:paraId="14422A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空压机</w:t>
                  </w:r>
                </w:p>
              </w:tc>
              <w:tc>
                <w:tcPr>
                  <w:tcW w:w="780" w:type="pct"/>
                  <w:noWrap w:val="0"/>
                  <w:vAlign w:val="center"/>
                </w:tcPr>
                <w:p w14:paraId="6FAC9D6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28" w:type="pct"/>
                  <w:noWrap w:val="0"/>
                  <w:vAlign w:val="center"/>
                </w:tcPr>
                <w:p w14:paraId="2CAE01C4">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561" w:type="pct"/>
                  <w:noWrap w:val="0"/>
                  <w:vAlign w:val="center"/>
                </w:tcPr>
                <w:p w14:paraId="30F4AE1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w:t>
                  </w:r>
                </w:p>
              </w:tc>
              <w:tc>
                <w:tcPr>
                  <w:tcW w:w="504" w:type="pct"/>
                  <w:noWrap w:val="0"/>
                  <w:vAlign w:val="center"/>
                </w:tcPr>
                <w:p w14:paraId="72AA714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422" w:type="pct"/>
                  <w:noWrap w:val="0"/>
                  <w:vAlign w:val="center"/>
                </w:tcPr>
                <w:p w14:paraId="4E0E58F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4AAA5A6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345A2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noWrap w:val="0"/>
                  <w:vAlign w:val="center"/>
                </w:tcPr>
                <w:p w14:paraId="66AA4CC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45</w:t>
                  </w:r>
                </w:p>
              </w:tc>
              <w:tc>
                <w:tcPr>
                  <w:tcW w:w="1261" w:type="pct"/>
                  <w:noWrap w:val="0"/>
                  <w:vAlign w:val="center"/>
                </w:tcPr>
                <w:p w14:paraId="6117E7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储气罐</w:t>
                  </w:r>
                </w:p>
              </w:tc>
              <w:tc>
                <w:tcPr>
                  <w:tcW w:w="780" w:type="pct"/>
                  <w:noWrap w:val="0"/>
                  <w:vAlign w:val="center"/>
                </w:tcPr>
                <w:p w14:paraId="74B9BAC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28" w:type="pct"/>
                  <w:noWrap w:val="0"/>
                  <w:vAlign w:val="center"/>
                </w:tcPr>
                <w:p w14:paraId="3D46031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09AF86F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504" w:type="pct"/>
                  <w:noWrap w:val="0"/>
                  <w:vAlign w:val="center"/>
                </w:tcPr>
                <w:p w14:paraId="30AFD87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422" w:type="pct"/>
                  <w:noWrap w:val="0"/>
                  <w:vAlign w:val="center"/>
                </w:tcPr>
                <w:p w14:paraId="659D753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0296202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2EB2F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shd w:val="clear" w:color="auto" w:fill="auto"/>
                  <w:noWrap w:val="0"/>
                  <w:vAlign w:val="center"/>
                </w:tcPr>
                <w:p w14:paraId="0CDDB8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46</w:t>
                  </w:r>
                </w:p>
              </w:tc>
              <w:tc>
                <w:tcPr>
                  <w:tcW w:w="1261" w:type="pct"/>
                  <w:noWrap w:val="0"/>
                  <w:vAlign w:val="center"/>
                </w:tcPr>
                <w:p w14:paraId="3C7A5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干燥机</w:t>
                  </w:r>
                </w:p>
              </w:tc>
              <w:tc>
                <w:tcPr>
                  <w:tcW w:w="780" w:type="pct"/>
                  <w:noWrap w:val="0"/>
                  <w:vAlign w:val="center"/>
                </w:tcPr>
                <w:p w14:paraId="62F9FD9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28" w:type="pct"/>
                  <w:noWrap w:val="0"/>
                  <w:vAlign w:val="center"/>
                </w:tcPr>
                <w:p w14:paraId="61F5B4C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61" w:type="pct"/>
                  <w:noWrap w:val="0"/>
                  <w:vAlign w:val="center"/>
                </w:tcPr>
                <w:p w14:paraId="5B37386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2FD11F4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7E289772">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691758A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辅助</w:t>
                  </w:r>
                </w:p>
              </w:tc>
            </w:tr>
            <w:tr w14:paraId="3E191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shd w:val="clear" w:color="auto" w:fill="auto"/>
                  <w:noWrap w:val="0"/>
                  <w:vAlign w:val="center"/>
                </w:tcPr>
                <w:p w14:paraId="0FCA97A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47</w:t>
                  </w:r>
                </w:p>
              </w:tc>
              <w:tc>
                <w:tcPr>
                  <w:tcW w:w="1261" w:type="pct"/>
                  <w:noWrap w:val="0"/>
                  <w:vAlign w:val="center"/>
                </w:tcPr>
                <w:p w14:paraId="0D1A8B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喷塑机</w:t>
                  </w:r>
                </w:p>
              </w:tc>
              <w:tc>
                <w:tcPr>
                  <w:tcW w:w="780" w:type="pct"/>
                  <w:noWrap w:val="0"/>
                  <w:vAlign w:val="center"/>
                </w:tcPr>
                <w:p w14:paraId="014BAF7D">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28" w:type="pct"/>
                  <w:noWrap w:val="0"/>
                  <w:vAlign w:val="center"/>
                </w:tcPr>
                <w:p w14:paraId="196D624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5786B725">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4F37619F">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435F241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5295FE5A">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p>
              </w:tc>
            </w:tr>
            <w:tr w14:paraId="08728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273" w:type="pct"/>
                  <w:shd w:val="clear" w:color="auto" w:fill="auto"/>
                  <w:noWrap w:val="0"/>
                  <w:vAlign w:val="center"/>
                </w:tcPr>
                <w:p w14:paraId="2D6E9BE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48</w:t>
                  </w:r>
                </w:p>
              </w:tc>
              <w:tc>
                <w:tcPr>
                  <w:tcW w:w="1261" w:type="pct"/>
                  <w:noWrap w:val="0"/>
                  <w:vAlign w:val="center"/>
                </w:tcPr>
                <w:p w14:paraId="714DF4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污水处理设施</w:t>
                  </w:r>
                </w:p>
              </w:tc>
              <w:tc>
                <w:tcPr>
                  <w:tcW w:w="780" w:type="pct"/>
                  <w:noWrap w:val="0"/>
                  <w:vAlign w:val="center"/>
                </w:tcPr>
                <w:p w14:paraId="2BE0D796">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528" w:type="pct"/>
                  <w:noWrap w:val="0"/>
                  <w:vAlign w:val="center"/>
                </w:tcPr>
                <w:p w14:paraId="747D9192">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561" w:type="pct"/>
                  <w:noWrap w:val="0"/>
                  <w:vAlign w:val="center"/>
                </w:tcPr>
                <w:p w14:paraId="131E7C3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504" w:type="pct"/>
                  <w:noWrap w:val="0"/>
                  <w:vAlign w:val="center"/>
                </w:tcPr>
                <w:p w14:paraId="18D0E61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422" w:type="pct"/>
                  <w:noWrap w:val="0"/>
                  <w:vAlign w:val="center"/>
                </w:tcPr>
                <w:p w14:paraId="237E325D">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668" w:type="pct"/>
                  <w:noWrap w:val="0"/>
                  <w:vAlign w:val="center"/>
                </w:tcPr>
                <w:p w14:paraId="09238AC0">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污水处理</w:t>
                  </w:r>
                </w:p>
              </w:tc>
            </w:tr>
          </w:tbl>
          <w:p w14:paraId="47E8CC8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5</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产品方案及原辅材料</w:t>
            </w:r>
          </w:p>
          <w:p w14:paraId="04C05F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主要原辅材料及其消耗量具体用量见表2-3，产品方案见表2-</w:t>
            </w:r>
            <w:r>
              <w:rPr>
                <w:rFonts w:hint="eastAsia" w:cs="Times New Roman"/>
                <w:color w:val="auto"/>
                <w:sz w:val="24"/>
                <w:lang w:val="en-US" w:eastAsia="zh-CN"/>
              </w:rPr>
              <w:t>5</w:t>
            </w:r>
            <w:r>
              <w:rPr>
                <w:rFonts w:hint="default" w:ascii="Times New Roman" w:hAnsi="Times New Roman" w:cs="Times New Roman"/>
                <w:color w:val="auto"/>
                <w:sz w:val="24"/>
                <w:lang w:eastAsia="zh-CN"/>
              </w:rPr>
              <w:t>，物料平衡见表</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6</w:t>
            </w:r>
            <w:r>
              <w:rPr>
                <w:rFonts w:hint="default" w:ascii="Times New Roman" w:hAnsi="Times New Roman" w:cs="Times New Roman"/>
                <w:color w:val="auto"/>
                <w:sz w:val="24"/>
              </w:rPr>
              <w:t>。</w:t>
            </w:r>
          </w:p>
          <w:p w14:paraId="420C28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表2-3  原辅材料总消耗量</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299"/>
              <w:gridCol w:w="746"/>
              <w:gridCol w:w="857"/>
              <w:gridCol w:w="995"/>
              <w:gridCol w:w="1091"/>
              <w:gridCol w:w="2970"/>
            </w:tblGrid>
            <w:tr w14:paraId="25A3AB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65B32E91">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832" w:type="pct"/>
                  <w:noWrap w:val="0"/>
                  <w:vAlign w:val="center"/>
                </w:tcPr>
                <w:p w14:paraId="4E18403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502" w:type="pct"/>
                  <w:noWrap w:val="0"/>
                  <w:vAlign w:val="center"/>
                </w:tcPr>
                <w:p w14:paraId="20ACB612">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568" w:type="pct"/>
                  <w:noWrap w:val="0"/>
                  <w:vAlign w:val="center"/>
                </w:tcPr>
                <w:p w14:paraId="3ACD8980">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扩建前</w:t>
                  </w:r>
                </w:p>
              </w:tc>
              <w:tc>
                <w:tcPr>
                  <w:tcW w:w="650" w:type="pct"/>
                  <w:noWrap w:val="0"/>
                  <w:vAlign w:val="center"/>
                </w:tcPr>
                <w:p w14:paraId="7537A0C4">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扩建后</w:t>
                  </w:r>
                </w:p>
              </w:tc>
              <w:tc>
                <w:tcPr>
                  <w:tcW w:w="707" w:type="pct"/>
                  <w:noWrap w:val="0"/>
                  <w:vAlign w:val="center"/>
                </w:tcPr>
                <w:p w14:paraId="77430218">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变化量</w:t>
                  </w:r>
                </w:p>
              </w:tc>
              <w:tc>
                <w:tcPr>
                  <w:tcW w:w="1484" w:type="pct"/>
                  <w:noWrap w:val="0"/>
                  <w:vAlign w:val="center"/>
                </w:tcPr>
                <w:p w14:paraId="143A73F4">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14:paraId="14DE3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37FDFFE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832" w:type="pct"/>
                  <w:noWrap w:val="0"/>
                  <w:vAlign w:val="center"/>
                </w:tcPr>
                <w:p w14:paraId="62DC5FA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钢板</w:t>
                  </w:r>
                </w:p>
              </w:tc>
              <w:tc>
                <w:tcPr>
                  <w:tcW w:w="502" w:type="pct"/>
                  <w:noWrap w:val="0"/>
                  <w:vAlign w:val="center"/>
                </w:tcPr>
                <w:p w14:paraId="3927332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6F43EE45">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800</w:t>
                  </w:r>
                </w:p>
              </w:tc>
              <w:tc>
                <w:tcPr>
                  <w:tcW w:w="650" w:type="pct"/>
                  <w:noWrap w:val="0"/>
                  <w:vAlign w:val="center"/>
                </w:tcPr>
                <w:p w14:paraId="2F2D296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800</w:t>
                  </w:r>
                </w:p>
              </w:tc>
              <w:tc>
                <w:tcPr>
                  <w:tcW w:w="707" w:type="pct"/>
                  <w:noWrap w:val="0"/>
                  <w:vAlign w:val="center"/>
                </w:tcPr>
                <w:p w14:paraId="5C7A033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57363F4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长*宽*厚（6</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12m*1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2m*1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14mm）</w:t>
                  </w:r>
                </w:p>
              </w:tc>
            </w:tr>
            <w:tr w14:paraId="6021D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4B846BF3">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832" w:type="pct"/>
                  <w:noWrap w:val="0"/>
                  <w:vAlign w:val="center"/>
                </w:tcPr>
                <w:p w14:paraId="4AC97D2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铝板</w:t>
                  </w:r>
                </w:p>
              </w:tc>
              <w:tc>
                <w:tcPr>
                  <w:tcW w:w="502" w:type="pct"/>
                  <w:noWrap w:val="0"/>
                  <w:vAlign w:val="center"/>
                </w:tcPr>
                <w:p w14:paraId="23AC98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22E690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650" w:type="pct"/>
                  <w:noWrap w:val="0"/>
                  <w:vAlign w:val="center"/>
                </w:tcPr>
                <w:p w14:paraId="37DC92E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707" w:type="pct"/>
                  <w:noWrap w:val="0"/>
                  <w:vAlign w:val="center"/>
                </w:tcPr>
                <w:p w14:paraId="4F216B0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13D42D3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长*宽*厚（</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m*1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2m*1</w:t>
                  </w:r>
                  <w:r>
                    <w:rPr>
                      <w:rFonts w:hint="eastAsia" w:ascii="Times New Roman" w:hAnsi="Times New Roman" w:cs="Times New Roman"/>
                      <w:color w:val="auto"/>
                      <w:szCs w:val="21"/>
                      <w:lang w:val="en-US" w:eastAsia="zh-CN"/>
                    </w:rPr>
                    <w:t>—16</w:t>
                  </w:r>
                  <w:r>
                    <w:rPr>
                      <w:rFonts w:hint="default" w:ascii="Times New Roman" w:hAnsi="Times New Roman" w:cs="Times New Roman"/>
                      <w:color w:val="auto"/>
                      <w:szCs w:val="21"/>
                      <w:lang w:val="en-US" w:eastAsia="zh-CN"/>
                    </w:rPr>
                    <w:t>mm）</w:t>
                  </w:r>
                </w:p>
              </w:tc>
            </w:tr>
            <w:tr w14:paraId="64B6A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415419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832" w:type="pct"/>
                  <w:noWrap w:val="0"/>
                  <w:vAlign w:val="center"/>
                </w:tcPr>
                <w:p w14:paraId="1A0FAB3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焊丝</w:t>
                  </w:r>
                </w:p>
              </w:tc>
              <w:tc>
                <w:tcPr>
                  <w:tcW w:w="502" w:type="pct"/>
                  <w:noWrap w:val="0"/>
                  <w:vAlign w:val="center"/>
                </w:tcPr>
                <w:p w14:paraId="5D0FDB5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318EE1B3">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650" w:type="pct"/>
                  <w:noWrap w:val="0"/>
                  <w:vAlign w:val="center"/>
                </w:tcPr>
                <w:p w14:paraId="00BD9BB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707" w:type="pct"/>
                  <w:noWrap w:val="0"/>
                  <w:vAlign w:val="center"/>
                </w:tcPr>
                <w:p w14:paraId="7A3FF08C">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506106B9">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w:t>
                  </w:r>
                </w:p>
              </w:tc>
            </w:tr>
            <w:tr w14:paraId="324ED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1E26497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832" w:type="pct"/>
                  <w:noWrap w:val="0"/>
                  <w:vAlign w:val="center"/>
                </w:tcPr>
                <w:p w14:paraId="030C74D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二氧化碳</w:t>
                  </w:r>
                </w:p>
              </w:tc>
              <w:tc>
                <w:tcPr>
                  <w:tcW w:w="502" w:type="pct"/>
                  <w:noWrap w:val="0"/>
                  <w:vAlign w:val="center"/>
                </w:tcPr>
                <w:p w14:paraId="5F1962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1DBB77F6">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650" w:type="pct"/>
                  <w:noWrap w:val="0"/>
                  <w:vAlign w:val="center"/>
                </w:tcPr>
                <w:p w14:paraId="47BAAF6E">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707" w:type="pct"/>
                  <w:noWrap w:val="0"/>
                  <w:vAlign w:val="center"/>
                </w:tcPr>
                <w:p w14:paraId="657E3B1B">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66235E3A">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焊接保护气</w:t>
                  </w:r>
                </w:p>
              </w:tc>
            </w:tr>
            <w:tr w14:paraId="6B2F8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495A6A5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832" w:type="pct"/>
                  <w:noWrap w:val="0"/>
                  <w:vAlign w:val="center"/>
                </w:tcPr>
                <w:p w14:paraId="7BDCA6E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钢丸</w:t>
                  </w:r>
                </w:p>
              </w:tc>
              <w:tc>
                <w:tcPr>
                  <w:tcW w:w="502" w:type="pct"/>
                  <w:noWrap w:val="0"/>
                  <w:vAlign w:val="center"/>
                </w:tcPr>
                <w:p w14:paraId="4D0420E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60FAF09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50" w:type="pct"/>
                  <w:noWrap w:val="0"/>
                  <w:vAlign w:val="center"/>
                </w:tcPr>
                <w:p w14:paraId="73065A4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707" w:type="pct"/>
                  <w:noWrap w:val="0"/>
                  <w:vAlign w:val="center"/>
                </w:tcPr>
                <w:p w14:paraId="5CC8732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8</w:t>
                  </w:r>
                </w:p>
              </w:tc>
              <w:tc>
                <w:tcPr>
                  <w:tcW w:w="1484" w:type="pct"/>
                  <w:noWrap w:val="0"/>
                  <w:vAlign w:val="center"/>
                </w:tcPr>
                <w:p w14:paraId="5484E7A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规格：0.5mm</w:t>
                  </w:r>
                  <w:r>
                    <w:rPr>
                      <w:rFonts w:hint="eastAsia" w:ascii="Times New Roman" w:hAnsi="Times New Roman" w:eastAsia="宋体" w:cs="Times New Roman"/>
                      <w:color w:val="auto"/>
                      <w:szCs w:val="21"/>
                      <w:lang w:val="en-US" w:eastAsia="zh-CN"/>
                    </w:rPr>
                    <w:t>，材质：钢</w:t>
                  </w:r>
                </w:p>
              </w:tc>
            </w:tr>
            <w:tr w14:paraId="5AC96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53" w:type="pct"/>
                  <w:noWrap w:val="0"/>
                  <w:vAlign w:val="center"/>
                </w:tcPr>
                <w:p w14:paraId="6A7B0180">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832" w:type="pct"/>
                  <w:noWrap w:val="0"/>
                  <w:vAlign w:val="center"/>
                </w:tcPr>
                <w:p w14:paraId="67DEEFA0">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液氧</w:t>
                  </w:r>
                </w:p>
              </w:tc>
              <w:tc>
                <w:tcPr>
                  <w:tcW w:w="502" w:type="pct"/>
                  <w:noWrap w:val="0"/>
                  <w:vAlign w:val="center"/>
                </w:tcPr>
                <w:p w14:paraId="02669DFC">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吨</w:t>
                  </w:r>
                  <w:r>
                    <w:rPr>
                      <w:rFonts w:hint="default" w:ascii="Times New Roman" w:hAnsi="Times New Roman" w:cs="Times New Roman"/>
                      <w:color w:val="auto"/>
                      <w:szCs w:val="21"/>
                      <w:lang w:val="en-US" w:eastAsia="zh-CN"/>
                    </w:rPr>
                    <w:t>/a</w:t>
                  </w:r>
                </w:p>
              </w:tc>
              <w:tc>
                <w:tcPr>
                  <w:tcW w:w="568" w:type="pct"/>
                  <w:noWrap w:val="0"/>
                  <w:vAlign w:val="center"/>
                </w:tcPr>
                <w:p w14:paraId="1465C64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650" w:type="pct"/>
                  <w:noWrap w:val="0"/>
                  <w:vAlign w:val="center"/>
                </w:tcPr>
                <w:p w14:paraId="0215812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707" w:type="pct"/>
                  <w:noWrap w:val="0"/>
                  <w:vAlign w:val="center"/>
                </w:tcPr>
                <w:p w14:paraId="32DC935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3EAFC75B">
                  <w:pPr>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外购</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用于激光切割机</w:t>
                  </w:r>
                  <w:r>
                    <w:rPr>
                      <w:rFonts w:hint="eastAsia" w:ascii="Times New Roman" w:hAnsi="Times New Roman" w:cs="Times New Roman"/>
                      <w:color w:val="auto"/>
                      <w:szCs w:val="21"/>
                      <w:lang w:val="en-US" w:eastAsia="zh-CN"/>
                    </w:rPr>
                    <w:t>，最大储存量10瓶</w:t>
                  </w:r>
                </w:p>
              </w:tc>
            </w:tr>
            <w:tr w14:paraId="5FC53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53" w:type="pct"/>
                  <w:noWrap w:val="0"/>
                  <w:vAlign w:val="center"/>
                </w:tcPr>
                <w:p w14:paraId="267EE1BA">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7</w:t>
                  </w:r>
                </w:p>
              </w:tc>
              <w:tc>
                <w:tcPr>
                  <w:tcW w:w="832" w:type="pct"/>
                  <w:noWrap w:val="0"/>
                  <w:vAlign w:val="center"/>
                </w:tcPr>
                <w:p w14:paraId="56C3C6E1">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氩</w:t>
                  </w:r>
                  <w:r>
                    <w:rPr>
                      <w:rFonts w:hint="default" w:ascii="Times New Roman" w:hAnsi="Times New Roman" w:cs="Times New Roman"/>
                      <w:color w:val="auto"/>
                      <w:szCs w:val="21"/>
                      <w:lang w:val="en-US" w:eastAsia="zh-CN"/>
                    </w:rPr>
                    <w:t>气</w:t>
                  </w:r>
                </w:p>
              </w:tc>
              <w:tc>
                <w:tcPr>
                  <w:tcW w:w="502" w:type="pct"/>
                  <w:noWrap w:val="0"/>
                  <w:vAlign w:val="center"/>
                </w:tcPr>
                <w:p w14:paraId="29639544">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m³</w:t>
                  </w:r>
                  <w:r>
                    <w:rPr>
                      <w:rFonts w:hint="default" w:ascii="Times New Roman" w:hAnsi="Times New Roman" w:cs="Times New Roman"/>
                      <w:color w:val="auto"/>
                      <w:szCs w:val="21"/>
                      <w:lang w:val="en-US" w:eastAsia="zh-CN"/>
                    </w:rPr>
                    <w:t>/a</w:t>
                  </w:r>
                </w:p>
              </w:tc>
              <w:tc>
                <w:tcPr>
                  <w:tcW w:w="568" w:type="pct"/>
                  <w:noWrap w:val="0"/>
                  <w:vAlign w:val="center"/>
                </w:tcPr>
                <w:p w14:paraId="31672768">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2000</w:t>
                  </w:r>
                </w:p>
              </w:tc>
              <w:tc>
                <w:tcPr>
                  <w:tcW w:w="650" w:type="pct"/>
                  <w:noWrap w:val="0"/>
                  <w:vAlign w:val="center"/>
                </w:tcPr>
                <w:p w14:paraId="5AC6026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w:t>
                  </w:r>
                </w:p>
              </w:tc>
              <w:tc>
                <w:tcPr>
                  <w:tcW w:w="707" w:type="pct"/>
                  <w:noWrap w:val="0"/>
                  <w:vAlign w:val="center"/>
                </w:tcPr>
                <w:p w14:paraId="4FA84A2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1E02E7A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外购，</w:t>
                  </w:r>
                  <w:r>
                    <w:rPr>
                      <w:rFonts w:hint="default" w:ascii="Times New Roman" w:hAnsi="Times New Roman" w:cs="Times New Roman"/>
                      <w:color w:val="auto"/>
                      <w:szCs w:val="21"/>
                      <w:lang w:val="en-US" w:eastAsia="zh-CN"/>
                    </w:rPr>
                    <w:t>用于激光焊</w:t>
                  </w:r>
                  <w:r>
                    <w:rPr>
                      <w:rFonts w:hint="eastAsia" w:ascii="Times New Roman" w:hAnsi="Times New Roman" w:cs="Times New Roman"/>
                      <w:color w:val="auto"/>
                      <w:szCs w:val="21"/>
                      <w:lang w:val="en-US" w:eastAsia="zh-CN"/>
                    </w:rPr>
                    <w:t>，最大储存量10瓶</w:t>
                  </w:r>
                </w:p>
              </w:tc>
            </w:tr>
            <w:tr w14:paraId="19D78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53" w:type="pct"/>
                  <w:noWrap w:val="0"/>
                  <w:vAlign w:val="center"/>
                </w:tcPr>
                <w:p w14:paraId="708DFD39">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w:t>
                  </w:r>
                </w:p>
              </w:tc>
              <w:tc>
                <w:tcPr>
                  <w:tcW w:w="832" w:type="pct"/>
                  <w:noWrap w:val="0"/>
                  <w:vAlign w:val="center"/>
                </w:tcPr>
                <w:p w14:paraId="4832D7B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切削液</w:t>
                  </w:r>
                  <w:r>
                    <w:rPr>
                      <w:rFonts w:hint="default" w:ascii="Times New Roman" w:hAnsi="Times New Roman" w:cs="Times New Roman"/>
                      <w:color w:val="auto"/>
                      <w:szCs w:val="21"/>
                    </w:rPr>
                    <w:t>原液</w:t>
                  </w:r>
                </w:p>
              </w:tc>
              <w:tc>
                <w:tcPr>
                  <w:tcW w:w="502" w:type="pct"/>
                  <w:noWrap w:val="0"/>
                  <w:vAlign w:val="center"/>
                </w:tcPr>
                <w:p w14:paraId="6A630C1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A8568E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650" w:type="pct"/>
                  <w:noWrap w:val="0"/>
                  <w:vAlign w:val="center"/>
                </w:tcPr>
                <w:p w14:paraId="26D1E1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707" w:type="pct"/>
                  <w:noWrap w:val="0"/>
                  <w:vAlign w:val="center"/>
                </w:tcPr>
                <w:p w14:paraId="563277B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484" w:type="pct"/>
                  <w:noWrap w:val="0"/>
                  <w:vAlign w:val="center"/>
                </w:tcPr>
                <w:p w14:paraId="229A72E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切削液</w:t>
                  </w:r>
                  <w:r>
                    <w:rPr>
                      <w:rFonts w:hint="default" w:ascii="Times New Roman" w:hAnsi="Times New Roman" w:cs="Times New Roman"/>
                      <w:color w:val="auto"/>
                      <w:szCs w:val="21"/>
                    </w:rPr>
                    <w:t>：水=1:20</w:t>
                  </w:r>
                </w:p>
              </w:tc>
            </w:tr>
            <w:tr w14:paraId="1DC1C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7DBA048D">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w:t>
                  </w:r>
                </w:p>
              </w:tc>
              <w:tc>
                <w:tcPr>
                  <w:tcW w:w="832" w:type="pct"/>
                  <w:noWrap w:val="0"/>
                  <w:vAlign w:val="center"/>
                </w:tcPr>
                <w:p w14:paraId="1152115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液压油</w:t>
                  </w:r>
                </w:p>
              </w:tc>
              <w:tc>
                <w:tcPr>
                  <w:tcW w:w="502" w:type="pct"/>
                  <w:noWrap w:val="0"/>
                  <w:vAlign w:val="center"/>
                </w:tcPr>
                <w:p w14:paraId="008C523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011AAF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0.02</w:t>
                  </w:r>
                </w:p>
              </w:tc>
              <w:tc>
                <w:tcPr>
                  <w:tcW w:w="650" w:type="pct"/>
                  <w:noWrap w:val="0"/>
                  <w:vAlign w:val="center"/>
                </w:tcPr>
                <w:p w14:paraId="18359A4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0.07</w:t>
                  </w:r>
                </w:p>
              </w:tc>
              <w:tc>
                <w:tcPr>
                  <w:tcW w:w="707" w:type="pct"/>
                  <w:noWrap w:val="0"/>
                  <w:vAlign w:val="center"/>
                </w:tcPr>
                <w:p w14:paraId="500B427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+0.05</w:t>
                  </w:r>
                </w:p>
              </w:tc>
              <w:tc>
                <w:tcPr>
                  <w:tcW w:w="1484" w:type="pct"/>
                  <w:noWrap w:val="0"/>
                  <w:vAlign w:val="center"/>
                </w:tcPr>
                <w:p w14:paraId="38EEBFB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空压机用，最大储存量0.01t</w:t>
                  </w:r>
                </w:p>
              </w:tc>
            </w:tr>
            <w:tr w14:paraId="52ABE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3" w:type="pct"/>
                  <w:shd w:val="clear" w:color="auto" w:fill="auto"/>
                  <w:noWrap w:val="0"/>
                  <w:vAlign w:val="center"/>
                </w:tcPr>
                <w:p w14:paraId="5531F85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10</w:t>
                  </w:r>
                </w:p>
              </w:tc>
              <w:tc>
                <w:tcPr>
                  <w:tcW w:w="832" w:type="pct"/>
                  <w:noWrap w:val="0"/>
                  <w:vAlign w:val="center"/>
                </w:tcPr>
                <w:p w14:paraId="6A94D0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润滑油</w:t>
                  </w:r>
                </w:p>
              </w:tc>
              <w:tc>
                <w:tcPr>
                  <w:tcW w:w="502" w:type="pct"/>
                  <w:noWrap w:val="0"/>
                  <w:vAlign w:val="center"/>
                </w:tcPr>
                <w:p w14:paraId="7C3E5EA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1D041E9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650" w:type="pct"/>
                  <w:noWrap w:val="0"/>
                  <w:vAlign w:val="center"/>
                </w:tcPr>
                <w:p w14:paraId="2C7FE49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707" w:type="pct"/>
                  <w:noWrap w:val="0"/>
                  <w:vAlign w:val="center"/>
                </w:tcPr>
                <w:p w14:paraId="1724049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484" w:type="pct"/>
                  <w:noWrap w:val="0"/>
                  <w:vAlign w:val="center"/>
                </w:tcPr>
                <w:p w14:paraId="0930F6B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设备维护、润滑</w:t>
                  </w:r>
                </w:p>
              </w:tc>
            </w:tr>
            <w:tr w14:paraId="37411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4F8038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11</w:t>
                  </w:r>
                </w:p>
              </w:tc>
              <w:tc>
                <w:tcPr>
                  <w:tcW w:w="832" w:type="pct"/>
                  <w:noWrap w:val="0"/>
                  <w:vAlign w:val="center"/>
                </w:tcPr>
                <w:p w14:paraId="3E48087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砂轮片</w:t>
                  </w:r>
                </w:p>
              </w:tc>
              <w:tc>
                <w:tcPr>
                  <w:tcW w:w="502" w:type="pct"/>
                  <w:noWrap w:val="0"/>
                  <w:vAlign w:val="center"/>
                </w:tcPr>
                <w:p w14:paraId="6E7CC88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60E619A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650" w:type="pct"/>
                  <w:noWrap w:val="0"/>
                  <w:vAlign w:val="center"/>
                </w:tcPr>
                <w:p w14:paraId="05DE160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707" w:type="pct"/>
                  <w:noWrap w:val="0"/>
                  <w:vAlign w:val="center"/>
                </w:tcPr>
                <w:p w14:paraId="6B5C813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484" w:type="pct"/>
                  <w:noWrap w:val="0"/>
                  <w:vAlign w:val="center"/>
                </w:tcPr>
                <w:p w14:paraId="1C6EB8C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2000片，0.5kg/片</w:t>
                  </w:r>
                </w:p>
                <w:p w14:paraId="30BF3C0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用于角磨机，陶瓷</w:t>
                  </w:r>
                </w:p>
              </w:tc>
            </w:tr>
            <w:tr w14:paraId="4DFB15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429B0E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12</w:t>
                  </w:r>
                </w:p>
              </w:tc>
              <w:tc>
                <w:tcPr>
                  <w:tcW w:w="832" w:type="pct"/>
                  <w:noWrap w:val="0"/>
                  <w:vAlign w:val="center"/>
                </w:tcPr>
                <w:p w14:paraId="552B051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塑粉</w:t>
                  </w:r>
                </w:p>
              </w:tc>
              <w:tc>
                <w:tcPr>
                  <w:tcW w:w="502" w:type="pct"/>
                  <w:noWrap w:val="0"/>
                  <w:vAlign w:val="center"/>
                </w:tcPr>
                <w:p w14:paraId="7F26B6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85F2D2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75293FF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707" w:type="pct"/>
                  <w:noWrap w:val="0"/>
                  <w:vAlign w:val="center"/>
                </w:tcPr>
                <w:p w14:paraId="352BBDB8">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+8</w:t>
                  </w:r>
                </w:p>
              </w:tc>
              <w:tc>
                <w:tcPr>
                  <w:tcW w:w="1484" w:type="pct"/>
                  <w:noWrap w:val="0"/>
                  <w:vAlign w:val="center"/>
                </w:tcPr>
                <w:p w14:paraId="2720AA3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喷粉</w:t>
                  </w:r>
                  <w:r>
                    <w:rPr>
                      <w:rFonts w:hint="eastAsia" w:ascii="Times New Roman" w:hAnsi="Times New Roman" w:eastAsia="宋体" w:cs="Times New Roman"/>
                      <w:color w:val="auto"/>
                      <w:szCs w:val="21"/>
                      <w:lang w:val="en-US" w:eastAsia="zh-CN"/>
                    </w:rPr>
                    <w:t>，20kg/箱</w:t>
                  </w:r>
                </w:p>
              </w:tc>
            </w:tr>
            <w:tr w14:paraId="111A9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2FF544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13</w:t>
                  </w:r>
                </w:p>
              </w:tc>
              <w:tc>
                <w:tcPr>
                  <w:tcW w:w="832" w:type="pct"/>
                  <w:noWrap w:val="0"/>
                  <w:vAlign w:val="center"/>
                </w:tcPr>
                <w:p w14:paraId="67A1F07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活性炭</w:t>
                  </w:r>
                </w:p>
              </w:tc>
              <w:tc>
                <w:tcPr>
                  <w:tcW w:w="502" w:type="pct"/>
                  <w:noWrap w:val="0"/>
                  <w:vAlign w:val="center"/>
                </w:tcPr>
                <w:p w14:paraId="20F8693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6ACC39D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2D6BB03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6.55</w:t>
                  </w:r>
                </w:p>
              </w:tc>
              <w:tc>
                <w:tcPr>
                  <w:tcW w:w="707" w:type="pct"/>
                  <w:noWrap w:val="0"/>
                  <w:vAlign w:val="center"/>
                </w:tcPr>
                <w:p w14:paraId="01533259">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6.55</w:t>
                  </w:r>
                </w:p>
              </w:tc>
              <w:tc>
                <w:tcPr>
                  <w:tcW w:w="1484" w:type="pct"/>
                  <w:noWrap w:val="0"/>
                  <w:vAlign w:val="center"/>
                </w:tcPr>
                <w:p w14:paraId="070F2F1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w:t>
                  </w:r>
                  <w:r>
                    <w:rPr>
                      <w:rFonts w:hint="eastAsia" w:cs="Times New Roman"/>
                      <w:color w:val="auto"/>
                      <w:szCs w:val="21"/>
                      <w:lang w:val="en-US" w:eastAsia="zh-CN"/>
                    </w:rPr>
                    <w:t>处理/水处理</w:t>
                  </w:r>
                </w:p>
              </w:tc>
            </w:tr>
            <w:tr w14:paraId="5F3F4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7F42A49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14</w:t>
                  </w:r>
                </w:p>
              </w:tc>
              <w:tc>
                <w:tcPr>
                  <w:tcW w:w="832" w:type="pct"/>
                  <w:noWrap w:val="0"/>
                  <w:vAlign w:val="center"/>
                </w:tcPr>
                <w:p w14:paraId="0C8E6E5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PAM</w:t>
                  </w:r>
                </w:p>
              </w:tc>
              <w:tc>
                <w:tcPr>
                  <w:tcW w:w="502" w:type="pct"/>
                  <w:noWrap w:val="0"/>
                  <w:vAlign w:val="center"/>
                </w:tcPr>
                <w:p w14:paraId="1D659A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002E7C6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650" w:type="pct"/>
                  <w:noWrap w:val="0"/>
                  <w:vAlign w:val="center"/>
                </w:tcPr>
                <w:p w14:paraId="0DB9C75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0.003</w:t>
                  </w:r>
                </w:p>
              </w:tc>
              <w:tc>
                <w:tcPr>
                  <w:tcW w:w="707" w:type="pct"/>
                  <w:noWrap w:val="0"/>
                  <w:vAlign w:val="center"/>
                </w:tcPr>
                <w:p w14:paraId="32DADCC1">
                  <w:pPr>
                    <w:adjustRightInd w:val="0"/>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.003</w:t>
                  </w:r>
                </w:p>
              </w:tc>
              <w:tc>
                <w:tcPr>
                  <w:tcW w:w="1484" w:type="pct"/>
                  <w:noWrap w:val="0"/>
                  <w:vAlign w:val="center"/>
                </w:tcPr>
                <w:p w14:paraId="2849CC3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p>
              </w:tc>
            </w:tr>
            <w:tr w14:paraId="7AF5F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2C63A4E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15</w:t>
                  </w:r>
                </w:p>
              </w:tc>
              <w:tc>
                <w:tcPr>
                  <w:tcW w:w="832" w:type="pct"/>
                  <w:noWrap w:val="0"/>
                  <w:vAlign w:val="center"/>
                </w:tcPr>
                <w:p w14:paraId="5226791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PAC</w:t>
                  </w:r>
                </w:p>
              </w:tc>
              <w:tc>
                <w:tcPr>
                  <w:tcW w:w="502" w:type="pct"/>
                  <w:noWrap w:val="0"/>
                  <w:vAlign w:val="center"/>
                </w:tcPr>
                <w:p w14:paraId="15E79D4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3DB063E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650" w:type="pct"/>
                  <w:noWrap w:val="0"/>
                  <w:vAlign w:val="center"/>
                </w:tcPr>
                <w:p w14:paraId="1EB14D4B">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0.085</w:t>
                  </w:r>
                </w:p>
              </w:tc>
              <w:tc>
                <w:tcPr>
                  <w:tcW w:w="707" w:type="pct"/>
                  <w:noWrap w:val="0"/>
                  <w:vAlign w:val="center"/>
                </w:tcPr>
                <w:p w14:paraId="47B38A7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+0.085</w:t>
                  </w:r>
                </w:p>
              </w:tc>
              <w:tc>
                <w:tcPr>
                  <w:tcW w:w="1484" w:type="pct"/>
                  <w:noWrap w:val="0"/>
                  <w:vAlign w:val="center"/>
                </w:tcPr>
                <w:p w14:paraId="7F26AB0C">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p>
              </w:tc>
            </w:tr>
            <w:tr w14:paraId="076A2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4A32927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16</w:t>
                  </w:r>
                </w:p>
              </w:tc>
              <w:tc>
                <w:tcPr>
                  <w:tcW w:w="832" w:type="pct"/>
                  <w:noWrap w:val="0"/>
                  <w:vAlign w:val="center"/>
                </w:tcPr>
                <w:p w14:paraId="75FE2F09">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氢氧化钠</w:t>
                  </w:r>
                </w:p>
              </w:tc>
              <w:tc>
                <w:tcPr>
                  <w:tcW w:w="502" w:type="pct"/>
                  <w:noWrap w:val="0"/>
                  <w:vAlign w:val="center"/>
                </w:tcPr>
                <w:p w14:paraId="509F03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5ED19E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c>
                <w:tcPr>
                  <w:tcW w:w="650" w:type="pct"/>
                  <w:noWrap w:val="0"/>
                  <w:vAlign w:val="center"/>
                </w:tcPr>
                <w:p w14:paraId="6284987F">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707" w:type="pct"/>
                  <w:noWrap w:val="0"/>
                  <w:vAlign w:val="center"/>
                </w:tcPr>
                <w:p w14:paraId="170CD6F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1484" w:type="pct"/>
                  <w:noWrap w:val="0"/>
                  <w:vAlign w:val="center"/>
                </w:tcPr>
                <w:p w14:paraId="46AD0D8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水处理</w:t>
                  </w:r>
                </w:p>
              </w:tc>
            </w:tr>
            <w:tr w14:paraId="242F7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shd w:val="clear" w:color="auto" w:fill="auto"/>
                  <w:noWrap w:val="0"/>
                  <w:vAlign w:val="center"/>
                </w:tcPr>
                <w:p w14:paraId="1A7757D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17</w:t>
                  </w:r>
                </w:p>
              </w:tc>
              <w:tc>
                <w:tcPr>
                  <w:tcW w:w="832" w:type="pct"/>
                  <w:noWrap w:val="0"/>
                  <w:vAlign w:val="center"/>
                </w:tcPr>
                <w:p w14:paraId="23648F9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脱脂剂</w:t>
                  </w:r>
                </w:p>
              </w:tc>
              <w:tc>
                <w:tcPr>
                  <w:tcW w:w="502" w:type="pct"/>
                  <w:noWrap w:val="0"/>
                  <w:vAlign w:val="center"/>
                </w:tcPr>
                <w:p w14:paraId="75FAC0A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22473EE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7A0E16D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w:t>
                  </w:r>
                </w:p>
              </w:tc>
              <w:tc>
                <w:tcPr>
                  <w:tcW w:w="707" w:type="pct"/>
                  <w:noWrap w:val="0"/>
                  <w:vAlign w:val="center"/>
                </w:tcPr>
                <w:p w14:paraId="3FCEE070">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+0.8</w:t>
                  </w:r>
                </w:p>
              </w:tc>
              <w:tc>
                <w:tcPr>
                  <w:tcW w:w="1484" w:type="pct"/>
                  <w:noWrap w:val="0"/>
                  <w:vAlign w:val="center"/>
                </w:tcPr>
                <w:p w14:paraId="30AAD2A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脱油，1kg/袋</w:t>
                  </w:r>
                </w:p>
              </w:tc>
            </w:tr>
            <w:tr w14:paraId="06B91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699F19E7">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18</w:t>
                  </w:r>
                </w:p>
              </w:tc>
              <w:tc>
                <w:tcPr>
                  <w:tcW w:w="832" w:type="pct"/>
                  <w:noWrap w:val="0"/>
                  <w:vAlign w:val="center"/>
                </w:tcPr>
                <w:p w14:paraId="20CBD4F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活性剂</w:t>
                  </w:r>
                </w:p>
              </w:tc>
              <w:tc>
                <w:tcPr>
                  <w:tcW w:w="502" w:type="pct"/>
                  <w:noWrap w:val="0"/>
                  <w:vAlign w:val="center"/>
                </w:tcPr>
                <w:p w14:paraId="01655DA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7E52BB1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7FF216C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707" w:type="pct"/>
                  <w:noWrap w:val="0"/>
                  <w:vAlign w:val="center"/>
                </w:tcPr>
                <w:p w14:paraId="6E4FA01C">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+0.1</w:t>
                  </w:r>
                </w:p>
              </w:tc>
              <w:tc>
                <w:tcPr>
                  <w:tcW w:w="1484" w:type="pct"/>
                  <w:noWrap w:val="0"/>
                  <w:vAlign w:val="center"/>
                </w:tcPr>
                <w:p w14:paraId="601BDC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清洗除油</w:t>
                  </w:r>
                </w:p>
              </w:tc>
            </w:tr>
            <w:tr w14:paraId="3A09A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79093B4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19</w:t>
                  </w:r>
                </w:p>
              </w:tc>
              <w:tc>
                <w:tcPr>
                  <w:tcW w:w="832" w:type="pct"/>
                  <w:noWrap w:val="0"/>
                  <w:vAlign w:val="center"/>
                </w:tcPr>
                <w:p w14:paraId="23384CE8">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硅烷</w:t>
                  </w:r>
                </w:p>
              </w:tc>
              <w:tc>
                <w:tcPr>
                  <w:tcW w:w="502" w:type="pct"/>
                  <w:noWrap w:val="0"/>
                  <w:vAlign w:val="center"/>
                </w:tcPr>
                <w:p w14:paraId="5C3A8E9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568" w:type="pct"/>
                  <w:noWrap w:val="0"/>
                  <w:vAlign w:val="center"/>
                </w:tcPr>
                <w:p w14:paraId="46C287E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315BC24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w:t>
                  </w:r>
                </w:p>
              </w:tc>
              <w:tc>
                <w:tcPr>
                  <w:tcW w:w="707" w:type="pct"/>
                  <w:noWrap w:val="0"/>
                  <w:vAlign w:val="center"/>
                </w:tcPr>
                <w:p w14:paraId="76C77CAE">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+0.2</w:t>
                  </w:r>
                </w:p>
              </w:tc>
              <w:tc>
                <w:tcPr>
                  <w:tcW w:w="1484" w:type="pct"/>
                  <w:noWrap w:val="0"/>
                  <w:vAlign w:val="center"/>
                </w:tcPr>
                <w:p w14:paraId="78A3955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表面防锈处理</w:t>
                  </w:r>
                </w:p>
              </w:tc>
            </w:tr>
            <w:tr w14:paraId="34C6C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3" w:type="pct"/>
                  <w:noWrap w:val="0"/>
                  <w:vAlign w:val="center"/>
                </w:tcPr>
                <w:p w14:paraId="630DB2D0">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20</w:t>
                  </w:r>
                </w:p>
              </w:tc>
              <w:tc>
                <w:tcPr>
                  <w:tcW w:w="832" w:type="pct"/>
                  <w:noWrap w:val="0"/>
                  <w:vAlign w:val="center"/>
                </w:tcPr>
                <w:p w14:paraId="3D047A7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天然气</w:t>
                  </w:r>
                </w:p>
              </w:tc>
              <w:tc>
                <w:tcPr>
                  <w:tcW w:w="502" w:type="pct"/>
                  <w:noWrap w:val="0"/>
                  <w:vAlign w:val="center"/>
                </w:tcPr>
                <w:p w14:paraId="63606949">
                  <w:pPr>
                    <w:adjustRightInd w:val="0"/>
                    <w:snapToGrid w:val="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zCs w:val="21"/>
                      <w:lang w:val="en-US" w:eastAsia="zh-CN"/>
                    </w:rPr>
                    <w:t>m³/a</w:t>
                  </w:r>
                </w:p>
              </w:tc>
              <w:tc>
                <w:tcPr>
                  <w:tcW w:w="568" w:type="pct"/>
                  <w:noWrap w:val="0"/>
                  <w:vAlign w:val="center"/>
                </w:tcPr>
                <w:p w14:paraId="5B67113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650" w:type="pct"/>
                  <w:noWrap w:val="0"/>
                  <w:vAlign w:val="center"/>
                </w:tcPr>
                <w:p w14:paraId="0C3A826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60000</w:t>
                  </w:r>
                </w:p>
              </w:tc>
              <w:tc>
                <w:tcPr>
                  <w:tcW w:w="707" w:type="pct"/>
                  <w:noWrap w:val="0"/>
                  <w:vAlign w:val="center"/>
                </w:tcPr>
                <w:p w14:paraId="029EF5E5">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Cs w:val="21"/>
                      <w:lang w:val="en-US" w:eastAsia="zh-CN"/>
                    </w:rPr>
                    <w:t>+60000</w:t>
                  </w:r>
                </w:p>
              </w:tc>
              <w:tc>
                <w:tcPr>
                  <w:tcW w:w="1484" w:type="pct"/>
                  <w:noWrap w:val="0"/>
                  <w:vAlign w:val="center"/>
                </w:tcPr>
                <w:p w14:paraId="4D21B2F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烘干、固化</w:t>
                  </w:r>
                </w:p>
              </w:tc>
            </w:tr>
          </w:tbl>
          <w:p w14:paraId="30779F65">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塑粉用量情况分析</w:t>
            </w:r>
            <w:r>
              <w:rPr>
                <w:rFonts w:hint="eastAsia" w:cs="Times New Roman"/>
                <w:b/>
                <w:bCs/>
                <w:color w:val="auto"/>
                <w:sz w:val="24"/>
                <w:szCs w:val="24"/>
                <w:lang w:val="en-US" w:eastAsia="zh-CN"/>
              </w:rPr>
              <w:t>：</w:t>
            </w:r>
          </w:p>
          <w:p w14:paraId="677280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auto"/>
                <w:sz w:val="24"/>
                <w:szCs w:val="24"/>
              </w:rPr>
            </w:pPr>
            <w:r>
              <w:rPr>
                <w:rFonts w:hint="default" w:ascii="Times New Roman" w:hAnsi="Times New Roman" w:cs="Times New Roman"/>
                <w:color w:val="auto"/>
                <w:sz w:val="24"/>
                <w:szCs w:val="24"/>
                <w:lang w:val="en-US" w:eastAsia="zh-CN"/>
              </w:rPr>
              <w:t>根据产品方案中对应产品的表面积及数量来计算需要喷涂的总表面积。需要说明的是喷涂的厚度通常为60-</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μm，本项目按照</w:t>
            </w:r>
            <w:r>
              <w:rPr>
                <w:rFonts w:hint="eastAsia" w:cs="Times New Roman"/>
                <w:color w:val="auto"/>
                <w:sz w:val="24"/>
                <w:szCs w:val="24"/>
                <w:lang w:val="en-US" w:eastAsia="zh-CN"/>
              </w:rPr>
              <w:t>80</w:t>
            </w:r>
            <w:r>
              <w:rPr>
                <w:rFonts w:hint="default" w:ascii="Times New Roman" w:hAnsi="Times New Roman" w:cs="Times New Roman"/>
                <w:color w:val="auto"/>
                <w:sz w:val="24"/>
                <w:szCs w:val="24"/>
                <w:lang w:val="en-US" w:eastAsia="zh-CN"/>
              </w:rPr>
              <w:t>μm取值；产品</w:t>
            </w:r>
            <w:r>
              <w:rPr>
                <w:rFonts w:hint="eastAsia" w:cs="Times New Roman"/>
                <w:color w:val="auto"/>
                <w:sz w:val="24"/>
                <w:szCs w:val="24"/>
                <w:lang w:val="en-US" w:eastAsia="zh-CN"/>
              </w:rPr>
              <w:t>总</w:t>
            </w:r>
            <w:r>
              <w:rPr>
                <w:rFonts w:hint="default" w:ascii="Times New Roman" w:hAnsi="Times New Roman" w:cs="Times New Roman"/>
                <w:color w:val="auto"/>
                <w:sz w:val="24"/>
                <w:szCs w:val="24"/>
                <w:lang w:val="en-US" w:eastAsia="zh-CN"/>
              </w:rPr>
              <w:t>喷涂</w:t>
            </w:r>
            <w:r>
              <w:rPr>
                <w:rFonts w:hint="eastAsia" w:cs="Times New Roman"/>
                <w:color w:val="auto"/>
                <w:sz w:val="24"/>
                <w:szCs w:val="24"/>
                <w:lang w:val="en-US" w:eastAsia="zh-CN"/>
              </w:rPr>
              <w:t>面积55384平方米</w:t>
            </w:r>
            <w:r>
              <w:rPr>
                <w:rFonts w:hint="default" w:ascii="Times New Roman" w:hAnsi="Times New Roman" w:cs="Times New Roman"/>
                <w:color w:val="auto"/>
                <w:sz w:val="24"/>
                <w:szCs w:val="24"/>
                <w:lang w:val="en-US" w:eastAsia="zh-CN"/>
              </w:rPr>
              <w:t>。</w:t>
            </w:r>
            <w:r>
              <w:rPr>
                <w:rFonts w:ascii="宋体" w:hAnsi="宋体" w:eastAsia="宋体" w:cs="宋体"/>
                <w:color w:val="auto"/>
                <w:sz w:val="24"/>
                <w:szCs w:val="24"/>
              </w:rPr>
              <w:t>塑粉使用量</w:t>
            </w:r>
            <w:r>
              <w:rPr>
                <w:rFonts w:hint="eastAsia" w:ascii="宋体" w:hAnsi="宋体" w:cs="宋体"/>
                <w:color w:val="auto"/>
                <w:sz w:val="24"/>
                <w:szCs w:val="24"/>
                <w:lang w:eastAsia="zh-CN"/>
              </w:rPr>
              <w:t>按</w:t>
            </w:r>
            <w:r>
              <w:rPr>
                <w:rFonts w:ascii="宋体" w:hAnsi="宋体" w:eastAsia="宋体" w:cs="宋体"/>
                <w:color w:val="auto"/>
                <w:sz w:val="24"/>
                <w:szCs w:val="24"/>
              </w:rPr>
              <w:t>下列公式计算：</w:t>
            </w:r>
          </w:p>
          <w:p w14:paraId="196AA13E">
            <w:pPr>
              <w:pStyle w:val="2"/>
              <w:jc w:val="center"/>
              <w:rPr>
                <w:color w:val="auto"/>
              </w:rPr>
            </w:pPr>
            <w:r>
              <w:rPr>
                <w:color w:val="auto"/>
              </w:rPr>
              <w:drawing>
                <wp:inline distT="0" distB="0" distL="114300" distR="114300">
                  <wp:extent cx="2499360" cy="327660"/>
                  <wp:effectExtent l="0" t="0" r="1524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499360" cy="327660"/>
                          </a:xfrm>
                          <a:prstGeom prst="rect">
                            <a:avLst/>
                          </a:prstGeom>
                          <a:noFill/>
                          <a:ln>
                            <a:noFill/>
                          </a:ln>
                        </pic:spPr>
                      </pic:pic>
                    </a:graphicData>
                  </a:graphic>
                </wp:inline>
              </w:drawing>
            </w:r>
          </w:p>
          <w:p w14:paraId="71A6D26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式中Q为塑粉总用量（t）；S为喷涂面积（m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）；H为喷涂厚度（μm）；ρ为塑粉密度（g/cm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）；R为塑粉回收率</w:t>
            </w:r>
            <w:r>
              <w:rPr>
                <w:rFonts w:hint="eastAsia" w:cs="Times New Roman"/>
                <w:color w:val="auto"/>
                <w:sz w:val="24"/>
                <w:szCs w:val="24"/>
                <w:lang w:val="en-US" w:eastAsia="zh-CN"/>
              </w:rPr>
              <w:t>；Ci为附着率</w:t>
            </w:r>
            <w:r>
              <w:rPr>
                <w:rFonts w:hint="default" w:ascii="Times New Roman" w:hAnsi="Times New Roman" w:cs="Times New Roman"/>
                <w:color w:val="auto"/>
                <w:sz w:val="24"/>
                <w:szCs w:val="24"/>
                <w:lang w:val="en-US" w:eastAsia="zh-CN"/>
              </w:rPr>
              <w:t>。根据《喷塑行业污染物源强估算及治理方法探讨》，喷塑过程粉末涂料附着率约为使用量的</w:t>
            </w:r>
            <w:r>
              <w:rPr>
                <w:rFonts w:hint="eastAsia" w:cs="Times New Roman"/>
                <w:color w:val="auto"/>
                <w:sz w:val="24"/>
                <w:szCs w:val="24"/>
                <w:lang w:val="en-US" w:eastAsia="zh-CN"/>
              </w:rPr>
              <w:t>80%～90%</w:t>
            </w:r>
            <w:r>
              <w:rPr>
                <w:rFonts w:hint="default" w:ascii="Times New Roman" w:hAnsi="Times New Roman" w:cs="Times New Roman"/>
                <w:color w:val="auto"/>
                <w:sz w:val="24"/>
                <w:szCs w:val="24"/>
                <w:lang w:val="en-US" w:eastAsia="zh-CN"/>
              </w:rPr>
              <w:t>，结合工程资料，本次取80%。粉尘系统回收</w:t>
            </w:r>
            <w:r>
              <w:rPr>
                <w:rFonts w:hint="eastAsia" w:cs="Times New Roman"/>
                <w:color w:val="auto"/>
                <w:sz w:val="24"/>
                <w:szCs w:val="24"/>
                <w:lang w:val="en-US" w:eastAsia="zh-CN"/>
              </w:rPr>
              <w:t>利用</w:t>
            </w:r>
            <w:r>
              <w:rPr>
                <w:rFonts w:hint="default" w:ascii="Times New Roman" w:hAnsi="Times New Roman" w:cs="Times New Roman"/>
                <w:color w:val="auto"/>
                <w:sz w:val="24"/>
                <w:szCs w:val="24"/>
                <w:lang w:val="en-US" w:eastAsia="zh-CN"/>
              </w:rPr>
              <w:t>率取90%</w:t>
            </w:r>
            <w:r>
              <w:rPr>
                <w:rFonts w:hint="eastAsia" w:cs="Times New Roman"/>
                <w:color w:val="auto"/>
                <w:sz w:val="24"/>
                <w:szCs w:val="24"/>
                <w:lang w:val="en-US" w:eastAsia="zh-CN"/>
              </w:rPr>
              <w:t>。</w:t>
            </w:r>
          </w:p>
          <w:p w14:paraId="247633D8">
            <w:pPr>
              <w:pStyle w:val="169"/>
              <w:spacing w:line="240" w:lineRule="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 2-</w:t>
            </w:r>
            <w:r>
              <w:rPr>
                <w:rFonts w:hint="eastAsia"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项目喷塑总表面积与粉末涂料用量核算表</w:t>
            </w:r>
          </w:p>
          <w:tbl>
            <w:tblPr>
              <w:tblStyle w:val="31"/>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144"/>
              <w:gridCol w:w="890"/>
              <w:gridCol w:w="869"/>
              <w:gridCol w:w="803"/>
              <w:gridCol w:w="956"/>
              <w:gridCol w:w="747"/>
              <w:gridCol w:w="747"/>
              <w:gridCol w:w="1005"/>
            </w:tblGrid>
            <w:tr w14:paraId="70AE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14" w:type="dxa"/>
                  <w:noWrap w:val="0"/>
                  <w:vAlign w:val="top"/>
                </w:tcPr>
                <w:p w14:paraId="0D80D1EB">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产品类型</w:t>
                  </w:r>
                </w:p>
              </w:tc>
              <w:tc>
                <w:tcPr>
                  <w:tcW w:w="1144" w:type="dxa"/>
                  <w:noWrap w:val="0"/>
                  <w:vAlign w:val="top"/>
                </w:tcPr>
                <w:p w14:paraId="6F1E9CCA">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产品总喷涂面积</w:t>
                  </w:r>
                </w:p>
              </w:tc>
              <w:tc>
                <w:tcPr>
                  <w:tcW w:w="890" w:type="dxa"/>
                  <w:noWrap w:val="0"/>
                  <w:vAlign w:val="top"/>
                </w:tcPr>
                <w:p w14:paraId="5DAC5FB5">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喷涂层数</w:t>
                  </w:r>
                </w:p>
              </w:tc>
              <w:tc>
                <w:tcPr>
                  <w:tcW w:w="869" w:type="dxa"/>
                  <w:noWrap w:val="0"/>
                  <w:vAlign w:val="top"/>
                </w:tcPr>
                <w:p w14:paraId="4B8C7F14">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喷涂厚度</w:t>
                  </w:r>
                  <w:r>
                    <w:rPr>
                      <w:rFonts w:hint="default" w:ascii="Times New Roman" w:hAnsi="Times New Roman" w:cs="Times New Roman"/>
                      <w:color w:val="auto"/>
                      <w:sz w:val="24"/>
                      <w:szCs w:val="24"/>
                      <w:lang w:val="en-US" w:eastAsia="zh-CN"/>
                    </w:rPr>
                    <w:t>μm</w:t>
                  </w:r>
                </w:p>
              </w:tc>
              <w:tc>
                <w:tcPr>
                  <w:tcW w:w="803" w:type="dxa"/>
                  <w:noWrap w:val="0"/>
                  <w:vAlign w:val="top"/>
                </w:tcPr>
                <w:p w14:paraId="1D303435">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密度g/cm</w:t>
                  </w:r>
                  <w:r>
                    <w:rPr>
                      <w:rFonts w:hint="eastAsia" w:cs="Times New Roman"/>
                      <w:b/>
                      <w:bCs/>
                      <w:color w:val="auto"/>
                      <w:kern w:val="2"/>
                      <w:sz w:val="21"/>
                      <w:szCs w:val="21"/>
                      <w:vertAlign w:val="superscript"/>
                      <w:lang w:val="en-US" w:eastAsia="zh-CN" w:bidi="ar-SA"/>
                    </w:rPr>
                    <w:t>3</w:t>
                  </w:r>
                </w:p>
              </w:tc>
              <w:tc>
                <w:tcPr>
                  <w:tcW w:w="956" w:type="dxa"/>
                  <w:noWrap w:val="0"/>
                  <w:vAlign w:val="top"/>
                </w:tcPr>
                <w:p w14:paraId="3CBE4D92">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回收利用率%</w:t>
                  </w:r>
                </w:p>
              </w:tc>
              <w:tc>
                <w:tcPr>
                  <w:tcW w:w="747" w:type="dxa"/>
                  <w:noWrap w:val="0"/>
                  <w:vAlign w:val="top"/>
                </w:tcPr>
                <w:p w14:paraId="058368B8">
                  <w:pPr>
                    <w:pStyle w:val="169"/>
                    <w:spacing w:line="240" w:lineRule="auto"/>
                    <w:rPr>
                      <w:rFonts w:hint="default"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固含率%</w:t>
                  </w:r>
                </w:p>
              </w:tc>
              <w:tc>
                <w:tcPr>
                  <w:tcW w:w="747" w:type="dxa"/>
                  <w:noWrap w:val="0"/>
                  <w:vAlign w:val="top"/>
                </w:tcPr>
                <w:p w14:paraId="1EFDC401">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附着率%</w:t>
                  </w:r>
                </w:p>
              </w:tc>
              <w:tc>
                <w:tcPr>
                  <w:tcW w:w="1005" w:type="dxa"/>
                  <w:noWrap w:val="0"/>
                  <w:vAlign w:val="top"/>
                </w:tcPr>
                <w:p w14:paraId="7E4ED88D">
                  <w:pPr>
                    <w:pStyle w:val="169"/>
                    <w:spacing w:line="240" w:lineRule="auto"/>
                    <w:rPr>
                      <w:rFonts w:hint="default"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kern w:val="2"/>
                      <w:sz w:val="21"/>
                      <w:szCs w:val="21"/>
                      <w:vertAlign w:val="baseline"/>
                      <w:lang w:val="en-US" w:eastAsia="zh-CN" w:bidi="ar-SA"/>
                    </w:rPr>
                    <w:t>年用量t/a</w:t>
                  </w:r>
                </w:p>
              </w:tc>
            </w:tr>
            <w:tr w14:paraId="19E9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14" w:type="dxa"/>
                  <w:noWrap w:val="0"/>
                  <w:vAlign w:val="top"/>
                </w:tcPr>
                <w:p w14:paraId="407FB3E3">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喷塑工件</w:t>
                  </w:r>
                </w:p>
              </w:tc>
              <w:tc>
                <w:tcPr>
                  <w:tcW w:w="1144" w:type="dxa"/>
                  <w:noWrap w:val="0"/>
                  <w:vAlign w:val="top"/>
                </w:tcPr>
                <w:p w14:paraId="3FEFE209">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55384</w:t>
                  </w:r>
                </w:p>
              </w:tc>
              <w:tc>
                <w:tcPr>
                  <w:tcW w:w="890" w:type="dxa"/>
                  <w:noWrap w:val="0"/>
                  <w:vAlign w:val="top"/>
                </w:tcPr>
                <w:p w14:paraId="0B481F3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w:t>
                  </w:r>
                </w:p>
              </w:tc>
              <w:tc>
                <w:tcPr>
                  <w:tcW w:w="869" w:type="dxa"/>
                  <w:noWrap w:val="0"/>
                  <w:vAlign w:val="top"/>
                </w:tcPr>
                <w:p w14:paraId="012DB190">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80</w:t>
                  </w:r>
                </w:p>
              </w:tc>
              <w:tc>
                <w:tcPr>
                  <w:tcW w:w="803" w:type="dxa"/>
                  <w:noWrap w:val="0"/>
                  <w:vAlign w:val="top"/>
                </w:tcPr>
                <w:p w14:paraId="4CFF3E59">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1.3</w:t>
                  </w:r>
                </w:p>
              </w:tc>
              <w:tc>
                <w:tcPr>
                  <w:tcW w:w="956" w:type="dxa"/>
                  <w:noWrap w:val="0"/>
                  <w:vAlign w:val="top"/>
                </w:tcPr>
                <w:p w14:paraId="14123613">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90</w:t>
                  </w:r>
                </w:p>
              </w:tc>
              <w:tc>
                <w:tcPr>
                  <w:tcW w:w="747" w:type="dxa"/>
                  <w:noWrap w:val="0"/>
                  <w:vAlign w:val="top"/>
                </w:tcPr>
                <w:p w14:paraId="2C0DA0FC">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100</w:t>
                  </w:r>
                </w:p>
              </w:tc>
              <w:tc>
                <w:tcPr>
                  <w:tcW w:w="747" w:type="dxa"/>
                  <w:noWrap w:val="0"/>
                  <w:vAlign w:val="top"/>
                </w:tcPr>
                <w:p w14:paraId="104EBC87">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70</w:t>
                  </w:r>
                </w:p>
              </w:tc>
              <w:tc>
                <w:tcPr>
                  <w:tcW w:w="1005" w:type="dxa"/>
                  <w:noWrap w:val="0"/>
                  <w:vAlign w:val="top"/>
                </w:tcPr>
                <w:p w14:paraId="3EC4E5D0">
                  <w:pPr>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w:t>
                  </w:r>
                </w:p>
              </w:tc>
            </w:tr>
          </w:tbl>
          <w:p w14:paraId="0CE9E535">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活性炭用量：</w:t>
            </w:r>
          </w:p>
          <w:p w14:paraId="07AC989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 xml:space="preserve">①废气处理活性炭量计算 </w:t>
            </w:r>
          </w:p>
          <w:p w14:paraId="4F01227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b w:val="0"/>
                <w:bCs w:val="0"/>
                <w:i/>
                <w:color w:val="auto"/>
                <w:sz w:val="24"/>
              </w:rPr>
            </w:pPr>
            <w:r>
              <w:rPr>
                <w:rFonts w:hint="eastAsia" w:cs="Times New Roman"/>
                <w:b w:val="0"/>
                <w:bCs w:val="0"/>
                <w:color w:val="auto"/>
                <w:sz w:val="24"/>
                <w:szCs w:val="24"/>
                <w:lang w:val="en-US" w:eastAsia="zh-CN"/>
              </w:rPr>
              <w:t>计算公式</w:t>
            </w:r>
            <m:oMath>
              <m:r>
                <m:rPr/>
                <w:rPr>
                  <w:rFonts w:hint="default" w:ascii="Cambria Math" w:cs="Times New Roman"/>
                  <w:color w:val="auto"/>
                  <w:sz w:val="24"/>
                  <w:szCs w:val="24"/>
                  <w:lang w:val="en-US" w:eastAsia="zh-CN"/>
                </w:rPr>
                <m:t>：</m:t>
              </m:r>
            </m:oMath>
          </w:p>
          <w:p w14:paraId="5549D6B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default" w:cs="Times New Roman"/>
                <w:b w:val="0"/>
                <w:bCs w:val="0"/>
                <w:i/>
                <w:color w:val="auto"/>
                <w:sz w:val="24"/>
                <w:szCs w:val="24"/>
                <w:lang w:val="en-US" w:eastAsia="zh-CN"/>
              </w:rPr>
            </w:pPr>
            <m:oMathPara>
              <m:oMath>
                <m:r>
                  <m:rPr/>
                  <w:rPr>
                    <w:rFonts w:hint="default" w:ascii="Cambria Math" w:hAnsi="Cambria Math" w:cs="Times New Roman"/>
                    <w:color w:val="auto"/>
                    <w:kern w:val="2"/>
                    <w:sz w:val="24"/>
                    <w:szCs w:val="24"/>
                    <w:lang w:val="en-US" w:eastAsia="zh-CN" w:bidi="ar-SA"/>
                  </w:rPr>
                  <m:t>G</m:t>
                </m:r>
                <m:r>
                  <m:rPr/>
                  <w:rPr>
                    <w:rFonts w:ascii="Cambria Math" w:hAnsi="Cambria Math" w:cs="Times New Roman"/>
                    <w:color w:val="auto"/>
                    <w:kern w:val="2"/>
                    <w:sz w:val="24"/>
                    <w:szCs w:val="24"/>
                    <w:lang w:val="en-US" w:bidi="ar-SA"/>
                  </w:rPr>
                  <m:t>=</m:t>
                </m:r>
                <m:f>
                  <m:fPr>
                    <m:ctrlPr>
                      <w:rPr>
                        <w:rFonts w:ascii="Cambria Math" w:hAnsi="Cambria Math" w:cs="Times New Roman"/>
                        <w:b w:val="0"/>
                        <w:bCs w:val="0"/>
                        <w:i/>
                        <w:color w:val="auto"/>
                        <w:kern w:val="2"/>
                        <w:sz w:val="24"/>
                        <w:szCs w:val="24"/>
                        <w:lang w:val="en-US" w:bidi="ar-SA"/>
                      </w:rPr>
                    </m:ctrlPr>
                  </m:fPr>
                  <m:num>
                    <m:r>
                      <m:rPr/>
                      <w:rPr>
                        <w:rFonts w:hint="default" w:ascii="Cambria Math" w:hAnsi="Cambria Math" w:cs="Times New Roman"/>
                        <w:color w:val="auto"/>
                        <w:kern w:val="2"/>
                        <w:sz w:val="24"/>
                        <w:szCs w:val="24"/>
                        <w:lang w:val="en-US" w:eastAsia="zh-CN" w:bidi="ar-SA"/>
                      </w:rPr>
                      <m:t>Q∗C∗t∗K</m:t>
                    </m:r>
                    <m:ctrlPr>
                      <w:rPr>
                        <w:rFonts w:ascii="Cambria Math" w:hAnsi="Cambria Math" w:cs="Times New Roman"/>
                        <w:b w:val="0"/>
                        <w:bCs w:val="0"/>
                        <w:i/>
                        <w:color w:val="auto"/>
                        <w:kern w:val="2"/>
                        <w:sz w:val="24"/>
                        <w:szCs w:val="24"/>
                        <w:lang w:val="en-US" w:bidi="ar-SA"/>
                      </w:rPr>
                    </m:ctrlPr>
                  </m:num>
                  <m:den>
                    <m:r>
                      <m:rPr/>
                      <w:rPr>
                        <w:rFonts w:hint="default" w:ascii="Cambria Math" w:hAnsi="Cambria Math" w:cs="Times New Roman"/>
                        <w:color w:val="auto"/>
                        <w:kern w:val="2"/>
                        <w:sz w:val="24"/>
                        <w:szCs w:val="24"/>
                        <w:lang w:val="en-US" w:eastAsia="zh-CN" w:bidi="ar-SA"/>
                      </w:rPr>
                      <m:t>q</m:t>
                    </m:r>
                    <m:ctrlPr>
                      <w:rPr>
                        <w:rFonts w:ascii="Cambria Math" w:hAnsi="Cambria Math" w:cs="Times New Roman"/>
                        <w:b w:val="0"/>
                        <w:bCs w:val="0"/>
                        <w:i/>
                        <w:color w:val="auto"/>
                        <w:kern w:val="2"/>
                        <w:sz w:val="24"/>
                        <w:szCs w:val="24"/>
                        <w:lang w:val="en-US" w:bidi="ar-SA"/>
                      </w:rPr>
                    </m:ctrlPr>
                  </m:den>
                </m:f>
              </m:oMath>
            </m:oMathPara>
          </w:p>
          <w:p w14:paraId="52E6EA5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G为废气处理活性炭产生量（kg）；</w:t>
            </w:r>
          </w:p>
          <w:p w14:paraId="6629E54C">
            <w:pPr>
              <w:pStyle w:val="7"/>
              <w:keepNext w:val="0"/>
              <w:keepLines w:val="0"/>
              <w:pageBreakBefore w:val="0"/>
              <w:kinsoku/>
              <w:wordWrap/>
              <w:overflowPunct/>
              <w:topLinePunct w:val="0"/>
              <w:autoSpaceDE/>
              <w:autoSpaceDN/>
              <w:bidi w:val="0"/>
              <w:spacing w:line="360" w:lineRule="auto"/>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Q为废气处理风量（m³/h）；</w:t>
            </w:r>
          </w:p>
          <w:p w14:paraId="2046CD49">
            <w:pPr>
              <w:pStyle w:val="7"/>
              <w:keepNext w:val="0"/>
              <w:keepLines w:val="0"/>
              <w:pageBreakBefore w:val="0"/>
              <w:kinsoku/>
              <w:wordWrap/>
              <w:overflowPunct/>
              <w:topLinePunct w:val="0"/>
              <w:autoSpaceDE/>
              <w:autoSpaceDN/>
              <w:bidi w:val="0"/>
              <w:spacing w:line="360" w:lineRule="auto"/>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C为废气中污染物初始浓度（mg/m³，取80）；</w:t>
            </w:r>
          </w:p>
          <w:p w14:paraId="2575A4A8">
            <w:pPr>
              <w:pStyle w:val="7"/>
              <w:keepNext w:val="0"/>
              <w:keepLines w:val="0"/>
              <w:pageBreakBefore w:val="0"/>
              <w:kinsoku/>
              <w:wordWrap/>
              <w:overflowPunct/>
              <w:topLinePunct w:val="0"/>
              <w:autoSpaceDE/>
              <w:autoSpaceDN/>
              <w:bidi w:val="0"/>
              <w:spacing w:line="360" w:lineRule="auto"/>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t为活性炭运行时间（h）；</w:t>
            </w:r>
          </w:p>
          <w:p w14:paraId="69A3787B">
            <w:pPr>
              <w:pStyle w:val="7"/>
              <w:keepNext w:val="0"/>
              <w:keepLines w:val="0"/>
              <w:pageBreakBefore w:val="0"/>
              <w:kinsoku/>
              <w:wordWrap/>
              <w:overflowPunct/>
              <w:topLinePunct w:val="0"/>
              <w:autoSpaceDE/>
              <w:autoSpaceDN/>
              <w:bidi w:val="0"/>
              <w:spacing w:line="360" w:lineRule="auto"/>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K为安全系数（喷塑废气取1.2）；</w:t>
            </w:r>
          </w:p>
          <w:p w14:paraId="16F07902">
            <w:pPr>
              <w:pStyle w:val="7"/>
              <w:keepNext w:val="0"/>
              <w:keepLines w:val="0"/>
              <w:pageBreakBefore w:val="0"/>
              <w:kinsoku/>
              <w:wordWrap/>
              <w:overflowPunct/>
              <w:topLinePunct w:val="0"/>
              <w:autoSpaceDE/>
              <w:autoSpaceDN/>
              <w:bidi w:val="0"/>
              <w:spacing w:line="360" w:lineRule="auto"/>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q为活性炭饱和吸附量（mg/g，喷塑废气用蜂窝炭取50mg/g）</w:t>
            </w:r>
          </w:p>
          <w:p w14:paraId="3202FFF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经计算，本项目废气处理活性炭用量为2.88t/a。</w:t>
            </w:r>
          </w:p>
          <w:p w14:paraId="70180DC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②废水处理活性炭量计算</w:t>
            </w:r>
          </w:p>
          <w:p w14:paraId="1BDE42B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lang w:val="en-US" w:eastAsia="zh-CN"/>
              </w:rPr>
            </w:pPr>
            <m:oMathPara>
              <m:oMath>
                <m:r>
                  <m:rPr/>
                  <w:rPr>
                    <w:rFonts w:hint="default" w:ascii="Cambria Math" w:hAnsi="Cambria Math" w:cs="Times New Roman"/>
                    <w:color w:val="auto"/>
                    <w:sz w:val="24"/>
                    <w:szCs w:val="24"/>
                    <w:lang w:val="en-US" w:eastAsia="zh-CN"/>
                  </w:rPr>
                  <m:t>G1</m:t>
                </m:r>
                <m:r>
                  <m:rPr/>
                  <w:rPr>
                    <w:rFonts w:ascii="Cambria Math" w:hAnsi="Cambria Math" w:cs="Times New Roman"/>
                    <w:color w:val="auto"/>
                    <w:sz w:val="24"/>
                    <w:szCs w:val="24"/>
                    <w:lang w:val="en-US"/>
                  </w:rPr>
                  <m:t>=</m:t>
                </m:r>
                <m:f>
                  <m:fPr>
                    <m:ctrlPr>
                      <w:rPr>
                        <w:rFonts w:ascii="Cambria Math" w:hAnsi="Cambria Math" w:cs="Times New Roman"/>
                        <w:b w:val="0"/>
                        <w:bCs w:val="0"/>
                        <w:i/>
                        <w:color w:val="auto"/>
                        <w:sz w:val="24"/>
                        <w:szCs w:val="24"/>
                        <w:lang w:val="en-US"/>
                      </w:rPr>
                    </m:ctrlPr>
                  </m:fPr>
                  <m:num>
                    <m:sSub>
                      <m:sSubPr>
                        <m:ctrlPr>
                          <w:rPr>
                            <w:rFonts w:ascii="Cambria Math" w:hAnsi="Cambria Math" w:cs="Times New Roman"/>
                            <w:b w:val="0"/>
                            <w:bCs w:val="0"/>
                            <w:i/>
                            <w:color w:val="auto"/>
                            <w:sz w:val="24"/>
                            <w:szCs w:val="24"/>
                            <w:lang w:val="en-US"/>
                          </w:rPr>
                        </m:ctrlPr>
                      </m:sSubPr>
                      <m:e>
                        <m:r>
                          <m:rPr/>
                          <w:rPr>
                            <w:rFonts w:hint="default" w:ascii="Cambria Math" w:hAnsi="Cambria Math" w:cs="Times New Roman"/>
                            <w:color w:val="auto"/>
                            <w:sz w:val="24"/>
                            <w:szCs w:val="24"/>
                            <w:lang w:val="en-US" w:eastAsia="zh-CN"/>
                          </w:rPr>
                          <m:t>Q</m:t>
                        </m:r>
                        <m:ctrlPr>
                          <w:rPr>
                            <w:rFonts w:ascii="Cambria Math" w:hAnsi="Cambria Math" w:cs="Times New Roman"/>
                            <w:b w:val="0"/>
                            <w:bCs w:val="0"/>
                            <w:i/>
                            <w:color w:val="auto"/>
                            <w:sz w:val="24"/>
                            <w:szCs w:val="24"/>
                            <w:lang w:val="en-US"/>
                          </w:rPr>
                        </m:ctrlPr>
                      </m:e>
                      <m:sub>
                        <m:r>
                          <m:rPr/>
                          <w:rPr>
                            <w:rFonts w:hint="default" w:ascii="Cambria Math" w:hAnsi="Cambria Math" w:cs="Times New Roman"/>
                            <w:color w:val="auto"/>
                            <w:sz w:val="24"/>
                            <w:szCs w:val="24"/>
                            <w:lang w:val="en-US" w:eastAsia="zh-CN"/>
                          </w:rPr>
                          <m:t>W</m:t>
                        </m:r>
                        <m:ctrlPr>
                          <w:rPr>
                            <w:rFonts w:ascii="Cambria Math" w:hAnsi="Cambria Math" w:cs="Times New Roman"/>
                            <w:b w:val="0"/>
                            <w:bCs w:val="0"/>
                            <w:i/>
                            <w:color w:val="auto"/>
                            <w:sz w:val="24"/>
                            <w:szCs w:val="24"/>
                            <w:lang w:val="en-US"/>
                          </w:rPr>
                        </m:ctrlPr>
                      </m:sub>
                    </m:sSub>
                    <m:sSub>
                      <m:sSubPr>
                        <m:ctrlPr>
                          <w:rPr>
                            <w:rFonts w:ascii="Cambria Math" w:hAnsi="Cambria Math" w:cs="Times New Roman"/>
                            <w:b w:val="0"/>
                            <w:bCs w:val="0"/>
                            <w:i/>
                            <w:color w:val="auto"/>
                            <w:sz w:val="24"/>
                            <w:szCs w:val="24"/>
                            <w:lang w:val="en-US"/>
                          </w:rPr>
                        </m:ctrlPr>
                      </m:sSubPr>
                      <m:e>
                        <m:r>
                          <m:rPr/>
                          <w:rPr>
                            <w:rFonts w:hint="default" w:ascii="Cambria Math" w:hAnsi="Cambria Math" w:cs="Times New Roman"/>
                            <w:color w:val="auto"/>
                            <w:sz w:val="24"/>
                            <w:szCs w:val="24"/>
                            <w:lang w:val="en-US" w:eastAsia="zh-CN"/>
                          </w:rPr>
                          <m:t xml:space="preserve"> ∗</m:t>
                        </m:r>
                        <m:r>
                          <m:rPr/>
                          <w:rPr>
                            <w:rFonts w:hint="eastAsia" w:ascii="Cambria Math" w:hAnsi="Cambria Math" w:cs="Times New Roman"/>
                            <w:color w:val="auto"/>
                            <w:sz w:val="24"/>
                            <w:szCs w:val="24"/>
                            <w:lang w:val="en-US" w:eastAsia="zh-CN"/>
                          </w:rPr>
                          <m:t>（</m:t>
                        </m:r>
                        <m:r>
                          <m:rPr/>
                          <w:rPr>
                            <w:rFonts w:hint="default" w:ascii="Cambria Math" w:hAnsi="Cambria Math" w:cs="Times New Roman"/>
                            <w:color w:val="auto"/>
                            <w:sz w:val="24"/>
                            <w:szCs w:val="24"/>
                            <w:lang w:val="en-US" w:eastAsia="zh-CN"/>
                          </w:rPr>
                          <m:t>C</m:t>
                        </m:r>
                        <m:ctrlPr>
                          <w:rPr>
                            <w:rFonts w:ascii="Cambria Math" w:hAnsi="Cambria Math" w:cs="Times New Roman"/>
                            <w:b w:val="0"/>
                            <w:bCs w:val="0"/>
                            <w:i/>
                            <w:color w:val="auto"/>
                            <w:sz w:val="24"/>
                            <w:szCs w:val="24"/>
                            <w:lang w:val="en-US"/>
                          </w:rPr>
                        </m:ctrlPr>
                      </m:e>
                      <m:sub>
                        <m:r>
                          <m:rPr/>
                          <w:rPr>
                            <w:rFonts w:hint="default" w:ascii="Cambria Math" w:hAnsi="Cambria Math" w:cs="Times New Roman"/>
                            <w:color w:val="auto"/>
                            <w:sz w:val="24"/>
                            <w:szCs w:val="24"/>
                            <w:lang w:val="en-US" w:eastAsia="zh-CN"/>
                          </w:rPr>
                          <m:t>0</m:t>
                        </m:r>
                        <m:ctrlPr>
                          <w:rPr>
                            <w:rFonts w:ascii="Cambria Math" w:hAnsi="Cambria Math" w:cs="Times New Roman"/>
                            <w:b w:val="0"/>
                            <w:bCs w:val="0"/>
                            <w:i/>
                            <w:color w:val="auto"/>
                            <w:sz w:val="24"/>
                            <w:szCs w:val="24"/>
                            <w:lang w:val="en-US"/>
                          </w:rPr>
                        </m:ctrlPr>
                      </m:sub>
                    </m:sSub>
                    <m:r>
                      <m:rPr/>
                      <w:rPr>
                        <w:rFonts w:hint="default" w:ascii="Cambria Math" w:hAnsi="Cambria Math" w:cs="Times New Roman"/>
                        <w:color w:val="auto"/>
                        <w:sz w:val="24"/>
                        <w:szCs w:val="24"/>
                        <w:lang w:val="en-US" w:eastAsia="zh-CN"/>
                      </w:rPr>
                      <m:t>−</m:t>
                    </m:r>
                    <m:sSub>
                      <m:sSubPr>
                        <m:ctrlPr>
                          <w:rPr>
                            <w:rFonts w:hint="default" w:ascii="Cambria Math" w:hAnsi="Cambria Math" w:cs="Times New Roman"/>
                            <w:b w:val="0"/>
                            <w:bCs w:val="0"/>
                            <w:i/>
                            <w:color w:val="auto"/>
                            <w:sz w:val="24"/>
                            <w:szCs w:val="24"/>
                            <w:lang w:val="en-US" w:eastAsia="zh-CN"/>
                          </w:rPr>
                        </m:ctrlPr>
                      </m:sSubPr>
                      <m:e>
                        <m:r>
                          <m:rPr/>
                          <w:rPr>
                            <w:rFonts w:hint="default" w:ascii="Cambria Math" w:hAnsi="Cambria Math" w:cs="Times New Roman"/>
                            <w:color w:val="auto"/>
                            <w:sz w:val="24"/>
                            <w:szCs w:val="24"/>
                            <w:lang w:val="en-US" w:eastAsia="zh-CN"/>
                          </w:rPr>
                          <m:t>C</m:t>
                        </m:r>
                        <m:ctrlPr>
                          <w:rPr>
                            <w:rFonts w:hint="default" w:ascii="Cambria Math" w:hAnsi="Cambria Math" w:cs="Times New Roman"/>
                            <w:b w:val="0"/>
                            <w:bCs w:val="0"/>
                            <w:i/>
                            <w:color w:val="auto"/>
                            <w:sz w:val="24"/>
                            <w:szCs w:val="24"/>
                            <w:lang w:val="en-US" w:eastAsia="zh-CN"/>
                          </w:rPr>
                        </m:ctrlPr>
                      </m:e>
                      <m:sub>
                        <m:r>
                          <m:rPr/>
                          <w:rPr>
                            <w:rFonts w:hint="default" w:ascii="Cambria Math" w:hAnsi="Cambria Math" w:cs="Times New Roman"/>
                            <w:color w:val="auto"/>
                            <w:sz w:val="24"/>
                            <w:szCs w:val="24"/>
                            <w:lang w:val="en-US" w:eastAsia="zh-CN"/>
                          </w:rPr>
                          <m:t>e</m:t>
                        </m:r>
                        <m:ctrlPr>
                          <w:rPr>
                            <w:rFonts w:hint="default" w:ascii="Cambria Math" w:hAnsi="Cambria Math" w:cs="Times New Roman"/>
                            <w:b w:val="0"/>
                            <w:bCs w:val="0"/>
                            <w:i/>
                            <w:color w:val="auto"/>
                            <w:sz w:val="24"/>
                            <w:szCs w:val="24"/>
                            <w:lang w:val="en-US" w:eastAsia="zh-CN"/>
                          </w:rPr>
                        </m:ctrlPr>
                      </m:sub>
                    </m:sSub>
                    <m:r>
                      <m:rPr/>
                      <w:rPr>
                        <w:rFonts w:hint="eastAsia" w:ascii="Cambria Math" w:hAnsi="Cambria Math" w:cs="Times New Roman"/>
                        <w:color w:val="auto"/>
                        <w:sz w:val="24"/>
                        <w:szCs w:val="24"/>
                        <w:lang w:val="en-US" w:eastAsia="zh-CN"/>
                      </w:rPr>
                      <m:t>）</m:t>
                    </m:r>
                    <m:r>
                      <m:rPr/>
                      <w:rPr>
                        <w:rFonts w:hint="default" w:ascii="Cambria Math" w:hAnsi="Cambria Math" w:cs="Times New Roman"/>
                        <w:color w:val="auto"/>
                        <w:sz w:val="24"/>
                        <w:szCs w:val="24"/>
                        <w:lang w:val="en-US" w:eastAsia="zh-CN"/>
                      </w:rPr>
                      <m:t>∗T</m:t>
                    </m:r>
                    <m:ctrlPr>
                      <w:rPr>
                        <w:rFonts w:ascii="Cambria Math" w:hAnsi="Cambria Math" w:cs="Times New Roman"/>
                        <w:b w:val="0"/>
                        <w:bCs w:val="0"/>
                        <w:i/>
                        <w:color w:val="auto"/>
                        <w:sz w:val="24"/>
                        <w:szCs w:val="24"/>
                        <w:lang w:val="en-US"/>
                      </w:rPr>
                    </m:ctrlPr>
                  </m:num>
                  <m:den>
                    <m:sSub>
                      <m:sSubPr>
                        <m:ctrlPr>
                          <w:rPr>
                            <w:rFonts w:ascii="Cambria Math" w:hAnsi="Cambria Math" w:cs="Times New Roman"/>
                            <w:b w:val="0"/>
                            <w:bCs w:val="0"/>
                            <w:i/>
                            <w:color w:val="auto"/>
                            <w:sz w:val="24"/>
                            <w:szCs w:val="24"/>
                            <w:lang w:val="en-US"/>
                          </w:rPr>
                        </m:ctrlPr>
                      </m:sSubPr>
                      <m:e>
                        <m:r>
                          <m:rPr/>
                          <w:rPr>
                            <w:rFonts w:hint="default" w:ascii="Cambria Math" w:hAnsi="Cambria Math" w:cs="Times New Roman"/>
                            <w:color w:val="auto"/>
                            <w:sz w:val="24"/>
                            <w:szCs w:val="24"/>
                            <w:lang w:val="en-US" w:eastAsia="zh-CN"/>
                          </w:rPr>
                          <m:t>q</m:t>
                        </m:r>
                        <m:ctrlPr>
                          <w:rPr>
                            <w:rFonts w:ascii="Cambria Math" w:hAnsi="Cambria Math" w:cs="Times New Roman"/>
                            <w:b w:val="0"/>
                            <w:bCs w:val="0"/>
                            <w:i/>
                            <w:color w:val="auto"/>
                            <w:sz w:val="24"/>
                            <w:szCs w:val="24"/>
                            <w:lang w:val="en-US"/>
                          </w:rPr>
                        </m:ctrlPr>
                      </m:e>
                      <m:sub>
                        <m:r>
                          <m:rPr/>
                          <w:rPr>
                            <w:rFonts w:hint="default" w:ascii="Cambria Math" w:hAnsi="Cambria Math" w:cs="Times New Roman"/>
                            <w:color w:val="auto"/>
                            <w:sz w:val="24"/>
                            <w:szCs w:val="24"/>
                            <w:lang w:val="en-US" w:eastAsia="zh-CN"/>
                          </w:rPr>
                          <m:t>w</m:t>
                        </m:r>
                        <m:ctrlPr>
                          <w:rPr>
                            <w:rFonts w:ascii="Cambria Math" w:hAnsi="Cambria Math" w:cs="Times New Roman"/>
                            <w:b w:val="0"/>
                            <w:bCs w:val="0"/>
                            <w:i/>
                            <w:color w:val="auto"/>
                            <w:sz w:val="24"/>
                            <w:szCs w:val="24"/>
                            <w:lang w:val="en-US"/>
                          </w:rPr>
                        </m:ctrlPr>
                      </m:sub>
                    </m:sSub>
                    <m:r>
                      <m:rPr/>
                      <w:rPr>
                        <w:rFonts w:hint="default" w:ascii="Cambria Math" w:hAnsi="Cambria Math" w:cs="Times New Roman"/>
                        <w:color w:val="auto"/>
                        <w:sz w:val="24"/>
                        <w:szCs w:val="24"/>
                        <w:lang w:val="en-US" w:eastAsia="zh-CN"/>
                      </w:rPr>
                      <m:t>∗</m:t>
                    </m:r>
                    <m:r>
                      <m:rPr/>
                      <w:rPr>
                        <w:rFonts w:hint="eastAsia" w:ascii="Cambria Math" w:hAnsi="Cambria Math" w:cs="Times New Roman"/>
                        <w:color w:val="auto"/>
                        <w:sz w:val="24"/>
                        <w:szCs w:val="24"/>
                        <w:lang w:val="en-US" w:eastAsia="zh-CN"/>
                      </w:rPr>
                      <m:t>（</m:t>
                    </m:r>
                    <m:r>
                      <m:rPr/>
                      <w:rPr>
                        <w:rFonts w:hint="default" w:ascii="Cambria Math" w:hAnsi="Cambria Math" w:cs="Times New Roman"/>
                        <w:color w:val="auto"/>
                        <w:sz w:val="24"/>
                        <w:szCs w:val="24"/>
                        <w:lang w:val="en-US" w:eastAsia="zh-CN"/>
                      </w:rPr>
                      <m:t>1−w</m:t>
                    </m:r>
                    <m:r>
                      <m:rPr/>
                      <w:rPr>
                        <w:rFonts w:hint="eastAsia" w:ascii="Cambria Math" w:hAnsi="Cambria Math" w:cs="Times New Roman"/>
                        <w:color w:val="auto"/>
                        <w:sz w:val="24"/>
                        <w:szCs w:val="24"/>
                        <w:lang w:val="en-US" w:eastAsia="zh-CN"/>
                      </w:rPr>
                      <m:t>）</m:t>
                    </m:r>
                    <m:ctrlPr>
                      <w:rPr>
                        <w:rFonts w:ascii="Cambria Math" w:hAnsi="Cambria Math" w:cs="Times New Roman"/>
                        <w:b w:val="0"/>
                        <w:bCs w:val="0"/>
                        <w:i/>
                        <w:color w:val="auto"/>
                        <w:sz w:val="24"/>
                        <w:szCs w:val="24"/>
                        <w:lang w:val="en-US"/>
                      </w:rPr>
                    </m:ctrlPr>
                  </m:den>
                </m:f>
              </m:oMath>
            </m:oMathPara>
          </w:p>
          <w:p w14:paraId="2E2CDDA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G1为水处理废活性炭产生量（kg）；</w:t>
            </w:r>
          </w:p>
          <w:p w14:paraId="7A4A96A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lang w:val="en-US" w:eastAsia="zh-CN"/>
              </w:rPr>
              <w:t>Q</w:t>
            </w:r>
            <w:r>
              <w:rPr>
                <w:rFonts w:hint="eastAsia" w:cs="Times New Roman"/>
                <w:b w:val="0"/>
                <w:bCs w:val="0"/>
                <w:color w:val="auto"/>
                <w:sz w:val="24"/>
                <w:szCs w:val="24"/>
                <w:vertAlign w:val="subscript"/>
                <w:lang w:val="en-US" w:eastAsia="zh-CN"/>
              </w:rPr>
              <w:t>W</w:t>
            </w:r>
            <w:r>
              <w:rPr>
                <w:rFonts w:hint="eastAsia" w:cs="Times New Roman"/>
                <w:b w:val="0"/>
                <w:bCs w:val="0"/>
                <w:color w:val="auto"/>
                <w:sz w:val="24"/>
                <w:szCs w:val="24"/>
                <w:vertAlign w:val="baseline"/>
                <w:lang w:val="en-US" w:eastAsia="zh-CN"/>
              </w:rPr>
              <w:t>为废水处理量（m³/d：取8）；</w:t>
            </w:r>
          </w:p>
          <w:p w14:paraId="6279F58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C</w:t>
            </w:r>
            <w:r>
              <w:rPr>
                <w:rFonts w:hint="eastAsia" w:cs="Times New Roman"/>
                <w:b w:val="0"/>
                <w:bCs w:val="0"/>
                <w:color w:val="auto"/>
                <w:sz w:val="24"/>
                <w:szCs w:val="24"/>
                <w:vertAlign w:val="subscript"/>
                <w:lang w:val="en-US" w:eastAsia="zh-CN"/>
              </w:rPr>
              <w:t>0</w:t>
            </w:r>
            <w:r>
              <w:rPr>
                <w:rFonts w:hint="eastAsia" w:cs="Times New Roman"/>
                <w:b w:val="0"/>
                <w:bCs w:val="0"/>
                <w:color w:val="auto"/>
                <w:sz w:val="24"/>
                <w:szCs w:val="24"/>
                <w:vertAlign w:val="baseline"/>
                <w:lang w:val="en-US" w:eastAsia="zh-CN"/>
              </w:rPr>
              <w:t>/C</w:t>
            </w:r>
            <w:r>
              <w:rPr>
                <w:rFonts w:hint="eastAsia" w:cs="Times New Roman"/>
                <w:b w:val="0"/>
                <w:bCs w:val="0"/>
                <w:color w:val="auto"/>
                <w:sz w:val="24"/>
                <w:szCs w:val="24"/>
                <w:vertAlign w:val="subscript"/>
                <w:lang w:val="en-US" w:eastAsia="zh-CN"/>
              </w:rPr>
              <w:t>e</w:t>
            </w:r>
            <w:r>
              <w:rPr>
                <w:rFonts w:hint="eastAsia" w:cs="Times New Roman"/>
                <w:b w:val="0"/>
                <w:bCs w:val="0"/>
                <w:color w:val="auto"/>
                <w:sz w:val="24"/>
                <w:szCs w:val="24"/>
                <w:vertAlign w:val="baseline"/>
                <w:lang w:val="en-US" w:eastAsia="zh-CN"/>
              </w:rPr>
              <w:t>为进出水 COD浓度（mg/L，取150和40）；</w:t>
            </w:r>
          </w:p>
          <w:p w14:paraId="2D18041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T为运行天数（d，取300天）；</w:t>
            </w:r>
          </w:p>
          <w:p w14:paraId="70B9181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Q</w:t>
            </w:r>
            <w:r>
              <w:rPr>
                <w:rFonts w:hint="eastAsia" w:cs="Times New Roman"/>
                <w:b w:val="0"/>
                <w:bCs w:val="0"/>
                <w:color w:val="auto"/>
                <w:sz w:val="24"/>
                <w:szCs w:val="24"/>
                <w:vertAlign w:val="subscript"/>
                <w:lang w:val="en-US" w:eastAsia="zh-CN"/>
              </w:rPr>
              <w:t>W</w:t>
            </w:r>
            <w:r>
              <w:rPr>
                <w:rFonts w:hint="eastAsia" w:cs="Times New Roman"/>
                <w:b w:val="0"/>
                <w:bCs w:val="0"/>
                <w:color w:val="auto"/>
                <w:sz w:val="24"/>
                <w:szCs w:val="24"/>
                <w:vertAlign w:val="baseline"/>
                <w:lang w:val="en-US" w:eastAsia="zh-CN"/>
              </w:rPr>
              <w:t>为废水用炭吸附容量（mg/g，取50—80mg/g）；</w:t>
            </w:r>
          </w:p>
          <w:p w14:paraId="5D10B5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w为活性炭含水率（取10%）。</w:t>
            </w:r>
          </w:p>
          <w:p w14:paraId="44A27C8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b/>
                <w:bCs/>
                <w:color w:val="auto"/>
                <w:sz w:val="24"/>
                <w:szCs w:val="24"/>
                <w:lang w:val="en-US" w:eastAsia="zh-CN"/>
              </w:rPr>
            </w:pPr>
            <w:r>
              <w:rPr>
                <w:rFonts w:hint="eastAsia" w:cs="Times New Roman"/>
                <w:b w:val="0"/>
                <w:bCs w:val="0"/>
                <w:color w:val="auto"/>
                <w:sz w:val="24"/>
                <w:szCs w:val="24"/>
                <w:vertAlign w:val="baseline"/>
                <w:lang w:val="en-US" w:eastAsia="zh-CN"/>
              </w:rPr>
              <w:t>经核算，本项目废水处理活性炭用量为3.67t/a。</w:t>
            </w:r>
          </w:p>
          <w:p w14:paraId="4D7D6C8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s="Times New Roman"/>
                <w:b/>
                <w:bCs/>
                <w:color w:val="auto"/>
                <w:sz w:val="24"/>
                <w:szCs w:val="24"/>
                <w:lang w:val="en-US" w:eastAsia="zh-CN"/>
              </w:rPr>
            </w:pPr>
            <w:r>
              <w:rPr>
                <w:rFonts w:hint="eastAsia" w:cs="Times New Roman"/>
                <w:b w:val="0"/>
                <w:bCs w:val="0"/>
                <w:color w:val="auto"/>
                <w:sz w:val="24"/>
                <w:szCs w:val="24"/>
                <w:lang w:val="en-US" w:eastAsia="zh-CN"/>
              </w:rPr>
              <w:t>即，本项目活性炭消耗量共计约为6.55t/a。</w:t>
            </w:r>
          </w:p>
          <w:p w14:paraId="22D3932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原辅料理化性质：</w:t>
            </w:r>
            <w:r>
              <w:rPr>
                <w:rFonts w:hint="default" w:ascii="Times New Roman" w:hAnsi="Times New Roman" w:cs="Times New Roman"/>
                <w:b/>
                <w:bCs/>
                <w:color w:val="auto"/>
                <w:sz w:val="24"/>
                <w:szCs w:val="24"/>
                <w:lang w:val="en-US" w:eastAsia="zh-CN"/>
              </w:rPr>
              <w:br w:type="textWrapping"/>
            </w:r>
            <w:r>
              <w:rPr>
                <w:rFonts w:hint="eastAsia"/>
                <w:color w:val="auto"/>
                <w:lang w:val="en-US" w:eastAsia="zh-CN"/>
              </w:rPr>
              <w:t xml:space="preserve">    </w:t>
            </w:r>
            <w:r>
              <w:rPr>
                <w:rFonts w:hint="default" w:ascii="Times New Roman" w:hAnsi="Times New Roman" w:eastAsia="宋体" w:cs="Times New Roman"/>
                <w:b/>
                <w:bCs/>
                <w:color w:val="auto"/>
                <w:sz w:val="24"/>
                <w:szCs w:val="24"/>
                <w:lang w:val="en-US" w:eastAsia="zh-CN"/>
              </w:rPr>
              <w:t>脱脂剂</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又称碳酰胺，是由碳、氮、氧、氢组成的有机化合物是一种白色晶体，为弱碱性，对金属无腐蚀，无臭无味。含氮量约为46.67%。密度1.335g/cm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。熔点132.7℃。溶于水、醇，难溶于乙醚、氯仿。具有清洗速度快，用量少，其用量为4%至8%，在清洗槽中加入计量的水与除油粉适当的搅拌直至完全溶解，常温状态使用</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不加热，无挥发性有机物产生。</w:t>
            </w:r>
          </w:p>
          <w:p w14:paraId="1E4F7B9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b/>
                <w:bCs/>
                <w:color w:val="auto"/>
                <w:sz w:val="24"/>
                <w:szCs w:val="24"/>
                <w:lang w:val="en-US" w:eastAsia="zh-CN"/>
              </w:rPr>
              <w:t>活性剂</w:t>
            </w:r>
            <w:r>
              <w:rPr>
                <w:rFonts w:hint="default" w:ascii="Times New Roman" w:hAnsi="Times New Roman" w:cs="Times New Roman"/>
                <w:b/>
                <w:bCs/>
                <w:color w:val="auto"/>
                <w:sz w:val="24"/>
                <w:szCs w:val="24"/>
                <w:lang w:val="en-US" w:eastAsia="zh-CN"/>
              </w:rPr>
              <w:t>：</w:t>
            </w:r>
            <w:r>
              <w:rPr>
                <w:rFonts w:hint="eastAsia" w:ascii="Times New Roman" w:hAnsi="Times New Roman" w:eastAsia="宋体" w:cs="Times New Roman"/>
                <w:color w:val="auto"/>
                <w:sz w:val="24"/>
                <w:szCs w:val="24"/>
                <w:lang w:val="en-US" w:eastAsia="zh-CN"/>
              </w:rPr>
              <w:t>表面活性剂是一类能降低液体表面张力，增强油污剥离与分散，保障工件表面洁净无残留。辅助提升脱脂液的渗透力，配合碱液等成分快速分解油脂，为后续喷塑的附着力打基础。</w:t>
            </w:r>
          </w:p>
          <w:p w14:paraId="763B23EB">
            <w:pPr>
              <w:spacing w:line="360" w:lineRule="auto"/>
              <w:ind w:firstLine="482" w:firstLineChars="200"/>
              <w:jc w:val="both"/>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塑粉</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color w:val="auto"/>
                <w:sz w:val="24"/>
                <w:szCs w:val="24"/>
                <w:lang w:val="en-US" w:eastAsia="zh-CN"/>
              </w:rPr>
              <w:t>热固性树脂，是指树脂加热后逐渐硬化成型，再受热也不软化，也不能溶解的一种树脂，是一种新型的不含溶剂的100%固体粉末状涂料，具有良好的化学稳定性，广泛应用于各种室内金属制品的涂装。该涂料不燃、不爆、无毒无害，由聚酯树脂、填料和助剂组成。本项目采用环氧</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聚酯型热固性聚酯涂料主要成分为聚酯树脂55%、固化剂4.2%、助剂1%、 填料15.8%、颜料 24%，属于低温固化型树脂，固化条件：150-180℃（工件温度）下15分钟固化，分解温度220-440℃。</w:t>
            </w:r>
          </w:p>
          <w:p w14:paraId="5B47C314">
            <w:pPr>
              <w:spacing w:line="360"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根据建设单位提供的原料</w:t>
            </w:r>
            <w:r>
              <w:rPr>
                <w:rFonts w:hint="eastAsia" w:cs="Times New Roman"/>
                <w:color w:val="auto"/>
                <w:sz w:val="24"/>
                <w:szCs w:val="24"/>
                <w:lang w:val="en-US" w:eastAsia="zh-CN"/>
              </w:rPr>
              <w:t>检测报告</w:t>
            </w:r>
            <w:r>
              <w:rPr>
                <w:rFonts w:hint="default" w:ascii="Times New Roman" w:hAnsi="Times New Roman" w:cs="Times New Roman"/>
                <w:color w:val="auto"/>
                <w:sz w:val="24"/>
                <w:szCs w:val="24"/>
                <w:lang w:val="en-US" w:eastAsia="zh-CN"/>
              </w:rPr>
              <w:t>，粉末涂料的挥发性有机物含量检测结果为未检出（检出限为9g/L）</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本项目使用原料塑粉中挥发性有机化合物（VOC）含量</w:t>
            </w:r>
            <w:r>
              <w:rPr>
                <w:rFonts w:hint="eastAsia" w:cs="Times New Roman"/>
                <w:color w:val="auto"/>
                <w:sz w:val="24"/>
                <w:szCs w:val="24"/>
                <w:lang w:val="en-US" w:eastAsia="zh-CN"/>
              </w:rPr>
              <w:t>低于9</w:t>
            </w:r>
            <w:r>
              <w:rPr>
                <w:rFonts w:hint="default" w:ascii="Times New Roman" w:hAnsi="Times New Roman" w:cs="Times New Roman"/>
                <w:color w:val="auto"/>
                <w:sz w:val="24"/>
                <w:szCs w:val="24"/>
                <w:lang w:val="en-US" w:eastAsia="zh-CN"/>
              </w:rPr>
              <w:t>g/L，满足《低挥发性有机化合物含量涂料产品技术要求》（GB/T38597-2020）表3中挥发性有机化合物（VOC）含量限量值应≤60g/L的要求（详见附件挥发性有机化合物含量检测报告）。</w:t>
            </w:r>
          </w:p>
          <w:p w14:paraId="4FD152E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硅烷：</w:t>
            </w:r>
            <w:r>
              <w:rPr>
                <w:rFonts w:hint="eastAsia" w:ascii="Times New Roman" w:hAnsi="Times New Roman" w:eastAsia="宋体" w:cs="Times New Roman"/>
                <w:color w:val="auto"/>
                <w:sz w:val="24"/>
                <w:szCs w:val="24"/>
                <w:lang w:val="en-US" w:eastAsia="zh-CN"/>
              </w:rPr>
              <w:t>常温下多为无色至淡黄色透明液体，易溶于水，也可溶于乙醇、丙酮等有机溶剂。在喷塑（粉末涂装）工艺中，硅烷主要用作前处理附着力促进剂（替代传统磷化液），核心是在脱脂后的金属表面形成一层致密、均匀的有机-无机杂化膜（固化后形成的硅烷膜厚度极薄，约50-200nm），大幅提升粉末涂层与基材的附着力、耐腐蚀性，同时简化前处理流程、降低环保压力。替代磷化传统工艺，无需高温、无需沉渣处理，仅需“脱脂—水洗—硅烷处理—水洗/烘干”，减少废水排放（硅烷液不含磷、重金属），符合环保要求。</w:t>
            </w:r>
          </w:p>
          <w:p w14:paraId="33DE20E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项目产品方案一览表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1"/>
              <w:gridCol w:w="1260"/>
              <w:gridCol w:w="1267"/>
              <w:gridCol w:w="1503"/>
              <w:gridCol w:w="1668"/>
              <w:gridCol w:w="2076"/>
            </w:tblGrid>
            <w:tr w14:paraId="333CB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4" w:type="pct"/>
                  <w:noWrap w:val="0"/>
                  <w:vAlign w:val="center"/>
                </w:tcPr>
                <w:p w14:paraId="09383B09">
                  <w:pPr>
                    <w:pStyle w:val="164"/>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506" w:type="pct"/>
                  <w:gridSpan w:val="2"/>
                  <w:noWrap w:val="0"/>
                  <w:vAlign w:val="center"/>
                </w:tcPr>
                <w:p w14:paraId="7AF4D48F">
                  <w:pPr>
                    <w:pStyle w:val="164"/>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896" w:type="pct"/>
                  <w:noWrap w:val="0"/>
                  <w:vAlign w:val="center"/>
                </w:tcPr>
                <w:p w14:paraId="1DE8BFEF">
                  <w:pPr>
                    <w:pStyle w:val="164"/>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产量</w:t>
                  </w:r>
                </w:p>
              </w:tc>
              <w:tc>
                <w:tcPr>
                  <w:tcW w:w="994" w:type="pct"/>
                  <w:noWrap w:val="0"/>
                  <w:vAlign w:val="center"/>
                </w:tcPr>
                <w:p w14:paraId="2870BDE0">
                  <w:pPr>
                    <w:pStyle w:val="164"/>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单位</w:t>
                  </w:r>
                </w:p>
              </w:tc>
              <w:tc>
                <w:tcPr>
                  <w:tcW w:w="1237" w:type="pct"/>
                  <w:noWrap w:val="0"/>
                  <w:vAlign w:val="center"/>
                </w:tcPr>
                <w:p w14:paraId="43D56E55">
                  <w:pPr>
                    <w:pStyle w:val="164"/>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4D3C6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4" w:type="pct"/>
                  <w:noWrap w:val="0"/>
                  <w:vAlign w:val="center"/>
                </w:tcPr>
                <w:p w14:paraId="12708BEA">
                  <w:pPr>
                    <w:pStyle w:val="164"/>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51" w:type="pct"/>
                  <w:vMerge w:val="restart"/>
                  <w:noWrap w:val="0"/>
                  <w:vAlign w:val="center"/>
                </w:tcPr>
                <w:p w14:paraId="63C81614">
                  <w:pPr>
                    <w:pStyle w:val="164"/>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电力配件</w:t>
                  </w:r>
                </w:p>
                <w:p w14:paraId="470EBD68">
                  <w:pPr>
                    <w:pStyle w:val="164"/>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（零部件）</w:t>
                  </w:r>
                </w:p>
              </w:tc>
              <w:tc>
                <w:tcPr>
                  <w:tcW w:w="755" w:type="pct"/>
                  <w:noWrap w:val="0"/>
                  <w:vAlign w:val="center"/>
                </w:tcPr>
                <w:p w14:paraId="6C8DF756">
                  <w:pPr>
                    <w:pStyle w:val="164"/>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板</w:t>
                  </w:r>
                </w:p>
              </w:tc>
              <w:tc>
                <w:tcPr>
                  <w:tcW w:w="896" w:type="pct"/>
                  <w:noWrap w:val="0"/>
                  <w:vAlign w:val="center"/>
                </w:tcPr>
                <w:p w14:paraId="4991DEAC">
                  <w:pPr>
                    <w:pStyle w:val="164"/>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302.474</w:t>
                  </w:r>
                </w:p>
              </w:tc>
              <w:tc>
                <w:tcPr>
                  <w:tcW w:w="994" w:type="pct"/>
                  <w:vMerge w:val="restart"/>
                  <w:noWrap w:val="0"/>
                  <w:vAlign w:val="center"/>
                </w:tcPr>
                <w:p w14:paraId="368899A8">
                  <w:pPr>
                    <w:pStyle w:val="164"/>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t/a</w:t>
                  </w:r>
                </w:p>
              </w:tc>
              <w:tc>
                <w:tcPr>
                  <w:tcW w:w="1237" w:type="pct"/>
                  <w:noWrap w:val="0"/>
                  <w:vAlign w:val="center"/>
                </w:tcPr>
                <w:p w14:paraId="1198AE93">
                  <w:pPr>
                    <w:pStyle w:val="164"/>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产品重量：</w:t>
                  </w:r>
                </w:p>
                <w:p w14:paraId="4CECB625">
                  <w:pPr>
                    <w:pStyle w:val="164"/>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lang w:val="en-US" w:eastAsia="zh-CN"/>
                    </w:rPr>
                    <w:t>g</w:t>
                  </w: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50g</w:t>
                  </w:r>
                </w:p>
              </w:tc>
            </w:tr>
            <w:tr w14:paraId="768C3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4" w:type="pct"/>
                  <w:noWrap w:val="0"/>
                  <w:vAlign w:val="center"/>
                </w:tcPr>
                <w:p w14:paraId="561B0C2F">
                  <w:pPr>
                    <w:pStyle w:val="164"/>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751" w:type="pct"/>
                  <w:vMerge w:val="continue"/>
                  <w:noWrap w:val="0"/>
                  <w:vAlign w:val="center"/>
                </w:tcPr>
                <w:p w14:paraId="771C9011">
                  <w:pPr>
                    <w:pStyle w:val="164"/>
                    <w:rPr>
                      <w:rFonts w:hint="default" w:ascii="Times New Roman" w:hAnsi="Times New Roman" w:eastAsia="宋体" w:cs="Times New Roman"/>
                      <w:color w:val="auto"/>
                      <w:szCs w:val="21"/>
                      <w:lang w:val="en-US" w:eastAsia="zh-CN"/>
                    </w:rPr>
                  </w:pPr>
                </w:p>
              </w:tc>
              <w:tc>
                <w:tcPr>
                  <w:tcW w:w="755" w:type="pct"/>
                  <w:noWrap w:val="0"/>
                  <w:vAlign w:val="center"/>
                </w:tcPr>
                <w:p w14:paraId="47D45F5A">
                  <w:pPr>
                    <w:pStyle w:val="164"/>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弯板</w:t>
                  </w:r>
                </w:p>
              </w:tc>
              <w:tc>
                <w:tcPr>
                  <w:tcW w:w="896" w:type="pct"/>
                  <w:noWrap w:val="0"/>
                  <w:vAlign w:val="center"/>
                </w:tcPr>
                <w:p w14:paraId="3F9EBDDF">
                  <w:pPr>
                    <w:pStyle w:val="164"/>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302.474</w:t>
                  </w:r>
                </w:p>
              </w:tc>
              <w:tc>
                <w:tcPr>
                  <w:tcW w:w="994" w:type="pct"/>
                  <w:vMerge w:val="continue"/>
                  <w:noWrap w:val="0"/>
                  <w:vAlign w:val="center"/>
                </w:tcPr>
                <w:p w14:paraId="0B342A50">
                  <w:pPr>
                    <w:pStyle w:val="164"/>
                    <w:rPr>
                      <w:rFonts w:hint="default" w:ascii="Times New Roman" w:hAnsi="Times New Roman" w:eastAsia="宋体" w:cs="Times New Roman"/>
                      <w:color w:val="auto"/>
                      <w:szCs w:val="21"/>
                      <w:lang w:val="en-US" w:eastAsia="zh-CN"/>
                    </w:rPr>
                  </w:pPr>
                </w:p>
              </w:tc>
              <w:tc>
                <w:tcPr>
                  <w:tcW w:w="1237" w:type="pct"/>
                  <w:noWrap w:val="0"/>
                  <w:vAlign w:val="center"/>
                </w:tcPr>
                <w:p w14:paraId="51E6C9DF">
                  <w:pPr>
                    <w:pStyle w:val="164"/>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160</w:t>
                  </w:r>
                  <w:r>
                    <w:rPr>
                      <w:rFonts w:hint="default" w:ascii="Times New Roman" w:hAnsi="Times New Roman" w:eastAsia="宋体" w:cs="Times New Roman"/>
                      <w:color w:val="auto"/>
                      <w:szCs w:val="21"/>
                      <w:lang w:val="en-US" w:eastAsia="zh-CN"/>
                    </w:rPr>
                    <w:t>g</w:t>
                  </w:r>
                  <w:r>
                    <w:rPr>
                      <w:rFonts w:hint="eastAsia" w:ascii="Times New Roman" w:hAnsi="Times New Roman" w:eastAsia="宋体" w:cs="Times New Roman"/>
                      <w:color w:val="auto"/>
                      <w:szCs w:val="21"/>
                      <w:lang w:val="en-US" w:eastAsia="zh-CN"/>
                    </w:rPr>
                    <w:t>—250g</w:t>
                  </w:r>
                </w:p>
              </w:tc>
            </w:tr>
            <w:tr w14:paraId="3BA9C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4" w:type="pct"/>
                  <w:noWrap w:val="0"/>
                  <w:vAlign w:val="center"/>
                </w:tcPr>
                <w:p w14:paraId="71A4F83D">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751" w:type="pct"/>
                  <w:vMerge w:val="continue"/>
                  <w:noWrap w:val="0"/>
                  <w:vAlign w:val="center"/>
                </w:tcPr>
                <w:p w14:paraId="4A9D44BB">
                  <w:pPr>
                    <w:pStyle w:val="164"/>
                    <w:rPr>
                      <w:rFonts w:hint="default" w:ascii="Times New Roman" w:hAnsi="Times New Roman" w:eastAsia="宋体" w:cs="Times New Roman"/>
                      <w:color w:val="auto"/>
                      <w:szCs w:val="21"/>
                      <w:lang w:val="en-US" w:eastAsia="zh-CN"/>
                    </w:rPr>
                  </w:pPr>
                </w:p>
              </w:tc>
              <w:tc>
                <w:tcPr>
                  <w:tcW w:w="755" w:type="pct"/>
                  <w:noWrap w:val="0"/>
                  <w:vAlign w:val="center"/>
                </w:tcPr>
                <w:p w14:paraId="312D36B5">
                  <w:pPr>
                    <w:pStyle w:val="164"/>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结构件</w:t>
                  </w:r>
                </w:p>
              </w:tc>
              <w:tc>
                <w:tcPr>
                  <w:tcW w:w="896" w:type="pct"/>
                  <w:noWrap w:val="0"/>
                  <w:vAlign w:val="center"/>
                </w:tcPr>
                <w:p w14:paraId="36164A5A">
                  <w:pPr>
                    <w:pStyle w:val="164"/>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201.65</w:t>
                  </w:r>
                </w:p>
              </w:tc>
              <w:tc>
                <w:tcPr>
                  <w:tcW w:w="994" w:type="pct"/>
                  <w:vMerge w:val="continue"/>
                  <w:noWrap w:val="0"/>
                  <w:vAlign w:val="center"/>
                </w:tcPr>
                <w:p w14:paraId="0A23E224">
                  <w:pPr>
                    <w:pStyle w:val="164"/>
                    <w:rPr>
                      <w:rFonts w:hint="default" w:ascii="Times New Roman" w:hAnsi="Times New Roman" w:eastAsia="宋体" w:cs="Times New Roman"/>
                      <w:color w:val="auto"/>
                      <w:szCs w:val="21"/>
                      <w:lang w:val="en-US" w:eastAsia="zh-CN"/>
                    </w:rPr>
                  </w:pPr>
                </w:p>
              </w:tc>
              <w:tc>
                <w:tcPr>
                  <w:tcW w:w="1237" w:type="pct"/>
                  <w:noWrap w:val="0"/>
                  <w:vAlign w:val="center"/>
                </w:tcPr>
                <w:p w14:paraId="201FB324">
                  <w:pPr>
                    <w:pStyle w:val="164"/>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3kg—20kg</w:t>
                  </w:r>
                </w:p>
              </w:tc>
            </w:tr>
          </w:tbl>
          <w:p w14:paraId="037CA8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项目生产环节物料平衡表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956"/>
              <w:gridCol w:w="1288"/>
              <w:gridCol w:w="1032"/>
              <w:gridCol w:w="1952"/>
              <w:gridCol w:w="1565"/>
            </w:tblGrid>
            <w:tr w14:paraId="611A7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7" w:type="pct"/>
                  <w:gridSpan w:val="3"/>
                  <w:tcBorders>
                    <w:tl2br w:val="nil"/>
                    <w:tr2bl w:val="nil"/>
                  </w:tcBorders>
                  <w:noWrap w:val="0"/>
                  <w:vAlign w:val="center"/>
                </w:tcPr>
                <w:p w14:paraId="1ECB5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投入</w:t>
                  </w:r>
                  <w:r>
                    <w:rPr>
                      <w:rFonts w:hint="default" w:ascii="Times New Roman" w:hAnsi="Times New Roman" w:eastAsia="宋体" w:cs="Times New Roman"/>
                      <w:b/>
                      <w:bCs/>
                      <w:color w:val="auto"/>
                      <w:sz w:val="21"/>
                      <w:szCs w:val="21"/>
                      <w:highlight w:val="none"/>
                      <w:lang w:val="en-US" w:eastAsia="zh-CN"/>
                    </w:rPr>
                    <w:t>（单位：t/a）</w:t>
                  </w:r>
                </w:p>
              </w:tc>
              <w:tc>
                <w:tcPr>
                  <w:tcW w:w="2712" w:type="pct"/>
                  <w:gridSpan w:val="3"/>
                  <w:tcBorders>
                    <w:tl2br w:val="nil"/>
                    <w:tr2bl w:val="nil"/>
                  </w:tcBorders>
                  <w:noWrap w:val="0"/>
                  <w:vAlign w:val="center"/>
                </w:tcPr>
                <w:p w14:paraId="511B2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产出</w:t>
                  </w:r>
                  <w:r>
                    <w:rPr>
                      <w:rFonts w:hint="default" w:ascii="Times New Roman" w:hAnsi="Times New Roman" w:eastAsia="宋体" w:cs="Times New Roman"/>
                      <w:b/>
                      <w:bCs/>
                      <w:color w:val="auto"/>
                      <w:sz w:val="21"/>
                      <w:szCs w:val="21"/>
                      <w:highlight w:val="none"/>
                      <w:lang w:val="en-US" w:eastAsia="zh-CN"/>
                    </w:rPr>
                    <w:t>（单位：t/a）</w:t>
                  </w:r>
                </w:p>
              </w:tc>
            </w:tr>
            <w:tr w14:paraId="05FE7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398512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66" w:type="pct"/>
                  <w:tcBorders>
                    <w:tl2br w:val="nil"/>
                    <w:tr2bl w:val="nil"/>
                  </w:tcBorders>
                  <w:noWrap w:val="0"/>
                  <w:vAlign w:val="center"/>
                </w:tcPr>
                <w:p w14:paraId="1D2D7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钢板</w:t>
                  </w:r>
                </w:p>
              </w:tc>
              <w:tc>
                <w:tcPr>
                  <w:tcW w:w="768" w:type="pct"/>
                  <w:tcBorders>
                    <w:tl2br w:val="nil"/>
                    <w:tr2bl w:val="nil"/>
                  </w:tcBorders>
                  <w:noWrap w:val="0"/>
                  <w:vAlign w:val="center"/>
                </w:tcPr>
                <w:p w14:paraId="13DEC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800</w:t>
                  </w:r>
                </w:p>
              </w:tc>
              <w:tc>
                <w:tcPr>
                  <w:tcW w:w="615" w:type="pct"/>
                  <w:tcBorders>
                    <w:tl2br w:val="nil"/>
                    <w:tr2bl w:val="nil"/>
                  </w:tcBorders>
                  <w:noWrap w:val="0"/>
                  <w:vAlign w:val="center"/>
                </w:tcPr>
                <w:p w14:paraId="2BF50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63" w:type="pct"/>
                  <w:tcBorders>
                    <w:tl2br w:val="nil"/>
                    <w:tr2bl w:val="nil"/>
                  </w:tcBorders>
                  <w:noWrap w:val="0"/>
                  <w:vAlign w:val="center"/>
                </w:tcPr>
                <w:p w14:paraId="31235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废边角料、金属屑</w:t>
                  </w:r>
                </w:p>
              </w:tc>
              <w:tc>
                <w:tcPr>
                  <w:tcW w:w="933" w:type="pct"/>
                  <w:tcBorders>
                    <w:tl2br w:val="nil"/>
                    <w:tr2bl w:val="nil"/>
                  </w:tcBorders>
                  <w:noWrap w:val="0"/>
                  <w:vAlign w:val="center"/>
                </w:tcPr>
                <w:p w14:paraId="0B3BD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0.802</w:t>
                  </w:r>
                </w:p>
              </w:tc>
            </w:tr>
            <w:tr w14:paraId="14D7C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51AD95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166" w:type="pct"/>
                  <w:tcBorders>
                    <w:tl2br w:val="nil"/>
                    <w:tr2bl w:val="nil"/>
                  </w:tcBorders>
                  <w:noWrap w:val="0"/>
                  <w:vAlign w:val="center"/>
                </w:tcPr>
                <w:p w14:paraId="04369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铝板</w:t>
                  </w:r>
                </w:p>
              </w:tc>
              <w:tc>
                <w:tcPr>
                  <w:tcW w:w="768" w:type="pct"/>
                  <w:tcBorders>
                    <w:tl2br w:val="nil"/>
                    <w:tr2bl w:val="nil"/>
                  </w:tcBorders>
                  <w:noWrap w:val="0"/>
                  <w:vAlign w:val="center"/>
                </w:tcPr>
                <w:p w14:paraId="344784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15" w:type="pct"/>
                  <w:tcBorders>
                    <w:tl2br w:val="nil"/>
                    <w:tr2bl w:val="nil"/>
                  </w:tcBorders>
                  <w:noWrap w:val="0"/>
                  <w:vAlign w:val="center"/>
                </w:tcPr>
                <w:p w14:paraId="1AE29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163" w:type="pct"/>
                  <w:tcBorders>
                    <w:tl2br w:val="nil"/>
                    <w:tr2bl w:val="nil"/>
                  </w:tcBorders>
                  <w:shd w:val="clear" w:color="auto" w:fill="auto"/>
                  <w:noWrap w:val="0"/>
                  <w:vAlign w:val="center"/>
                </w:tcPr>
                <w:p w14:paraId="6A776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粉尘产量</w:t>
                  </w:r>
                </w:p>
              </w:tc>
              <w:tc>
                <w:tcPr>
                  <w:tcW w:w="933" w:type="pct"/>
                  <w:tcBorders>
                    <w:tl2br w:val="nil"/>
                    <w:tr2bl w:val="nil"/>
                  </w:tcBorders>
                  <w:shd w:val="clear" w:color="auto" w:fill="auto"/>
                  <w:noWrap w:val="0"/>
                  <w:vAlign w:val="center"/>
                </w:tcPr>
                <w:p w14:paraId="585D7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2.11</w:t>
                  </w:r>
                </w:p>
              </w:tc>
            </w:tr>
            <w:tr w14:paraId="06635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598D7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166" w:type="pct"/>
                  <w:tcBorders>
                    <w:tl2br w:val="nil"/>
                    <w:tr2bl w:val="nil"/>
                  </w:tcBorders>
                  <w:noWrap w:val="0"/>
                  <w:vAlign w:val="center"/>
                </w:tcPr>
                <w:p w14:paraId="433F1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塑粉</w:t>
                  </w:r>
                </w:p>
              </w:tc>
              <w:tc>
                <w:tcPr>
                  <w:tcW w:w="768" w:type="pct"/>
                  <w:tcBorders>
                    <w:tl2br w:val="nil"/>
                    <w:tr2bl w:val="nil"/>
                  </w:tcBorders>
                  <w:noWrap w:val="0"/>
                  <w:vAlign w:val="center"/>
                </w:tcPr>
                <w:p w14:paraId="6F4B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615" w:type="pct"/>
                  <w:tcBorders>
                    <w:tl2br w:val="nil"/>
                    <w:tr2bl w:val="nil"/>
                  </w:tcBorders>
                  <w:noWrap w:val="0"/>
                  <w:vAlign w:val="center"/>
                </w:tcPr>
                <w:p w14:paraId="2768C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163" w:type="pct"/>
                  <w:tcBorders>
                    <w:tl2br w:val="nil"/>
                    <w:tr2bl w:val="nil"/>
                  </w:tcBorders>
                  <w:noWrap w:val="0"/>
                  <w:vAlign w:val="center"/>
                </w:tcPr>
                <w:p w14:paraId="1F51E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废粉</w:t>
                  </w:r>
                </w:p>
              </w:tc>
              <w:tc>
                <w:tcPr>
                  <w:tcW w:w="933" w:type="pct"/>
                  <w:tcBorders>
                    <w:tl2br w:val="nil"/>
                    <w:tr2bl w:val="nil"/>
                  </w:tcBorders>
                  <w:noWrap w:val="0"/>
                  <w:vAlign w:val="center"/>
                </w:tcPr>
                <w:p w14:paraId="6483C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0.12</w:t>
                  </w:r>
                </w:p>
              </w:tc>
            </w:tr>
            <w:tr w14:paraId="77778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26C94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166" w:type="pct"/>
                  <w:tcBorders>
                    <w:tl2br w:val="nil"/>
                    <w:tr2bl w:val="nil"/>
                  </w:tcBorders>
                  <w:noWrap w:val="0"/>
                  <w:vAlign w:val="center"/>
                </w:tcPr>
                <w:p w14:paraId="51F09F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68" w:type="pct"/>
                  <w:tcBorders>
                    <w:tl2br w:val="nil"/>
                    <w:tr2bl w:val="nil"/>
                  </w:tcBorders>
                  <w:noWrap w:val="0"/>
                  <w:vAlign w:val="center"/>
                </w:tcPr>
                <w:p w14:paraId="7C07E0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15" w:type="pct"/>
                  <w:tcBorders>
                    <w:tl2br w:val="nil"/>
                    <w:tr2bl w:val="nil"/>
                  </w:tcBorders>
                  <w:noWrap w:val="0"/>
                  <w:vAlign w:val="center"/>
                </w:tcPr>
                <w:p w14:paraId="66A23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163" w:type="pct"/>
                  <w:tcBorders>
                    <w:tl2br w:val="nil"/>
                    <w:tr2bl w:val="nil"/>
                  </w:tcBorders>
                  <w:shd w:val="clear" w:color="auto" w:fill="auto"/>
                  <w:noWrap w:val="0"/>
                  <w:vAlign w:val="center"/>
                </w:tcPr>
                <w:p w14:paraId="450ED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挥发性有机物</w:t>
                  </w:r>
                </w:p>
              </w:tc>
              <w:tc>
                <w:tcPr>
                  <w:tcW w:w="933" w:type="pct"/>
                  <w:tcBorders>
                    <w:tl2br w:val="nil"/>
                    <w:tr2bl w:val="nil"/>
                  </w:tcBorders>
                  <w:shd w:val="clear" w:color="auto" w:fill="auto"/>
                  <w:noWrap w:val="0"/>
                  <w:vAlign w:val="center"/>
                </w:tcPr>
                <w:p w14:paraId="2DE6CA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0.37</w:t>
                  </w:r>
                </w:p>
              </w:tc>
            </w:tr>
            <w:tr w14:paraId="1B836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l2br w:val="nil"/>
                    <w:tr2bl w:val="nil"/>
                  </w:tcBorders>
                  <w:noWrap w:val="0"/>
                  <w:vAlign w:val="center"/>
                </w:tcPr>
                <w:p w14:paraId="48BD1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166" w:type="pct"/>
                  <w:tcBorders>
                    <w:tl2br w:val="nil"/>
                    <w:tr2bl w:val="nil"/>
                  </w:tcBorders>
                  <w:noWrap w:val="0"/>
                  <w:vAlign w:val="center"/>
                </w:tcPr>
                <w:p w14:paraId="210AE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768" w:type="pct"/>
                  <w:tcBorders>
                    <w:tl2br w:val="nil"/>
                    <w:tr2bl w:val="nil"/>
                  </w:tcBorders>
                  <w:noWrap w:val="0"/>
                  <w:vAlign w:val="center"/>
                </w:tcPr>
                <w:p w14:paraId="03806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15" w:type="pct"/>
                  <w:tcBorders>
                    <w:tl2br w:val="nil"/>
                    <w:tr2bl w:val="nil"/>
                  </w:tcBorders>
                  <w:noWrap w:val="0"/>
                  <w:vAlign w:val="center"/>
                </w:tcPr>
                <w:p w14:paraId="35D6E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163" w:type="pct"/>
                  <w:tcBorders>
                    <w:tl2br w:val="nil"/>
                    <w:tr2bl w:val="nil"/>
                  </w:tcBorders>
                  <w:noWrap w:val="0"/>
                  <w:vAlign w:val="center"/>
                </w:tcPr>
                <w:p w14:paraId="060D23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w:t>
                  </w:r>
                </w:p>
              </w:tc>
              <w:tc>
                <w:tcPr>
                  <w:tcW w:w="933" w:type="pct"/>
                  <w:tcBorders>
                    <w:tl2br w:val="nil"/>
                    <w:tr2bl w:val="nil"/>
                  </w:tcBorders>
                  <w:noWrap w:val="0"/>
                  <w:vAlign w:val="center"/>
                </w:tcPr>
                <w:p w14:paraId="2CC30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806.598</w:t>
                  </w:r>
                </w:p>
              </w:tc>
            </w:tr>
            <w:tr w14:paraId="791CE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9" w:type="pct"/>
                  <w:gridSpan w:val="2"/>
                  <w:tcBorders>
                    <w:tl2br w:val="nil"/>
                    <w:tr2bl w:val="nil"/>
                  </w:tcBorders>
                  <w:noWrap w:val="0"/>
                  <w:vAlign w:val="center"/>
                </w:tcPr>
                <w:p w14:paraId="15366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768" w:type="pct"/>
                  <w:tcBorders>
                    <w:tl2br w:val="nil"/>
                    <w:tr2bl w:val="nil"/>
                  </w:tcBorders>
                  <w:noWrap w:val="0"/>
                  <w:vAlign w:val="center"/>
                </w:tcPr>
                <w:p w14:paraId="5F7E9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810</w:t>
                  </w:r>
                </w:p>
              </w:tc>
              <w:tc>
                <w:tcPr>
                  <w:tcW w:w="1779" w:type="pct"/>
                  <w:gridSpan w:val="2"/>
                  <w:tcBorders>
                    <w:tl2br w:val="nil"/>
                    <w:tr2bl w:val="nil"/>
                  </w:tcBorders>
                  <w:noWrap w:val="0"/>
                  <w:vAlign w:val="center"/>
                </w:tcPr>
                <w:p w14:paraId="54A4D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933" w:type="pct"/>
                  <w:tcBorders>
                    <w:tl2br w:val="nil"/>
                    <w:tr2bl w:val="nil"/>
                  </w:tcBorders>
                  <w:noWrap w:val="0"/>
                  <w:vAlign w:val="center"/>
                </w:tcPr>
                <w:p w14:paraId="69AD6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810</w:t>
                  </w:r>
                </w:p>
              </w:tc>
            </w:tr>
          </w:tbl>
          <w:p w14:paraId="023F7BA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lang w:val="en-US" w:eastAsia="zh-CN"/>
              </w:rPr>
              <w:t>水平衡分析</w:t>
            </w:r>
          </w:p>
          <w:p w14:paraId="56D061C4">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（1）供水</w:t>
            </w:r>
          </w:p>
          <w:p w14:paraId="619A3D0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项目区供水由供水管网供给，本项目</w:t>
            </w:r>
            <w:r>
              <w:rPr>
                <w:rFonts w:hint="eastAsia" w:ascii="Times New Roman" w:hAnsi="Times New Roman" w:cs="Times New Roman"/>
                <w:color w:val="auto"/>
                <w:sz w:val="24"/>
                <w:lang w:val="en-US" w:eastAsia="zh-CN"/>
              </w:rPr>
              <w:t>不新增劳动定员，无生活用水，生产</w:t>
            </w:r>
            <w:r>
              <w:rPr>
                <w:rFonts w:hint="default" w:ascii="Times New Roman" w:hAnsi="Times New Roman" w:cs="Times New Roman"/>
                <w:color w:val="auto"/>
                <w:sz w:val="24"/>
              </w:rPr>
              <w:t>用水主要为</w:t>
            </w:r>
            <w:r>
              <w:rPr>
                <w:rFonts w:hint="eastAsia" w:ascii="Times New Roman" w:hAnsi="Times New Roman" w:cs="Times New Roman"/>
                <w:color w:val="auto"/>
                <w:sz w:val="24"/>
                <w:lang w:val="en-US" w:eastAsia="zh-CN"/>
              </w:rPr>
              <w:t>喷塑生产线清洗用水</w:t>
            </w:r>
            <w:r>
              <w:rPr>
                <w:rFonts w:hint="default" w:ascii="Times New Roman" w:hAnsi="Times New Roman" w:cs="Times New Roman"/>
                <w:color w:val="auto"/>
                <w:sz w:val="24"/>
              </w:rPr>
              <w:t>。</w:t>
            </w:r>
          </w:p>
          <w:p w14:paraId="1D71A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喷塑生产线清洗用水</w:t>
            </w:r>
          </w:p>
          <w:p w14:paraId="2C32F1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项目喷塑生产线清洗工序共设6个水槽，1-6号槽体积分别为3.1m³、6.1m³、2.4m³、2.4m³、3.5m³、2.4m³，体积共计19.9m³，开始注入水量占槽体积的</w:t>
            </w:r>
            <w:r>
              <w:rPr>
                <w:rFonts w:hint="eastAsia" w:cs="Times New Roman"/>
                <w:color w:val="auto"/>
                <w:sz w:val="24"/>
                <w:lang w:val="en-US" w:eastAsia="zh-CN"/>
              </w:rPr>
              <w:t>8</w:t>
            </w:r>
            <w:r>
              <w:rPr>
                <w:rFonts w:hint="eastAsia" w:ascii="Times New Roman" w:hAnsi="Times New Roman" w:cs="Times New Roman"/>
                <w:color w:val="auto"/>
                <w:sz w:val="24"/>
                <w:lang w:val="en-US" w:eastAsia="zh-CN"/>
              </w:rPr>
              <w:t>0%，即共需注入</w:t>
            </w:r>
            <w:r>
              <w:rPr>
                <w:rFonts w:hint="eastAsia" w:cs="Times New Roman"/>
                <w:color w:val="auto"/>
                <w:sz w:val="24"/>
                <w:lang w:val="en-US" w:eastAsia="zh-CN"/>
              </w:rPr>
              <w:t>新鲜</w:t>
            </w:r>
            <w:r>
              <w:rPr>
                <w:rFonts w:hint="eastAsia" w:ascii="Times New Roman" w:hAnsi="Times New Roman" w:cs="Times New Roman"/>
                <w:color w:val="auto"/>
                <w:sz w:val="24"/>
                <w:lang w:val="en-US" w:eastAsia="zh-CN"/>
              </w:rPr>
              <w:t>水量为</w:t>
            </w:r>
            <w:r>
              <w:rPr>
                <w:rFonts w:hint="eastAsia" w:cs="Times New Roman"/>
                <w:color w:val="auto"/>
                <w:sz w:val="24"/>
                <w:lang w:val="en-US" w:eastAsia="zh-CN"/>
              </w:rPr>
              <w:t>15.92</w:t>
            </w:r>
            <w:r>
              <w:rPr>
                <w:rFonts w:hint="eastAsia" w:ascii="Times New Roman" w:hAnsi="Times New Roman" w:cs="Times New Roman"/>
                <w:color w:val="auto"/>
                <w:sz w:val="24"/>
                <w:lang w:val="en-US" w:eastAsia="zh-CN"/>
              </w:rPr>
              <w:t>m³，每天</w:t>
            </w:r>
            <w:r>
              <w:rPr>
                <w:rFonts w:hint="eastAsia" w:cs="Times New Roman"/>
                <w:color w:val="auto"/>
                <w:sz w:val="24"/>
                <w:lang w:val="en-US" w:eastAsia="zh-CN"/>
              </w:rPr>
              <w:t>工件清洗过程会</w:t>
            </w:r>
            <w:r>
              <w:rPr>
                <w:rFonts w:hint="eastAsia" w:ascii="Times New Roman" w:hAnsi="Times New Roman" w:cs="Times New Roman"/>
                <w:color w:val="auto"/>
                <w:sz w:val="24"/>
                <w:lang w:val="en-US" w:eastAsia="zh-CN"/>
              </w:rPr>
              <w:t>损耗</w:t>
            </w:r>
            <w:r>
              <w:rPr>
                <w:rFonts w:hint="eastAsia" w:cs="Times New Roman"/>
                <w:color w:val="auto"/>
                <w:sz w:val="24"/>
                <w:lang w:val="en-US" w:eastAsia="zh-CN"/>
              </w:rPr>
              <w:t>1</w:t>
            </w:r>
            <w:r>
              <w:rPr>
                <w:rFonts w:hint="eastAsia" w:ascii="Times New Roman" w:hAnsi="Times New Roman" w:cs="Times New Roman"/>
                <w:color w:val="auto"/>
                <w:sz w:val="24"/>
                <w:lang w:val="en-US" w:eastAsia="zh-CN"/>
              </w:rPr>
              <w:t>5%，</w:t>
            </w:r>
            <w:r>
              <w:rPr>
                <w:rFonts w:hint="eastAsia" w:cs="Times New Roman"/>
                <w:color w:val="auto"/>
                <w:sz w:val="24"/>
                <w:lang w:val="en-US" w:eastAsia="zh-CN"/>
              </w:rPr>
              <w:t>约为2.39m³，需每天补充。同时为防止3号和4号槽液碱性过高设置溢流口，每天需对其槽内补充新鲜水约为1m³（即溢流水量亦为1m³）。</w:t>
            </w:r>
            <w:r>
              <w:rPr>
                <w:rFonts w:hint="eastAsia" w:ascii="Times New Roman" w:hAnsi="Times New Roman" w:cs="Times New Roman"/>
                <w:color w:val="auto"/>
                <w:sz w:val="24"/>
                <w:lang w:val="en-US" w:eastAsia="zh-CN"/>
              </w:rPr>
              <w:t>补充新鲜</w:t>
            </w:r>
            <w:r>
              <w:rPr>
                <w:rFonts w:hint="eastAsia" w:cs="Times New Roman"/>
                <w:color w:val="auto"/>
                <w:sz w:val="24"/>
                <w:lang w:val="en-US" w:eastAsia="zh-CN"/>
              </w:rPr>
              <w:t>水量共计为3.39</w:t>
            </w:r>
            <w:r>
              <w:rPr>
                <w:rFonts w:hint="eastAsia" w:ascii="Times New Roman" w:hAnsi="Times New Roman" w:cs="Times New Roman"/>
                <w:color w:val="auto"/>
                <w:sz w:val="24"/>
                <w:lang w:val="en-US" w:eastAsia="zh-CN"/>
              </w:rPr>
              <w:t>m³</w:t>
            </w:r>
            <w:r>
              <w:rPr>
                <w:rFonts w:hint="eastAsia" w:cs="Times New Roman"/>
                <w:color w:val="auto"/>
                <w:sz w:val="24"/>
                <w:lang w:val="en-US" w:eastAsia="zh-CN"/>
              </w:rPr>
              <w:t>/d（1017m³/a）</w:t>
            </w:r>
            <w:r>
              <w:rPr>
                <w:rFonts w:hint="eastAsia" w:ascii="Times New Roman" w:hAnsi="Times New Roman" w:cs="Times New Roman"/>
                <w:color w:val="auto"/>
                <w:sz w:val="24"/>
                <w:lang w:val="en-US" w:eastAsia="zh-CN"/>
              </w:rPr>
              <w:t>。</w:t>
            </w:r>
          </w:p>
          <w:p w14:paraId="6FE926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（2）排水</w:t>
            </w:r>
          </w:p>
          <w:p w14:paraId="7B5685D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每月对清洗废水（槽液）进行交替清理，排入污水处理设施内进行处理</w:t>
            </w:r>
            <w:r>
              <w:rPr>
                <w:rFonts w:hint="eastAsia" w:ascii="Times New Roman" w:hAnsi="Times New Roman" w:cs="Times New Roman"/>
                <w:color w:val="auto"/>
                <w:sz w:val="24"/>
                <w:lang w:val="en-US" w:eastAsia="zh-CN"/>
              </w:rPr>
              <w:t>后</w:t>
            </w:r>
            <w:r>
              <w:rPr>
                <w:rFonts w:hint="eastAsia" w:cs="Times New Roman"/>
                <w:color w:val="auto"/>
                <w:sz w:val="24"/>
                <w:lang w:val="en-US" w:eastAsia="zh-CN"/>
              </w:rPr>
              <w:t>循环</w:t>
            </w:r>
            <w:r>
              <w:rPr>
                <w:rFonts w:hint="eastAsia" w:ascii="Times New Roman" w:hAnsi="Times New Roman" w:cs="Times New Roman"/>
                <w:color w:val="auto"/>
                <w:sz w:val="24"/>
                <w:lang w:val="en-US" w:eastAsia="zh-CN"/>
              </w:rPr>
              <w:t>使用，</w:t>
            </w:r>
            <w:r>
              <w:rPr>
                <w:rFonts w:hint="eastAsia" w:cs="Times New Roman"/>
                <w:color w:val="auto"/>
                <w:sz w:val="24"/>
                <w:lang w:val="en-US" w:eastAsia="zh-CN"/>
              </w:rPr>
              <w:t>每月需处理的清洗废水（槽液）约为13.53 m³（162.36m³/a）。3号和4号每天的槽液溢流水量为1m³/d（300m³/a），故本项目每年需经污水处理设施处理的废水量共计462.36m³。</w:t>
            </w:r>
          </w:p>
          <w:p w14:paraId="37B3AE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项目排水实行雨污分流</w:t>
            </w:r>
            <w:r>
              <w:rPr>
                <w:rFonts w:hint="default" w:ascii="Times New Roman" w:hAnsi="Times New Roman" w:cs="Times New Roman"/>
                <w:color w:val="auto"/>
                <w:sz w:val="24"/>
                <w:lang w:val="zh-CN"/>
              </w:rPr>
              <w:t>制。雨水经厂区雨水管道排入市政雨水管网；</w:t>
            </w:r>
            <w:r>
              <w:rPr>
                <w:rFonts w:hint="eastAsia" w:ascii="Times New Roman" w:hAnsi="Times New Roman" w:cs="Times New Roman"/>
                <w:color w:val="auto"/>
                <w:sz w:val="24"/>
                <w:lang w:val="en-US" w:eastAsia="zh-CN"/>
              </w:rPr>
              <w:t>喷塑生产线清洗水经污水处理设施处理后</w:t>
            </w:r>
            <w:r>
              <w:rPr>
                <w:rFonts w:hint="eastAsia" w:cs="Times New Roman"/>
                <w:color w:val="auto"/>
                <w:sz w:val="24"/>
                <w:lang w:val="en-US" w:eastAsia="zh-CN"/>
              </w:rPr>
              <w:t>循环</w:t>
            </w:r>
            <w:r>
              <w:rPr>
                <w:rFonts w:hint="eastAsia" w:ascii="Times New Roman" w:hAnsi="Times New Roman" w:cs="Times New Roman"/>
                <w:color w:val="auto"/>
                <w:sz w:val="24"/>
                <w:lang w:val="en-US" w:eastAsia="zh-CN"/>
              </w:rPr>
              <w:t>使用，不外排</w:t>
            </w:r>
            <w:r>
              <w:rPr>
                <w:rFonts w:hint="default" w:ascii="Times New Roman" w:hAnsi="Times New Roman" w:cs="Times New Roman"/>
                <w:color w:val="auto"/>
                <w:sz w:val="24"/>
              </w:rPr>
              <w:t>。</w:t>
            </w:r>
          </w:p>
          <w:p w14:paraId="2BDDDA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项目运营后的用水及废水产生情况见表2-</w:t>
            </w:r>
            <w:r>
              <w:rPr>
                <w:rFonts w:hint="eastAsia" w:cs="Times New Roman"/>
                <w:color w:val="auto"/>
                <w:sz w:val="24"/>
                <w:lang w:val="en-US" w:eastAsia="zh-CN"/>
              </w:rPr>
              <w:t>7</w:t>
            </w:r>
            <w:r>
              <w:rPr>
                <w:rFonts w:hint="default" w:ascii="Times New Roman" w:hAnsi="Times New Roman" w:cs="Times New Roman"/>
                <w:color w:val="auto"/>
                <w:sz w:val="24"/>
              </w:rPr>
              <w:t>。</w:t>
            </w:r>
          </w:p>
          <w:p w14:paraId="7CB17B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项目用水及污水排放情况一览表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4"/>
              <w:gridCol w:w="1314"/>
              <w:gridCol w:w="1200"/>
              <w:gridCol w:w="1049"/>
              <w:gridCol w:w="1051"/>
              <w:gridCol w:w="1000"/>
              <w:gridCol w:w="1000"/>
            </w:tblGrid>
            <w:tr w14:paraId="2A5AE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restart"/>
                  <w:noWrap w:val="0"/>
                  <w:vAlign w:val="center"/>
                </w:tcPr>
                <w:p w14:paraId="2F19133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用水项目</w:t>
                  </w:r>
                </w:p>
              </w:tc>
              <w:tc>
                <w:tcPr>
                  <w:tcW w:w="783" w:type="pct"/>
                  <w:vMerge w:val="restart"/>
                  <w:noWrap w:val="0"/>
                  <w:vAlign w:val="center"/>
                </w:tcPr>
                <w:p w14:paraId="66D00DC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用水量标准</w:t>
                  </w:r>
                </w:p>
              </w:tc>
              <w:tc>
                <w:tcPr>
                  <w:tcW w:w="715" w:type="pct"/>
                  <w:vMerge w:val="restart"/>
                  <w:noWrap w:val="0"/>
                  <w:vAlign w:val="center"/>
                </w:tcPr>
                <w:p w14:paraId="6FFDD0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251" w:type="pct"/>
                  <w:gridSpan w:val="2"/>
                  <w:noWrap w:val="0"/>
                  <w:vAlign w:val="center"/>
                </w:tcPr>
                <w:p w14:paraId="6401C48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w:t>
                  </w:r>
                </w:p>
              </w:tc>
              <w:tc>
                <w:tcPr>
                  <w:tcW w:w="1192" w:type="pct"/>
                  <w:gridSpan w:val="2"/>
                  <w:noWrap w:val="0"/>
                  <w:vAlign w:val="center"/>
                </w:tcPr>
                <w:p w14:paraId="617E65F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r>
            <w:tr w14:paraId="01392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continue"/>
                  <w:noWrap w:val="0"/>
                  <w:vAlign w:val="center"/>
                </w:tcPr>
                <w:p w14:paraId="4008D2F8">
                  <w:pPr>
                    <w:adjustRightInd w:val="0"/>
                    <w:snapToGrid w:val="0"/>
                    <w:jc w:val="center"/>
                    <w:rPr>
                      <w:rFonts w:hint="default" w:ascii="Times New Roman" w:hAnsi="Times New Roman" w:cs="Times New Roman"/>
                      <w:color w:val="auto"/>
                      <w:szCs w:val="21"/>
                    </w:rPr>
                  </w:pPr>
                </w:p>
              </w:tc>
              <w:tc>
                <w:tcPr>
                  <w:tcW w:w="783" w:type="pct"/>
                  <w:vMerge w:val="continue"/>
                  <w:noWrap w:val="0"/>
                  <w:vAlign w:val="center"/>
                </w:tcPr>
                <w:p w14:paraId="4EFA3A31">
                  <w:pPr>
                    <w:adjustRightInd w:val="0"/>
                    <w:snapToGrid w:val="0"/>
                    <w:jc w:val="center"/>
                    <w:rPr>
                      <w:rFonts w:hint="default" w:ascii="Times New Roman" w:hAnsi="Times New Roman" w:cs="Times New Roman"/>
                      <w:color w:val="auto"/>
                      <w:szCs w:val="21"/>
                    </w:rPr>
                  </w:pPr>
                </w:p>
              </w:tc>
              <w:tc>
                <w:tcPr>
                  <w:tcW w:w="715" w:type="pct"/>
                  <w:vMerge w:val="continue"/>
                  <w:noWrap w:val="0"/>
                  <w:vAlign w:val="center"/>
                </w:tcPr>
                <w:p w14:paraId="22128ED8">
                  <w:pPr>
                    <w:adjustRightInd w:val="0"/>
                    <w:snapToGrid w:val="0"/>
                    <w:jc w:val="center"/>
                    <w:rPr>
                      <w:rFonts w:hint="default" w:ascii="Times New Roman" w:hAnsi="Times New Roman" w:cs="Times New Roman"/>
                      <w:color w:val="auto"/>
                      <w:szCs w:val="21"/>
                    </w:rPr>
                  </w:pPr>
                </w:p>
              </w:tc>
              <w:tc>
                <w:tcPr>
                  <w:tcW w:w="625" w:type="pct"/>
                  <w:noWrap w:val="0"/>
                  <w:vAlign w:val="center"/>
                </w:tcPr>
                <w:p w14:paraId="3E0CC61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626" w:type="pct"/>
                  <w:noWrap w:val="0"/>
                  <w:vAlign w:val="center"/>
                </w:tcPr>
                <w:p w14:paraId="668FCE0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596" w:type="pct"/>
                  <w:noWrap w:val="0"/>
                  <w:vAlign w:val="center"/>
                </w:tcPr>
                <w:p w14:paraId="1437CF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96" w:type="pct"/>
                  <w:noWrap w:val="0"/>
                  <w:vAlign w:val="center"/>
                </w:tcPr>
                <w:p w14:paraId="719657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r>
            <w:tr w14:paraId="49340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6D61B17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清洗用水</w:t>
                  </w:r>
                </w:p>
              </w:tc>
              <w:tc>
                <w:tcPr>
                  <w:tcW w:w="783" w:type="pct"/>
                  <w:noWrap w:val="0"/>
                  <w:vAlign w:val="center"/>
                </w:tcPr>
                <w:p w14:paraId="7214356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715" w:type="pct"/>
                  <w:noWrap w:val="0"/>
                  <w:vAlign w:val="center"/>
                </w:tcPr>
                <w:p w14:paraId="70D30BB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25" w:type="pct"/>
                  <w:noWrap w:val="0"/>
                  <w:vAlign w:val="center"/>
                </w:tcPr>
                <w:p w14:paraId="2804FB2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3.39</w:t>
                  </w:r>
                </w:p>
              </w:tc>
              <w:tc>
                <w:tcPr>
                  <w:tcW w:w="626" w:type="pct"/>
                  <w:noWrap w:val="0"/>
                  <w:vAlign w:val="center"/>
                </w:tcPr>
                <w:p w14:paraId="40A5C15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1071</w:t>
                  </w:r>
                </w:p>
              </w:tc>
              <w:tc>
                <w:tcPr>
                  <w:tcW w:w="596" w:type="pct"/>
                  <w:noWrap w:val="0"/>
                  <w:vAlign w:val="center"/>
                </w:tcPr>
                <w:p w14:paraId="42F0AD0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70036B8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2D6166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4743B32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783" w:type="pct"/>
                  <w:noWrap w:val="0"/>
                  <w:vAlign w:val="center"/>
                </w:tcPr>
                <w:p w14:paraId="52132BB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5" w:type="pct"/>
                  <w:noWrap w:val="0"/>
                  <w:vAlign w:val="center"/>
                </w:tcPr>
                <w:p w14:paraId="5F7AE9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25" w:type="pct"/>
                  <w:noWrap w:val="0"/>
                  <w:vAlign w:val="center"/>
                </w:tcPr>
                <w:p w14:paraId="77DB1C8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3.39</w:t>
                  </w:r>
                </w:p>
              </w:tc>
              <w:tc>
                <w:tcPr>
                  <w:tcW w:w="626" w:type="pct"/>
                  <w:noWrap w:val="0"/>
                  <w:vAlign w:val="center"/>
                </w:tcPr>
                <w:p w14:paraId="52B75D4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1071</w:t>
                  </w:r>
                </w:p>
              </w:tc>
              <w:tc>
                <w:tcPr>
                  <w:tcW w:w="596" w:type="pct"/>
                  <w:noWrap w:val="0"/>
                  <w:vAlign w:val="center"/>
                </w:tcPr>
                <w:p w14:paraId="2448B0E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25EF75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14:paraId="5A5D351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供电</w:t>
            </w:r>
          </w:p>
          <w:p w14:paraId="648F0051">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项目用电由供电系统供给，能满足项目生产、生活的要求。</w:t>
            </w:r>
          </w:p>
          <w:p w14:paraId="5ACB2ED4">
            <w:pPr>
              <w:widowControl/>
              <w:autoSpaceDE w:val="0"/>
              <w:adjustRightInd w:val="0"/>
              <w:snapToGrid w:val="0"/>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平面布置合理性</w:t>
            </w:r>
          </w:p>
          <w:p w14:paraId="47F96E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总平面布置原则：结合场地现状条件，合理布置建、构筑物，使工艺流程合理，管线短捷，人货流畅，符合防火、安全、卫生等有关规范的要求。</w:t>
            </w:r>
          </w:p>
          <w:p w14:paraId="48799FA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项目</w:t>
            </w:r>
            <w:r>
              <w:rPr>
                <w:rFonts w:hint="eastAsia" w:ascii="Times New Roman" w:hAnsi="Times New Roman" w:cs="Times New Roman"/>
                <w:color w:val="auto"/>
                <w:sz w:val="24"/>
                <w:lang w:val="en-US" w:eastAsia="zh-CN"/>
              </w:rPr>
              <w:t>厂区南侧距蔡虢路72米，交通便利。生产厂房出</w:t>
            </w:r>
            <w:r>
              <w:rPr>
                <w:rFonts w:hint="eastAsia" w:ascii="Times New Roman" w:hAnsi="Times New Roman" w:cs="Times New Roman"/>
                <w:color w:val="auto"/>
                <w:sz w:val="24"/>
                <w:lang w:eastAsia="zh-CN"/>
              </w:rPr>
              <w:t>入口</w:t>
            </w:r>
            <w:r>
              <w:rPr>
                <w:rFonts w:hint="eastAsia" w:ascii="Times New Roman" w:hAnsi="Times New Roman" w:cs="Times New Roman"/>
                <w:color w:val="auto"/>
                <w:sz w:val="24"/>
                <w:lang w:val="en-US" w:eastAsia="zh-CN"/>
              </w:rPr>
              <w:t>朝南，并将</w:t>
            </w:r>
            <w:r>
              <w:rPr>
                <w:rFonts w:hint="eastAsia" w:ascii="Times New Roman" w:hAnsi="Times New Roman" w:cs="Times New Roman"/>
                <w:color w:val="auto"/>
                <w:sz w:val="24"/>
                <w:lang w:eastAsia="zh-CN"/>
              </w:rPr>
              <w:t>原料暂存区和下料区</w:t>
            </w:r>
            <w:r>
              <w:rPr>
                <w:rFonts w:hint="eastAsia" w:ascii="Times New Roman" w:hAnsi="Times New Roman" w:cs="Times New Roman"/>
                <w:color w:val="auto"/>
                <w:sz w:val="24"/>
                <w:lang w:val="en-US" w:eastAsia="zh-CN"/>
              </w:rPr>
              <w:t>设置在厂房出入口西侧位置</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成品区设置在出入口北侧位置，可有效缩短</w:t>
            </w:r>
            <w:r>
              <w:rPr>
                <w:rFonts w:hint="default" w:ascii="Times New Roman" w:hAnsi="Times New Roman" w:cs="Times New Roman"/>
                <w:color w:val="auto"/>
                <w:sz w:val="24"/>
                <w:lang w:val="en-US" w:eastAsia="zh-CN"/>
              </w:rPr>
              <w:t>运输</w:t>
            </w:r>
            <w:r>
              <w:rPr>
                <w:rFonts w:hint="eastAsia" w:ascii="Times New Roman" w:hAnsi="Times New Roman" w:cs="Times New Roman"/>
                <w:color w:val="auto"/>
                <w:sz w:val="24"/>
                <w:lang w:val="en-US" w:eastAsia="zh-CN"/>
              </w:rPr>
              <w:t>距离；激光切割机、焊机房、抛丸等均设在第二跨厂房，距离环保设施</w:t>
            </w:r>
            <w:r>
              <w:rPr>
                <w:rFonts w:hint="default" w:ascii="Times New Roman" w:hAnsi="Times New Roman" w:cs="Times New Roman"/>
                <w:color w:val="auto"/>
                <w:sz w:val="24"/>
                <w:lang w:val="en-US" w:eastAsia="zh-CN"/>
              </w:rPr>
              <w:t>距离路径短，</w:t>
            </w:r>
            <w:r>
              <w:rPr>
                <w:rFonts w:hint="eastAsia" w:ascii="Times New Roman" w:hAnsi="Times New Roman" w:cs="Times New Roman"/>
                <w:color w:val="auto"/>
                <w:sz w:val="24"/>
                <w:lang w:val="en-US" w:eastAsia="zh-CN"/>
              </w:rPr>
              <w:t>便于废气收集；一般固废暂存区位于机加区与成品区中间位置、危废暂存间位于生产厂房外西侧位置，均距离加工区域路径短，便于</w:t>
            </w:r>
            <w:r>
              <w:rPr>
                <w:rFonts w:hint="default" w:ascii="Times New Roman" w:hAnsi="Times New Roman" w:cs="Times New Roman"/>
                <w:color w:val="auto"/>
                <w:sz w:val="24"/>
                <w:lang w:val="en-US" w:eastAsia="zh-CN"/>
              </w:rPr>
              <w:t>固废收集暂存</w:t>
            </w:r>
            <w:r>
              <w:rPr>
                <w:rFonts w:hint="eastAsia" w:ascii="Times New Roman" w:hAnsi="Times New Roman" w:cs="Times New Roman"/>
                <w:color w:val="auto"/>
                <w:sz w:val="24"/>
                <w:lang w:val="en-US" w:eastAsia="zh-CN"/>
              </w:rPr>
              <w:t>。</w:t>
            </w:r>
            <w:r>
              <w:rPr>
                <w:rFonts w:hint="eastAsia" w:cs="Times New Roman"/>
                <w:color w:val="auto"/>
                <w:sz w:val="24"/>
                <w:lang w:val="en-US" w:eastAsia="zh-CN"/>
              </w:rPr>
              <w:t>本次新增设备分散安装可有效降低设备噪声对厂界四周环境影响。</w:t>
            </w:r>
            <w:r>
              <w:rPr>
                <w:rFonts w:hint="default" w:ascii="Times New Roman" w:hAnsi="Times New Roman" w:cs="Times New Roman"/>
                <w:color w:val="auto"/>
                <w:sz w:val="24"/>
              </w:rPr>
              <w:t>项目区域内供水、供电</w:t>
            </w:r>
            <w:r>
              <w:rPr>
                <w:rFonts w:hint="eastAsia" w:ascii="Times New Roman" w:hAnsi="Times New Roman" w:cs="Times New Roman"/>
                <w:color w:val="auto"/>
                <w:sz w:val="24"/>
                <w:lang w:val="en-US" w:eastAsia="zh-CN"/>
              </w:rPr>
              <w:t>等</w:t>
            </w:r>
            <w:r>
              <w:rPr>
                <w:rFonts w:hint="default" w:ascii="Times New Roman" w:hAnsi="Times New Roman" w:cs="Times New Roman"/>
                <w:color w:val="auto"/>
                <w:sz w:val="24"/>
              </w:rPr>
              <w:t>基础设施配套齐全，建筑结构基本完善，功能分区明确，各区域相对独立。考虑到了噪声、安全等要求。总平面布置基本合理。</w:t>
            </w:r>
          </w:p>
          <w:p w14:paraId="1A5AC6B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9</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劳动定员及工作制度</w:t>
            </w:r>
          </w:p>
          <w:p w14:paraId="20D5942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eastAsia" w:ascii="Times New Roman" w:hAnsi="Times New Roman" w:cs="Times New Roman"/>
                <w:color w:val="auto"/>
                <w:sz w:val="24"/>
                <w:lang w:eastAsia="zh-CN"/>
              </w:rPr>
              <w:t>原有项目劳动定员</w:t>
            </w:r>
            <w:r>
              <w:rPr>
                <w:rFonts w:hint="eastAsia" w:ascii="Times New Roman" w:hAnsi="Times New Roman" w:cs="Times New Roman"/>
                <w:color w:val="auto"/>
                <w:sz w:val="24"/>
                <w:lang w:val="en-US" w:eastAsia="zh-CN"/>
              </w:rPr>
              <w:t>50人，</w:t>
            </w:r>
            <w:r>
              <w:rPr>
                <w:rFonts w:hint="default" w:ascii="Times New Roman" w:hAnsi="Times New Roman" w:cs="Times New Roman"/>
                <w:color w:val="auto"/>
                <w:sz w:val="24"/>
                <w:lang w:val="en-US" w:eastAsia="zh-CN"/>
              </w:rPr>
              <w:t>本次不新增劳动定员</w:t>
            </w:r>
            <w:r>
              <w:rPr>
                <w:rFonts w:hint="default" w:ascii="Times New Roman" w:hAnsi="Times New Roman" w:cs="Times New Roman"/>
                <w:color w:val="auto"/>
                <w:sz w:val="24"/>
              </w:rPr>
              <w:t>，厂区</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提供食宿。</w:t>
            </w:r>
          </w:p>
          <w:p w14:paraId="6D52BC3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工作制度：本项目年工作300天，工作制度采用</w:t>
            </w:r>
            <w:r>
              <w:rPr>
                <w:rFonts w:hint="default" w:ascii="Times New Roman" w:hAnsi="Times New Roman" w:cs="Times New Roman"/>
                <w:color w:val="auto"/>
                <w:sz w:val="24"/>
                <w:lang w:val="en-US" w:eastAsia="zh-CN"/>
              </w:rPr>
              <w:t>一</w:t>
            </w:r>
            <w:r>
              <w:rPr>
                <w:rFonts w:hint="default" w:ascii="Times New Roman" w:hAnsi="Times New Roman" w:cs="Times New Roman"/>
                <w:color w:val="auto"/>
                <w:sz w:val="24"/>
              </w:rPr>
              <w:t>班制，工作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w:t>
            </w:r>
          </w:p>
        </w:tc>
      </w:tr>
      <w:tr w14:paraId="17AB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425" w:type="dxa"/>
            <w:noWrap w:val="0"/>
            <w:vAlign w:val="center"/>
          </w:tcPr>
          <w:p w14:paraId="6440C17B">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635" w:type="dxa"/>
            <w:noWrap w:val="0"/>
            <w:vAlign w:val="top"/>
          </w:tcPr>
          <w:p w14:paraId="054DE7B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生产工艺及产污环节流程图</w:t>
            </w:r>
          </w:p>
          <w:p w14:paraId="31C5E416">
            <w:pPr>
              <w:keepNext/>
              <w:keepLines/>
              <w:widowControl/>
              <w:adjustRightInd w:val="0"/>
              <w:snapToGrid w:val="0"/>
              <w:spacing w:line="360" w:lineRule="auto"/>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color w:val="auto"/>
                <w:sz w:val="24"/>
              </w:rPr>
              <w:object>
                <v:shape id="_x0000_i1025" o:spt="75" type="#_x0000_t75" style="height:283.9pt;width:420.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rFonts w:hint="default" w:ascii="Times New Roman" w:hAnsi="Times New Roman" w:eastAsia="宋体" w:cs="Times New Roman"/>
                <w:b/>
                <w:bCs/>
                <w:color w:val="auto"/>
                <w:sz w:val="21"/>
                <w:szCs w:val="21"/>
                <w:lang w:val="en-US" w:eastAsia="zh-CN"/>
              </w:rPr>
              <w:t>图2-1   工艺流程及产污环节示意图</w:t>
            </w:r>
          </w:p>
          <w:p w14:paraId="09CA98B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工艺流程及产污环节简述</w:t>
            </w:r>
          </w:p>
          <w:p w14:paraId="1D7563C3">
            <w:pPr>
              <w:tabs>
                <w:tab w:val="left" w:pos="7980"/>
              </w:tabs>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下料</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本项目加工的原材料主要为外购板材，材质为钢</w:t>
            </w:r>
            <w:r>
              <w:rPr>
                <w:rFonts w:hint="eastAsia" w:ascii="Times New Roman" w:hAnsi="Times New Roman" w:cs="Times New Roman"/>
                <w:bCs/>
                <w:color w:val="auto"/>
                <w:sz w:val="24"/>
                <w:lang w:val="en-US" w:eastAsia="zh-CN"/>
              </w:rPr>
              <w:t>、铝</w:t>
            </w:r>
            <w:r>
              <w:rPr>
                <w:rFonts w:hint="default" w:ascii="Times New Roman" w:hAnsi="Times New Roman" w:cs="Times New Roman"/>
                <w:bCs/>
                <w:color w:val="auto"/>
                <w:sz w:val="24"/>
                <w:lang w:val="en-US" w:eastAsia="zh-CN"/>
              </w:rPr>
              <w:t>，规格为长*宽*厚：6</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12m*1</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2m*1.0</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14mm，根据加工件的规格要求，采用剪板机、激光切割机、铣床等设备进行切割下料。下料</w:t>
            </w:r>
            <w:r>
              <w:rPr>
                <w:rFonts w:hint="default" w:ascii="Times New Roman" w:hAnsi="Times New Roman" w:cs="Times New Roman"/>
                <w:bCs/>
                <w:color w:val="auto"/>
                <w:sz w:val="24"/>
                <w:lang w:eastAsia="zh-CN"/>
              </w:rPr>
              <w:t>过程</w:t>
            </w:r>
            <w:r>
              <w:rPr>
                <w:rFonts w:hint="default" w:ascii="Times New Roman" w:hAnsi="Times New Roman" w:cs="Times New Roman"/>
                <w:bCs/>
                <w:color w:val="auto"/>
                <w:sz w:val="24"/>
                <w:lang w:val="en-US" w:eastAsia="zh-CN"/>
              </w:rPr>
              <w:t>采用切削液进行冷却、润滑、湿式操作</w:t>
            </w:r>
            <w:r>
              <w:rPr>
                <w:rFonts w:hint="default" w:ascii="Times New Roman" w:hAnsi="Times New Roman" w:cs="Times New Roman"/>
                <w:bCs/>
                <w:color w:val="auto"/>
                <w:sz w:val="24"/>
                <w:lang w:eastAsia="zh-CN"/>
              </w:rPr>
              <w:t>。该过程主要产生设备噪声、</w:t>
            </w:r>
            <w:r>
              <w:rPr>
                <w:rFonts w:hint="default" w:ascii="Times New Roman" w:hAnsi="Times New Roman" w:cs="Times New Roman"/>
                <w:bCs/>
                <w:color w:val="auto"/>
                <w:sz w:val="24"/>
                <w:lang w:val="en-US" w:eastAsia="zh-CN"/>
              </w:rPr>
              <w:t>废切削液、废边角料、金属屑等</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切削液</w:t>
            </w:r>
            <w:r>
              <w:rPr>
                <w:rFonts w:hint="default" w:ascii="Times New Roman" w:hAnsi="Times New Roman" w:cs="Times New Roman"/>
                <w:bCs/>
                <w:color w:val="auto"/>
                <w:sz w:val="24"/>
                <w:lang w:eastAsia="zh-CN"/>
              </w:rPr>
              <w:t>循环使用、定期清理）。</w:t>
            </w:r>
          </w:p>
          <w:p w14:paraId="5D1F2686">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（3）</w:t>
            </w:r>
            <w:r>
              <w:rPr>
                <w:rFonts w:hint="default" w:ascii="Times New Roman" w:hAnsi="Times New Roman" w:cs="Times New Roman"/>
                <w:bCs/>
                <w:color w:val="auto"/>
                <w:sz w:val="24"/>
                <w:lang w:val="en-US" w:eastAsia="zh-CN"/>
              </w:rPr>
              <w:t>钻孔</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经下料后的工件采用钻床、冲床等设备设施按照要求在工件上进行钻孔，该工序采用切削液进行冷却、润滑、湿式操作</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会产生相应的金属屑、废切削液</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切削液</w:t>
            </w:r>
            <w:r>
              <w:rPr>
                <w:rFonts w:hint="default" w:ascii="Times New Roman" w:hAnsi="Times New Roman" w:cs="Times New Roman"/>
                <w:bCs/>
                <w:color w:val="auto"/>
                <w:sz w:val="24"/>
                <w:lang w:eastAsia="zh-CN"/>
              </w:rPr>
              <w:t>循环使用、定期清理）。</w:t>
            </w:r>
          </w:p>
          <w:p w14:paraId="6A1D4E11">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（4）</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采用</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机</w:t>
            </w:r>
            <w:r>
              <w:rPr>
                <w:rFonts w:hint="default" w:ascii="Times New Roman" w:hAnsi="Times New Roman" w:cs="Times New Roman"/>
                <w:bCs/>
                <w:color w:val="auto"/>
                <w:sz w:val="24"/>
                <w:lang w:val="en-US" w:eastAsia="zh-CN"/>
              </w:rPr>
              <w:t>按照工件需求</w:t>
            </w:r>
            <w:r>
              <w:rPr>
                <w:rFonts w:hint="default" w:ascii="Times New Roman" w:hAnsi="Times New Roman" w:cs="Times New Roman"/>
                <w:bCs/>
                <w:color w:val="auto"/>
                <w:sz w:val="24"/>
                <w:lang w:eastAsia="zh-CN"/>
              </w:rPr>
              <w:t>将工件进行</w:t>
            </w:r>
            <w:r>
              <w:rPr>
                <w:rFonts w:hint="default" w:ascii="Times New Roman" w:hAnsi="Times New Roman" w:cs="Times New Roman"/>
                <w:bCs/>
                <w:color w:val="auto"/>
                <w:sz w:val="24"/>
                <w:lang w:val="en-US" w:eastAsia="zh-CN"/>
              </w:rPr>
              <w:t>加工处理</w:t>
            </w:r>
            <w:r>
              <w:rPr>
                <w:rFonts w:hint="default" w:ascii="Times New Roman" w:hAnsi="Times New Roman" w:cs="Times New Roman"/>
                <w:bCs/>
                <w:color w:val="auto"/>
                <w:sz w:val="24"/>
                <w:lang w:eastAsia="zh-CN"/>
              </w:rPr>
              <w:t>，最后达到</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的目的。此过程主要产生设备噪声。</w:t>
            </w:r>
          </w:p>
          <w:p w14:paraId="722FC95C">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（5）</w:t>
            </w:r>
            <w:r>
              <w:rPr>
                <w:rFonts w:hint="default" w:ascii="Times New Roman" w:hAnsi="Times New Roman" w:cs="Times New Roman"/>
                <w:bCs/>
                <w:color w:val="auto"/>
                <w:sz w:val="24"/>
                <w:lang w:val="en-US" w:eastAsia="zh-CN"/>
              </w:rPr>
              <w:t>攻丝</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后的工件采用</w:t>
            </w:r>
            <w:r>
              <w:rPr>
                <w:rFonts w:hint="default" w:ascii="Times New Roman" w:hAnsi="Times New Roman" w:cs="Times New Roman"/>
                <w:bCs/>
                <w:color w:val="auto"/>
                <w:sz w:val="24"/>
                <w:lang w:val="en-US" w:eastAsia="zh-CN"/>
              </w:rPr>
              <w:t>攻丝机在工件上加工出螺纹</w:t>
            </w:r>
            <w:r>
              <w:rPr>
                <w:rFonts w:hint="default" w:ascii="Times New Roman" w:hAnsi="Times New Roman" w:cs="Times New Roman"/>
                <w:bCs/>
                <w:color w:val="auto"/>
                <w:sz w:val="24"/>
                <w:lang w:eastAsia="zh-CN"/>
              </w:rPr>
              <w:t>，以达到客户委托的尺寸要求，</w:t>
            </w:r>
            <w:r>
              <w:rPr>
                <w:rFonts w:hint="default" w:ascii="Times New Roman" w:hAnsi="Times New Roman" w:cs="Times New Roman"/>
                <w:bCs/>
                <w:color w:val="auto"/>
                <w:sz w:val="24"/>
                <w:lang w:val="en-US" w:eastAsia="zh-CN"/>
              </w:rPr>
              <w:t>该过程采用切削液进行冷却、润滑、湿式操作</w:t>
            </w:r>
            <w:r>
              <w:rPr>
                <w:rFonts w:hint="default" w:ascii="Times New Roman" w:hAnsi="Times New Roman" w:cs="Times New Roman"/>
                <w:bCs/>
                <w:color w:val="auto"/>
                <w:sz w:val="24"/>
                <w:lang w:eastAsia="zh-CN"/>
              </w:rPr>
              <w:t>。会</w:t>
            </w:r>
            <w:r>
              <w:rPr>
                <w:rFonts w:hint="default" w:ascii="Times New Roman" w:hAnsi="Times New Roman" w:cs="Times New Roman"/>
                <w:bCs/>
                <w:color w:val="auto"/>
                <w:sz w:val="24"/>
                <w:lang w:val="en-US" w:eastAsia="zh-CN"/>
              </w:rPr>
              <w:t>产生</w:t>
            </w:r>
            <w:r>
              <w:rPr>
                <w:rFonts w:hint="default" w:ascii="Times New Roman" w:hAnsi="Times New Roman" w:cs="Times New Roman"/>
                <w:bCs/>
                <w:color w:val="auto"/>
                <w:sz w:val="24"/>
                <w:lang w:eastAsia="zh-CN"/>
              </w:rPr>
              <w:t>金属屑、废切削液。</w:t>
            </w:r>
          </w:p>
          <w:p w14:paraId="7B735CAC">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整平：采用整平机、压力机等设施对工件进行整平处理，可使工件获得良好的版型，该工序会产生相应的设备噪声。</w:t>
            </w:r>
          </w:p>
          <w:p w14:paraId="465DD1DE">
            <w:pPr>
              <w:spacing w:line="360" w:lineRule="auto"/>
              <w:ind w:firstLine="480" w:firstLineChars="200"/>
              <w:jc w:val="left"/>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7</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焊接</w:t>
            </w:r>
            <w:r>
              <w:rPr>
                <w:rFonts w:hint="eastAsia" w:ascii="Times New Roman" w:hAnsi="Times New Roman" w:eastAsia="宋体" w:cs="Times New Roman"/>
                <w:bCs/>
                <w:color w:val="auto"/>
                <w:sz w:val="24"/>
                <w:lang w:val="en-US" w:eastAsia="zh-CN"/>
              </w:rPr>
              <w:t>、修磨</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sz w:val="24"/>
                <w:lang w:eastAsia="zh-CN"/>
              </w:rPr>
              <w:t>规格小于</w:t>
            </w:r>
            <w:r>
              <w:rPr>
                <w:rFonts w:hint="eastAsia" w:ascii="Times New Roman" w:hAnsi="Times New Roman" w:eastAsia="宋体" w:cs="Times New Roman"/>
                <w:color w:val="auto"/>
                <w:sz w:val="24"/>
                <w:lang w:val="en-US" w:eastAsia="zh-CN"/>
              </w:rPr>
              <w:t>200*250mm的工件需</w:t>
            </w:r>
            <w:r>
              <w:rPr>
                <w:rFonts w:hint="default" w:ascii="Times New Roman" w:hAnsi="Times New Roman" w:eastAsia="宋体" w:cs="Times New Roman"/>
                <w:bCs/>
                <w:color w:val="auto"/>
                <w:sz w:val="24"/>
                <w:lang w:val="en-US" w:eastAsia="zh-CN"/>
              </w:rPr>
              <w:t>采用激光焊将</w:t>
            </w:r>
            <w:r>
              <w:rPr>
                <w:rFonts w:hint="eastAsia" w:ascii="Times New Roman" w:hAnsi="Times New Roman" w:eastAsia="宋体" w:cs="Times New Roman"/>
                <w:bCs/>
                <w:color w:val="auto"/>
                <w:sz w:val="24"/>
                <w:lang w:val="en-US" w:eastAsia="zh-CN"/>
              </w:rPr>
              <w:t>其</w:t>
            </w:r>
            <w:r>
              <w:rPr>
                <w:rFonts w:hint="default" w:ascii="Times New Roman" w:hAnsi="Times New Roman" w:eastAsia="宋体" w:cs="Times New Roman"/>
                <w:bCs/>
                <w:color w:val="auto"/>
                <w:sz w:val="24"/>
                <w:lang w:val="en-US" w:eastAsia="zh-CN"/>
              </w:rPr>
              <w:t>根据产品要求焊接在一起，焊接过程属热传导型，即激光辐射加热工件表面，表面热量通过热传导向内部扩散，通过控制激光脉冲的宽度、能量、峰值功率和重复频率等参数，使工件熔化，形成特定的熔池。</w:t>
            </w:r>
            <w:r>
              <w:rPr>
                <w:rFonts w:hint="eastAsia" w:ascii="Times New Roman" w:hAnsi="Times New Roman" w:eastAsia="宋体" w:cs="Times New Roman"/>
                <w:bCs/>
                <w:color w:val="auto"/>
                <w:sz w:val="24"/>
                <w:lang w:val="en-US" w:eastAsia="zh-CN"/>
              </w:rPr>
              <w:t>焊接后的工件经角磨机等设备进行表面</w:t>
            </w:r>
            <w:r>
              <w:rPr>
                <w:rFonts w:hint="eastAsia" w:cs="Times New Roman"/>
                <w:bCs/>
                <w:color w:val="auto"/>
                <w:sz w:val="24"/>
                <w:lang w:val="en-US" w:eastAsia="zh-CN"/>
              </w:rPr>
              <w:t>毛刺</w:t>
            </w:r>
            <w:r>
              <w:rPr>
                <w:rFonts w:hint="eastAsia" w:ascii="Times New Roman" w:hAnsi="Times New Roman" w:eastAsia="宋体" w:cs="Times New Roman"/>
                <w:bCs/>
                <w:color w:val="auto"/>
                <w:sz w:val="24"/>
                <w:lang w:val="en-US" w:eastAsia="zh-CN"/>
              </w:rPr>
              <w:t>修磨处理。角磨机设密闭房内，</w:t>
            </w:r>
            <w:r>
              <w:rPr>
                <w:rFonts w:hint="default" w:ascii="Times New Roman" w:hAnsi="Times New Roman" w:eastAsia="宋体" w:cs="Times New Roman"/>
                <w:bCs/>
                <w:color w:val="auto"/>
                <w:sz w:val="24"/>
                <w:lang w:val="en-US" w:eastAsia="zh-CN"/>
              </w:rPr>
              <w:t>该工序会产生废气（颗粒物）、</w:t>
            </w:r>
            <w:r>
              <w:rPr>
                <w:rFonts w:hint="eastAsia" w:ascii="Times New Roman" w:hAnsi="Times New Roman" w:eastAsia="宋体" w:cs="Times New Roman"/>
                <w:bCs/>
                <w:color w:val="auto"/>
                <w:sz w:val="24"/>
                <w:lang w:val="en-US" w:eastAsia="zh-CN"/>
              </w:rPr>
              <w:t>收尘灰</w:t>
            </w:r>
            <w:r>
              <w:rPr>
                <w:rFonts w:hint="default" w:ascii="Times New Roman" w:hAnsi="Times New Roman" w:eastAsia="宋体" w:cs="Times New Roman"/>
                <w:bCs/>
                <w:color w:val="auto"/>
                <w:sz w:val="24"/>
                <w:lang w:val="en-US" w:eastAsia="zh-CN"/>
              </w:rPr>
              <w:t>及设备噪声</w:t>
            </w:r>
            <w:r>
              <w:rPr>
                <w:rFonts w:hint="eastAsia" w:ascii="Times New Roman" w:hAnsi="Times New Roman" w:eastAsia="宋体" w:cs="Times New Roman"/>
                <w:bCs/>
                <w:color w:val="auto"/>
                <w:sz w:val="24"/>
                <w:lang w:val="en-US" w:eastAsia="zh-CN"/>
              </w:rPr>
              <w:t>。</w:t>
            </w:r>
          </w:p>
          <w:p w14:paraId="533A9166">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（8）检测：采用红外线检测设备对工件进行检测，检测完毕后进入下一道工序，不合格品为固废。收集后进行外售处理。</w:t>
            </w:r>
          </w:p>
          <w:p w14:paraId="786463D9">
            <w:pPr>
              <w:spacing w:line="360" w:lineRule="auto"/>
              <w:ind w:firstLine="480" w:firstLineChars="200"/>
              <w:jc w:val="left"/>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（9）热处理：检测完成后的工件外协宝鸡固泰盛机械制造热处理有限公司进行表面淬火，油淬后的工件需经外协单位将表面沾染淬火油处理干净后转交至我单位。</w:t>
            </w:r>
            <w:r>
              <w:rPr>
                <w:rFonts w:hint="default" w:ascii="Times New Roman" w:hAnsi="Times New Roman" w:cs="Times New Roman"/>
                <w:bCs/>
                <w:color w:val="auto"/>
                <w:sz w:val="24"/>
                <w:lang w:eastAsia="zh-CN"/>
              </w:rPr>
              <w:t>（该外协单位环评及验收手续完善，于</w:t>
            </w:r>
            <w:r>
              <w:rPr>
                <w:rFonts w:hint="default" w:ascii="Times New Roman" w:hAnsi="Times New Roman" w:cs="Times New Roman"/>
                <w:bCs/>
                <w:color w:val="auto"/>
                <w:sz w:val="24"/>
                <w:lang w:val="en-US" w:eastAsia="zh-CN"/>
              </w:rPr>
              <w:t>2021年8月取得宝鸡市生态环境局眉县分局关于</w:t>
            </w:r>
            <w:r>
              <w:rPr>
                <w:rFonts w:hint="default" w:ascii="Times New Roman" w:hAnsi="Times New Roman" w:eastAsia="宋体" w:cs="Times New Roman"/>
                <w:bCs/>
                <w:color w:val="auto"/>
                <w:sz w:val="24"/>
                <w:lang w:val="en-US" w:eastAsia="zh-CN"/>
              </w:rPr>
              <w:t>宝鸡固泰盛机械制造热处理有限公司</w:t>
            </w:r>
            <w:r>
              <w:rPr>
                <w:rFonts w:hint="default" w:ascii="Times New Roman" w:hAnsi="Times New Roman" w:cs="Times New Roman"/>
                <w:bCs/>
                <w:color w:val="auto"/>
                <w:sz w:val="24"/>
                <w:lang w:val="en-US" w:eastAsia="zh-CN"/>
              </w:rPr>
              <w:t>年处理2万吨汽车零部件建设项目环境影响报告表的批复，眉环函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2021</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63号，于2022年9月进行验收</w:t>
            </w:r>
            <w:r>
              <w:rPr>
                <w:rFonts w:hint="eastAsia" w:cs="Times New Roman"/>
                <w:bCs/>
                <w:color w:val="auto"/>
                <w:sz w:val="24"/>
                <w:lang w:val="en-US" w:eastAsia="zh-CN"/>
              </w:rPr>
              <w:t>。</w:t>
            </w:r>
            <w:r>
              <w:rPr>
                <w:rFonts w:hint="default" w:ascii="Times New Roman" w:hAnsi="Times New Roman" w:cs="Times New Roman"/>
                <w:bCs/>
                <w:color w:val="auto"/>
                <w:sz w:val="24"/>
                <w:lang w:eastAsia="zh-CN"/>
              </w:rPr>
              <w:t>）</w:t>
            </w:r>
          </w:p>
          <w:p w14:paraId="5C040FE3">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（10）抛丸：</w:t>
            </w:r>
            <w:r>
              <w:rPr>
                <w:rFonts w:hint="eastAsia" w:ascii="Times New Roman" w:hAnsi="Times New Roman" w:eastAsia="宋体" w:cs="Times New Roman"/>
                <w:color w:val="auto"/>
                <w:sz w:val="24"/>
                <w:lang w:eastAsia="zh-CN"/>
              </w:rPr>
              <w:t>抛丸工序需对全厂规格大于</w:t>
            </w:r>
            <w:r>
              <w:rPr>
                <w:rFonts w:hint="eastAsia" w:ascii="Times New Roman" w:hAnsi="Times New Roman" w:eastAsia="宋体" w:cs="Times New Roman"/>
                <w:color w:val="auto"/>
                <w:sz w:val="24"/>
                <w:lang w:val="en-US" w:eastAsia="zh-CN"/>
              </w:rPr>
              <w:t>200*250mm的工件进行抛丸，</w:t>
            </w:r>
            <w:r>
              <w:rPr>
                <w:rFonts w:hint="eastAsia" w:ascii="Times New Roman" w:hAnsi="Times New Roman" w:eastAsia="宋体" w:cs="Times New Roman"/>
                <w:bCs/>
                <w:color w:val="auto"/>
                <w:sz w:val="24"/>
                <w:lang w:val="en-US" w:eastAsia="zh-CN"/>
              </w:rPr>
              <w:t>约占</w:t>
            </w:r>
            <w:r>
              <w:rPr>
                <w:rFonts w:hint="default" w:ascii="Times New Roman" w:hAnsi="Times New Roman" w:eastAsia="宋体" w:cs="Times New Roman"/>
                <w:bCs/>
                <w:color w:val="auto"/>
                <w:sz w:val="24"/>
                <w:lang w:val="en-US" w:eastAsia="zh-CN"/>
              </w:rPr>
              <w:t>工件的</w:t>
            </w:r>
            <w:r>
              <w:rPr>
                <w:rFonts w:hint="eastAsia" w:ascii="Times New Roman" w:hAnsi="Times New Roman" w:eastAsia="宋体" w:cs="Times New Roman"/>
                <w:bCs/>
                <w:color w:val="auto"/>
                <w:sz w:val="24"/>
                <w:lang w:val="en-US" w:eastAsia="zh-CN"/>
              </w:rPr>
              <w:t>7</w:t>
            </w:r>
            <w:r>
              <w:rPr>
                <w:rFonts w:hint="default" w:ascii="Times New Roman" w:hAnsi="Times New Roman" w:eastAsia="宋体" w:cs="Times New Roman"/>
                <w:bCs/>
                <w:color w:val="auto"/>
                <w:sz w:val="24"/>
                <w:lang w:val="en-US" w:eastAsia="zh-CN"/>
              </w:rPr>
              <w:t>0%</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所用辅料为钢丸，规格为0.5mm，利用高速运动的钢丸冲击工件表面，可去除表面杂质，提高外观质量，该过程会产生粉尘、固废及设备噪声。</w:t>
            </w:r>
          </w:p>
          <w:p w14:paraId="41860567">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11）镀锌：需要进行表面镀锌的工件送至陕西凌云电器集团有限公司进行加工，加工完成后再送回本项目。（该外协单位环评及验收手续完善，于2019年9月2日取得宝鸡市生态环境局关于陕西凌云电器集团有限公司凌云姜谭电子产业园建设项目环境影响报告书的批复，宝市环函</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2019</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383号，于2020年10月份完成验收）。</w:t>
            </w:r>
          </w:p>
          <w:p w14:paraId="620630C3">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12</w:t>
            </w:r>
            <w:r>
              <w:rPr>
                <w:rFonts w:hint="default"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清洗：使用脱脂剂和活性剂通过1号槽进行预脱脂，再进入2号槽通过水中加入脱脂剂和活性剂进行主脱脂，去除油污，再次进入3号和4号槽内通过清水进行清洗，后进入加了硅烷的5号槽内，对</w:t>
            </w:r>
            <w:r>
              <w:rPr>
                <w:rFonts w:hint="eastAsia" w:ascii="Times New Roman" w:hAnsi="Times New Roman" w:eastAsia="宋体" w:cs="Times New Roman"/>
                <w:color w:val="auto"/>
                <w:sz w:val="24"/>
                <w:szCs w:val="24"/>
                <w:lang w:val="en-US" w:eastAsia="zh-CN"/>
              </w:rPr>
              <w:t>脱脂后的金属表面形成一层致密、均匀的有机-无机杂化膜（固化后形成的硅烷膜厚度极薄，约50-200nm），可大幅提升粉末涂层与基材的附着力、耐腐蚀性。该工序会产生废水及污泥，废水经处理后回用，污泥拉运堆肥。</w:t>
            </w:r>
          </w:p>
          <w:p w14:paraId="4DDD2871">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13</w:t>
            </w:r>
            <w:r>
              <w:rPr>
                <w:rFonts w:hint="eastAsia" w:ascii="Times New Roman" w:hAnsi="Times New Roman" w:eastAsia="宋体" w:cs="Times New Roman"/>
                <w:bCs/>
                <w:color w:val="auto"/>
                <w:sz w:val="24"/>
                <w:lang w:eastAsia="zh-CN"/>
              </w:rPr>
              <w:t>）</w:t>
            </w:r>
            <w:r>
              <w:rPr>
                <w:rFonts w:hint="eastAsia" w:cs="Times New Roman"/>
                <w:bCs/>
                <w:color w:val="auto"/>
                <w:sz w:val="24"/>
                <w:lang w:val="en-US" w:eastAsia="zh-CN"/>
              </w:rPr>
              <w:t>喷粉</w:t>
            </w:r>
            <w:r>
              <w:rPr>
                <w:rFonts w:hint="eastAsia" w:ascii="Times New Roman" w:hAnsi="Times New Roman" w:eastAsia="宋体" w:cs="Times New Roman"/>
                <w:bCs/>
                <w:color w:val="auto"/>
                <w:sz w:val="24"/>
                <w:lang w:val="en-US" w:eastAsia="zh-CN"/>
              </w:rPr>
              <w:t>：经清洗后的工件进入烘箱烘干后进入喷粉室内通过喷枪使粉末带负电，吸附到接地的工件表面完成工件喷粉，该工序会产生粉末，经下吸式旋风回收未吸附的粉末，过滤后可重复使用，减少浪费。会产生部分废粉，该部分废粉沉淀至旋风除尘器下方布袋中，定期清理外售废粉收购单位。</w:t>
            </w:r>
          </w:p>
          <w:p w14:paraId="1EC0A72A">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14</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固化：喷粉完毕的工件进入固化炉，在180-220℃下加热15</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30分钟，粉末融化、流平并固化。该工序会产生挥发性有机废气和天然气燃烧废气。</w:t>
            </w:r>
          </w:p>
          <w:p w14:paraId="44BB773E">
            <w:pPr>
              <w:spacing w:line="360" w:lineRule="auto"/>
              <w:ind w:firstLine="480" w:firstLineChars="200"/>
              <w:jc w:val="left"/>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13</w:t>
            </w:r>
            <w:r>
              <w:rPr>
                <w:rFonts w:hint="default" w:ascii="Times New Roman" w:hAnsi="Times New Roman" w:cs="Times New Roman"/>
                <w:color w:val="auto"/>
                <w:kern w:val="0"/>
                <w:sz w:val="24"/>
                <w:lang w:eastAsia="zh-CN"/>
              </w:rPr>
              <w:t>）成品：加工好的成品运至成品区进行存放</w:t>
            </w:r>
            <w:r>
              <w:rPr>
                <w:rFonts w:hint="eastAsia" w:ascii="Times New Roman" w:hAnsi="Times New Roman" w:cs="Times New Roman"/>
                <w:color w:val="auto"/>
                <w:kern w:val="0"/>
                <w:sz w:val="24"/>
                <w:lang w:val="en-US" w:eastAsia="zh-CN"/>
              </w:rPr>
              <w:t>外售</w:t>
            </w:r>
            <w:r>
              <w:rPr>
                <w:rFonts w:hint="default" w:ascii="Times New Roman" w:hAnsi="Times New Roman" w:cs="Times New Roman"/>
                <w:color w:val="auto"/>
                <w:kern w:val="0"/>
                <w:sz w:val="24"/>
                <w:lang w:eastAsia="zh-CN"/>
              </w:rPr>
              <w:t>。</w:t>
            </w:r>
          </w:p>
          <w:p w14:paraId="054E91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w:t>
            </w:r>
            <w:r>
              <w:rPr>
                <w:rFonts w:hint="eastAsia" w:ascii="Times New Roman" w:hAnsi="Times New Roman" w:eastAsia="宋体" w:cs="Times New Roman"/>
                <w:color w:val="auto"/>
                <w:kern w:val="0"/>
                <w:sz w:val="24"/>
                <w:lang w:eastAsia="zh-CN"/>
              </w:rPr>
              <w:t>焊接</w:t>
            </w:r>
            <w:r>
              <w:rPr>
                <w:rFonts w:hint="eastAsia" w:ascii="Times New Roman" w:hAnsi="Times New Roman" w:eastAsia="宋体" w:cs="Times New Roman"/>
                <w:color w:val="auto"/>
                <w:kern w:val="0"/>
                <w:sz w:val="24"/>
                <w:lang w:val="en-US" w:eastAsia="zh-CN"/>
              </w:rPr>
              <w:t>设密闭焊接房，在密闭房上方设集气口收集并处理后高空排放；激光切割设集气口，废气经收集并处理后高空排放；抛丸废气经设备自带袋式除尘器</w:t>
            </w:r>
            <w:r>
              <w:rPr>
                <w:rFonts w:hint="eastAsia" w:cs="Times New Roman"/>
                <w:color w:val="auto"/>
                <w:kern w:val="0"/>
                <w:sz w:val="24"/>
                <w:lang w:val="en-US" w:eastAsia="zh-CN"/>
              </w:rPr>
              <w:t>预</w:t>
            </w:r>
            <w:r>
              <w:rPr>
                <w:rFonts w:hint="eastAsia" w:ascii="Times New Roman" w:hAnsi="Times New Roman" w:eastAsia="宋体" w:cs="Times New Roman"/>
                <w:color w:val="auto"/>
                <w:kern w:val="0"/>
                <w:sz w:val="24"/>
                <w:lang w:val="en-US" w:eastAsia="zh-CN"/>
              </w:rPr>
              <w:t>处理后统一进入旋风袋式除尘器内进行处理后高空排放；固化废气经活性炭处理后高空排放；天然气燃烧废气设低氮燃烧处理后高空排放；</w:t>
            </w:r>
            <w:r>
              <w:rPr>
                <w:rFonts w:hint="eastAsia" w:cs="Times New Roman"/>
                <w:color w:val="auto"/>
                <w:kern w:val="0"/>
                <w:sz w:val="24"/>
                <w:lang w:val="en-US" w:eastAsia="zh-CN"/>
              </w:rPr>
              <w:t>喷粉</w:t>
            </w:r>
            <w:r>
              <w:rPr>
                <w:rFonts w:hint="eastAsia" w:ascii="Times New Roman" w:hAnsi="Times New Roman" w:eastAsia="宋体" w:cs="Times New Roman"/>
                <w:color w:val="auto"/>
                <w:kern w:val="0"/>
                <w:sz w:val="24"/>
                <w:lang w:val="en-US" w:eastAsia="zh-CN"/>
              </w:rPr>
              <w:t>设喷粉房，粉尘经收集过滤后回用，部分废粉经沉淀收集后外售废粉收购单位。</w:t>
            </w:r>
          </w:p>
          <w:p w14:paraId="611852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运行</w:t>
            </w:r>
            <w:r>
              <w:rPr>
                <w:rFonts w:hint="default" w:ascii="Times New Roman" w:hAnsi="Times New Roman" w:cs="Times New Roman"/>
                <w:color w:val="auto"/>
                <w:kern w:val="0"/>
                <w:sz w:val="24"/>
              </w:rPr>
              <w:t>过程中会产生</w:t>
            </w:r>
            <w:r>
              <w:rPr>
                <w:rFonts w:hint="default" w:ascii="Times New Roman" w:hAnsi="Times New Roman" w:cs="Times New Roman"/>
                <w:bCs/>
                <w:color w:val="auto"/>
                <w:sz w:val="24"/>
              </w:rPr>
              <w:t>一般固废（</w:t>
            </w:r>
            <w:r>
              <w:rPr>
                <w:rFonts w:hint="default" w:ascii="Times New Roman" w:hAnsi="Times New Roman" w:cs="Times New Roman"/>
                <w:bCs/>
                <w:color w:val="auto"/>
                <w:sz w:val="24"/>
                <w:lang w:eastAsia="zh-CN"/>
              </w:rPr>
              <w:t>废边角料、</w:t>
            </w:r>
            <w:r>
              <w:rPr>
                <w:rFonts w:hint="default" w:ascii="Times New Roman" w:hAnsi="Times New Roman" w:cs="Times New Roman"/>
                <w:bCs/>
                <w:color w:val="auto"/>
                <w:sz w:val="24"/>
              </w:rPr>
              <w:t>废金属屑</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收尘灰</w:t>
            </w:r>
            <w:r>
              <w:rPr>
                <w:rFonts w:hint="eastAsia" w:ascii="Times New Roman" w:hAnsi="Times New Roman" w:cs="Times New Roman"/>
                <w:bCs/>
                <w:color w:val="auto"/>
                <w:sz w:val="24"/>
                <w:lang w:val="en-US" w:eastAsia="zh-CN"/>
              </w:rPr>
              <w:t>、废钢丸、</w:t>
            </w:r>
            <w:r>
              <w:rPr>
                <w:rFonts w:hint="eastAsia" w:cs="Times New Roman"/>
                <w:bCs/>
                <w:color w:val="auto"/>
                <w:sz w:val="24"/>
                <w:lang w:val="en-US" w:eastAsia="zh-CN"/>
              </w:rPr>
              <w:t>喷粉</w:t>
            </w:r>
            <w:r>
              <w:rPr>
                <w:rFonts w:hint="eastAsia" w:ascii="Times New Roman" w:hAnsi="Times New Roman" w:cs="Times New Roman"/>
                <w:bCs/>
                <w:color w:val="auto"/>
                <w:sz w:val="24"/>
                <w:lang w:val="en-US" w:eastAsia="zh-CN"/>
              </w:rPr>
              <w:t>废粉</w:t>
            </w:r>
            <w:r>
              <w:rPr>
                <w:rFonts w:hint="default" w:ascii="Times New Roman" w:hAnsi="Times New Roman" w:cs="Times New Roman"/>
                <w:bCs/>
                <w:color w:val="auto"/>
                <w:sz w:val="24"/>
              </w:rPr>
              <w:t>）及危险废物（废</w:t>
            </w:r>
            <w:r>
              <w:rPr>
                <w:rFonts w:hint="eastAsia" w:cs="Times New Roman"/>
                <w:bCs/>
                <w:color w:val="auto"/>
                <w:sz w:val="24"/>
                <w:lang w:val="en-US" w:eastAsia="zh-CN"/>
              </w:rPr>
              <w:t>活性炭</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eastAsia="zh-CN"/>
              </w:rPr>
              <w:t>废</w:t>
            </w:r>
            <w:r>
              <w:rPr>
                <w:rFonts w:hint="eastAsia" w:ascii="Times New Roman" w:hAnsi="Times New Roman" w:cs="Times New Roman"/>
                <w:bCs/>
                <w:color w:val="auto"/>
                <w:sz w:val="24"/>
                <w:lang w:val="en-US" w:eastAsia="zh-CN"/>
              </w:rPr>
              <w:t>污泥</w:t>
            </w:r>
            <w:r>
              <w:rPr>
                <w:rFonts w:hint="eastAsia" w:cs="Times New Roman"/>
                <w:bCs/>
                <w:color w:val="auto"/>
                <w:sz w:val="24"/>
                <w:lang w:eastAsia="zh-CN"/>
              </w:rPr>
              <w:t>、废液</w:t>
            </w:r>
            <w:r>
              <w:rPr>
                <w:rFonts w:hint="eastAsia" w:cs="Times New Roman"/>
                <w:bCs/>
                <w:color w:val="auto"/>
                <w:sz w:val="24"/>
                <w:lang w:val="en-US" w:eastAsia="zh-CN"/>
              </w:rPr>
              <w:t>压油</w:t>
            </w:r>
            <w:r>
              <w:rPr>
                <w:rFonts w:hint="default" w:ascii="Times New Roman" w:hAnsi="Times New Roman" w:cs="Times New Roman"/>
                <w:bCs/>
                <w:color w:val="auto"/>
                <w:sz w:val="24"/>
                <w:lang w:eastAsia="zh-CN"/>
              </w:rPr>
              <w:t>、废油桶、</w:t>
            </w:r>
            <w:r>
              <w:rPr>
                <w:rFonts w:hint="eastAsia" w:ascii="Times New Roman" w:hAnsi="Times New Roman" w:cs="Times New Roman"/>
                <w:bCs/>
                <w:color w:val="auto"/>
                <w:sz w:val="24"/>
                <w:lang w:val="en-US" w:eastAsia="zh-CN"/>
              </w:rPr>
              <w:t>废含油抹布手套</w:t>
            </w:r>
            <w:r>
              <w:rPr>
                <w:rFonts w:hint="default" w:ascii="Times New Roman" w:hAnsi="Times New Roman" w:cs="Times New Roman"/>
                <w:bCs/>
                <w:color w:val="auto"/>
                <w:sz w:val="24"/>
                <w:lang w:eastAsia="zh-CN"/>
              </w:rPr>
              <w:t>等</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w:t>
            </w:r>
          </w:p>
          <w:p w14:paraId="7432E9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color w:val="auto"/>
                <w:kern w:val="0"/>
                <w:sz w:val="24"/>
                <w:lang w:val="en-US" w:eastAsia="zh-CN"/>
              </w:rPr>
              <w:t>本项目喷塑生产线清洗所用水产生的废水设污水处理设施，废水经处理后</w:t>
            </w:r>
            <w:r>
              <w:rPr>
                <w:rFonts w:hint="eastAsia" w:cs="Times New Roman"/>
                <w:color w:val="auto"/>
                <w:kern w:val="0"/>
                <w:sz w:val="24"/>
                <w:lang w:val="en-US" w:eastAsia="zh-CN"/>
              </w:rPr>
              <w:t>循环使用</w:t>
            </w:r>
            <w:r>
              <w:rPr>
                <w:rFonts w:hint="eastAsia" w:ascii="Times New Roman" w:hAnsi="Times New Roman" w:cs="Times New Roman"/>
                <w:color w:val="auto"/>
                <w:kern w:val="0"/>
                <w:sz w:val="24"/>
                <w:lang w:val="en-US" w:eastAsia="zh-CN"/>
              </w:rPr>
              <w:t>，无外排废水。</w:t>
            </w:r>
          </w:p>
          <w:p w14:paraId="3BBF2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各污染物来源途径见表2-</w:t>
            </w:r>
            <w:r>
              <w:rPr>
                <w:rFonts w:hint="eastAsia" w:cs="Times New Roman"/>
                <w:bCs/>
                <w:color w:val="auto"/>
                <w:sz w:val="24"/>
                <w:lang w:val="en-US" w:eastAsia="zh-CN"/>
              </w:rPr>
              <w:t>8</w:t>
            </w:r>
            <w:r>
              <w:rPr>
                <w:rFonts w:hint="default" w:ascii="Times New Roman" w:hAnsi="Times New Roman" w:cs="Times New Roman"/>
                <w:bCs/>
                <w:color w:val="auto"/>
                <w:sz w:val="24"/>
              </w:rPr>
              <w:t>。</w:t>
            </w:r>
          </w:p>
          <w:p w14:paraId="7000A117">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主要污染物一览表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5"/>
              <w:gridCol w:w="1081"/>
              <w:gridCol w:w="2005"/>
              <w:gridCol w:w="2368"/>
              <w:gridCol w:w="1229"/>
              <w:gridCol w:w="1190"/>
            </w:tblGrid>
            <w:tr w14:paraId="45229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25C9CEFD">
                  <w:pPr>
                    <w:pStyle w:val="125"/>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污染</w:t>
                  </w:r>
                  <w:r>
                    <w:rPr>
                      <w:rFonts w:hint="default" w:ascii="Times New Roman" w:hAnsi="Times New Roman" w:cs="Times New Roman"/>
                      <w:b/>
                      <w:bCs/>
                      <w:color w:val="auto"/>
                      <w:sz w:val="21"/>
                      <w:szCs w:val="21"/>
                    </w:rPr>
                    <w:t>类型</w:t>
                  </w:r>
                </w:p>
              </w:tc>
              <w:tc>
                <w:tcPr>
                  <w:tcW w:w="2005" w:type="dxa"/>
                  <w:noWrap w:val="0"/>
                  <w:vAlign w:val="center"/>
                </w:tcPr>
                <w:p w14:paraId="4B4B4085">
                  <w:pPr>
                    <w:pStyle w:val="125"/>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2368" w:type="dxa"/>
                  <w:noWrap w:val="0"/>
                  <w:vAlign w:val="center"/>
                </w:tcPr>
                <w:p w14:paraId="75BA23EB">
                  <w:pPr>
                    <w:pStyle w:val="125"/>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1229" w:type="dxa"/>
                  <w:noWrap w:val="0"/>
                  <w:vAlign w:val="center"/>
                </w:tcPr>
                <w:p w14:paraId="6959E550">
                  <w:pPr>
                    <w:pStyle w:val="125"/>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产生位置</w:t>
                  </w:r>
                </w:p>
              </w:tc>
              <w:tc>
                <w:tcPr>
                  <w:tcW w:w="1190" w:type="dxa"/>
                  <w:noWrap w:val="0"/>
                  <w:vAlign w:val="center"/>
                </w:tcPr>
                <w:p w14:paraId="648E6EF9">
                  <w:pPr>
                    <w:pStyle w:val="125"/>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r>
            <w:tr w14:paraId="35F8D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D5BAA5E">
                  <w:pPr>
                    <w:pStyle w:val="125"/>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废气</w:t>
                  </w:r>
                </w:p>
              </w:tc>
              <w:tc>
                <w:tcPr>
                  <w:tcW w:w="1081" w:type="dxa"/>
                  <w:vMerge w:val="restart"/>
                  <w:noWrap w:val="0"/>
                  <w:vAlign w:val="center"/>
                </w:tcPr>
                <w:p w14:paraId="5EBD00FD">
                  <w:pPr>
                    <w:pStyle w:val="125"/>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生产废气</w:t>
                  </w:r>
                </w:p>
              </w:tc>
              <w:tc>
                <w:tcPr>
                  <w:tcW w:w="2005" w:type="dxa"/>
                  <w:noWrap w:val="0"/>
                  <w:vAlign w:val="center"/>
                </w:tcPr>
                <w:p w14:paraId="5D4DC9DB">
                  <w:pPr>
                    <w:pStyle w:val="125"/>
                    <w:kinsoku w:val="0"/>
                    <w:overflowPunct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抛丸</w:t>
                  </w:r>
                  <w:r>
                    <w:rPr>
                      <w:rFonts w:hint="default" w:ascii="Times New Roman" w:hAnsi="Times New Roman" w:cs="Times New Roman"/>
                      <w:b w:val="0"/>
                      <w:bCs w:val="0"/>
                      <w:color w:val="auto"/>
                      <w:sz w:val="21"/>
                      <w:szCs w:val="21"/>
                      <w:lang w:eastAsia="zh-CN"/>
                    </w:rPr>
                    <w:t>工序</w:t>
                  </w:r>
                  <w:r>
                    <w:rPr>
                      <w:rFonts w:hint="eastAsia" w:ascii="Times New Roman" w:hAnsi="Times New Roman" w:cs="Times New Roman"/>
                      <w:b w:val="0"/>
                      <w:bCs w:val="0"/>
                      <w:color w:val="auto"/>
                      <w:sz w:val="21"/>
                      <w:szCs w:val="21"/>
                      <w:lang w:eastAsia="zh-CN"/>
                    </w:rPr>
                    <w:t>、切割、</w:t>
                  </w:r>
                  <w:r>
                    <w:rPr>
                      <w:rFonts w:hint="eastAsia" w:ascii="Times New Roman" w:hAnsi="Times New Roman" w:cs="Times New Roman"/>
                      <w:b w:val="0"/>
                      <w:bCs w:val="0"/>
                      <w:color w:val="auto"/>
                      <w:sz w:val="21"/>
                      <w:szCs w:val="21"/>
                      <w:lang w:val="en-US" w:eastAsia="zh-CN"/>
                    </w:rPr>
                    <w:t>焊接</w:t>
                  </w:r>
                </w:p>
              </w:tc>
              <w:tc>
                <w:tcPr>
                  <w:tcW w:w="2368" w:type="dxa"/>
                  <w:noWrap w:val="0"/>
                  <w:vAlign w:val="center"/>
                </w:tcPr>
                <w:p w14:paraId="36F2CC32">
                  <w:pPr>
                    <w:pStyle w:val="125"/>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颗粒物</w:t>
                  </w:r>
                </w:p>
              </w:tc>
              <w:tc>
                <w:tcPr>
                  <w:tcW w:w="1229" w:type="dxa"/>
                  <w:noWrap w:val="0"/>
                  <w:vAlign w:val="center"/>
                </w:tcPr>
                <w:p w14:paraId="507180DE">
                  <w:pPr>
                    <w:pStyle w:val="125"/>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0" w:type="dxa"/>
                  <w:noWrap w:val="0"/>
                  <w:vAlign w:val="center"/>
                </w:tcPr>
                <w:p w14:paraId="5B0422CC">
                  <w:pPr>
                    <w:pStyle w:val="125"/>
                    <w:kinsoku w:val="0"/>
                    <w:overflowPunct w:val="0"/>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有组织，</w:t>
                  </w:r>
                  <w:r>
                    <w:rPr>
                      <w:rFonts w:hint="default" w:ascii="Times New Roman" w:hAnsi="Times New Roman" w:cs="Times New Roman"/>
                      <w:b w:val="0"/>
                      <w:bCs w:val="0"/>
                      <w:color w:val="auto"/>
                      <w:sz w:val="21"/>
                      <w:szCs w:val="21"/>
                      <w:lang w:eastAsia="zh-CN"/>
                    </w:rPr>
                    <w:t>间歇</w:t>
                  </w:r>
                </w:p>
              </w:tc>
            </w:tr>
            <w:tr w14:paraId="68650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4966D60E">
                  <w:pPr>
                    <w:pStyle w:val="125"/>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7AE6D031">
                  <w:pPr>
                    <w:pStyle w:val="125"/>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326AB2EC">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喷粉</w:t>
                  </w:r>
                </w:p>
              </w:tc>
              <w:tc>
                <w:tcPr>
                  <w:tcW w:w="2368" w:type="dxa"/>
                  <w:noWrap w:val="0"/>
                  <w:vAlign w:val="center"/>
                </w:tcPr>
                <w:p w14:paraId="4636E5EF">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颗粒物</w:t>
                  </w:r>
                </w:p>
              </w:tc>
              <w:tc>
                <w:tcPr>
                  <w:tcW w:w="1229" w:type="dxa"/>
                  <w:noWrap w:val="0"/>
                  <w:vAlign w:val="center"/>
                </w:tcPr>
                <w:p w14:paraId="6534E1D5">
                  <w:pPr>
                    <w:kinsoku w:val="0"/>
                    <w:overflowPunct w:val="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0" w:type="dxa"/>
                  <w:noWrap w:val="0"/>
                  <w:vAlign w:val="center"/>
                </w:tcPr>
                <w:p w14:paraId="1C13280C">
                  <w:pPr>
                    <w:kinsoku w:val="0"/>
                    <w:overflowPunct w:val="0"/>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无组织，</w:t>
                  </w:r>
                  <w:r>
                    <w:rPr>
                      <w:rFonts w:hint="default" w:ascii="Times New Roman" w:hAnsi="Times New Roman" w:cs="Times New Roman"/>
                      <w:b w:val="0"/>
                      <w:bCs w:val="0"/>
                      <w:color w:val="auto"/>
                      <w:sz w:val="21"/>
                      <w:szCs w:val="21"/>
                      <w:lang w:eastAsia="zh-CN"/>
                    </w:rPr>
                    <w:t>间歇</w:t>
                  </w:r>
                </w:p>
              </w:tc>
            </w:tr>
            <w:tr w14:paraId="091B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6A8431BE">
                  <w:pPr>
                    <w:pStyle w:val="125"/>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5D55A9C9">
                  <w:pPr>
                    <w:pStyle w:val="125"/>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2397D795">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天然气燃烧</w:t>
                  </w:r>
                </w:p>
              </w:tc>
              <w:tc>
                <w:tcPr>
                  <w:tcW w:w="2368" w:type="dxa"/>
                  <w:noWrap w:val="0"/>
                  <w:vAlign w:val="center"/>
                </w:tcPr>
                <w:p w14:paraId="205D3ABA">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颗粒物、二氧化硫、氮氧化物</w:t>
                  </w:r>
                </w:p>
              </w:tc>
              <w:tc>
                <w:tcPr>
                  <w:tcW w:w="1229" w:type="dxa"/>
                  <w:noWrap w:val="0"/>
                  <w:vAlign w:val="center"/>
                </w:tcPr>
                <w:p w14:paraId="5E81718F">
                  <w:pPr>
                    <w:kinsoku w:val="0"/>
                    <w:overflowPunct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生产车间</w:t>
                  </w:r>
                </w:p>
              </w:tc>
              <w:tc>
                <w:tcPr>
                  <w:tcW w:w="1190" w:type="dxa"/>
                  <w:noWrap w:val="0"/>
                  <w:vAlign w:val="center"/>
                </w:tcPr>
                <w:p w14:paraId="65423E8D">
                  <w:pPr>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有组织、间歇</w:t>
                  </w:r>
                </w:p>
              </w:tc>
            </w:tr>
            <w:tr w14:paraId="18438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903B450">
                  <w:pPr>
                    <w:pStyle w:val="125"/>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4B2ADDB1">
                  <w:pPr>
                    <w:pStyle w:val="125"/>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7E17DF09">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固化</w:t>
                  </w:r>
                </w:p>
              </w:tc>
              <w:tc>
                <w:tcPr>
                  <w:tcW w:w="2368" w:type="dxa"/>
                  <w:noWrap w:val="0"/>
                  <w:vAlign w:val="center"/>
                </w:tcPr>
                <w:p w14:paraId="26B12F45">
                  <w:pPr>
                    <w:pStyle w:val="125"/>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非甲烷总烃</w:t>
                  </w:r>
                </w:p>
              </w:tc>
              <w:tc>
                <w:tcPr>
                  <w:tcW w:w="1229" w:type="dxa"/>
                  <w:noWrap w:val="0"/>
                  <w:vAlign w:val="center"/>
                </w:tcPr>
                <w:p w14:paraId="0010C321">
                  <w:pPr>
                    <w:kinsoku w:val="0"/>
                    <w:overflowPunct w:val="0"/>
                    <w:jc w:val="center"/>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生产车间</w:t>
                  </w:r>
                </w:p>
              </w:tc>
              <w:tc>
                <w:tcPr>
                  <w:tcW w:w="1190" w:type="dxa"/>
                  <w:noWrap w:val="0"/>
                  <w:vAlign w:val="center"/>
                </w:tcPr>
                <w:p w14:paraId="1A129977">
                  <w:pPr>
                    <w:kinsoku w:val="0"/>
                    <w:overflowPunct w:val="0"/>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有组织、间歇</w:t>
                  </w:r>
                </w:p>
              </w:tc>
            </w:tr>
            <w:tr w14:paraId="30112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6E31A57">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1" w:type="dxa"/>
                  <w:vMerge w:val="restart"/>
                  <w:noWrap w:val="0"/>
                  <w:vAlign w:val="center"/>
                </w:tcPr>
                <w:p w14:paraId="1B25C5C9">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w:t>
                  </w:r>
                </w:p>
                <w:p w14:paraId="25A353E2">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2005" w:type="dxa"/>
                  <w:noWrap w:val="0"/>
                  <w:vAlign w:val="center"/>
                </w:tcPr>
                <w:p w14:paraId="691A445C">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喷粉</w:t>
                  </w:r>
                </w:p>
              </w:tc>
              <w:tc>
                <w:tcPr>
                  <w:tcW w:w="2368" w:type="dxa"/>
                  <w:noWrap w:val="0"/>
                  <w:vAlign w:val="center"/>
                </w:tcPr>
                <w:p w14:paraId="5779F10D">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废粉</w:t>
                  </w:r>
                </w:p>
              </w:tc>
              <w:tc>
                <w:tcPr>
                  <w:tcW w:w="1229" w:type="dxa"/>
                  <w:noWrap w:val="0"/>
                  <w:vAlign w:val="center"/>
                </w:tcPr>
                <w:p w14:paraId="232E06E7">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0" w:type="dxa"/>
                  <w:noWrap w:val="0"/>
                  <w:vAlign w:val="center"/>
                </w:tcPr>
                <w:p w14:paraId="6AB36EA3">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3E9EF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2CE46FD">
                  <w:pPr>
                    <w:pStyle w:val="125"/>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4E422F56">
                  <w:pPr>
                    <w:pStyle w:val="125"/>
                    <w:kinsoku w:val="0"/>
                    <w:overflowPunct w:val="0"/>
                    <w:jc w:val="both"/>
                    <w:rPr>
                      <w:rFonts w:hint="default" w:ascii="Times New Roman" w:hAnsi="Times New Roman" w:cs="Times New Roman"/>
                      <w:color w:val="auto"/>
                      <w:sz w:val="21"/>
                      <w:szCs w:val="21"/>
                      <w:lang w:eastAsia="zh-CN"/>
                    </w:rPr>
                  </w:pPr>
                </w:p>
              </w:tc>
              <w:tc>
                <w:tcPr>
                  <w:tcW w:w="2005" w:type="dxa"/>
                  <w:noWrap w:val="0"/>
                  <w:vAlign w:val="center"/>
                </w:tcPr>
                <w:p w14:paraId="78A18D4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抛丸、焊接</w:t>
                  </w:r>
                </w:p>
              </w:tc>
              <w:tc>
                <w:tcPr>
                  <w:tcW w:w="2368" w:type="dxa"/>
                  <w:noWrap w:val="0"/>
                  <w:vAlign w:val="center"/>
                </w:tcPr>
                <w:p w14:paraId="19D802F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废钢丸、收尘灰</w:t>
                  </w:r>
                </w:p>
              </w:tc>
              <w:tc>
                <w:tcPr>
                  <w:tcW w:w="1229" w:type="dxa"/>
                  <w:noWrap w:val="0"/>
                  <w:vAlign w:val="center"/>
                </w:tcPr>
                <w:p w14:paraId="51B0D245">
                  <w:pPr>
                    <w:pStyle w:val="125"/>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90" w:type="dxa"/>
                  <w:noWrap w:val="0"/>
                  <w:vAlign w:val="center"/>
                </w:tcPr>
                <w:p w14:paraId="2CA75BEB">
                  <w:pPr>
                    <w:pStyle w:val="125"/>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w:t>
                  </w:r>
                  <w:r>
                    <w:rPr>
                      <w:rFonts w:hint="eastAsia" w:ascii="Times New Roman" w:hAnsi="Times New Roman" w:cs="Times New Roman"/>
                      <w:color w:val="auto"/>
                      <w:sz w:val="21"/>
                      <w:szCs w:val="21"/>
                      <w:lang w:val="en-US" w:eastAsia="zh-CN"/>
                    </w:rPr>
                    <w:t>间歇</w:t>
                  </w:r>
                </w:p>
              </w:tc>
            </w:tr>
            <w:tr w14:paraId="155D8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15062F2">
                  <w:pPr>
                    <w:pStyle w:val="125"/>
                    <w:kinsoku w:val="0"/>
                    <w:overflowPunct w:val="0"/>
                    <w:rPr>
                      <w:rFonts w:hint="default" w:ascii="Times New Roman" w:hAnsi="Times New Roman" w:cs="Times New Roman"/>
                      <w:color w:val="auto"/>
                      <w:sz w:val="21"/>
                      <w:szCs w:val="21"/>
                    </w:rPr>
                  </w:pPr>
                </w:p>
              </w:tc>
              <w:tc>
                <w:tcPr>
                  <w:tcW w:w="1081" w:type="dxa"/>
                  <w:vMerge w:val="restart"/>
                  <w:noWrap w:val="0"/>
                  <w:vAlign w:val="center"/>
                </w:tcPr>
                <w:p w14:paraId="7D01A93C">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2005" w:type="dxa"/>
                  <w:noWrap w:val="0"/>
                  <w:vAlign w:val="center"/>
                </w:tcPr>
                <w:p w14:paraId="0294436E">
                  <w:pPr>
                    <w:pStyle w:val="125"/>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r>
                    <w:rPr>
                      <w:rFonts w:hint="eastAsia" w:ascii="Times New Roman" w:hAnsi="Times New Roman" w:cs="Times New Roman"/>
                      <w:color w:val="auto"/>
                      <w:kern w:val="2"/>
                      <w:sz w:val="21"/>
                      <w:szCs w:val="21"/>
                      <w:lang w:val="en-US" w:eastAsia="zh-CN" w:bidi="ar-SA"/>
                    </w:rPr>
                    <w:t>、废水处理</w:t>
                  </w:r>
                </w:p>
              </w:tc>
              <w:tc>
                <w:tcPr>
                  <w:tcW w:w="2368" w:type="dxa"/>
                  <w:noWrap w:val="0"/>
                  <w:vAlign w:val="center"/>
                </w:tcPr>
                <w:p w14:paraId="29656B3A">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废活性炭</w:t>
                  </w:r>
                </w:p>
              </w:tc>
              <w:tc>
                <w:tcPr>
                  <w:tcW w:w="1229" w:type="dxa"/>
                  <w:noWrap w:val="0"/>
                  <w:vAlign w:val="center"/>
                </w:tcPr>
                <w:p w14:paraId="294DF699">
                  <w:pPr>
                    <w:pStyle w:val="125"/>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生产车间</w:t>
                  </w:r>
                </w:p>
              </w:tc>
              <w:tc>
                <w:tcPr>
                  <w:tcW w:w="1190" w:type="dxa"/>
                  <w:noWrap w:val="0"/>
                  <w:vAlign w:val="center"/>
                </w:tcPr>
                <w:p w14:paraId="67488B93">
                  <w:pPr>
                    <w:pStyle w:val="125"/>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344FD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2A256F31">
                  <w:pPr>
                    <w:pStyle w:val="125"/>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05021CFA">
                  <w:pPr>
                    <w:pStyle w:val="125"/>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43C32869">
                  <w:pPr>
                    <w:pStyle w:val="125"/>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废水处理</w:t>
                  </w:r>
                </w:p>
              </w:tc>
              <w:tc>
                <w:tcPr>
                  <w:tcW w:w="2368" w:type="dxa"/>
                  <w:noWrap w:val="0"/>
                  <w:vAlign w:val="center"/>
                </w:tcPr>
                <w:p w14:paraId="10D03A47">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污泥</w:t>
                  </w:r>
                </w:p>
              </w:tc>
              <w:tc>
                <w:tcPr>
                  <w:tcW w:w="1229" w:type="dxa"/>
                  <w:noWrap w:val="0"/>
                  <w:vAlign w:val="center"/>
                </w:tcPr>
                <w:p w14:paraId="1D9D00B9">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0" w:type="dxa"/>
                  <w:noWrap w:val="0"/>
                  <w:vAlign w:val="center"/>
                </w:tcPr>
                <w:p w14:paraId="2FFE4C92">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77CDD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509B9AF0">
                  <w:pPr>
                    <w:pStyle w:val="125"/>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39D7D03B">
                  <w:pPr>
                    <w:pStyle w:val="125"/>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1615D68E">
                  <w:pPr>
                    <w:pStyle w:val="125"/>
                    <w:kinsoku w:val="0"/>
                    <w:overflowPunct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辅助（空压机）</w:t>
                  </w:r>
                </w:p>
              </w:tc>
              <w:tc>
                <w:tcPr>
                  <w:tcW w:w="2368" w:type="dxa"/>
                  <w:noWrap w:val="0"/>
                  <w:vAlign w:val="center"/>
                </w:tcPr>
                <w:p w14:paraId="79081BF1">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废液压油</w:t>
                  </w:r>
                </w:p>
              </w:tc>
              <w:tc>
                <w:tcPr>
                  <w:tcW w:w="1229" w:type="dxa"/>
                  <w:noWrap w:val="0"/>
                  <w:vAlign w:val="center"/>
                </w:tcPr>
                <w:p w14:paraId="4C7D0828">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0" w:type="dxa"/>
                  <w:noWrap w:val="0"/>
                  <w:vAlign w:val="center"/>
                </w:tcPr>
                <w:p w14:paraId="11BDC7F4">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51EF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10CB9B3D">
                  <w:pPr>
                    <w:pStyle w:val="125"/>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5A7C7F63">
                  <w:pPr>
                    <w:pStyle w:val="125"/>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06D9AA5A">
                  <w:pPr>
                    <w:pStyle w:val="125"/>
                    <w:kinsoku w:val="0"/>
                    <w:overflowPunct w:val="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全厂</w:t>
                  </w:r>
                </w:p>
              </w:tc>
              <w:tc>
                <w:tcPr>
                  <w:tcW w:w="2368" w:type="dxa"/>
                  <w:noWrap w:val="0"/>
                  <w:vAlign w:val="center"/>
                </w:tcPr>
                <w:p w14:paraId="28CE0CDB">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废油桶、含油抹布手套</w:t>
                  </w:r>
                </w:p>
              </w:tc>
              <w:tc>
                <w:tcPr>
                  <w:tcW w:w="1229" w:type="dxa"/>
                  <w:noWrap w:val="0"/>
                  <w:vAlign w:val="center"/>
                </w:tcPr>
                <w:p w14:paraId="3972CB51">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0" w:type="dxa"/>
                  <w:noWrap w:val="0"/>
                  <w:vAlign w:val="center"/>
                </w:tcPr>
                <w:p w14:paraId="0EBAA5E8">
                  <w:pPr>
                    <w:pStyle w:val="125"/>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8455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670FF351">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005" w:type="dxa"/>
                  <w:noWrap w:val="0"/>
                  <w:vAlign w:val="center"/>
                </w:tcPr>
                <w:p w14:paraId="1A9500BA">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设备运转</w:t>
                  </w:r>
                </w:p>
              </w:tc>
              <w:tc>
                <w:tcPr>
                  <w:tcW w:w="2368" w:type="dxa"/>
                  <w:noWrap w:val="0"/>
                  <w:vAlign w:val="center"/>
                </w:tcPr>
                <w:p w14:paraId="1D60C850">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1229" w:type="dxa"/>
                  <w:noWrap w:val="0"/>
                  <w:vAlign w:val="center"/>
                </w:tcPr>
                <w:p w14:paraId="3210E0D0">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生产车间</w:t>
                  </w:r>
                </w:p>
              </w:tc>
              <w:tc>
                <w:tcPr>
                  <w:tcW w:w="1190" w:type="dxa"/>
                  <w:noWrap w:val="0"/>
                  <w:vAlign w:val="center"/>
                </w:tcPr>
                <w:p w14:paraId="0296A3B5">
                  <w:pPr>
                    <w:pStyle w:val="125"/>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297DA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7F563BD7">
                  <w:pPr>
                    <w:pStyle w:val="125"/>
                    <w:kinsoku w:val="0"/>
                    <w:overflowPunct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2005" w:type="dxa"/>
                  <w:noWrap w:val="0"/>
                  <w:vAlign w:val="center"/>
                </w:tcPr>
                <w:p w14:paraId="1BE71541">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清洗</w:t>
                  </w:r>
                </w:p>
              </w:tc>
              <w:tc>
                <w:tcPr>
                  <w:tcW w:w="2368" w:type="dxa"/>
                  <w:noWrap w:val="0"/>
                  <w:vAlign w:val="center"/>
                </w:tcPr>
                <w:p w14:paraId="568F5562">
                  <w:pPr>
                    <w:pStyle w:val="125"/>
                    <w:kinsoku w:val="0"/>
                    <w:overflowPunct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SS、COD、油类物质、LAS</w:t>
                  </w:r>
                </w:p>
              </w:tc>
              <w:tc>
                <w:tcPr>
                  <w:tcW w:w="1229" w:type="dxa"/>
                  <w:noWrap w:val="0"/>
                  <w:vAlign w:val="center"/>
                </w:tcPr>
                <w:p w14:paraId="445719E3">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1190" w:type="dxa"/>
                  <w:noWrap w:val="0"/>
                  <w:vAlign w:val="center"/>
                </w:tcPr>
                <w:p w14:paraId="386FCCE6">
                  <w:pPr>
                    <w:pStyle w:val="125"/>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循环使用，不外排</w:t>
                  </w:r>
                </w:p>
              </w:tc>
            </w:tr>
          </w:tbl>
          <w:p w14:paraId="47F815F9">
            <w:pPr>
              <w:adjustRightInd w:val="0"/>
              <w:snapToGrid w:val="0"/>
              <w:rPr>
                <w:rFonts w:hint="default" w:ascii="Times New Roman" w:hAnsi="Times New Roman" w:cs="Times New Roman"/>
                <w:bCs/>
                <w:color w:val="auto"/>
                <w:szCs w:val="21"/>
              </w:rPr>
            </w:pPr>
          </w:p>
        </w:tc>
      </w:tr>
      <w:tr w14:paraId="4824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425" w:type="dxa"/>
            <w:noWrap w:val="0"/>
            <w:vAlign w:val="center"/>
          </w:tcPr>
          <w:p w14:paraId="1798AB60">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635" w:type="dxa"/>
            <w:tcBorders>
              <w:bottom w:val="single" w:color="auto" w:sz="4" w:space="0"/>
            </w:tcBorders>
            <w:noWrap w:val="0"/>
            <w:vAlign w:val="center"/>
          </w:tcPr>
          <w:p w14:paraId="06C68FF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原有项目环评及验收情况</w:t>
            </w:r>
          </w:p>
          <w:p w14:paraId="4545E8B7">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原有项目于2024年</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购买该地块，</w:t>
            </w:r>
            <w:r>
              <w:rPr>
                <w:rFonts w:hint="default" w:ascii="Times New Roman" w:hAnsi="Times New Roman" w:eastAsia="宋体" w:cs="Times New Roman"/>
                <w:color w:val="auto"/>
                <w:sz w:val="24"/>
              </w:rPr>
              <w:t>占地面积约18413㎡，</w:t>
            </w:r>
            <w:r>
              <w:rPr>
                <w:rFonts w:hint="eastAsia" w:ascii="Times New Roman" w:hAnsi="Times New Roman" w:eastAsia="宋体" w:cs="Times New Roman"/>
                <w:color w:val="auto"/>
                <w:sz w:val="24"/>
                <w:lang w:val="en-US" w:eastAsia="zh-CN"/>
              </w:rPr>
              <w:t>同时对该地块上所有构筑物进行改造，并安装</w:t>
            </w:r>
            <w:r>
              <w:rPr>
                <w:rFonts w:hint="default" w:ascii="Times New Roman" w:hAnsi="Times New Roman" w:eastAsia="宋体" w:cs="Times New Roman"/>
                <w:color w:val="auto"/>
                <w:sz w:val="24"/>
              </w:rPr>
              <w:t>切割机、剪板机、折弯机、冲床、压力机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立体加工中心等机械设备</w:t>
            </w:r>
            <w:r>
              <w:rPr>
                <w:rFonts w:hint="default" w:ascii="Times New Roman" w:hAnsi="Times New Roman" w:eastAsia="宋体" w:cs="Times New Roman"/>
                <w:color w:val="auto"/>
                <w:sz w:val="24"/>
              </w:rPr>
              <w:t>进行机械零件加工（无铆焊、电焊、碰焊及喷漆作业），</w:t>
            </w:r>
            <w:r>
              <w:rPr>
                <w:rFonts w:hint="default" w:ascii="Times New Roman" w:hAnsi="Times New Roman" w:eastAsia="宋体" w:cs="Times New Roman"/>
                <w:color w:val="auto"/>
                <w:sz w:val="24"/>
                <w:lang w:eastAsia="zh-CN"/>
              </w:rPr>
              <w:t>根据《中华人民共和国环境影响评价法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建设项目环境保护管理条例》和《建设项目环境影响评价分类管理名录》（</w:t>
            </w:r>
            <w:r>
              <w:rPr>
                <w:rFonts w:hint="default" w:ascii="Times New Roman" w:hAnsi="Times New Roman" w:eastAsia="宋体" w:cs="Times New Roman"/>
                <w:color w:val="auto"/>
                <w:sz w:val="24"/>
                <w:lang w:val="en-US" w:eastAsia="zh-CN"/>
              </w:rPr>
              <w:t>2018年版</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金属制品加工制造仅切割组装的需要进行环境影响登记表，建设单位于</w:t>
            </w:r>
            <w:r>
              <w:rPr>
                <w:rFonts w:hint="eastAsia" w:cs="Times New Roman"/>
                <w:color w:val="auto"/>
                <w:sz w:val="24"/>
                <w:lang w:val="en-US" w:eastAsia="zh-CN"/>
              </w:rPr>
              <w:t>2024年11月8日</w:t>
            </w:r>
            <w:r>
              <w:rPr>
                <w:rFonts w:hint="default" w:ascii="Times New Roman" w:hAnsi="Times New Roman" w:eastAsia="宋体" w:cs="Times New Roman"/>
                <w:color w:val="auto"/>
                <w:sz w:val="24"/>
                <w:lang w:val="en-US" w:eastAsia="zh-CN"/>
              </w:rPr>
              <w:t>进行备案登记，备案号为：</w:t>
            </w:r>
            <w:r>
              <w:rPr>
                <w:rFonts w:hint="eastAsia" w:ascii="Times New Roman" w:hAnsi="Times New Roman" w:eastAsia="宋体" w:cs="Times New Roman"/>
                <w:color w:val="auto"/>
                <w:sz w:val="24"/>
                <w:lang w:val="en-US" w:eastAsia="zh-CN"/>
              </w:rPr>
              <w:t>24116103040402576956</w:t>
            </w:r>
            <w:r>
              <w:rPr>
                <w:rFonts w:hint="default" w:ascii="Times New Roman" w:hAnsi="Times New Roman" w:eastAsia="宋体" w:cs="Times New Roman"/>
                <w:color w:val="auto"/>
                <w:sz w:val="24"/>
                <w:lang w:val="en-US" w:eastAsia="zh-CN"/>
              </w:rPr>
              <w:t>。</w:t>
            </w:r>
          </w:p>
          <w:p w14:paraId="34877AE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原有工程污染物实际排放总量</w:t>
            </w:r>
          </w:p>
          <w:p w14:paraId="710BBC35">
            <w:pPr>
              <w:pStyle w:val="2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原有项目进行排污许可登记，无年度执行报告和自行</w:t>
            </w:r>
            <w:r>
              <w:rPr>
                <w:rFonts w:hint="eastAsia" w:cs="Times New Roman"/>
                <w:color w:val="auto"/>
                <w:kern w:val="2"/>
                <w:sz w:val="24"/>
                <w:szCs w:val="24"/>
                <w:lang w:val="en-US" w:eastAsia="zh-CN" w:bidi="ar-SA"/>
              </w:rPr>
              <w:t>检测报告</w:t>
            </w:r>
            <w:r>
              <w:rPr>
                <w:rFonts w:hint="eastAsia" w:ascii="Times New Roman" w:hAnsi="Times New Roman" w:eastAsia="宋体" w:cs="Times New Roman"/>
                <w:color w:val="auto"/>
                <w:kern w:val="2"/>
                <w:sz w:val="24"/>
                <w:szCs w:val="24"/>
                <w:lang w:val="en-US" w:eastAsia="zh-CN" w:bidi="ar-SA"/>
              </w:rPr>
              <w:t>，故本次废气污染物排放量按照物料平衡法进行核算。</w:t>
            </w:r>
          </w:p>
          <w:p w14:paraId="6937A0EA">
            <w:pPr>
              <w:pStyle w:val="29"/>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（1）废气：经现场勘查，</w:t>
            </w:r>
            <w:r>
              <w:rPr>
                <w:rFonts w:hint="eastAsia" w:ascii="Times New Roman" w:hAnsi="Times New Roman" w:eastAsia="宋体" w:cs="Times New Roman"/>
                <w:color w:val="auto"/>
                <w:kern w:val="2"/>
                <w:sz w:val="24"/>
                <w:szCs w:val="24"/>
                <w:lang w:val="en-US" w:eastAsia="zh-CN" w:bidi="ar-SA"/>
              </w:rPr>
              <w:t>切割机</w:t>
            </w:r>
            <w:r>
              <w:rPr>
                <w:rFonts w:hint="eastAsia" w:cs="Times New Roman"/>
                <w:color w:val="auto"/>
                <w:kern w:val="2"/>
                <w:sz w:val="24"/>
                <w:szCs w:val="24"/>
                <w:lang w:val="en-US" w:eastAsia="zh-CN" w:bidi="ar-SA"/>
              </w:rPr>
              <w:t>、修磨机等设备</w:t>
            </w:r>
            <w:r>
              <w:rPr>
                <w:rFonts w:hint="eastAsia" w:ascii="Times New Roman" w:hAnsi="Times New Roman" w:eastAsia="宋体" w:cs="Times New Roman"/>
                <w:color w:val="auto"/>
                <w:kern w:val="2"/>
                <w:sz w:val="24"/>
                <w:szCs w:val="24"/>
                <w:lang w:val="en-US" w:eastAsia="zh-CN" w:bidi="ar-SA"/>
              </w:rPr>
              <w:t>运行会产生相应粉尘，设移</w:t>
            </w:r>
            <w:r>
              <w:rPr>
                <w:rFonts w:hint="eastAsia" w:cs="Times New Roman"/>
                <w:color w:val="auto"/>
                <w:kern w:val="2"/>
                <w:sz w:val="24"/>
                <w:szCs w:val="24"/>
                <w:lang w:val="en-US" w:eastAsia="zh-CN" w:bidi="ar-SA"/>
              </w:rPr>
              <w:t>动</w:t>
            </w:r>
            <w:r>
              <w:rPr>
                <w:rFonts w:hint="eastAsia" w:ascii="Times New Roman" w:hAnsi="Times New Roman" w:eastAsia="宋体" w:cs="Times New Roman"/>
                <w:color w:val="auto"/>
                <w:kern w:val="2"/>
                <w:sz w:val="24"/>
                <w:szCs w:val="24"/>
                <w:lang w:val="en-US" w:eastAsia="zh-CN" w:bidi="ar-SA"/>
              </w:rPr>
              <w:t>收尘设施收集处理无组织排放，一般收尘灰产生量约为</w:t>
            </w:r>
            <w:r>
              <w:rPr>
                <w:rFonts w:hint="eastAsia" w:cs="Times New Roman"/>
                <w:color w:val="auto"/>
                <w:kern w:val="2"/>
                <w:sz w:val="24"/>
                <w:szCs w:val="24"/>
                <w:lang w:val="en-US" w:eastAsia="zh-CN" w:bidi="ar-SA"/>
              </w:rPr>
              <w:t>1.67</w:t>
            </w:r>
            <w:r>
              <w:rPr>
                <w:rFonts w:hint="eastAsia" w:ascii="Times New Roman" w:hAnsi="Times New Roman" w:eastAsia="宋体" w:cs="Times New Roman"/>
                <w:color w:val="auto"/>
                <w:kern w:val="2"/>
                <w:sz w:val="24"/>
                <w:szCs w:val="24"/>
                <w:lang w:val="en-US" w:eastAsia="zh-CN" w:bidi="ar-SA"/>
              </w:rPr>
              <w:t>t/a，根据物料平衡法核算，收尘系统收集效率为95%，则无组织废气产生量为</w:t>
            </w:r>
            <w:r>
              <w:rPr>
                <w:rFonts w:hint="eastAsia" w:cs="Times New Roman"/>
                <w:color w:val="auto"/>
                <w:kern w:val="2"/>
                <w:sz w:val="24"/>
                <w:szCs w:val="24"/>
                <w:lang w:val="en-US" w:eastAsia="zh-CN" w:bidi="ar-SA"/>
              </w:rPr>
              <w:t>0.09</w:t>
            </w:r>
            <w:r>
              <w:rPr>
                <w:rFonts w:hint="eastAsia" w:ascii="Times New Roman" w:hAnsi="Times New Roman" w:eastAsia="宋体" w:cs="Times New Roman"/>
                <w:color w:val="auto"/>
                <w:kern w:val="2"/>
                <w:sz w:val="24"/>
                <w:szCs w:val="24"/>
                <w:lang w:val="en-US" w:eastAsia="zh-CN" w:bidi="ar-SA"/>
              </w:rPr>
              <w:t>t/a</w:t>
            </w:r>
            <w:r>
              <w:rPr>
                <w:rFonts w:hint="default" w:ascii="Times New Roman" w:hAnsi="Times New Roman" w:eastAsia="宋体" w:cs="Times New Roman"/>
                <w:color w:val="auto"/>
                <w:kern w:val="2"/>
                <w:sz w:val="24"/>
                <w:szCs w:val="24"/>
                <w:lang w:val="en-US" w:eastAsia="zh-CN" w:bidi="ar-SA"/>
              </w:rPr>
              <w:t>；</w:t>
            </w:r>
          </w:p>
          <w:p w14:paraId="08F203FF">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）废水：</w:t>
            </w:r>
            <w:r>
              <w:rPr>
                <w:rFonts w:hint="default" w:ascii="Times New Roman" w:hAnsi="Times New Roman" w:eastAsia="宋体" w:cs="Times New Roman"/>
                <w:bCs/>
                <w:color w:val="auto"/>
                <w:sz w:val="24"/>
                <w:szCs w:val="24"/>
              </w:rPr>
              <w:t>生活污水</w:t>
            </w:r>
            <w:r>
              <w:rPr>
                <w:rFonts w:hint="default" w:ascii="Times New Roman" w:hAnsi="Times New Roman" w:eastAsia="宋体" w:cs="Times New Roman"/>
                <w:bCs/>
                <w:color w:val="auto"/>
                <w:sz w:val="24"/>
                <w:szCs w:val="24"/>
                <w:lang w:eastAsia="zh-CN"/>
              </w:rPr>
              <w:t>经厂区公用化粪池</w:t>
            </w:r>
            <w:r>
              <w:rPr>
                <w:rFonts w:hint="eastAsia" w:ascii="Times New Roman" w:hAnsi="Times New Roman" w:eastAsia="宋体" w:cs="Times New Roman"/>
                <w:bCs/>
                <w:color w:val="auto"/>
                <w:sz w:val="24"/>
                <w:szCs w:val="24"/>
                <w:lang w:val="en-US" w:eastAsia="zh-CN"/>
              </w:rPr>
              <w:t>拉运农田土壤改良</w:t>
            </w:r>
            <w:r>
              <w:rPr>
                <w:rFonts w:hint="default" w:ascii="Times New Roman" w:hAnsi="Times New Roman" w:eastAsia="宋体" w:cs="Times New Roman"/>
                <w:bCs/>
                <w:color w:val="auto"/>
                <w:sz w:val="24"/>
                <w:szCs w:val="24"/>
                <w:lang w:eastAsia="zh-CN"/>
              </w:rPr>
              <w:t>。</w:t>
            </w:r>
          </w:p>
          <w:p w14:paraId="55291E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val="en-US" w:eastAsia="zh-CN"/>
              </w:rPr>
              <w:t>噪声</w:t>
            </w:r>
          </w:p>
          <w:p w14:paraId="03D0FB54">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原有项目运营过程中产生的噪声主要来源于生产设备，项目采用低噪声设备并布设</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lang w:eastAsia="zh-CN"/>
              </w:rPr>
              <w:t>厂房内，</w:t>
            </w:r>
            <w:r>
              <w:rPr>
                <w:rFonts w:hint="default" w:ascii="Times New Roman" w:hAnsi="Times New Roman" w:eastAsia="宋体" w:cs="Times New Roman"/>
                <w:color w:val="auto"/>
                <w:sz w:val="24"/>
                <w:szCs w:val="24"/>
                <w:lang w:val="en-US" w:eastAsia="zh-CN"/>
              </w:rPr>
              <w:t>项目厂房为砖</w:t>
            </w:r>
            <w:r>
              <w:rPr>
                <w:rFonts w:hint="default" w:ascii="Times New Roman" w:hAnsi="Times New Roman" w:eastAsia="宋体" w:cs="Times New Roman"/>
                <w:color w:val="auto"/>
                <w:sz w:val="24"/>
                <w:szCs w:val="24"/>
                <w:lang w:eastAsia="zh-CN"/>
              </w:rPr>
              <w:t>混结构，通过采取合理布局、厂房隔声有效降低噪声对外环境影响。</w:t>
            </w:r>
          </w:p>
          <w:p w14:paraId="4FED08AB">
            <w:pPr>
              <w:keepNext/>
              <w:keepLines/>
              <w:widowControl/>
              <w:spacing w:line="360" w:lineRule="auto"/>
              <w:ind w:firstLine="480" w:firstLineChars="200"/>
              <w:outlineLvl w:val="1"/>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委托陕西秦景蓝环境检测有限公司于</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日对项目厂界四周进行噪声现状监测，共布设4个监测点，每天昼间监测1次，共监测</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天，具体监测数据见下表：</w:t>
            </w:r>
          </w:p>
          <w:p w14:paraId="5F7A72DB">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厂界现状噪声监测一览表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2097"/>
              <w:gridCol w:w="2097"/>
              <w:gridCol w:w="2097"/>
            </w:tblGrid>
            <w:tr w14:paraId="0C35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1952CCB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监测日期</w:t>
                  </w:r>
                </w:p>
              </w:tc>
              <w:tc>
                <w:tcPr>
                  <w:tcW w:w="1250" w:type="pct"/>
                  <w:vMerge w:val="restart"/>
                  <w:tcBorders>
                    <w:tl2br w:val="nil"/>
                    <w:tr2bl w:val="nil"/>
                  </w:tcBorders>
                  <w:noWrap w:val="0"/>
                  <w:vAlign w:val="center"/>
                </w:tcPr>
                <w:p w14:paraId="77685F9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监测点位</w:t>
                  </w:r>
                </w:p>
              </w:tc>
              <w:tc>
                <w:tcPr>
                  <w:tcW w:w="1250" w:type="pct"/>
                  <w:tcBorders>
                    <w:tl2br w:val="nil"/>
                    <w:tr2bl w:val="nil"/>
                  </w:tcBorders>
                  <w:noWrap w:val="0"/>
                  <w:vAlign w:val="center"/>
                </w:tcPr>
                <w:p w14:paraId="376EDF04">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监测时段</w:t>
                  </w:r>
                </w:p>
              </w:tc>
              <w:tc>
                <w:tcPr>
                  <w:tcW w:w="1250" w:type="pct"/>
                  <w:vMerge w:val="restart"/>
                  <w:tcBorders>
                    <w:tl2br w:val="nil"/>
                    <w:tr2bl w:val="nil"/>
                  </w:tcBorders>
                  <w:noWrap w:val="0"/>
                  <w:vAlign w:val="center"/>
                </w:tcPr>
                <w:p w14:paraId="47735E5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执行标准</w:t>
                  </w:r>
                </w:p>
              </w:tc>
            </w:tr>
            <w:tr w14:paraId="2B47F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02229A25">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vMerge w:val="continue"/>
                  <w:tcBorders>
                    <w:tl2br w:val="nil"/>
                    <w:tr2bl w:val="nil"/>
                  </w:tcBorders>
                  <w:noWrap w:val="0"/>
                  <w:vAlign w:val="center"/>
                </w:tcPr>
                <w:p w14:paraId="3E32545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0638D43C">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1250" w:type="pct"/>
                  <w:vMerge w:val="continue"/>
                  <w:tcBorders>
                    <w:tl2br w:val="nil"/>
                    <w:tr2bl w:val="nil"/>
                  </w:tcBorders>
                  <w:noWrap w:val="0"/>
                  <w:vAlign w:val="center"/>
                </w:tcPr>
                <w:p w14:paraId="2F9864E9">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29C24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0EA4F70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w:t>
                  </w:r>
                </w:p>
              </w:tc>
              <w:tc>
                <w:tcPr>
                  <w:tcW w:w="1250" w:type="pct"/>
                  <w:tcBorders>
                    <w:tl2br w:val="nil"/>
                    <w:tr2bl w:val="nil"/>
                  </w:tcBorders>
                  <w:noWrap w:val="0"/>
                  <w:vAlign w:val="center"/>
                </w:tcPr>
                <w:p w14:paraId="3EEE49F4">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东侧厂界</w:t>
                  </w:r>
                </w:p>
              </w:tc>
              <w:tc>
                <w:tcPr>
                  <w:tcW w:w="1250" w:type="pct"/>
                  <w:tcBorders>
                    <w:tl2br w:val="nil"/>
                    <w:tr2bl w:val="nil"/>
                  </w:tcBorders>
                  <w:noWrap w:val="0"/>
                  <w:vAlign w:val="center"/>
                </w:tcPr>
                <w:p w14:paraId="79A40AA2">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1250" w:type="pct"/>
                  <w:vMerge w:val="restart"/>
                  <w:tcBorders>
                    <w:tl2br w:val="nil"/>
                    <w:tr2bl w:val="nil"/>
                  </w:tcBorders>
                  <w:noWrap w:val="0"/>
                  <w:vAlign w:val="center"/>
                </w:tcPr>
                <w:p w14:paraId="37AE3CD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东、南、西侧执行</w:t>
                  </w:r>
                  <w:r>
                    <w:rPr>
                      <w:rFonts w:hint="default" w:ascii="Times New Roman" w:hAnsi="Times New Roman" w:cs="Times New Roman"/>
                      <w:color w:val="auto"/>
                      <w:lang w:val="en-US" w:eastAsia="zh-CN"/>
                    </w:rPr>
                    <w:t>《工业企业厂界环境噪声排放标准》GB12348-2008中</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类</w:t>
                  </w:r>
                  <w:r>
                    <w:rPr>
                      <w:rFonts w:hint="eastAsia" w:ascii="Times New Roman" w:hAnsi="Times New Roman" w:cs="Times New Roman"/>
                      <w:color w:val="auto"/>
                      <w:lang w:val="en-US" w:eastAsia="zh-CN"/>
                    </w:rPr>
                    <w:t>，北侧执行</w:t>
                  </w:r>
                  <w:r>
                    <w:rPr>
                      <w:rFonts w:hint="default" w:ascii="Times New Roman" w:hAnsi="Times New Roman" w:cs="Times New Roman"/>
                      <w:color w:val="auto"/>
                      <w:lang w:val="en-US" w:eastAsia="zh-CN"/>
                    </w:rPr>
                    <w:t>《工业企业厂界环境噪声排放标准》GB12348-2008中</w:t>
                  </w:r>
                  <w:r>
                    <w:rPr>
                      <w:rFonts w:hint="eastAsia" w:ascii="Times New Roman" w:hAnsi="Times New Roman" w:cs="Times New Roman"/>
                      <w:color w:val="auto"/>
                      <w:lang w:val="en-US" w:eastAsia="zh-CN"/>
                    </w:rPr>
                    <w:t>4类</w:t>
                  </w:r>
                </w:p>
              </w:tc>
            </w:tr>
            <w:tr w14:paraId="149C5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3BFE7FDB">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706AED74">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南侧厂界</w:t>
                  </w:r>
                </w:p>
              </w:tc>
              <w:tc>
                <w:tcPr>
                  <w:tcW w:w="1250" w:type="pct"/>
                  <w:tcBorders>
                    <w:tl2br w:val="nil"/>
                    <w:tr2bl w:val="nil"/>
                  </w:tcBorders>
                  <w:noWrap w:val="0"/>
                  <w:vAlign w:val="center"/>
                </w:tcPr>
                <w:p w14:paraId="426DAEE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250" w:type="pct"/>
                  <w:vMerge w:val="continue"/>
                  <w:tcBorders>
                    <w:tl2br w:val="nil"/>
                    <w:tr2bl w:val="nil"/>
                  </w:tcBorders>
                  <w:noWrap w:val="0"/>
                  <w:vAlign w:val="center"/>
                </w:tcPr>
                <w:p w14:paraId="3A70A546">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46C9C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70333607">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7ACA539E">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西侧厂界</w:t>
                  </w:r>
                </w:p>
              </w:tc>
              <w:tc>
                <w:tcPr>
                  <w:tcW w:w="1250" w:type="pct"/>
                  <w:tcBorders>
                    <w:tl2br w:val="nil"/>
                    <w:tr2bl w:val="nil"/>
                  </w:tcBorders>
                  <w:noWrap w:val="0"/>
                  <w:vAlign w:val="center"/>
                </w:tcPr>
                <w:p w14:paraId="438D1498">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64</w:t>
                  </w:r>
                </w:p>
              </w:tc>
              <w:tc>
                <w:tcPr>
                  <w:tcW w:w="1250" w:type="pct"/>
                  <w:vMerge w:val="continue"/>
                  <w:tcBorders>
                    <w:tl2br w:val="nil"/>
                    <w:tr2bl w:val="nil"/>
                  </w:tcBorders>
                  <w:noWrap w:val="0"/>
                  <w:vAlign w:val="center"/>
                </w:tcPr>
                <w:p w14:paraId="375D191E">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r w14:paraId="2BD5B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3775D151">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c>
                <w:tcPr>
                  <w:tcW w:w="1250" w:type="pct"/>
                  <w:tcBorders>
                    <w:tl2br w:val="nil"/>
                    <w:tr2bl w:val="nil"/>
                  </w:tcBorders>
                  <w:noWrap w:val="0"/>
                  <w:vAlign w:val="center"/>
                </w:tcPr>
                <w:p w14:paraId="57E5DD5B">
                  <w:pPr>
                    <w:pStyle w:val="2"/>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480" w:leftChars="0" w:hanging="480" w:hanging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北侧厂界</w:t>
                  </w:r>
                </w:p>
              </w:tc>
              <w:tc>
                <w:tcPr>
                  <w:tcW w:w="1250" w:type="pct"/>
                  <w:tcBorders>
                    <w:tl2br w:val="nil"/>
                    <w:tr2bl w:val="nil"/>
                  </w:tcBorders>
                  <w:noWrap w:val="0"/>
                  <w:vAlign w:val="center"/>
                </w:tcPr>
                <w:p w14:paraId="2CF5A243">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62</w:t>
                  </w:r>
                </w:p>
              </w:tc>
              <w:tc>
                <w:tcPr>
                  <w:tcW w:w="1250" w:type="pct"/>
                  <w:vMerge w:val="continue"/>
                  <w:tcBorders>
                    <w:tl2br w:val="nil"/>
                    <w:tr2bl w:val="nil"/>
                  </w:tcBorders>
                  <w:noWrap w:val="0"/>
                  <w:vAlign w:val="center"/>
                </w:tcPr>
                <w:p w14:paraId="009D3AC5">
                  <w:pPr>
                    <w:keepNext/>
                    <w:keepLines/>
                    <w:pageBreakBefore w:val="0"/>
                    <w:widowControl/>
                    <w:kinsoku/>
                    <w:wordWrap/>
                    <w:overflowPunct/>
                    <w:topLinePunct w:val="0"/>
                    <w:autoSpaceDE/>
                    <w:autoSpaceDN/>
                    <w:bidi w:val="0"/>
                    <w:adjustRightInd/>
                    <w:snapToGrid/>
                    <w:spacing w:line="240" w:lineRule="auto"/>
                    <w:jc w:val="center"/>
                    <w:textAlignment w:val="auto"/>
                    <w:outlineLvl w:val="1"/>
                    <w:rPr>
                      <w:rFonts w:hint="default" w:ascii="Times New Roman" w:hAnsi="Times New Roman" w:cs="Times New Roman"/>
                      <w:color w:val="auto"/>
                      <w:lang w:val="en-US" w:eastAsia="zh-CN"/>
                    </w:rPr>
                  </w:pPr>
                </w:p>
              </w:tc>
            </w:tr>
          </w:tbl>
          <w:p w14:paraId="362F70BE">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根据监测结果可知，项目厂界四周环境噪声值满足《工业企业厂界环境噪声排放标准》GB12348-2008中</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类</w:t>
            </w:r>
            <w:r>
              <w:rPr>
                <w:rFonts w:hint="eastAsia" w:ascii="Times New Roman" w:hAnsi="Times New Roman" w:cs="Times New Roman"/>
                <w:color w:val="auto"/>
                <w:lang w:val="en-US" w:eastAsia="zh-CN"/>
              </w:rPr>
              <w:t>、4类相应限值要求</w:t>
            </w:r>
            <w:r>
              <w:rPr>
                <w:rFonts w:hint="default" w:ascii="Times New Roman" w:hAnsi="Times New Roman" w:cs="Times New Roman"/>
                <w:color w:val="auto"/>
                <w:lang w:val="en-US" w:eastAsia="zh-CN"/>
              </w:rPr>
              <w:t>。</w:t>
            </w:r>
          </w:p>
          <w:p w14:paraId="6E892B8F">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原有项目现状监测点位图见图2-2：</w:t>
            </w:r>
          </w:p>
          <w:p w14:paraId="73CCD0E2">
            <w:pPr>
              <w:keepNext/>
              <w:keepLines/>
              <w:pageBreakBefore w:val="0"/>
              <w:widowControl/>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color w:val="auto"/>
              </w:rPr>
            </w:pPr>
            <w:r>
              <w:rPr>
                <w:color w:val="auto"/>
              </w:rPr>
              <w:drawing>
                <wp:inline distT="0" distB="0" distL="114300" distR="114300">
                  <wp:extent cx="4629150" cy="5143500"/>
                  <wp:effectExtent l="9525" t="9525" r="9525" b="9525"/>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pic:cNvPicPr>
                        </pic:nvPicPr>
                        <pic:blipFill>
                          <a:blip r:embed="rId12"/>
                          <a:stretch>
                            <a:fillRect/>
                          </a:stretch>
                        </pic:blipFill>
                        <pic:spPr>
                          <a:xfrm>
                            <a:off x="0" y="0"/>
                            <a:ext cx="4629150" cy="51435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ED34B69">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bCs/>
                <w:color w:val="auto"/>
                <w:sz w:val="21"/>
                <w:szCs w:val="21"/>
                <w:lang w:val="en-US" w:eastAsia="zh-CN"/>
              </w:rPr>
              <w:t>图2-2    噪声监测点位示意图</w:t>
            </w:r>
          </w:p>
          <w:p w14:paraId="3BBB224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）固废</w:t>
            </w:r>
          </w:p>
          <w:p w14:paraId="21C06A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原有</w:t>
            </w:r>
            <w:r>
              <w:rPr>
                <w:rFonts w:hint="default" w:ascii="Times New Roman" w:hAnsi="Times New Roman" w:eastAsia="宋体" w:cs="Times New Roman"/>
                <w:color w:val="auto"/>
                <w:sz w:val="24"/>
                <w:szCs w:val="24"/>
              </w:rPr>
              <w:t>项目固体废弃物主要为废金属屑、废边角料、</w:t>
            </w:r>
            <w:r>
              <w:rPr>
                <w:rFonts w:hint="eastAsia" w:ascii="Times New Roman" w:hAnsi="Times New Roman" w:eastAsia="宋体" w:cs="Times New Roman"/>
                <w:color w:val="auto"/>
                <w:sz w:val="24"/>
                <w:szCs w:val="24"/>
                <w:lang w:val="en-US" w:eastAsia="zh-CN"/>
              </w:rPr>
              <w:t>废砂轮片、</w:t>
            </w:r>
            <w:r>
              <w:rPr>
                <w:rFonts w:hint="eastAsia" w:ascii="Times New Roman" w:hAnsi="Times New Roman" w:eastAsia="宋体" w:cs="Times New Roman"/>
                <w:color w:val="auto"/>
                <w:sz w:val="24"/>
                <w:szCs w:val="24"/>
                <w:lang w:eastAsia="zh-CN"/>
              </w:rPr>
              <w:t>收尘灰、</w:t>
            </w:r>
            <w:r>
              <w:rPr>
                <w:rFonts w:hint="default" w:ascii="Times New Roman" w:hAnsi="Times New Roman" w:eastAsia="宋体" w:cs="Times New Roman"/>
                <w:color w:val="auto"/>
                <w:sz w:val="24"/>
                <w:szCs w:val="24"/>
              </w:rPr>
              <w:t>生活垃圾及危险废物（废</w:t>
            </w:r>
            <w:r>
              <w:rPr>
                <w:rFonts w:hint="default" w:ascii="Times New Roman" w:hAnsi="Times New Roman" w:eastAsia="宋体" w:cs="Times New Roman"/>
                <w:color w:val="auto"/>
                <w:sz w:val="24"/>
                <w:szCs w:val="24"/>
                <w:lang w:val="en-US" w:eastAsia="zh-CN"/>
              </w:rPr>
              <w:t>切削</w:t>
            </w:r>
            <w:r>
              <w:rPr>
                <w:rFonts w:hint="default" w:ascii="Times New Roman" w:hAnsi="Times New Roman" w:eastAsia="宋体" w:cs="Times New Roman"/>
                <w:color w:val="auto"/>
                <w:sz w:val="24"/>
                <w:szCs w:val="24"/>
                <w:lang w:eastAsia="zh-CN"/>
              </w:rPr>
              <w:t>液、</w:t>
            </w:r>
            <w:r>
              <w:rPr>
                <w:rFonts w:hint="default" w:ascii="Times New Roman" w:hAnsi="Times New Roman" w:eastAsia="宋体" w:cs="Times New Roman"/>
                <w:color w:val="auto"/>
                <w:sz w:val="24"/>
                <w:szCs w:val="24"/>
                <w:lang w:val="en-US" w:eastAsia="zh-CN"/>
              </w:rPr>
              <w:t>废润滑油</w:t>
            </w:r>
            <w:r>
              <w:rPr>
                <w:rFonts w:hint="eastAsia" w:cs="Times New Roman"/>
                <w:color w:val="auto"/>
                <w:sz w:val="24"/>
                <w:szCs w:val="24"/>
                <w:lang w:val="en-US" w:eastAsia="zh-CN"/>
              </w:rPr>
              <w:t>、废液压油</w:t>
            </w:r>
            <w:r>
              <w:rPr>
                <w:rFonts w:hint="default" w:ascii="Times New Roman" w:hAnsi="Times New Roman" w:eastAsia="宋体" w:cs="Times New Roman"/>
                <w:color w:val="auto"/>
                <w:sz w:val="24"/>
                <w:szCs w:val="24"/>
              </w:rPr>
              <w:t>及废含油抹布手套）。</w:t>
            </w:r>
          </w:p>
          <w:p w14:paraId="6E4B9A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根据实际调查，本项目生活垃圾产生量为</w:t>
            </w:r>
            <w:r>
              <w:rPr>
                <w:rFonts w:hint="default" w:ascii="Times New Roman" w:hAnsi="Times New Roman" w:eastAsia="宋体" w:cs="Times New Roman"/>
                <w:color w:val="auto"/>
                <w:sz w:val="24"/>
                <w:szCs w:val="24"/>
                <w:lang w:val="en-US" w:eastAsia="zh-CN"/>
              </w:rPr>
              <w:t>5.4t/a，集中收集定点堆放，由环卫部门定期清运处置；</w:t>
            </w:r>
          </w:p>
          <w:p w14:paraId="414EED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废边角料、废金属屑产生量为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收集至危废暂存间后经静置无油状态存于一般固废暂存区后</w:t>
            </w:r>
            <w:r>
              <w:rPr>
                <w:rFonts w:hint="default" w:ascii="Times New Roman" w:hAnsi="Times New Roman" w:eastAsia="宋体" w:cs="Times New Roman"/>
                <w:color w:val="auto"/>
                <w:sz w:val="24"/>
                <w:szCs w:val="24"/>
              </w:rPr>
              <w:t>外售处理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收尘灰产生量为</w:t>
            </w:r>
            <w:r>
              <w:rPr>
                <w:rFonts w:hint="eastAsia" w:cs="Times New Roman"/>
                <w:color w:val="auto"/>
                <w:sz w:val="24"/>
                <w:szCs w:val="24"/>
                <w:lang w:val="en-US" w:eastAsia="zh-CN"/>
              </w:rPr>
              <w:t>1.67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废砂轮片产生量为0.035t/a，</w:t>
            </w:r>
            <w:r>
              <w:rPr>
                <w:rFonts w:hint="eastAsia" w:ascii="Times New Roman" w:hAnsi="Times New Roman" w:eastAsia="宋体" w:cs="Times New Roman"/>
                <w:color w:val="auto"/>
                <w:sz w:val="24"/>
                <w:szCs w:val="24"/>
                <w:lang w:val="en-US" w:eastAsia="zh-CN"/>
              </w:rPr>
              <w:t>暂存一般固废暂存区后外售处理；</w:t>
            </w:r>
          </w:p>
          <w:p w14:paraId="2B7DD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润滑</w:t>
            </w:r>
            <w:r>
              <w:rPr>
                <w:rFonts w:hint="default" w:ascii="Times New Roman" w:hAnsi="Times New Roman" w:eastAsia="宋体" w:cs="Times New Roman"/>
                <w:color w:val="auto"/>
                <w:sz w:val="24"/>
                <w:szCs w:val="24"/>
                <w:lang w:eastAsia="zh-CN"/>
              </w:rPr>
              <w:t>油产生量为：</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废液压油产生量为0.008t/a，</w:t>
            </w:r>
            <w:r>
              <w:rPr>
                <w:rFonts w:hint="default"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lang w:val="en-US" w:eastAsia="zh-CN"/>
              </w:rPr>
              <w:t>切削</w:t>
            </w:r>
            <w:r>
              <w:rPr>
                <w:rFonts w:hint="default" w:ascii="Times New Roman" w:hAnsi="Times New Roman" w:eastAsia="宋体" w:cs="Times New Roman"/>
                <w:color w:val="auto"/>
                <w:sz w:val="24"/>
                <w:szCs w:val="24"/>
                <w:lang w:eastAsia="zh-CN"/>
              </w:rPr>
              <w:t>液产生量为</w:t>
            </w:r>
            <w:r>
              <w:rPr>
                <w:rFonts w:hint="eastAsia" w:ascii="Times New Roman" w:hAnsi="Times New Roman" w:eastAsia="宋体" w:cs="Times New Roman"/>
                <w:color w:val="auto"/>
                <w:sz w:val="24"/>
                <w:szCs w:val="24"/>
                <w:lang w:val="en-US" w:eastAsia="zh-CN"/>
              </w:rPr>
              <w:t>0.945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废油桶产生量为</w:t>
            </w:r>
            <w:r>
              <w:rPr>
                <w:rFonts w:hint="eastAsia" w:ascii="Times New Roman" w:hAnsi="Times New Roman" w:eastAsia="宋体" w:cs="Times New Roman"/>
                <w:color w:val="auto"/>
                <w:sz w:val="24"/>
                <w:szCs w:val="24"/>
                <w:lang w:val="en-US" w:eastAsia="zh-CN"/>
              </w:rPr>
              <w:t>0.6kg</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废</w:t>
            </w:r>
            <w:r>
              <w:rPr>
                <w:rFonts w:hint="eastAsia" w:ascii="Times New Roman" w:hAnsi="Times New Roman" w:eastAsia="宋体" w:cs="Times New Roman"/>
                <w:color w:val="auto"/>
                <w:sz w:val="24"/>
                <w:szCs w:val="24"/>
                <w:lang w:val="en-US" w:eastAsia="zh-CN"/>
              </w:rPr>
              <w:t>切削液</w:t>
            </w:r>
            <w:r>
              <w:rPr>
                <w:rFonts w:hint="default" w:ascii="Times New Roman" w:hAnsi="Times New Roman" w:eastAsia="宋体" w:cs="Times New Roman"/>
                <w:color w:val="auto"/>
                <w:sz w:val="24"/>
                <w:szCs w:val="24"/>
                <w:lang w:eastAsia="zh-CN"/>
              </w:rPr>
              <w:t>桶</w:t>
            </w:r>
            <w:r>
              <w:rPr>
                <w:rFonts w:hint="eastAsia" w:cs="Times New Roman"/>
                <w:color w:val="auto"/>
                <w:sz w:val="24"/>
                <w:szCs w:val="24"/>
                <w:lang w:val="en-US" w:eastAsia="zh-CN"/>
              </w:rPr>
              <w:t>产生量为</w:t>
            </w:r>
            <w:r>
              <w:rPr>
                <w:rFonts w:hint="eastAsia" w:ascii="Times New Roman" w:hAnsi="Times New Roman" w:eastAsia="宋体" w:cs="Times New Roman"/>
                <w:color w:val="auto"/>
                <w:sz w:val="24"/>
                <w:szCs w:val="24"/>
                <w:lang w:val="en-US" w:eastAsia="zh-CN"/>
              </w:rPr>
              <w:t>2kg</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废含油抹布手套产生量为</w:t>
            </w:r>
            <w:r>
              <w:rPr>
                <w:rFonts w:hint="default" w:ascii="Times New Roman" w:hAnsi="Times New Roman" w:eastAsia="宋体" w:cs="Times New Roman"/>
                <w:color w:val="auto"/>
                <w:sz w:val="24"/>
                <w:szCs w:val="24"/>
                <w:lang w:val="en-US" w:eastAsia="zh-CN"/>
              </w:rPr>
              <w:t>0.001t/a，</w:t>
            </w:r>
            <w:r>
              <w:rPr>
                <w:rFonts w:hint="default" w:ascii="Times New Roman" w:hAnsi="Times New Roman" w:eastAsia="宋体" w:cs="Times New Roman"/>
                <w:color w:val="auto"/>
                <w:sz w:val="24"/>
                <w:szCs w:val="24"/>
              </w:rPr>
              <w:t>危险废物暂存于</w:t>
            </w:r>
            <w:r>
              <w:rPr>
                <w:rFonts w:hint="default" w:ascii="Times New Roman" w:hAnsi="Times New Roman" w:eastAsia="宋体" w:cs="Times New Roman"/>
                <w:bCs/>
                <w:color w:val="auto"/>
                <w:sz w:val="24"/>
                <w:szCs w:val="24"/>
              </w:rPr>
              <w:t>危废暂存间，定期交由</w:t>
            </w:r>
            <w:r>
              <w:rPr>
                <w:rFonts w:hint="eastAsia" w:ascii="Times New Roman" w:hAnsi="Times New Roman" w:eastAsia="宋体" w:cs="Times New Roman"/>
                <w:bCs/>
                <w:color w:val="auto"/>
                <w:sz w:val="24"/>
                <w:szCs w:val="24"/>
                <w:lang w:eastAsia="zh-CN"/>
              </w:rPr>
              <w:t>宝鸡明瑞昕盛环保科技有限公司</w:t>
            </w:r>
            <w:r>
              <w:rPr>
                <w:rFonts w:hint="default" w:ascii="Times New Roman" w:hAnsi="Times New Roman" w:eastAsia="宋体" w:cs="Times New Roman"/>
                <w:bCs/>
                <w:color w:val="auto"/>
                <w:sz w:val="24"/>
                <w:szCs w:val="24"/>
              </w:rPr>
              <w:t>处理。</w:t>
            </w:r>
          </w:p>
          <w:p w14:paraId="5F4CC46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Times New Roman" w:hAnsi="Times New Roman" w:cs="Times New Roman"/>
                <w:color w:val="auto"/>
                <w:szCs w:val="21"/>
                <w:highlight w:val="yellow"/>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存在的环境问题及“以新带老”措施</w:t>
            </w:r>
          </w:p>
          <w:p w14:paraId="2D2C168C">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）存在问题</w:t>
            </w:r>
          </w:p>
          <w:p w14:paraId="6A23C81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危废间标识标牌张贴不全、托盘设置不规范。</w:t>
            </w:r>
          </w:p>
          <w:p w14:paraId="788EDFF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eastAsia="zh-CN"/>
              </w:rPr>
              <w:t>）</w:t>
            </w:r>
            <w:r>
              <w:rPr>
                <w:rFonts w:hint="eastAsia" w:ascii="宋体" w:hAnsi="宋体"/>
                <w:bCs/>
                <w:color w:val="auto"/>
                <w:sz w:val="24"/>
                <w:highlight w:val="none"/>
                <w:lang w:val="en-US" w:eastAsia="zh-CN"/>
              </w:rPr>
              <w:t>整改</w:t>
            </w:r>
            <w:r>
              <w:rPr>
                <w:rFonts w:ascii="宋体" w:hAnsi="宋体"/>
                <w:bCs/>
                <w:color w:val="auto"/>
                <w:sz w:val="24"/>
                <w:highlight w:val="none"/>
              </w:rPr>
              <w:t>措施</w:t>
            </w:r>
          </w:p>
          <w:p w14:paraId="6B8D155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color w:val="auto"/>
                <w:szCs w:val="21"/>
                <w:highlight w:val="none"/>
                <w:lang w:val="en-US" w:eastAsia="zh-CN"/>
              </w:rPr>
              <w:t>企业严格按照</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危险废物收集 贮存 运输技术规范</w:t>
            </w:r>
            <w:r>
              <w:rPr>
                <w:rFonts w:hint="default" w:ascii="Times New Roman" w:hAnsi="Times New Roman" w:cs="Times New Roman"/>
                <w:color w:val="auto"/>
                <w:kern w:val="0"/>
                <w:sz w:val="24"/>
                <w:lang w:val="en-US" w:eastAsia="zh-CN"/>
              </w:rPr>
              <w:t>》（HJ2025-2012）及《危险废物贮存污染控制标准》（GB18597-20</w:t>
            </w:r>
            <w:r>
              <w:rPr>
                <w:rFonts w:hint="eastAsia" w:cs="Times New Roman"/>
                <w:color w:val="auto"/>
                <w:kern w:val="0"/>
                <w:sz w:val="24"/>
                <w:lang w:val="en-US" w:eastAsia="zh-CN"/>
              </w:rPr>
              <w:t>23</w:t>
            </w:r>
            <w:r>
              <w:rPr>
                <w:rFonts w:hint="default" w:ascii="Times New Roman" w:hAnsi="Times New Roman" w:cs="Times New Roman"/>
                <w:color w:val="auto"/>
                <w:kern w:val="0"/>
                <w:sz w:val="24"/>
                <w:lang w:val="en-US" w:eastAsia="zh-CN"/>
              </w:rPr>
              <w:t>）中相关规定执行。</w:t>
            </w:r>
            <w:r>
              <w:rPr>
                <w:rFonts w:hint="default" w:ascii="Times New Roman" w:hAnsi="Times New Roman" w:eastAsia="宋体" w:cs="Times New Roman"/>
                <w:color w:val="auto"/>
                <w:sz w:val="24"/>
                <w:lang w:val="en-US" w:eastAsia="zh-CN"/>
              </w:rPr>
              <w:t>盛装容器底部均设置防渗</w:t>
            </w:r>
            <w:r>
              <w:rPr>
                <w:rFonts w:hint="eastAsia" w:ascii="Times New Roman" w:hAnsi="Times New Roman" w:eastAsia="宋体" w:cs="Times New Roman"/>
                <w:color w:val="auto"/>
                <w:sz w:val="24"/>
                <w:lang w:val="en-US" w:eastAsia="zh-CN"/>
              </w:rPr>
              <w:t>带围堰</w:t>
            </w:r>
            <w:r>
              <w:rPr>
                <w:rFonts w:hint="default" w:ascii="Times New Roman" w:hAnsi="Times New Roman" w:eastAsia="宋体" w:cs="Times New Roman"/>
                <w:color w:val="auto"/>
                <w:sz w:val="24"/>
                <w:lang w:val="en-US" w:eastAsia="zh-CN"/>
              </w:rPr>
              <w:t>托盘，</w:t>
            </w:r>
            <w:r>
              <w:rPr>
                <w:rFonts w:hint="eastAsia" w:ascii="Times New Roman" w:hAnsi="Times New Roman" w:eastAsia="宋体" w:cs="Times New Roman"/>
                <w:color w:val="auto"/>
                <w:sz w:val="24"/>
                <w:lang w:val="en-US" w:eastAsia="zh-CN"/>
              </w:rPr>
              <w:t>按照危废种类</w:t>
            </w:r>
            <w:r>
              <w:rPr>
                <w:rFonts w:hint="default" w:ascii="Times New Roman" w:hAnsi="Times New Roman" w:eastAsia="宋体" w:cs="Times New Roman"/>
                <w:color w:val="auto"/>
                <w:sz w:val="24"/>
                <w:lang w:val="en-US" w:eastAsia="zh-CN"/>
              </w:rPr>
              <w:t>张贴危废标识、标签和管理制度</w:t>
            </w:r>
            <w:r>
              <w:rPr>
                <w:rFonts w:hint="eastAsia" w:ascii="Times New Roman" w:hAnsi="Times New Roman" w:eastAsia="宋体" w:cs="Times New Roman"/>
                <w:color w:val="auto"/>
                <w:sz w:val="24"/>
                <w:lang w:val="en-US" w:eastAsia="zh-CN"/>
              </w:rPr>
              <w:t>。</w:t>
            </w:r>
          </w:p>
        </w:tc>
      </w:tr>
    </w:tbl>
    <w:p w14:paraId="61F9FC32">
      <w:pPr>
        <w:pStyle w:val="25"/>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A9C2ABF">
      <w:pPr>
        <w:pStyle w:val="25"/>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71D1221">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56"/>
      </w:tblGrid>
      <w:tr w14:paraId="5068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886A2D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1616876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D6C2B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2B9937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noWrap w:val="0"/>
            <w:vAlign w:val="center"/>
          </w:tcPr>
          <w:p w14:paraId="133E6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一、区域环境质量现状</w:t>
            </w:r>
          </w:p>
          <w:p w14:paraId="601B88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环境空气质量现状</w:t>
            </w:r>
          </w:p>
          <w:p w14:paraId="03A747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常规污染物</w:t>
            </w:r>
          </w:p>
          <w:p w14:paraId="1E199A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环境影响评价技术导则 大气环境</w:t>
            </w:r>
            <w:r>
              <w:rPr>
                <w:rFonts w:hint="default" w:ascii="Times New Roman" w:hAnsi="Times New Roman" w:eastAsia="宋体" w:cs="Times New Roman"/>
                <w:color w:val="auto"/>
                <w:sz w:val="24"/>
                <w:szCs w:val="24"/>
              </w:rPr>
              <w:t>》（HJ2.2-2018）6.2.1.2“采用评价范围内国家或地方环境空气质量监测网中评价基准年连续1年的监测数据，或采用生态环境主管部门公开发布的环境空气质量现状数据”。项目所在区域</w:t>
            </w:r>
            <w:r>
              <w:rPr>
                <w:rFonts w:hint="eastAsia" w:cs="Times New Roman"/>
                <w:color w:val="auto"/>
                <w:sz w:val="24"/>
                <w:szCs w:val="24"/>
                <w:lang w:eastAsia="zh-CN"/>
              </w:rPr>
              <w:t>属于</w:t>
            </w:r>
            <w:r>
              <w:rPr>
                <w:rFonts w:hint="default" w:ascii="Times New Roman" w:hAnsi="Times New Roman" w:eastAsia="宋体" w:cs="Times New Roman"/>
                <w:color w:val="auto"/>
                <w:sz w:val="24"/>
                <w:szCs w:val="24"/>
              </w:rPr>
              <w:t>环境空气质量二类功能区，执行《环境空气质量标准》（GB3095-2012）及其2018年修改单中的二级标准。</w:t>
            </w:r>
          </w:p>
          <w:p w14:paraId="4C6E553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为查明项目所在地大气环境质量，本次评价</w:t>
            </w:r>
            <w:r>
              <w:rPr>
                <w:rFonts w:hint="eastAsia" w:ascii="Times New Roman" w:hAnsi="Times New Roman" w:cs="Times New Roman"/>
                <w:color w:val="auto"/>
                <w:sz w:val="24"/>
                <w:szCs w:val="24"/>
                <w:lang w:val="en-US" w:eastAsia="zh-CN"/>
              </w:rPr>
              <w:t>引</w:t>
            </w:r>
            <w:r>
              <w:rPr>
                <w:rFonts w:hint="default" w:ascii="Times New Roman" w:hAnsi="Times New Roman" w:cs="Times New Roman"/>
                <w:color w:val="auto"/>
                <w:sz w:val="24"/>
                <w:szCs w:val="24"/>
              </w:rPr>
              <w:t>用《宝鸡市生态环境质量报告书》（2024年）中陈仓区的环境空气质量数据，来分析项目所在地的大气环境质量现状，监测结果整理后见下表。</w:t>
            </w:r>
          </w:p>
          <w:p w14:paraId="6D14A73E">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区域空气质量现状评价表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90"/>
              <w:gridCol w:w="1287"/>
              <w:gridCol w:w="1139"/>
              <w:gridCol w:w="1139"/>
              <w:gridCol w:w="811"/>
              <w:gridCol w:w="679"/>
              <w:gridCol w:w="1839"/>
            </w:tblGrid>
            <w:tr w14:paraId="0B5E5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restart"/>
                  <w:noWrap w:val="0"/>
                  <w:vAlign w:val="center"/>
                </w:tcPr>
                <w:p w14:paraId="68478B6C">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所在区域</w:t>
                  </w:r>
                </w:p>
              </w:tc>
              <w:tc>
                <w:tcPr>
                  <w:tcW w:w="489" w:type="pct"/>
                  <w:vMerge w:val="restart"/>
                  <w:noWrap w:val="0"/>
                  <w:vAlign w:val="center"/>
                </w:tcPr>
                <w:p w14:paraId="4555D1F2">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896" w:type="pct"/>
                  <w:vMerge w:val="restart"/>
                  <w:noWrap w:val="0"/>
                  <w:vAlign w:val="center"/>
                </w:tcPr>
                <w:p w14:paraId="6CF55076">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年评价指标</w:t>
                  </w:r>
                </w:p>
              </w:tc>
              <w:tc>
                <w:tcPr>
                  <w:tcW w:w="708" w:type="pct"/>
                  <w:vMerge w:val="restart"/>
                  <w:noWrap w:val="0"/>
                  <w:vAlign w:val="center"/>
                </w:tcPr>
                <w:p w14:paraId="5B28204A">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现状浓度</w:t>
                  </w:r>
                </w:p>
                <w:p w14:paraId="0A45C636">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（μg/m³）</w:t>
                  </w:r>
                </w:p>
              </w:tc>
              <w:tc>
                <w:tcPr>
                  <w:tcW w:w="716" w:type="pct"/>
                  <w:vMerge w:val="restart"/>
                  <w:noWrap w:val="0"/>
                  <w:vAlign w:val="center"/>
                </w:tcPr>
                <w:p w14:paraId="650134DD">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p w14:paraId="61F58809">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（μg/m³）</w:t>
                  </w:r>
                </w:p>
              </w:tc>
              <w:tc>
                <w:tcPr>
                  <w:tcW w:w="629" w:type="pct"/>
                  <w:vMerge w:val="restart"/>
                  <w:noWrap w:val="0"/>
                  <w:vAlign w:val="center"/>
                </w:tcPr>
                <w:p w14:paraId="0D367D9A">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519" w:type="pct"/>
                  <w:vMerge w:val="restart"/>
                  <w:noWrap w:val="0"/>
                  <w:vAlign w:val="center"/>
                </w:tcPr>
                <w:p w14:paraId="131424A1">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p w14:paraId="4FA3DBD8">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情况</w:t>
                  </w:r>
                </w:p>
              </w:tc>
              <w:tc>
                <w:tcPr>
                  <w:tcW w:w="701" w:type="pct"/>
                  <w:vMerge w:val="restart"/>
                  <w:noWrap w:val="0"/>
                  <w:vAlign w:val="center"/>
                </w:tcPr>
                <w:p w14:paraId="3191F064">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14:paraId="61D29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178DD901">
                  <w:pPr>
                    <w:widowControl/>
                    <w:adjustRightInd w:val="0"/>
                    <w:snapToGrid w:val="0"/>
                    <w:jc w:val="center"/>
                    <w:rPr>
                      <w:rFonts w:hint="default" w:ascii="Times New Roman" w:hAnsi="Times New Roman" w:cs="Times New Roman"/>
                      <w:color w:val="auto"/>
                      <w:sz w:val="21"/>
                      <w:szCs w:val="21"/>
                    </w:rPr>
                  </w:pPr>
                </w:p>
              </w:tc>
              <w:tc>
                <w:tcPr>
                  <w:tcW w:w="489" w:type="pct"/>
                  <w:vMerge w:val="continue"/>
                  <w:noWrap w:val="0"/>
                  <w:vAlign w:val="center"/>
                </w:tcPr>
                <w:p w14:paraId="39E593BC">
                  <w:pPr>
                    <w:widowControl/>
                    <w:adjustRightInd w:val="0"/>
                    <w:snapToGrid w:val="0"/>
                    <w:jc w:val="center"/>
                    <w:rPr>
                      <w:rFonts w:hint="default" w:ascii="Times New Roman" w:hAnsi="Times New Roman" w:cs="Times New Roman"/>
                      <w:color w:val="auto"/>
                      <w:sz w:val="21"/>
                      <w:szCs w:val="21"/>
                    </w:rPr>
                  </w:pPr>
                </w:p>
              </w:tc>
              <w:tc>
                <w:tcPr>
                  <w:tcW w:w="896" w:type="pct"/>
                  <w:vMerge w:val="continue"/>
                  <w:noWrap w:val="0"/>
                  <w:vAlign w:val="center"/>
                </w:tcPr>
                <w:p w14:paraId="7E57B908">
                  <w:pPr>
                    <w:widowControl/>
                    <w:adjustRightInd w:val="0"/>
                    <w:snapToGrid w:val="0"/>
                    <w:jc w:val="center"/>
                    <w:rPr>
                      <w:rFonts w:hint="default" w:ascii="Times New Roman" w:hAnsi="Times New Roman" w:cs="Times New Roman"/>
                      <w:color w:val="auto"/>
                      <w:sz w:val="21"/>
                      <w:szCs w:val="21"/>
                    </w:rPr>
                  </w:pPr>
                </w:p>
              </w:tc>
              <w:tc>
                <w:tcPr>
                  <w:tcW w:w="708" w:type="pct"/>
                  <w:vMerge w:val="continue"/>
                  <w:noWrap w:val="0"/>
                  <w:vAlign w:val="center"/>
                </w:tcPr>
                <w:p w14:paraId="5AF6BF52">
                  <w:pPr>
                    <w:widowControl/>
                    <w:adjustRightInd w:val="0"/>
                    <w:snapToGrid w:val="0"/>
                    <w:jc w:val="center"/>
                    <w:rPr>
                      <w:rFonts w:hint="default" w:ascii="Times New Roman" w:hAnsi="Times New Roman" w:cs="Times New Roman"/>
                      <w:color w:val="auto"/>
                      <w:sz w:val="21"/>
                      <w:szCs w:val="21"/>
                    </w:rPr>
                  </w:pPr>
                </w:p>
              </w:tc>
              <w:tc>
                <w:tcPr>
                  <w:tcW w:w="716" w:type="pct"/>
                  <w:vMerge w:val="continue"/>
                  <w:noWrap w:val="0"/>
                  <w:vAlign w:val="center"/>
                </w:tcPr>
                <w:p w14:paraId="30732501">
                  <w:pPr>
                    <w:widowControl/>
                    <w:adjustRightInd w:val="0"/>
                    <w:snapToGrid w:val="0"/>
                    <w:jc w:val="center"/>
                    <w:rPr>
                      <w:rFonts w:hint="default" w:ascii="Times New Roman" w:hAnsi="Times New Roman" w:cs="Times New Roman"/>
                      <w:color w:val="auto"/>
                      <w:sz w:val="21"/>
                      <w:szCs w:val="21"/>
                    </w:rPr>
                  </w:pPr>
                </w:p>
              </w:tc>
              <w:tc>
                <w:tcPr>
                  <w:tcW w:w="629" w:type="pct"/>
                  <w:vMerge w:val="continue"/>
                  <w:noWrap w:val="0"/>
                  <w:vAlign w:val="center"/>
                </w:tcPr>
                <w:p w14:paraId="33006B39">
                  <w:pPr>
                    <w:widowControl/>
                    <w:adjustRightInd w:val="0"/>
                    <w:snapToGrid w:val="0"/>
                    <w:jc w:val="center"/>
                    <w:rPr>
                      <w:rFonts w:hint="default" w:ascii="Times New Roman" w:hAnsi="Times New Roman" w:cs="Times New Roman"/>
                      <w:color w:val="auto"/>
                      <w:sz w:val="21"/>
                      <w:szCs w:val="21"/>
                    </w:rPr>
                  </w:pPr>
                </w:p>
              </w:tc>
              <w:tc>
                <w:tcPr>
                  <w:tcW w:w="519" w:type="pct"/>
                  <w:vMerge w:val="continue"/>
                  <w:noWrap w:val="0"/>
                  <w:vAlign w:val="center"/>
                </w:tcPr>
                <w:p w14:paraId="1344AD90">
                  <w:pPr>
                    <w:widowControl/>
                    <w:adjustRightInd w:val="0"/>
                    <w:snapToGrid w:val="0"/>
                    <w:jc w:val="center"/>
                    <w:rPr>
                      <w:rFonts w:hint="default" w:ascii="Times New Roman" w:hAnsi="Times New Roman" w:cs="Times New Roman"/>
                      <w:color w:val="auto"/>
                      <w:sz w:val="21"/>
                      <w:szCs w:val="21"/>
                    </w:rPr>
                  </w:pPr>
                </w:p>
              </w:tc>
              <w:tc>
                <w:tcPr>
                  <w:tcW w:w="701" w:type="pct"/>
                  <w:vMerge w:val="continue"/>
                  <w:noWrap w:val="0"/>
                  <w:vAlign w:val="center"/>
                </w:tcPr>
                <w:p w14:paraId="46A15755">
                  <w:pPr>
                    <w:widowControl/>
                    <w:adjustRightInd w:val="0"/>
                    <w:snapToGrid w:val="0"/>
                    <w:jc w:val="center"/>
                    <w:rPr>
                      <w:rFonts w:hint="default" w:ascii="Times New Roman" w:hAnsi="Times New Roman" w:cs="Times New Roman"/>
                      <w:color w:val="auto"/>
                      <w:sz w:val="21"/>
                      <w:szCs w:val="21"/>
                    </w:rPr>
                  </w:pPr>
                </w:p>
              </w:tc>
            </w:tr>
            <w:tr w14:paraId="22CE3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restart"/>
                  <w:noWrap w:val="0"/>
                  <w:vAlign w:val="center"/>
                </w:tcPr>
                <w:p w14:paraId="7A3FE2CB">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宝鸡市</w:t>
                  </w:r>
                </w:p>
                <w:p w14:paraId="0E2425E1">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陈仓区</w:t>
                  </w:r>
                </w:p>
              </w:tc>
              <w:tc>
                <w:tcPr>
                  <w:tcW w:w="489" w:type="pct"/>
                  <w:noWrap w:val="0"/>
                  <w:vAlign w:val="center"/>
                </w:tcPr>
                <w:p w14:paraId="42C12A26">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896" w:type="pct"/>
                  <w:noWrap w:val="0"/>
                  <w:vAlign w:val="center"/>
                </w:tcPr>
                <w:p w14:paraId="35701645">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2F123811">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pct"/>
                  <w:noWrap w:val="0"/>
                  <w:vAlign w:val="center"/>
                </w:tcPr>
                <w:p w14:paraId="4C97ACA4">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29" w:type="pct"/>
                  <w:noWrap w:val="0"/>
                  <w:vAlign w:val="center"/>
                </w:tcPr>
                <w:p w14:paraId="65A4A709">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519" w:type="pct"/>
                  <w:noWrap w:val="0"/>
                  <w:vAlign w:val="center"/>
                </w:tcPr>
                <w:p w14:paraId="5DC5C89B">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restart"/>
                  <w:noWrap w:val="0"/>
                  <w:vAlign w:val="center"/>
                </w:tcPr>
                <w:p w14:paraId="3EA6A631">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《环境空气质量标准》（GB3095-2012）及其修改单</w:t>
                  </w:r>
                </w:p>
              </w:tc>
            </w:tr>
            <w:tr w14:paraId="21BC6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2908FAEA">
                  <w:pPr>
                    <w:pStyle w:val="94"/>
                    <w:rPr>
                      <w:rFonts w:hint="default" w:ascii="Times New Roman" w:hAnsi="Times New Roman" w:cs="Times New Roman"/>
                      <w:color w:val="auto"/>
                      <w:sz w:val="21"/>
                      <w:szCs w:val="21"/>
                    </w:rPr>
                  </w:pPr>
                </w:p>
              </w:tc>
              <w:tc>
                <w:tcPr>
                  <w:tcW w:w="489" w:type="pct"/>
                  <w:noWrap w:val="0"/>
                  <w:vAlign w:val="center"/>
                </w:tcPr>
                <w:p w14:paraId="19407D4A">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896" w:type="pct"/>
                  <w:noWrap w:val="0"/>
                  <w:vAlign w:val="center"/>
                </w:tcPr>
                <w:p w14:paraId="4A4B4754">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272849B8">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716" w:type="pct"/>
                  <w:noWrap w:val="0"/>
                  <w:vAlign w:val="center"/>
                </w:tcPr>
                <w:p w14:paraId="5F29E159">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629" w:type="pct"/>
                  <w:noWrap w:val="0"/>
                  <w:vAlign w:val="center"/>
                </w:tcPr>
                <w:p w14:paraId="2C76A733">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519" w:type="pct"/>
                  <w:noWrap w:val="0"/>
                  <w:vAlign w:val="center"/>
                </w:tcPr>
                <w:p w14:paraId="37DA7B3B">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0173D980">
                  <w:pPr>
                    <w:widowControl/>
                    <w:adjustRightInd w:val="0"/>
                    <w:snapToGrid w:val="0"/>
                    <w:jc w:val="center"/>
                    <w:rPr>
                      <w:rFonts w:hint="default" w:ascii="Times New Roman" w:hAnsi="Times New Roman" w:cs="Times New Roman"/>
                      <w:color w:val="auto"/>
                      <w:sz w:val="21"/>
                      <w:szCs w:val="21"/>
                    </w:rPr>
                  </w:pPr>
                </w:p>
              </w:tc>
            </w:tr>
            <w:tr w14:paraId="3F48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7CEBD435">
                  <w:pPr>
                    <w:pStyle w:val="94"/>
                    <w:rPr>
                      <w:rFonts w:hint="default" w:ascii="Times New Roman" w:hAnsi="Times New Roman" w:cs="Times New Roman"/>
                      <w:color w:val="auto"/>
                      <w:sz w:val="21"/>
                      <w:szCs w:val="21"/>
                    </w:rPr>
                  </w:pPr>
                </w:p>
              </w:tc>
              <w:tc>
                <w:tcPr>
                  <w:tcW w:w="489" w:type="pct"/>
                  <w:noWrap w:val="0"/>
                  <w:vAlign w:val="center"/>
                </w:tcPr>
                <w:p w14:paraId="1F54E9B4">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896" w:type="pct"/>
                  <w:noWrap w:val="0"/>
                  <w:vAlign w:val="center"/>
                </w:tcPr>
                <w:p w14:paraId="768A6393">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3C8E93FA">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716" w:type="pct"/>
                  <w:noWrap w:val="0"/>
                  <w:vAlign w:val="center"/>
                </w:tcPr>
                <w:p w14:paraId="42D9DEA2">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629" w:type="pct"/>
                  <w:noWrap w:val="0"/>
                  <w:vAlign w:val="center"/>
                </w:tcPr>
                <w:p w14:paraId="2599312B">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519" w:type="pct"/>
                  <w:noWrap w:val="0"/>
                  <w:vAlign w:val="center"/>
                </w:tcPr>
                <w:p w14:paraId="7BCA2FAA">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2BC8E9A5">
                  <w:pPr>
                    <w:widowControl/>
                    <w:adjustRightInd w:val="0"/>
                    <w:snapToGrid w:val="0"/>
                    <w:jc w:val="center"/>
                    <w:rPr>
                      <w:rFonts w:hint="default" w:ascii="Times New Roman" w:hAnsi="Times New Roman" w:cs="Times New Roman"/>
                      <w:color w:val="auto"/>
                      <w:sz w:val="21"/>
                      <w:szCs w:val="21"/>
                    </w:rPr>
                  </w:pPr>
                </w:p>
              </w:tc>
            </w:tr>
            <w:tr w14:paraId="4E1C3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41CCF6B7">
                  <w:pPr>
                    <w:pStyle w:val="94"/>
                    <w:rPr>
                      <w:rFonts w:hint="default" w:ascii="Times New Roman" w:hAnsi="Times New Roman" w:cs="Times New Roman"/>
                      <w:color w:val="auto"/>
                      <w:sz w:val="21"/>
                      <w:szCs w:val="21"/>
                    </w:rPr>
                  </w:pPr>
                </w:p>
              </w:tc>
              <w:tc>
                <w:tcPr>
                  <w:tcW w:w="489" w:type="pct"/>
                  <w:noWrap w:val="0"/>
                  <w:vAlign w:val="center"/>
                </w:tcPr>
                <w:p w14:paraId="3663AE31">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896" w:type="pct"/>
                  <w:noWrap w:val="0"/>
                  <w:vAlign w:val="center"/>
                </w:tcPr>
                <w:p w14:paraId="25FB590B">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09B40714">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716" w:type="pct"/>
                  <w:noWrap w:val="0"/>
                  <w:vAlign w:val="center"/>
                </w:tcPr>
                <w:p w14:paraId="3BE9DFE5">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629" w:type="pct"/>
                  <w:noWrap w:val="0"/>
                  <w:vAlign w:val="center"/>
                </w:tcPr>
                <w:p w14:paraId="5EA5B16C">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519" w:type="pct"/>
                  <w:noWrap w:val="0"/>
                  <w:vAlign w:val="center"/>
                </w:tcPr>
                <w:p w14:paraId="6F3D014F">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701" w:type="pct"/>
                  <w:vMerge w:val="continue"/>
                  <w:noWrap w:val="0"/>
                  <w:vAlign w:val="center"/>
                </w:tcPr>
                <w:p w14:paraId="5ECA6AF3">
                  <w:pPr>
                    <w:widowControl/>
                    <w:adjustRightInd w:val="0"/>
                    <w:snapToGrid w:val="0"/>
                    <w:jc w:val="center"/>
                    <w:rPr>
                      <w:rFonts w:hint="default" w:ascii="Times New Roman" w:hAnsi="Times New Roman" w:cs="Times New Roman"/>
                      <w:color w:val="auto"/>
                      <w:sz w:val="21"/>
                      <w:szCs w:val="21"/>
                    </w:rPr>
                  </w:pPr>
                </w:p>
              </w:tc>
            </w:tr>
            <w:tr w14:paraId="05376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64758B53">
                  <w:pPr>
                    <w:pStyle w:val="94"/>
                    <w:rPr>
                      <w:rFonts w:hint="default" w:ascii="Times New Roman" w:hAnsi="Times New Roman" w:cs="Times New Roman"/>
                      <w:color w:val="auto"/>
                      <w:sz w:val="21"/>
                      <w:szCs w:val="21"/>
                    </w:rPr>
                  </w:pPr>
                </w:p>
              </w:tc>
              <w:tc>
                <w:tcPr>
                  <w:tcW w:w="489" w:type="pct"/>
                  <w:noWrap w:val="0"/>
                  <w:vAlign w:val="center"/>
                </w:tcPr>
                <w:p w14:paraId="237FCFA8">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896" w:type="pct"/>
                  <w:noWrap w:val="0"/>
                  <w:vAlign w:val="center"/>
                </w:tcPr>
                <w:p w14:paraId="1529C20D">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95百分位数日平均质量浓度</w:t>
                  </w:r>
                </w:p>
              </w:tc>
              <w:tc>
                <w:tcPr>
                  <w:tcW w:w="708" w:type="pct"/>
                  <w:noWrap w:val="0"/>
                  <w:vAlign w:val="center"/>
                </w:tcPr>
                <w:p w14:paraId="5287E002">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w:t>
                  </w:r>
                </w:p>
              </w:tc>
              <w:tc>
                <w:tcPr>
                  <w:tcW w:w="716" w:type="pct"/>
                  <w:noWrap w:val="0"/>
                  <w:vAlign w:val="center"/>
                </w:tcPr>
                <w:p w14:paraId="40BFB553">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w:t>
                  </w:r>
                </w:p>
              </w:tc>
              <w:tc>
                <w:tcPr>
                  <w:tcW w:w="629" w:type="pct"/>
                  <w:noWrap w:val="0"/>
                  <w:vAlign w:val="center"/>
                </w:tcPr>
                <w:p w14:paraId="411AABD1">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519" w:type="pct"/>
                  <w:noWrap w:val="0"/>
                  <w:vAlign w:val="center"/>
                </w:tcPr>
                <w:p w14:paraId="16F70E6E">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6D1C54E5">
                  <w:pPr>
                    <w:widowControl/>
                    <w:adjustRightInd w:val="0"/>
                    <w:snapToGrid w:val="0"/>
                    <w:jc w:val="center"/>
                    <w:rPr>
                      <w:rFonts w:hint="default" w:ascii="Times New Roman" w:hAnsi="Times New Roman" w:cs="Times New Roman"/>
                      <w:color w:val="auto"/>
                      <w:sz w:val="21"/>
                      <w:szCs w:val="21"/>
                    </w:rPr>
                  </w:pPr>
                </w:p>
              </w:tc>
            </w:tr>
            <w:tr w14:paraId="37B11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1243117C">
                  <w:pPr>
                    <w:pStyle w:val="94"/>
                    <w:rPr>
                      <w:rFonts w:hint="default" w:ascii="Times New Roman" w:hAnsi="Times New Roman" w:cs="Times New Roman"/>
                      <w:color w:val="auto"/>
                      <w:sz w:val="21"/>
                      <w:szCs w:val="21"/>
                    </w:rPr>
                  </w:pPr>
                </w:p>
              </w:tc>
              <w:tc>
                <w:tcPr>
                  <w:tcW w:w="489" w:type="pct"/>
                  <w:noWrap w:val="0"/>
                  <w:vAlign w:val="center"/>
                </w:tcPr>
                <w:p w14:paraId="02AC2C4E">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896" w:type="pct"/>
                  <w:noWrap w:val="0"/>
                  <w:vAlign w:val="center"/>
                </w:tcPr>
                <w:p w14:paraId="42D8F7A4">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90百分位数</w:t>
                  </w:r>
                </w:p>
                <w:p w14:paraId="4562C681">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最大8小时平均质量浓度</w:t>
                  </w:r>
                </w:p>
              </w:tc>
              <w:tc>
                <w:tcPr>
                  <w:tcW w:w="708" w:type="pct"/>
                  <w:noWrap w:val="0"/>
                  <w:vAlign w:val="center"/>
                </w:tcPr>
                <w:p w14:paraId="36D6C16A">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156</w:t>
                  </w:r>
                </w:p>
              </w:tc>
              <w:tc>
                <w:tcPr>
                  <w:tcW w:w="716" w:type="pct"/>
                  <w:noWrap w:val="0"/>
                  <w:vAlign w:val="center"/>
                </w:tcPr>
                <w:p w14:paraId="77776D2A">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629" w:type="pct"/>
                  <w:noWrap w:val="0"/>
                  <w:vAlign w:val="center"/>
                </w:tcPr>
                <w:p w14:paraId="0CBDFF20">
                  <w:pPr>
                    <w:pStyle w:val="94"/>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98</w:t>
                  </w:r>
                </w:p>
              </w:tc>
              <w:tc>
                <w:tcPr>
                  <w:tcW w:w="519" w:type="pct"/>
                  <w:noWrap w:val="0"/>
                  <w:vAlign w:val="center"/>
                </w:tcPr>
                <w:p w14:paraId="31F9A4FB">
                  <w:pPr>
                    <w:pStyle w:val="9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3AB98A9F">
                  <w:pPr>
                    <w:widowControl/>
                    <w:adjustRightInd w:val="0"/>
                    <w:snapToGrid w:val="0"/>
                    <w:jc w:val="center"/>
                    <w:rPr>
                      <w:rFonts w:hint="default" w:ascii="Times New Roman" w:hAnsi="Times New Roman" w:cs="Times New Roman"/>
                      <w:color w:val="auto"/>
                      <w:sz w:val="21"/>
                      <w:szCs w:val="21"/>
                    </w:rPr>
                  </w:pPr>
                </w:p>
              </w:tc>
            </w:tr>
          </w:tbl>
          <w:p w14:paraId="159BFF16">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由上述统计结果可知，2024年陈仓区环境空气六项基本污染物中除PM2.5超标外，其他污染物均满足《环境空气质量标准》（GB3095-2012）二级标准，因此项目所在区为环境空气质量不达标区。</w:t>
            </w:r>
          </w:p>
          <w:p w14:paraId="3AB01695">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②特征污染物：</w:t>
            </w:r>
          </w:p>
          <w:p w14:paraId="6A15BF30">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为了解项目所在地区环境空气中特征因子TSP</w:t>
            </w:r>
            <w:r>
              <w:rPr>
                <w:rFonts w:hint="eastAsia" w:ascii="Times New Roman" w:hAnsi="Times New Roman" w:eastAsia="宋体"/>
                <w:color w:val="auto"/>
                <w:sz w:val="24"/>
                <w:szCs w:val="32"/>
                <w:lang w:eastAsia="zh-CN"/>
              </w:rPr>
              <w:t>和氮氧化物</w:t>
            </w:r>
            <w:r>
              <w:rPr>
                <w:rFonts w:hint="default" w:ascii="Times New Roman" w:hAnsi="Times New Roman" w:cs="Times New Roman"/>
                <w:color w:val="auto"/>
                <w:sz w:val="24"/>
                <w:szCs w:val="24"/>
                <w:lang w:eastAsia="zh-CN"/>
              </w:rPr>
              <w:t>现状，本次环评</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eastAsia="zh-CN"/>
              </w:rPr>
              <w:t>TSP</w:t>
            </w:r>
            <w:r>
              <w:rPr>
                <w:rFonts w:hint="eastAsia" w:ascii="Times New Roman" w:hAnsi="Times New Roman" w:cs="Times New Roman"/>
                <w:color w:val="auto"/>
                <w:sz w:val="24"/>
                <w:szCs w:val="24"/>
                <w:lang w:val="en-US" w:eastAsia="zh-CN"/>
              </w:rPr>
              <w:t>及氮氧化物</w:t>
            </w:r>
            <w:r>
              <w:rPr>
                <w:rFonts w:ascii="Times New Roman" w:hAnsi="Times New Roman"/>
                <w:color w:val="auto"/>
                <w:sz w:val="24"/>
                <w:szCs w:val="32"/>
              </w:rPr>
              <w:t>引用距离本项目</w:t>
            </w:r>
            <w:r>
              <w:rPr>
                <w:rFonts w:hint="eastAsia" w:ascii="Times New Roman" w:hAnsi="Times New Roman"/>
                <w:color w:val="auto"/>
                <w:sz w:val="24"/>
                <w:szCs w:val="32"/>
                <w:lang w:val="en-US" w:eastAsia="zh-CN"/>
              </w:rPr>
              <w:t>4867</w:t>
            </w:r>
            <w:r>
              <w:rPr>
                <w:rFonts w:ascii="Times New Roman" w:hAnsi="Times New Roman"/>
                <w:color w:val="auto"/>
                <w:sz w:val="24"/>
                <w:szCs w:val="32"/>
              </w:rPr>
              <w:t>km</w:t>
            </w:r>
            <w:r>
              <w:rPr>
                <w:rFonts w:hint="eastAsia" w:ascii="Times New Roman" w:hAnsi="Times New Roman"/>
                <w:color w:val="auto"/>
                <w:sz w:val="24"/>
                <w:szCs w:val="32"/>
              </w:rPr>
              <w:t>处的</w:t>
            </w:r>
            <w:r>
              <w:rPr>
                <w:rFonts w:hint="eastAsia" w:ascii="Times New Roman" w:hAnsi="Times New Roman"/>
                <w:color w:val="auto"/>
                <w:sz w:val="24"/>
                <w:szCs w:val="32"/>
                <w:lang w:val="en-US" w:eastAsia="zh-CN"/>
              </w:rPr>
              <w:t>陕西玖宸钛工贸有限公司</w:t>
            </w:r>
            <w:r>
              <w:rPr>
                <w:rFonts w:hint="eastAsia" w:ascii="Times New Roman" w:hAnsi="Times New Roman"/>
                <w:color w:val="auto"/>
                <w:sz w:val="24"/>
                <w:szCs w:val="32"/>
              </w:rPr>
              <w:t>（数据摘自《</w:t>
            </w:r>
            <w:r>
              <w:rPr>
                <w:rFonts w:hint="eastAsia" w:ascii="Times New Roman" w:hAnsi="Times New Roman"/>
                <w:color w:val="auto"/>
                <w:sz w:val="24"/>
                <w:szCs w:val="32"/>
                <w:lang w:val="en-US" w:eastAsia="zh-CN"/>
              </w:rPr>
              <w:t>玖宸钛表面处理生产线建设项目</w:t>
            </w:r>
            <w:r>
              <w:rPr>
                <w:rFonts w:hint="eastAsia" w:ascii="Times New Roman" w:hAnsi="Times New Roman"/>
                <w:color w:val="auto"/>
                <w:sz w:val="24"/>
                <w:szCs w:val="32"/>
              </w:rPr>
              <w:t>环境影</w:t>
            </w:r>
            <w:r>
              <w:rPr>
                <w:rFonts w:ascii="Times New Roman" w:hAnsi="Times New Roman"/>
                <w:color w:val="auto"/>
                <w:sz w:val="24"/>
                <w:szCs w:val="32"/>
              </w:rPr>
              <w:t>响报告表》中的环境现状监测数据），数据由</w:t>
            </w:r>
            <w:r>
              <w:rPr>
                <w:rFonts w:hint="eastAsia" w:ascii="Times New Roman" w:hAnsi="Times New Roman"/>
                <w:color w:val="auto"/>
                <w:sz w:val="24"/>
                <w:szCs w:val="32"/>
                <w:lang w:val="en-US" w:eastAsia="zh-CN"/>
              </w:rPr>
              <w:t>陕西特睿智检测技术服务有限公司</w:t>
            </w:r>
            <w:r>
              <w:rPr>
                <w:rFonts w:ascii="Times New Roman" w:hAnsi="Times New Roman" w:eastAsia="宋体"/>
                <w:color w:val="auto"/>
                <w:sz w:val="24"/>
                <w:szCs w:val="32"/>
              </w:rPr>
              <w:t>于</w:t>
            </w:r>
            <w:r>
              <w:rPr>
                <w:rFonts w:ascii="Times New Roman" w:hAnsi="Times New Roman"/>
                <w:color w:val="auto"/>
                <w:sz w:val="24"/>
                <w:szCs w:val="32"/>
              </w:rPr>
              <w:t>202</w:t>
            </w:r>
            <w:r>
              <w:rPr>
                <w:rFonts w:hint="eastAsia" w:ascii="Times New Roman" w:hAnsi="Times New Roman"/>
                <w:color w:val="auto"/>
                <w:sz w:val="24"/>
                <w:szCs w:val="32"/>
                <w:lang w:val="en-US" w:eastAsia="zh-CN"/>
              </w:rPr>
              <w:t>4</w:t>
            </w:r>
            <w:r>
              <w:rPr>
                <w:rFonts w:ascii="Times New Roman" w:hAnsi="Times New Roman"/>
                <w:color w:val="auto"/>
                <w:sz w:val="24"/>
                <w:szCs w:val="32"/>
              </w:rPr>
              <w:t>年</w:t>
            </w:r>
            <w:r>
              <w:rPr>
                <w:rFonts w:hint="eastAsia" w:ascii="Times New Roman" w:hAnsi="Times New Roman"/>
                <w:color w:val="auto"/>
                <w:sz w:val="24"/>
                <w:szCs w:val="32"/>
                <w:lang w:val="en-US" w:eastAsia="zh-CN"/>
              </w:rPr>
              <w:t>5</w:t>
            </w:r>
            <w:r>
              <w:rPr>
                <w:rFonts w:ascii="Times New Roman" w:hAnsi="Times New Roman"/>
                <w:color w:val="auto"/>
                <w:sz w:val="24"/>
                <w:szCs w:val="32"/>
              </w:rPr>
              <w:t>月</w:t>
            </w:r>
            <w:r>
              <w:rPr>
                <w:rFonts w:hint="eastAsia" w:ascii="Times New Roman" w:hAnsi="Times New Roman"/>
                <w:color w:val="auto"/>
                <w:sz w:val="24"/>
                <w:szCs w:val="32"/>
                <w:lang w:val="en-US" w:eastAsia="zh-CN"/>
              </w:rPr>
              <w:t>23</w:t>
            </w:r>
            <w:r>
              <w:rPr>
                <w:rFonts w:ascii="Times New Roman" w:hAnsi="Times New Roman"/>
                <w:color w:val="auto"/>
                <w:sz w:val="24"/>
                <w:szCs w:val="32"/>
              </w:rPr>
              <w:t>日</w:t>
            </w:r>
            <w:r>
              <w:rPr>
                <w:rFonts w:hint="eastAsia"/>
                <w:color w:val="auto"/>
                <w:sz w:val="24"/>
                <w:szCs w:val="32"/>
                <w:lang w:eastAsia="zh-CN"/>
              </w:rPr>
              <w:t>—</w:t>
            </w:r>
            <w:r>
              <w:rPr>
                <w:rFonts w:ascii="Times New Roman" w:hAnsi="Times New Roman"/>
                <w:color w:val="auto"/>
                <w:sz w:val="24"/>
                <w:szCs w:val="32"/>
              </w:rPr>
              <w:t>202</w:t>
            </w:r>
            <w:r>
              <w:rPr>
                <w:rFonts w:hint="eastAsia" w:ascii="Times New Roman" w:hAnsi="Times New Roman"/>
                <w:color w:val="auto"/>
                <w:sz w:val="24"/>
                <w:szCs w:val="32"/>
                <w:lang w:val="en-US" w:eastAsia="zh-CN"/>
              </w:rPr>
              <w:t>4</w:t>
            </w:r>
            <w:r>
              <w:rPr>
                <w:rFonts w:ascii="Times New Roman" w:hAnsi="Times New Roman"/>
                <w:color w:val="auto"/>
                <w:sz w:val="24"/>
                <w:szCs w:val="32"/>
              </w:rPr>
              <w:t>年</w:t>
            </w:r>
            <w:r>
              <w:rPr>
                <w:rFonts w:hint="eastAsia" w:ascii="Times New Roman" w:hAnsi="Times New Roman"/>
                <w:color w:val="auto"/>
                <w:sz w:val="24"/>
                <w:szCs w:val="32"/>
                <w:lang w:val="en-US" w:eastAsia="zh-CN"/>
              </w:rPr>
              <w:t>5</w:t>
            </w:r>
            <w:r>
              <w:rPr>
                <w:rFonts w:ascii="Times New Roman" w:hAnsi="Times New Roman"/>
                <w:color w:val="auto"/>
                <w:sz w:val="24"/>
                <w:szCs w:val="32"/>
              </w:rPr>
              <w:t>月</w:t>
            </w:r>
            <w:r>
              <w:rPr>
                <w:rFonts w:hint="eastAsia" w:ascii="Times New Roman" w:hAnsi="Times New Roman"/>
                <w:color w:val="auto"/>
                <w:sz w:val="24"/>
                <w:szCs w:val="32"/>
                <w:lang w:val="en-US" w:eastAsia="zh-CN"/>
              </w:rPr>
              <w:t>2</w:t>
            </w:r>
            <w:r>
              <w:rPr>
                <w:rFonts w:ascii="Times New Roman" w:hAnsi="Times New Roman"/>
                <w:color w:val="auto"/>
                <w:sz w:val="24"/>
                <w:szCs w:val="32"/>
              </w:rPr>
              <w:t>6日</w:t>
            </w:r>
            <w:r>
              <w:rPr>
                <w:rFonts w:ascii="Times New Roman" w:hAnsi="Times New Roman" w:eastAsia="宋体"/>
                <w:color w:val="auto"/>
                <w:sz w:val="24"/>
                <w:szCs w:val="32"/>
              </w:rPr>
              <w:t>完成。</w:t>
            </w:r>
            <w:r>
              <w:rPr>
                <w:rFonts w:hint="default" w:ascii="Times New Roman" w:hAnsi="Times New Roman" w:cs="Times New Roman"/>
                <w:color w:val="auto"/>
                <w:sz w:val="24"/>
                <w:szCs w:val="24"/>
                <w:lang w:eastAsia="zh-CN"/>
              </w:rPr>
              <w:t>监测点位于本项目</w:t>
            </w:r>
            <w:r>
              <w:rPr>
                <w:rFonts w:hint="eastAsia" w:ascii="Times New Roman" w:hAnsi="Times New Roman" w:cs="Times New Roman"/>
                <w:color w:val="auto"/>
                <w:sz w:val="24"/>
                <w:szCs w:val="24"/>
                <w:lang w:eastAsia="zh-CN"/>
              </w:rPr>
              <w:t>东</w:t>
            </w:r>
            <w:r>
              <w:rPr>
                <w:rFonts w:hint="eastAsia" w:ascii="Times New Roman" w:hAnsi="Times New Roman" w:cs="Times New Roman"/>
                <w:color w:val="auto"/>
                <w:sz w:val="24"/>
                <w:szCs w:val="24"/>
                <w:lang w:val="en-US" w:eastAsia="zh-CN"/>
              </w:rPr>
              <w:t>南</w:t>
            </w:r>
            <w:r>
              <w:rPr>
                <w:rFonts w:hint="default" w:ascii="Times New Roman" w:hAnsi="Times New Roman" w:cs="Times New Roman"/>
                <w:color w:val="auto"/>
                <w:sz w:val="24"/>
                <w:szCs w:val="24"/>
                <w:lang w:eastAsia="zh-CN"/>
              </w:rPr>
              <w:t>侧</w:t>
            </w:r>
            <w:r>
              <w:rPr>
                <w:rFonts w:hint="eastAsia" w:ascii="Times New Roman" w:hAnsi="Times New Roman" w:cs="Times New Roman"/>
                <w:color w:val="auto"/>
                <w:sz w:val="24"/>
                <w:szCs w:val="24"/>
                <w:lang w:val="en-US" w:eastAsia="zh-CN"/>
              </w:rPr>
              <w:t>4867</w:t>
            </w:r>
            <w:r>
              <w:rPr>
                <w:rFonts w:hint="default" w:ascii="Times New Roman" w:hAnsi="Times New Roman" w:cs="Times New Roman"/>
                <w:color w:val="auto"/>
                <w:sz w:val="24"/>
                <w:szCs w:val="24"/>
                <w:lang w:eastAsia="zh-CN"/>
              </w:rPr>
              <w:t>m处，为项目周边</w:t>
            </w:r>
            <w:r>
              <w:rPr>
                <w:rFonts w:hint="default" w:ascii="Times New Roman" w:hAnsi="Times New Roman" w:cs="Times New Roman"/>
                <w:color w:val="auto"/>
                <w:sz w:val="24"/>
                <w:szCs w:val="24"/>
                <w:lang w:val="en-US" w:eastAsia="zh-CN"/>
              </w:rPr>
              <w:t>5km范围内近3年的现有检测数据，符合要求。</w:t>
            </w:r>
            <w:r>
              <w:rPr>
                <w:rFonts w:hint="default" w:ascii="Times New Roman" w:hAnsi="Times New Roman" w:cs="Times New Roman"/>
                <w:color w:val="auto"/>
                <w:sz w:val="24"/>
                <w:szCs w:val="24"/>
                <w:lang w:eastAsia="zh-CN"/>
              </w:rPr>
              <w:t>监测结果见下表3-2</w:t>
            </w:r>
            <w:r>
              <w:rPr>
                <w:rFonts w:hint="eastAsia" w:cs="Times New Roman"/>
                <w:color w:val="auto"/>
                <w:sz w:val="24"/>
                <w:szCs w:val="24"/>
                <w:lang w:eastAsia="zh-CN"/>
              </w:rPr>
              <w:t>：</w:t>
            </w:r>
          </w:p>
          <w:p w14:paraId="7ECA91FD">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表3-2  </w:t>
            </w:r>
            <w:r>
              <w:rPr>
                <w:rFonts w:hint="eastAsia" w:ascii="Times New Roman" w:hAnsi="Times New Roman" w:eastAsia="宋体" w:cs="Times New Roman"/>
                <w:b/>
                <w:bCs/>
                <w:color w:val="auto"/>
                <w:sz w:val="21"/>
                <w:szCs w:val="21"/>
                <w:lang w:val="en-US" w:eastAsia="zh-CN"/>
              </w:rPr>
              <w:t>环境空气质量</w:t>
            </w:r>
            <w:r>
              <w:rPr>
                <w:rFonts w:hint="default" w:ascii="Times New Roman" w:hAnsi="Times New Roman" w:eastAsia="宋体" w:cs="Times New Roman"/>
                <w:b/>
                <w:bCs/>
                <w:color w:val="auto"/>
                <w:sz w:val="21"/>
                <w:szCs w:val="21"/>
                <w:lang w:val="en-US" w:eastAsia="zh-CN"/>
              </w:rPr>
              <w:t>现状监测结果     单位：mg/m³</w:t>
            </w:r>
          </w:p>
          <w:tbl>
            <w:tblPr>
              <w:tblStyle w:val="30"/>
              <w:tblW w:w="499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95"/>
              <w:gridCol w:w="1051"/>
              <w:gridCol w:w="970"/>
              <w:gridCol w:w="1360"/>
              <w:gridCol w:w="1045"/>
              <w:gridCol w:w="1779"/>
            </w:tblGrid>
            <w:tr w14:paraId="77B15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122" w:type="pct"/>
                  <w:tcBorders>
                    <w:tl2br w:val="nil"/>
                    <w:tr2bl w:val="nil"/>
                  </w:tcBorders>
                  <w:noWrap w:val="0"/>
                  <w:vAlign w:val="center"/>
                </w:tcPr>
                <w:p w14:paraId="6F74C14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监测日期</w:t>
                  </w:r>
                </w:p>
              </w:tc>
              <w:tc>
                <w:tcPr>
                  <w:tcW w:w="657" w:type="pct"/>
                  <w:tcBorders>
                    <w:tl2br w:val="nil"/>
                    <w:tr2bl w:val="nil"/>
                  </w:tcBorders>
                  <w:noWrap w:val="0"/>
                  <w:vAlign w:val="center"/>
                </w:tcPr>
                <w:p w14:paraId="45562751">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监测时间</w:t>
                  </w:r>
                </w:p>
              </w:tc>
              <w:tc>
                <w:tcPr>
                  <w:tcW w:w="606" w:type="pct"/>
                  <w:tcBorders>
                    <w:tl2br w:val="nil"/>
                    <w:tr2bl w:val="nil"/>
                  </w:tcBorders>
                  <w:noWrap w:val="0"/>
                  <w:vAlign w:val="center"/>
                </w:tcPr>
                <w:p w14:paraId="6EE5964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监测点位</w:t>
                  </w:r>
                </w:p>
              </w:tc>
              <w:tc>
                <w:tcPr>
                  <w:tcW w:w="850" w:type="pct"/>
                  <w:tcBorders>
                    <w:tl2br w:val="nil"/>
                    <w:tr2bl w:val="nil"/>
                  </w:tcBorders>
                  <w:noWrap w:val="0"/>
                  <w:vAlign w:val="center"/>
                </w:tcPr>
                <w:p w14:paraId="25B62D64">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653" w:type="pct"/>
                  <w:tcBorders>
                    <w:tl2br w:val="nil"/>
                    <w:tr2bl w:val="nil"/>
                  </w:tcBorders>
                  <w:noWrap w:val="0"/>
                  <w:vAlign w:val="center"/>
                </w:tcPr>
                <w:p w14:paraId="6F07CB3E">
                  <w:pPr>
                    <w:pStyle w:val="125"/>
                    <w:keepNext w:val="0"/>
                    <w:keepLines w:val="0"/>
                    <w:pageBreakBefore w:val="0"/>
                    <w:widowControl w:val="0"/>
                    <w:kinsoku/>
                    <w:wordWrap/>
                    <w:overflowPunct/>
                    <w:topLinePunct w:val="0"/>
                    <w:autoSpaceDE/>
                    <w:autoSpaceDN/>
                    <w:bidi w:val="0"/>
                    <w:adjustRightInd/>
                    <w:snapToGrid/>
                    <w:ind w:left="0" w:right="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1108" w:type="pct"/>
                  <w:tcBorders>
                    <w:tl2br w:val="nil"/>
                    <w:tr2bl w:val="nil"/>
                  </w:tcBorders>
                  <w:noWrap w:val="0"/>
                  <w:vAlign w:val="center"/>
                </w:tcPr>
                <w:p w14:paraId="19366215">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占标率</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p>
              </w:tc>
            </w:tr>
            <w:tr w14:paraId="439B56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14:paraId="18DF76C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TSP </w:t>
                  </w:r>
                </w:p>
              </w:tc>
            </w:tr>
            <w:tr w14:paraId="5C173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1860B75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24.5.23-2024.5.24</w:t>
                  </w:r>
                </w:p>
              </w:tc>
              <w:tc>
                <w:tcPr>
                  <w:tcW w:w="657" w:type="pct"/>
                  <w:tcBorders>
                    <w:tl2br w:val="nil"/>
                    <w:tr2bl w:val="nil"/>
                  </w:tcBorders>
                  <w:noWrap w:val="0"/>
                  <w:vAlign w:val="center"/>
                </w:tcPr>
                <w:p w14:paraId="3C99F295">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10:00-10:00</w:t>
                  </w:r>
                </w:p>
              </w:tc>
              <w:tc>
                <w:tcPr>
                  <w:tcW w:w="606" w:type="pct"/>
                  <w:vMerge w:val="restart"/>
                  <w:tcBorders>
                    <w:tl2br w:val="nil"/>
                    <w:tr2bl w:val="nil"/>
                  </w:tcBorders>
                  <w:noWrap w:val="0"/>
                  <w:vAlign w:val="center"/>
                </w:tcPr>
                <w:p w14:paraId="23C055B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下风向</w:t>
                  </w:r>
                </w:p>
              </w:tc>
              <w:tc>
                <w:tcPr>
                  <w:tcW w:w="850" w:type="pct"/>
                  <w:tcBorders>
                    <w:tl2br w:val="nil"/>
                    <w:tr2bl w:val="nil"/>
                  </w:tcBorders>
                  <w:noWrap w:val="0"/>
                  <w:vAlign w:val="center"/>
                </w:tcPr>
                <w:p w14:paraId="2E7D81C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restart"/>
                  <w:tcBorders>
                    <w:tl2br w:val="nil"/>
                    <w:tr2bl w:val="nil"/>
                  </w:tcBorders>
                  <w:noWrap w:val="0"/>
                  <w:vAlign w:val="center"/>
                </w:tcPr>
                <w:p w14:paraId="756DB52B">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0.3mg/m³</w:t>
                  </w:r>
                </w:p>
              </w:tc>
              <w:tc>
                <w:tcPr>
                  <w:tcW w:w="1108" w:type="pct"/>
                  <w:vMerge w:val="restart"/>
                  <w:tcBorders>
                    <w:tl2br w:val="nil"/>
                    <w:tr2bl w:val="nil"/>
                  </w:tcBorders>
                  <w:noWrap w:val="0"/>
                  <w:vAlign w:val="center"/>
                </w:tcPr>
                <w:p w14:paraId="2D1882C8">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59%~60%</w:t>
                  </w:r>
                </w:p>
              </w:tc>
            </w:tr>
            <w:tr w14:paraId="27A06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71F79816">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4.5.24-2024.5.25</w:t>
                  </w:r>
                </w:p>
              </w:tc>
              <w:tc>
                <w:tcPr>
                  <w:tcW w:w="657" w:type="pct"/>
                  <w:tcBorders>
                    <w:tl2br w:val="nil"/>
                    <w:tr2bl w:val="nil"/>
                  </w:tcBorders>
                  <w:noWrap w:val="0"/>
                  <w:vAlign w:val="center"/>
                </w:tcPr>
                <w:p w14:paraId="33772F00">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10:10-10:10</w:t>
                  </w:r>
                </w:p>
              </w:tc>
              <w:tc>
                <w:tcPr>
                  <w:tcW w:w="606" w:type="pct"/>
                  <w:vMerge w:val="continue"/>
                  <w:tcBorders>
                    <w:tl2br w:val="nil"/>
                    <w:tr2bl w:val="nil"/>
                  </w:tcBorders>
                  <w:noWrap w:val="0"/>
                  <w:vAlign w:val="center"/>
                </w:tcPr>
                <w:p w14:paraId="5C41BA83">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50" w:type="pct"/>
                  <w:tcBorders>
                    <w:tl2br w:val="nil"/>
                    <w:tr2bl w:val="nil"/>
                  </w:tcBorders>
                  <w:noWrap w:val="0"/>
                  <w:vAlign w:val="center"/>
                </w:tcPr>
                <w:p w14:paraId="3DAFA923">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0.181</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04F8A9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089D5966">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4C3FD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tcBorders>
                    <w:tl2br w:val="nil"/>
                    <w:tr2bl w:val="nil"/>
                  </w:tcBorders>
                  <w:noWrap w:val="0"/>
                  <w:vAlign w:val="center"/>
                </w:tcPr>
                <w:p w14:paraId="60766157">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4.5.25-2024.5.26</w:t>
                  </w:r>
                </w:p>
              </w:tc>
              <w:tc>
                <w:tcPr>
                  <w:tcW w:w="657" w:type="pct"/>
                  <w:tcBorders>
                    <w:tl2br w:val="nil"/>
                    <w:tr2bl w:val="nil"/>
                  </w:tcBorders>
                  <w:noWrap w:val="0"/>
                  <w:vAlign w:val="center"/>
                </w:tcPr>
                <w:p w14:paraId="7F4A10C3">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10:20-10:20</w:t>
                  </w:r>
                </w:p>
              </w:tc>
              <w:tc>
                <w:tcPr>
                  <w:tcW w:w="606" w:type="pct"/>
                  <w:vMerge w:val="continue"/>
                  <w:tcBorders>
                    <w:tl2br w:val="nil"/>
                    <w:tr2bl w:val="nil"/>
                  </w:tcBorders>
                  <w:noWrap w:val="0"/>
                  <w:vAlign w:val="center"/>
                </w:tcPr>
                <w:p w14:paraId="33998EF9">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50" w:type="pct"/>
                  <w:tcBorders>
                    <w:tl2br w:val="nil"/>
                    <w:tr2bl w:val="nil"/>
                  </w:tcBorders>
                  <w:noWrap w:val="0"/>
                  <w:vAlign w:val="center"/>
                </w:tcPr>
                <w:p w14:paraId="4FC014E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2145DE8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00378508">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F9B6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14:paraId="2310B781">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氮氧化物</w:t>
                  </w:r>
                </w:p>
              </w:tc>
            </w:tr>
            <w:tr w14:paraId="1D0682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6D0B390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2024.5.23</w:t>
                  </w:r>
                </w:p>
              </w:tc>
              <w:tc>
                <w:tcPr>
                  <w:tcW w:w="657" w:type="pct"/>
                  <w:tcBorders>
                    <w:tl2br w:val="nil"/>
                    <w:tr2bl w:val="nil"/>
                  </w:tcBorders>
                  <w:noWrap w:val="0"/>
                  <w:vAlign w:val="center"/>
                </w:tcPr>
                <w:p w14:paraId="151A8ADD">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4D43822D">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2FE77D1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restart"/>
                  <w:tcBorders>
                    <w:tl2br w:val="nil"/>
                    <w:tr2bl w:val="nil"/>
                  </w:tcBorders>
                  <w:noWrap w:val="0"/>
                  <w:vAlign w:val="center"/>
                </w:tcPr>
                <w:p w14:paraId="17C2BF8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w:t>
                  </w:r>
                  <w:r>
                    <w:rPr>
                      <w:rFonts w:hint="default" w:ascii="Times New Roman" w:hAnsi="Times New Roman" w:cs="Times New Roman"/>
                      <w:color w:val="auto"/>
                      <w:sz w:val="21"/>
                      <w:szCs w:val="21"/>
                    </w:rPr>
                    <w:t>mg/m³</w:t>
                  </w:r>
                </w:p>
              </w:tc>
              <w:tc>
                <w:tcPr>
                  <w:tcW w:w="1108" w:type="pct"/>
                  <w:vMerge w:val="restart"/>
                  <w:tcBorders>
                    <w:tl2br w:val="nil"/>
                    <w:tr2bl w:val="nil"/>
                  </w:tcBorders>
                  <w:noWrap w:val="0"/>
                  <w:vAlign w:val="center"/>
                </w:tcPr>
                <w:p w14:paraId="35D43FD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6%~11%</w:t>
                  </w:r>
                </w:p>
              </w:tc>
            </w:tr>
            <w:tr w14:paraId="24063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14E8EB4B">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3F0ED624">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0622CB50">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2B75D649">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0.015</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1A2AA64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5F77D1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57FE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6803C83C">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F613A0D">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21D907EB">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0FDB684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00D4FB6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68278A9">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4B0EE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6475626D">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BC0952A">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7D9469BD">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74C555D5">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7317194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8EA6D87">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C4B5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2FC6448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2024.5.24</w:t>
                  </w:r>
                </w:p>
              </w:tc>
              <w:tc>
                <w:tcPr>
                  <w:tcW w:w="657" w:type="pct"/>
                  <w:tcBorders>
                    <w:tl2br w:val="nil"/>
                    <w:tr2bl w:val="nil"/>
                  </w:tcBorders>
                  <w:noWrap w:val="0"/>
                  <w:vAlign w:val="center"/>
                </w:tcPr>
                <w:p w14:paraId="6F152BB1">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24DAC72E">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21F75150">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7DB3E6F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10B013DE">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F4C8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299B74A9">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A125D26">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6DBB7D88">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42234918">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0.020</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04ACC00">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10AFDF8E">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085BF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4A901EC7">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73D26CB8">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67EC71F0">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4BE67EBF">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0.026</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B8EB7E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614B807">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6A9CA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5BE0EF4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36F74ED2">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204BD4FF">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1BF70F3E">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C7D126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623C2A37">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59CE7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restart"/>
                  <w:tcBorders>
                    <w:tl2br w:val="nil"/>
                    <w:tr2bl w:val="nil"/>
                  </w:tcBorders>
                  <w:noWrap w:val="0"/>
                  <w:vAlign w:val="center"/>
                </w:tcPr>
                <w:p w14:paraId="22133683">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2024.5.25</w:t>
                  </w:r>
                </w:p>
              </w:tc>
              <w:tc>
                <w:tcPr>
                  <w:tcW w:w="657" w:type="pct"/>
                  <w:tcBorders>
                    <w:tl2br w:val="nil"/>
                    <w:tr2bl w:val="nil"/>
                  </w:tcBorders>
                  <w:noWrap w:val="0"/>
                  <w:vAlign w:val="center"/>
                </w:tcPr>
                <w:p w14:paraId="640EF18A">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10:00-11:00</w:t>
                  </w:r>
                </w:p>
              </w:tc>
              <w:tc>
                <w:tcPr>
                  <w:tcW w:w="606" w:type="pct"/>
                  <w:vMerge w:val="restart"/>
                  <w:tcBorders>
                    <w:tl2br w:val="nil"/>
                    <w:tr2bl w:val="nil"/>
                  </w:tcBorders>
                  <w:noWrap w:val="0"/>
                  <w:vAlign w:val="center"/>
                </w:tcPr>
                <w:p w14:paraId="4DF952B8">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下风向</w:t>
                  </w:r>
                </w:p>
              </w:tc>
              <w:tc>
                <w:tcPr>
                  <w:tcW w:w="850" w:type="pct"/>
                  <w:tcBorders>
                    <w:tl2br w:val="nil"/>
                    <w:tr2bl w:val="nil"/>
                  </w:tcBorders>
                  <w:noWrap w:val="0"/>
                  <w:vAlign w:val="center"/>
                </w:tcPr>
                <w:p w14:paraId="6B745E0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0.019</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38D2931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E7E72F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1073D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4289BB06">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5DF9571D">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12:00-13:00</w:t>
                  </w:r>
                </w:p>
              </w:tc>
              <w:tc>
                <w:tcPr>
                  <w:tcW w:w="606" w:type="pct"/>
                  <w:vMerge w:val="continue"/>
                  <w:tcBorders>
                    <w:tl2br w:val="nil"/>
                    <w:tr2bl w:val="nil"/>
                  </w:tcBorders>
                  <w:noWrap w:val="0"/>
                  <w:vAlign w:val="center"/>
                </w:tcPr>
                <w:p w14:paraId="4D8F016B">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7DBD55E4">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0.024</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492C4B7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43D3707A">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58ABEC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5016EE6C">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279B9555">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14:00-15:00</w:t>
                  </w:r>
                </w:p>
              </w:tc>
              <w:tc>
                <w:tcPr>
                  <w:tcW w:w="606" w:type="pct"/>
                  <w:vMerge w:val="continue"/>
                  <w:tcBorders>
                    <w:tl2br w:val="nil"/>
                    <w:tr2bl w:val="nil"/>
                  </w:tcBorders>
                  <w:noWrap w:val="0"/>
                  <w:vAlign w:val="center"/>
                </w:tcPr>
                <w:p w14:paraId="2A73A89E">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66FB39ED">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0.028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149BB147">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2A4C0CB1">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24BCD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22" w:type="pct"/>
                  <w:vMerge w:val="continue"/>
                  <w:tcBorders>
                    <w:tl2br w:val="nil"/>
                    <w:tr2bl w:val="nil"/>
                  </w:tcBorders>
                  <w:noWrap w:val="0"/>
                  <w:vAlign w:val="center"/>
                </w:tcPr>
                <w:p w14:paraId="33E453A2">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657" w:type="pct"/>
                  <w:tcBorders>
                    <w:tl2br w:val="nil"/>
                    <w:tr2bl w:val="nil"/>
                  </w:tcBorders>
                  <w:noWrap w:val="0"/>
                  <w:vAlign w:val="center"/>
                </w:tcPr>
                <w:p w14:paraId="4EC2B6A4">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16:00-17:00</w:t>
                  </w:r>
                </w:p>
              </w:tc>
              <w:tc>
                <w:tcPr>
                  <w:tcW w:w="606" w:type="pct"/>
                  <w:vMerge w:val="continue"/>
                  <w:tcBorders>
                    <w:tl2br w:val="nil"/>
                    <w:tr2bl w:val="nil"/>
                  </w:tcBorders>
                  <w:noWrap w:val="0"/>
                  <w:vAlign w:val="center"/>
                </w:tcPr>
                <w:p w14:paraId="06BE089C">
                  <w:pPr>
                    <w:pStyle w:val="12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cs="Times New Roman"/>
                      <w:color w:val="auto"/>
                      <w:sz w:val="21"/>
                      <w:szCs w:val="21"/>
                      <w:lang w:eastAsia="zh-CN"/>
                    </w:rPr>
                  </w:pPr>
                </w:p>
              </w:tc>
              <w:tc>
                <w:tcPr>
                  <w:tcW w:w="850" w:type="pct"/>
                  <w:tcBorders>
                    <w:tl2br w:val="nil"/>
                    <w:tr2bl w:val="nil"/>
                  </w:tcBorders>
                  <w:noWrap w:val="0"/>
                  <w:vAlign w:val="center"/>
                </w:tcPr>
                <w:p w14:paraId="5CBC7164">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0.018</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3" w:type="pct"/>
                  <w:vMerge w:val="continue"/>
                  <w:tcBorders>
                    <w:tl2br w:val="nil"/>
                    <w:tr2bl w:val="nil"/>
                  </w:tcBorders>
                  <w:noWrap w:val="0"/>
                  <w:vAlign w:val="center"/>
                </w:tcPr>
                <w:p w14:paraId="666DD97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08" w:type="pct"/>
                  <w:vMerge w:val="continue"/>
                  <w:tcBorders>
                    <w:tl2br w:val="nil"/>
                    <w:tr2bl w:val="nil"/>
                  </w:tcBorders>
                  <w:noWrap w:val="0"/>
                  <w:vAlign w:val="center"/>
                </w:tcPr>
                <w:p w14:paraId="51FD6F1D">
                  <w:pPr>
                    <w:pStyle w:val="125"/>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bl>
          <w:p w14:paraId="701B11E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cs="Times New Roman"/>
                <w:color w:val="auto"/>
                <w:sz w:val="24"/>
                <w:szCs w:val="24"/>
                <w:lang w:val="en-US" w:eastAsia="zh-CN"/>
              </w:rPr>
              <w:t>由现状监测报告可知，监测区域内TSP浓度</w:t>
            </w:r>
            <w:r>
              <w:rPr>
                <w:rFonts w:hint="eastAsia" w:ascii="Times New Roman" w:hAnsi="Times New Roman" w:cs="Times New Roman"/>
                <w:color w:val="auto"/>
                <w:sz w:val="24"/>
                <w:szCs w:val="24"/>
                <w:lang w:val="en-US" w:eastAsia="zh-CN"/>
              </w:rPr>
              <w:t>范围在0.178-0.187</w:t>
            </w:r>
            <w:r>
              <w:rPr>
                <w:rFonts w:hint="default" w:ascii="Times New Roman" w:hAnsi="Times New Roman" w:cs="Times New Roman"/>
                <w:color w:val="auto"/>
              </w:rPr>
              <w:t xml:space="preserve"> </w:t>
            </w:r>
            <w:r>
              <w:rPr>
                <w:rFonts w:hint="default" w:ascii="Times New Roman" w:hAnsi="Times New Roman" w:cs="Times New Roman"/>
                <w:color w:val="auto"/>
                <w:sz w:val="24"/>
                <w:szCs w:val="24"/>
              </w:rPr>
              <w:t>mg/m³</w:t>
            </w:r>
            <w:r>
              <w:rPr>
                <w:rFonts w:hint="eastAsia" w:ascii="Times New Roman" w:hAnsi="Times New Roman" w:cs="Times New Roman"/>
                <w:color w:val="auto"/>
                <w:lang w:eastAsia="zh-CN"/>
              </w:rPr>
              <w:t>，</w:t>
            </w:r>
            <w:r>
              <w:rPr>
                <w:rFonts w:hint="eastAsia" w:ascii="Times New Roman" w:hAnsi="Times New Roman" w:eastAsia="宋体" w:cs="Times New Roman"/>
                <w:color w:val="auto"/>
                <w:sz w:val="24"/>
                <w:szCs w:val="24"/>
                <w:lang w:val="en-US" w:eastAsia="zh-CN"/>
              </w:rPr>
              <w:t>氮氧化物浓度范围在0.015-0.028</w:t>
            </w:r>
            <w:r>
              <w:rPr>
                <w:rFonts w:hint="default" w:ascii="Times New Roman" w:hAnsi="Times New Roman" w:cs="Times New Roman"/>
                <w:color w:val="auto"/>
              </w:rPr>
              <w:t xml:space="preserve"> </w:t>
            </w:r>
            <w:r>
              <w:rPr>
                <w:rFonts w:hint="default" w:ascii="Times New Roman" w:hAnsi="Times New Roman" w:cs="Times New Roman"/>
                <w:color w:val="auto"/>
                <w:sz w:val="24"/>
                <w:szCs w:val="24"/>
              </w:rPr>
              <w:t>mg/m³</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监测值满足《环境空气质量标准》（GB3095-2012）中的二级标</w:t>
            </w:r>
            <w:r>
              <w:rPr>
                <w:rFonts w:hint="default" w:ascii="Times New Roman" w:hAnsi="Times New Roman" w:eastAsia="宋体" w:cs="Times New Roman"/>
                <w:bCs/>
                <w:color w:val="auto"/>
                <w:sz w:val="24"/>
                <w:szCs w:val="28"/>
                <w:lang w:val="en-US" w:eastAsia="zh-CN"/>
              </w:rPr>
              <w:t>准要求。</w:t>
            </w:r>
          </w:p>
          <w:p w14:paraId="4CF8788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Cs/>
                <w:color w:val="auto"/>
                <w:sz w:val="24"/>
                <w:szCs w:val="28"/>
                <w:lang w:val="en-US" w:eastAsia="zh-CN"/>
              </w:rPr>
            </w:pPr>
            <w:r>
              <w:rPr>
                <w:color w:val="auto"/>
              </w:rPr>
              <w:drawing>
                <wp:inline distT="0" distB="0" distL="114300" distR="114300">
                  <wp:extent cx="5073650" cy="3356610"/>
                  <wp:effectExtent l="9525" t="9525" r="22225" b="24765"/>
                  <wp:docPr id="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pic:cNvPicPr>
                            <a:picLocks noChangeAspect="1"/>
                          </pic:cNvPicPr>
                        </pic:nvPicPr>
                        <pic:blipFill>
                          <a:blip r:embed="rId13"/>
                          <a:stretch>
                            <a:fillRect/>
                          </a:stretch>
                        </pic:blipFill>
                        <pic:spPr>
                          <a:xfrm>
                            <a:off x="0" y="0"/>
                            <a:ext cx="5073650" cy="335661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998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图3-1  现状监测数据引用位置图</w:t>
            </w:r>
          </w:p>
          <w:p w14:paraId="63623B8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声环境质量现状</w:t>
            </w:r>
          </w:p>
          <w:p w14:paraId="1DA00067">
            <w:pPr>
              <w:keepNext/>
              <w:keepLines/>
              <w:spacing w:line="360" w:lineRule="auto"/>
              <w:ind w:firstLine="480" w:firstLineChars="200"/>
              <w:jc w:val="left"/>
              <w:outlineLvl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为了解项目周围环境质量现状，陕西秦景蓝环境检测有限公司对项目周边50米范围内声环境敏感点进行取样监测，监测结果见下表：</w:t>
            </w:r>
          </w:p>
          <w:p w14:paraId="24D0427F">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表3-3 </w:t>
            </w:r>
            <w:r>
              <w:rPr>
                <w:rFonts w:hint="default" w:ascii="Times New Roman" w:hAnsi="Times New Roman" w:eastAsia="宋体" w:cs="Times New Roman"/>
                <w:b/>
                <w:bCs/>
                <w:color w:val="auto"/>
                <w:sz w:val="21"/>
                <w:szCs w:val="21"/>
                <w:lang w:val="en-US" w:eastAsia="zh-CN"/>
              </w:rPr>
              <w:t>建设项目环境噪声监测结果</w:t>
            </w:r>
          </w:p>
          <w:tbl>
            <w:tblPr>
              <w:tblStyle w:val="31"/>
              <w:tblW w:w="79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993"/>
              <w:gridCol w:w="1994"/>
              <w:gridCol w:w="1994"/>
            </w:tblGrid>
            <w:tr w14:paraId="7A7D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restart"/>
                  <w:tcBorders>
                    <w:tl2br w:val="nil"/>
                    <w:tr2bl w:val="nil"/>
                  </w:tcBorders>
                  <w:noWrap w:val="0"/>
                  <w:vAlign w:val="center"/>
                </w:tcPr>
                <w:p w14:paraId="00F41D5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监测时间</w:t>
                  </w:r>
                </w:p>
              </w:tc>
              <w:tc>
                <w:tcPr>
                  <w:tcW w:w="1993" w:type="dxa"/>
                  <w:vMerge w:val="restart"/>
                  <w:tcBorders>
                    <w:tl2br w:val="nil"/>
                    <w:tr2bl w:val="nil"/>
                  </w:tcBorders>
                  <w:noWrap w:val="0"/>
                  <w:vAlign w:val="center"/>
                </w:tcPr>
                <w:p w14:paraId="5DC3BC7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监测点位</w:t>
                  </w:r>
                </w:p>
              </w:tc>
              <w:tc>
                <w:tcPr>
                  <w:tcW w:w="1994" w:type="dxa"/>
                  <w:vMerge w:val="restart"/>
                  <w:tcBorders>
                    <w:tl2br w:val="nil"/>
                    <w:tr2bl w:val="nil"/>
                  </w:tcBorders>
                  <w:noWrap w:val="0"/>
                  <w:vAlign w:val="center"/>
                </w:tcPr>
                <w:p w14:paraId="7F75260E">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w:t>
                  </w:r>
                </w:p>
              </w:tc>
              <w:tc>
                <w:tcPr>
                  <w:tcW w:w="1994" w:type="dxa"/>
                  <w:tcBorders>
                    <w:tl2br w:val="nil"/>
                    <w:tr2bl w:val="nil"/>
                  </w:tcBorders>
                  <w:noWrap w:val="0"/>
                  <w:vAlign w:val="center"/>
                </w:tcPr>
                <w:p w14:paraId="1D2066C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检测结果</w:t>
                  </w:r>
                </w:p>
              </w:tc>
            </w:tr>
            <w:tr w14:paraId="37EA1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Merge w:val="continue"/>
                  <w:tcBorders>
                    <w:tl2br w:val="nil"/>
                    <w:tr2bl w:val="nil"/>
                  </w:tcBorders>
                  <w:noWrap w:val="0"/>
                  <w:vAlign w:val="center"/>
                </w:tcPr>
                <w:p w14:paraId="36F3782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993" w:type="dxa"/>
                  <w:vMerge w:val="continue"/>
                  <w:tcBorders>
                    <w:tl2br w:val="nil"/>
                    <w:tr2bl w:val="nil"/>
                  </w:tcBorders>
                  <w:noWrap w:val="0"/>
                  <w:vAlign w:val="center"/>
                </w:tcPr>
                <w:p w14:paraId="107CE08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994" w:type="dxa"/>
                  <w:vMerge w:val="continue"/>
                  <w:tcBorders>
                    <w:tl2br w:val="nil"/>
                    <w:tr2bl w:val="nil"/>
                  </w:tcBorders>
                  <w:noWrap w:val="0"/>
                  <w:vAlign w:val="center"/>
                </w:tcPr>
                <w:p w14:paraId="7EDA8F48">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994" w:type="dxa"/>
                  <w:tcBorders>
                    <w:tl2br w:val="nil"/>
                    <w:tr2bl w:val="nil"/>
                  </w:tcBorders>
                  <w:noWrap w:val="0"/>
                  <w:vAlign w:val="center"/>
                </w:tcPr>
                <w:p w14:paraId="0918446C">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昼间</w:t>
                  </w:r>
                </w:p>
              </w:tc>
            </w:tr>
            <w:tr w14:paraId="505D9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tcBorders>
                    <w:tl2br w:val="nil"/>
                    <w:tr2bl w:val="nil"/>
                  </w:tcBorders>
                  <w:noWrap w:val="0"/>
                  <w:vAlign w:val="center"/>
                </w:tcPr>
                <w:p w14:paraId="530E97BA">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2025.11.4</w:t>
                  </w:r>
                </w:p>
              </w:tc>
              <w:tc>
                <w:tcPr>
                  <w:tcW w:w="1993" w:type="dxa"/>
                  <w:tcBorders>
                    <w:tl2br w:val="nil"/>
                    <w:tr2bl w:val="nil"/>
                  </w:tcBorders>
                  <w:noWrap w:val="0"/>
                  <w:vAlign w:val="center"/>
                </w:tcPr>
                <w:p w14:paraId="55AF8151">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宋体" w:cs="Times New Roman"/>
                      <w:color w:val="auto"/>
                      <w:kern w:val="0"/>
                      <w:sz w:val="21"/>
                      <w:szCs w:val="21"/>
                      <w:lang w:val="en-US" w:eastAsia="zh-CN" w:bidi="ar-SA"/>
                    </w:rPr>
                    <w:t>五一村</w:t>
                  </w:r>
                </w:p>
              </w:tc>
              <w:tc>
                <w:tcPr>
                  <w:tcW w:w="1994" w:type="dxa"/>
                  <w:tcBorders>
                    <w:tl2br w:val="nil"/>
                    <w:tr2bl w:val="nil"/>
                  </w:tcBorders>
                  <w:noWrap w:val="0"/>
                  <w:vAlign w:val="center"/>
                </w:tcPr>
                <w:p w14:paraId="5CF1D1B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dB（A）</w:t>
                  </w:r>
                </w:p>
              </w:tc>
              <w:tc>
                <w:tcPr>
                  <w:tcW w:w="1994" w:type="dxa"/>
                  <w:tcBorders>
                    <w:tl2br w:val="nil"/>
                    <w:tr2bl w:val="nil"/>
                  </w:tcBorders>
                  <w:noWrap w:val="0"/>
                  <w:vAlign w:val="center"/>
                </w:tcPr>
                <w:p w14:paraId="3BB3C6C3">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54</w:t>
                  </w:r>
                </w:p>
              </w:tc>
            </w:tr>
          </w:tbl>
          <w:p w14:paraId="3D64C974">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firstLine="360" w:firstLineChars="200"/>
              <w:textAlignment w:val="auto"/>
              <w:rPr>
                <w:rFonts w:hint="default" w:ascii="Times New Roman" w:hAnsi="Times New Roman" w:eastAsia="宋体" w:cs="Times New Roman"/>
                <w:b/>
                <w:bCs/>
                <w:color w:val="auto"/>
                <w:kern w:val="2"/>
                <w:sz w:val="24"/>
                <w:szCs w:val="24"/>
                <w:lang w:val="en-US" w:eastAsia="zh-CN" w:bidi="ar-SA"/>
              </w:rPr>
            </w:pPr>
            <w:r>
              <w:rPr>
                <w:color w:val="auto"/>
              </w:rPr>
              <w:drawing>
                <wp:inline distT="0" distB="0" distL="114300" distR="114300">
                  <wp:extent cx="4657725" cy="5924550"/>
                  <wp:effectExtent l="9525" t="9525" r="1905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4657725" cy="5924550"/>
                          </a:xfrm>
                          <a:prstGeom prst="rect">
                            <a:avLst/>
                          </a:prstGeom>
                          <a:noFill/>
                          <a:ln>
                            <a:solidFill>
                              <a:schemeClr val="tx1"/>
                            </a:solidFill>
                          </a:ln>
                        </pic:spPr>
                      </pic:pic>
                    </a:graphicData>
                  </a:graphic>
                </wp:inline>
              </w:drawing>
            </w:r>
          </w:p>
          <w:p w14:paraId="1B3B2D81">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图3-</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 xml:space="preserve">  现状监测</w:t>
            </w:r>
            <w:r>
              <w:rPr>
                <w:rFonts w:hint="eastAsia" w:cs="Times New Roman"/>
                <w:b/>
                <w:bCs/>
                <w:color w:val="auto"/>
                <w:kern w:val="2"/>
                <w:sz w:val="21"/>
                <w:szCs w:val="21"/>
                <w:lang w:val="en-US" w:eastAsia="zh-CN" w:bidi="ar-SA"/>
              </w:rPr>
              <w:t>点位布设图</w:t>
            </w:r>
          </w:p>
          <w:p w14:paraId="44C56EB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土壤、地下水质量现状</w:t>
            </w:r>
          </w:p>
          <w:p w14:paraId="07AA4135">
            <w:pPr>
              <w:keepNext/>
              <w:keepLines/>
              <w:spacing w:line="360" w:lineRule="auto"/>
              <w:ind w:firstLine="480" w:firstLineChars="200"/>
              <w:jc w:val="left"/>
              <w:outlineLv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根据项目生产工艺特点，本次环评结合项目污染源分布情况，项目所在区域地面以及生产厂房地面均采取了分区防渗及拦挡措施</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且本项目生产车间均已硬化，不存在污染途径。</w:t>
            </w:r>
          </w:p>
        </w:tc>
      </w:tr>
      <w:tr w14:paraId="59C21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781C315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CC4F09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5FA5E3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noWrap w:val="0"/>
            <w:vAlign w:val="center"/>
          </w:tcPr>
          <w:p w14:paraId="4306AA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主要环境保护目标（列出名单及保护级别）</w:t>
            </w:r>
          </w:p>
          <w:p w14:paraId="2A9A24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1.</w:t>
            </w:r>
            <w:r>
              <w:rPr>
                <w:rFonts w:hint="default" w:ascii="Times New Roman" w:hAnsi="Times New Roman" w:eastAsia="宋体" w:cs="Times New Roman"/>
                <w:color w:val="auto"/>
                <w:sz w:val="24"/>
                <w:szCs w:val="24"/>
              </w:rPr>
              <w:t>大气环境：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厂界外500米范围内存在居住区</w:t>
            </w:r>
            <w:r>
              <w:rPr>
                <w:rFonts w:hint="default" w:ascii="Times New Roman" w:hAnsi="Times New Roman" w:eastAsia="宋体" w:cs="Times New Roman"/>
                <w:color w:val="auto"/>
                <w:sz w:val="24"/>
                <w:szCs w:val="24"/>
                <w:lang w:eastAsia="zh-CN"/>
              </w:rPr>
              <w:t>、学校</w:t>
            </w:r>
            <w:r>
              <w:rPr>
                <w:rFonts w:hint="default" w:ascii="Times New Roman" w:hAnsi="Times New Roman" w:eastAsia="宋体" w:cs="Times New Roman"/>
                <w:color w:val="auto"/>
                <w:sz w:val="24"/>
                <w:szCs w:val="24"/>
              </w:rPr>
              <w:t>等保护目标。</w:t>
            </w:r>
          </w:p>
          <w:p w14:paraId="6C2F20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2.</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厂界外50m范围内</w:t>
            </w:r>
            <w:r>
              <w:rPr>
                <w:rFonts w:hint="eastAsia" w:ascii="Times New Roman" w:hAnsi="Times New Roman" w:eastAsia="宋体" w:cs="Times New Roman"/>
                <w:color w:val="auto"/>
                <w:sz w:val="24"/>
                <w:szCs w:val="24"/>
                <w:lang w:val="en-US" w:eastAsia="zh-CN"/>
              </w:rPr>
              <w:t>有</w:t>
            </w:r>
            <w:r>
              <w:rPr>
                <w:rFonts w:hint="default" w:ascii="Times New Roman" w:hAnsi="Times New Roman" w:eastAsia="宋体" w:cs="Times New Roman"/>
                <w:color w:val="auto"/>
                <w:sz w:val="24"/>
                <w:szCs w:val="24"/>
              </w:rPr>
              <w:t>声环境保护目标。</w:t>
            </w:r>
          </w:p>
          <w:p w14:paraId="2C394E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3.</w:t>
            </w:r>
            <w:r>
              <w:rPr>
                <w:rFonts w:hint="default" w:ascii="Times New Roman" w:hAnsi="Times New Roman" w:eastAsia="宋体" w:cs="Times New Roman"/>
                <w:color w:val="auto"/>
                <w:sz w:val="24"/>
                <w:szCs w:val="24"/>
                <w:lang w:val="en-US" w:eastAsia="zh-CN"/>
              </w:rPr>
              <w:t>电磁辐射：本项目不属于新建或扩建广播电台、差转台、电视塔台、卫星地球上行站、雷达等电磁辐射类项目，无需对电磁辐射现状开展监测与评价。</w:t>
            </w:r>
          </w:p>
          <w:p w14:paraId="4393E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本项目生产车间内进行混凝土硬化，且周边</w:t>
            </w:r>
            <w:r>
              <w:rPr>
                <w:rFonts w:hint="default" w:ascii="Times New Roman" w:hAnsi="Times New Roman" w:eastAsia="宋体" w:cs="Times New Roman"/>
                <w:color w:val="auto"/>
                <w:sz w:val="24"/>
                <w:szCs w:val="24"/>
              </w:rPr>
              <w:t>无地下水集中式饮用水水源和热水、矿泉水、温泉等特殊地下水资源。</w:t>
            </w:r>
          </w:p>
          <w:p w14:paraId="5165C8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生态环境：本项目</w:t>
            </w:r>
            <w:r>
              <w:rPr>
                <w:rFonts w:hint="default" w:ascii="Times New Roman" w:hAnsi="Times New Roman" w:eastAsia="宋体" w:cs="Times New Roman"/>
                <w:color w:val="auto"/>
                <w:sz w:val="24"/>
                <w:szCs w:val="24"/>
                <w:lang w:eastAsia="zh-CN"/>
              </w:rPr>
              <w:t>位于陈仓区科技工业园区，不</w:t>
            </w:r>
            <w:r>
              <w:rPr>
                <w:rFonts w:hint="eastAsia" w:cs="Times New Roman"/>
                <w:color w:val="auto"/>
                <w:sz w:val="24"/>
                <w:szCs w:val="24"/>
                <w:lang w:eastAsia="zh-CN"/>
              </w:rPr>
              <w:t>含</w:t>
            </w:r>
            <w:r>
              <w:rPr>
                <w:rFonts w:hint="default" w:ascii="Times New Roman" w:hAnsi="Times New Roman" w:eastAsia="宋体" w:cs="Times New Roman"/>
                <w:color w:val="auto"/>
                <w:sz w:val="24"/>
                <w:szCs w:val="24"/>
              </w:rPr>
              <w:t>生态环境保护目标。</w:t>
            </w:r>
          </w:p>
          <w:p w14:paraId="5FE9B4C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环境保护目标情况</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584"/>
              <w:gridCol w:w="968"/>
              <w:gridCol w:w="602"/>
              <w:gridCol w:w="1843"/>
              <w:gridCol w:w="1054"/>
              <w:gridCol w:w="558"/>
              <w:gridCol w:w="849"/>
            </w:tblGrid>
            <w:tr w14:paraId="20906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noWrap w:val="0"/>
                  <w:vAlign w:val="center"/>
                </w:tcPr>
                <w:p w14:paraId="0BE9266D">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环境要素</w:t>
                  </w:r>
                </w:p>
              </w:tc>
              <w:tc>
                <w:tcPr>
                  <w:tcW w:w="1580" w:type="dxa"/>
                  <w:noWrap w:val="0"/>
                  <w:vAlign w:val="center"/>
                </w:tcPr>
                <w:p w14:paraId="007D31E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坐标（度）</w:t>
                  </w:r>
                </w:p>
              </w:tc>
              <w:tc>
                <w:tcPr>
                  <w:tcW w:w="966" w:type="dxa"/>
                  <w:noWrap w:val="0"/>
                  <w:vAlign w:val="center"/>
                </w:tcPr>
                <w:p w14:paraId="431AC35B">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保护对象</w:t>
                  </w:r>
                </w:p>
              </w:tc>
              <w:tc>
                <w:tcPr>
                  <w:tcW w:w="600" w:type="dxa"/>
                  <w:noWrap w:val="0"/>
                  <w:vAlign w:val="center"/>
                </w:tcPr>
                <w:p w14:paraId="36C282B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保护内容</w:t>
                  </w:r>
                </w:p>
              </w:tc>
              <w:tc>
                <w:tcPr>
                  <w:tcW w:w="1838" w:type="dxa"/>
                  <w:noWrap w:val="0"/>
                  <w:vAlign w:val="center"/>
                </w:tcPr>
                <w:p w14:paraId="2161256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环境功能区</w:t>
                  </w:r>
                </w:p>
              </w:tc>
              <w:tc>
                <w:tcPr>
                  <w:tcW w:w="1051" w:type="dxa"/>
                  <w:noWrap w:val="0"/>
                  <w:vAlign w:val="center"/>
                </w:tcPr>
                <w:p w14:paraId="4D4036C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规模</w:t>
                  </w:r>
                </w:p>
              </w:tc>
              <w:tc>
                <w:tcPr>
                  <w:tcW w:w="557" w:type="dxa"/>
                  <w:noWrap w:val="0"/>
                  <w:vAlign w:val="center"/>
                </w:tcPr>
                <w:p w14:paraId="2A74EB51">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方位</w:t>
                  </w:r>
                </w:p>
              </w:tc>
              <w:tc>
                <w:tcPr>
                  <w:tcW w:w="847" w:type="dxa"/>
                  <w:noWrap w:val="0"/>
                  <w:vAlign w:val="center"/>
                </w:tcPr>
                <w:p w14:paraId="2E9C7470">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相对厂界距离（m）</w:t>
                  </w:r>
                </w:p>
              </w:tc>
            </w:tr>
            <w:tr w14:paraId="1A7D6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restart"/>
                  <w:noWrap w:val="0"/>
                  <w:vAlign w:val="center"/>
                </w:tcPr>
                <w:p w14:paraId="6711B279">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w:t>
                  </w:r>
                </w:p>
              </w:tc>
              <w:tc>
                <w:tcPr>
                  <w:tcW w:w="1580" w:type="dxa"/>
                  <w:noWrap w:val="0"/>
                  <w:vAlign w:val="center"/>
                </w:tcPr>
                <w:p w14:paraId="084D336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107.426677°</w:t>
                  </w:r>
                </w:p>
                <w:p w14:paraId="4E573075">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34.352542°</w:t>
                  </w:r>
                </w:p>
              </w:tc>
              <w:tc>
                <w:tcPr>
                  <w:tcW w:w="966" w:type="dxa"/>
                  <w:noWrap w:val="0"/>
                  <w:vAlign w:val="center"/>
                </w:tcPr>
                <w:p w14:paraId="5C9F3815">
                  <w:pPr>
                    <w:pStyle w:val="164"/>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靳家庄</w:t>
                  </w:r>
                </w:p>
              </w:tc>
              <w:tc>
                <w:tcPr>
                  <w:tcW w:w="600" w:type="dxa"/>
                  <w:vMerge w:val="restart"/>
                  <w:noWrap w:val="0"/>
                  <w:vAlign w:val="center"/>
                </w:tcPr>
                <w:p w14:paraId="323F1EFE">
                  <w:pPr>
                    <w:pStyle w:val="164"/>
                    <w:rPr>
                      <w:rFonts w:hint="default" w:ascii="Times New Roman" w:hAnsi="Times New Roman" w:cs="Times New Roman"/>
                      <w:color w:val="auto"/>
                      <w:szCs w:val="21"/>
                    </w:rPr>
                  </w:pPr>
                  <w:r>
                    <w:rPr>
                      <w:rFonts w:hint="default" w:ascii="Times New Roman" w:hAnsi="Times New Roman" w:cs="Times New Roman"/>
                      <w:color w:val="auto"/>
                      <w:szCs w:val="21"/>
                    </w:rPr>
                    <w:t>人群健康</w:t>
                  </w:r>
                </w:p>
              </w:tc>
              <w:tc>
                <w:tcPr>
                  <w:tcW w:w="1838" w:type="dxa"/>
                  <w:vMerge w:val="restart"/>
                  <w:noWrap w:val="0"/>
                  <w:vAlign w:val="center"/>
                </w:tcPr>
                <w:p w14:paraId="071132B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w:t>
                  </w:r>
                  <w:r>
                    <w:rPr>
                      <w:rFonts w:hint="default" w:ascii="Times New Roman" w:hAnsi="Times New Roman" w:cs="Times New Roman"/>
                      <w:bCs/>
                      <w:color w:val="auto"/>
                      <w:szCs w:val="21"/>
                    </w:rPr>
                    <w:t>（GB3095-2012）</w:t>
                  </w:r>
                  <w:r>
                    <w:rPr>
                      <w:rFonts w:hint="default" w:ascii="Times New Roman" w:hAnsi="Times New Roman" w:cs="Times New Roman"/>
                      <w:color w:val="auto"/>
                      <w:szCs w:val="21"/>
                    </w:rPr>
                    <w:t>二级标准</w:t>
                  </w:r>
                </w:p>
              </w:tc>
              <w:tc>
                <w:tcPr>
                  <w:tcW w:w="1051" w:type="dxa"/>
                  <w:noWrap w:val="0"/>
                  <w:vAlign w:val="center"/>
                </w:tcPr>
                <w:p w14:paraId="59A8316A">
                  <w:pPr>
                    <w:pStyle w:val="164"/>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365</w:t>
                  </w:r>
                  <w:r>
                    <w:rPr>
                      <w:rFonts w:hint="default" w:ascii="Times New Roman" w:hAnsi="Times New Roman" w:cs="Times New Roman"/>
                      <w:color w:val="auto"/>
                      <w:szCs w:val="21"/>
                    </w:rPr>
                    <w:t>人</w:t>
                  </w:r>
                </w:p>
              </w:tc>
              <w:tc>
                <w:tcPr>
                  <w:tcW w:w="557" w:type="dxa"/>
                  <w:noWrap w:val="0"/>
                  <w:vAlign w:val="center"/>
                </w:tcPr>
                <w:p w14:paraId="14C7F01D">
                  <w:pPr>
                    <w:pStyle w:val="164"/>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3DDA431D">
                  <w:pPr>
                    <w:pStyle w:val="164"/>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195</w:t>
                  </w:r>
                </w:p>
              </w:tc>
            </w:tr>
            <w:tr w14:paraId="3B5D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continue"/>
                  <w:noWrap w:val="0"/>
                  <w:vAlign w:val="center"/>
                </w:tcPr>
                <w:p w14:paraId="15D61FC1">
                  <w:pPr>
                    <w:autoSpaceDE w:val="0"/>
                    <w:autoSpaceDN w:val="0"/>
                    <w:jc w:val="center"/>
                    <w:rPr>
                      <w:rFonts w:hint="default" w:ascii="Times New Roman" w:hAnsi="Times New Roman" w:cs="Times New Roman"/>
                      <w:color w:val="auto"/>
                      <w:szCs w:val="21"/>
                    </w:rPr>
                  </w:pPr>
                </w:p>
              </w:tc>
              <w:tc>
                <w:tcPr>
                  <w:tcW w:w="1580" w:type="dxa"/>
                  <w:noWrap w:val="0"/>
                  <w:vAlign w:val="center"/>
                </w:tcPr>
                <w:p w14:paraId="4B1DDCD7">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107.425518°</w:t>
                  </w:r>
                </w:p>
                <w:p w14:paraId="610E39D8">
                  <w:pPr>
                    <w:pStyle w:val="7"/>
                    <w:ind w:left="0" w:leftChars="0" w:firstLine="210" w:firstLineChars="100"/>
                    <w:rPr>
                      <w:rFonts w:hint="default"/>
                      <w:color w:val="auto"/>
                    </w:rPr>
                  </w:pPr>
                  <w:r>
                    <w:rPr>
                      <w:rFonts w:hint="default"/>
                      <w:color w:val="auto"/>
                    </w:rPr>
                    <w:t>34.353251°</w:t>
                  </w:r>
                </w:p>
              </w:tc>
              <w:tc>
                <w:tcPr>
                  <w:tcW w:w="966" w:type="dxa"/>
                  <w:noWrap w:val="0"/>
                  <w:vAlign w:val="center"/>
                </w:tcPr>
                <w:p w14:paraId="31949DBD">
                  <w:pPr>
                    <w:pStyle w:val="164"/>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阁底堡</w:t>
                  </w:r>
                </w:p>
              </w:tc>
              <w:tc>
                <w:tcPr>
                  <w:tcW w:w="600" w:type="dxa"/>
                  <w:vMerge w:val="continue"/>
                  <w:noWrap w:val="0"/>
                  <w:vAlign w:val="center"/>
                </w:tcPr>
                <w:p w14:paraId="497B3684">
                  <w:pPr>
                    <w:pStyle w:val="164"/>
                    <w:rPr>
                      <w:rFonts w:hint="default" w:ascii="Times New Roman" w:hAnsi="Times New Roman" w:cs="Times New Roman"/>
                      <w:color w:val="auto"/>
                      <w:szCs w:val="21"/>
                    </w:rPr>
                  </w:pPr>
                </w:p>
              </w:tc>
              <w:tc>
                <w:tcPr>
                  <w:tcW w:w="1838" w:type="dxa"/>
                  <w:vMerge w:val="continue"/>
                  <w:noWrap w:val="0"/>
                  <w:vAlign w:val="center"/>
                </w:tcPr>
                <w:p w14:paraId="7A09D0A0">
                  <w:pPr>
                    <w:autoSpaceDE w:val="0"/>
                    <w:autoSpaceDN w:val="0"/>
                    <w:jc w:val="center"/>
                    <w:rPr>
                      <w:rFonts w:hint="default" w:ascii="Times New Roman" w:hAnsi="Times New Roman" w:cs="Times New Roman"/>
                      <w:color w:val="auto"/>
                      <w:szCs w:val="21"/>
                    </w:rPr>
                  </w:pPr>
                </w:p>
              </w:tc>
              <w:tc>
                <w:tcPr>
                  <w:tcW w:w="1051" w:type="dxa"/>
                  <w:noWrap w:val="0"/>
                  <w:vAlign w:val="center"/>
                </w:tcPr>
                <w:p w14:paraId="3D028602">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540人</w:t>
                  </w:r>
                </w:p>
              </w:tc>
              <w:tc>
                <w:tcPr>
                  <w:tcW w:w="557" w:type="dxa"/>
                  <w:noWrap w:val="0"/>
                  <w:vAlign w:val="center"/>
                </w:tcPr>
                <w:p w14:paraId="37ACC45B">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3285C8BD">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201</w:t>
                  </w:r>
                </w:p>
              </w:tc>
            </w:tr>
            <w:tr w14:paraId="4CDCD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continue"/>
                  <w:noWrap w:val="0"/>
                  <w:vAlign w:val="center"/>
                </w:tcPr>
                <w:p w14:paraId="3B61666F">
                  <w:pPr>
                    <w:autoSpaceDE w:val="0"/>
                    <w:autoSpaceDN w:val="0"/>
                    <w:jc w:val="center"/>
                    <w:rPr>
                      <w:rFonts w:hint="default" w:ascii="Times New Roman" w:hAnsi="Times New Roman" w:cs="Times New Roman"/>
                      <w:color w:val="auto"/>
                      <w:szCs w:val="21"/>
                    </w:rPr>
                  </w:pPr>
                </w:p>
              </w:tc>
              <w:tc>
                <w:tcPr>
                  <w:tcW w:w="1580" w:type="dxa"/>
                  <w:noWrap w:val="0"/>
                  <w:vAlign w:val="center"/>
                </w:tcPr>
                <w:p w14:paraId="2241DC9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107.425594°</w:t>
                  </w:r>
                </w:p>
                <w:p w14:paraId="3948C78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34.351325°</w:t>
                  </w:r>
                </w:p>
              </w:tc>
              <w:tc>
                <w:tcPr>
                  <w:tcW w:w="966" w:type="dxa"/>
                  <w:noWrap w:val="0"/>
                  <w:vAlign w:val="center"/>
                </w:tcPr>
                <w:p w14:paraId="4CA5686D">
                  <w:pPr>
                    <w:pStyle w:val="164"/>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五一村</w:t>
                  </w:r>
                </w:p>
              </w:tc>
              <w:tc>
                <w:tcPr>
                  <w:tcW w:w="600" w:type="dxa"/>
                  <w:vMerge w:val="continue"/>
                  <w:noWrap w:val="0"/>
                  <w:vAlign w:val="center"/>
                </w:tcPr>
                <w:p w14:paraId="550D01DE">
                  <w:pPr>
                    <w:pStyle w:val="164"/>
                    <w:rPr>
                      <w:rFonts w:hint="default" w:ascii="Times New Roman" w:hAnsi="Times New Roman" w:cs="Times New Roman"/>
                      <w:color w:val="auto"/>
                      <w:szCs w:val="21"/>
                    </w:rPr>
                  </w:pPr>
                </w:p>
              </w:tc>
              <w:tc>
                <w:tcPr>
                  <w:tcW w:w="1838" w:type="dxa"/>
                  <w:vMerge w:val="continue"/>
                  <w:noWrap w:val="0"/>
                  <w:vAlign w:val="center"/>
                </w:tcPr>
                <w:p w14:paraId="27174D0E">
                  <w:pPr>
                    <w:autoSpaceDE w:val="0"/>
                    <w:autoSpaceDN w:val="0"/>
                    <w:jc w:val="center"/>
                    <w:rPr>
                      <w:rFonts w:hint="default" w:ascii="Times New Roman" w:hAnsi="Times New Roman" w:cs="Times New Roman"/>
                      <w:color w:val="auto"/>
                      <w:szCs w:val="21"/>
                    </w:rPr>
                  </w:pPr>
                </w:p>
              </w:tc>
              <w:tc>
                <w:tcPr>
                  <w:tcW w:w="1051" w:type="dxa"/>
                  <w:noWrap w:val="0"/>
                  <w:vAlign w:val="center"/>
                </w:tcPr>
                <w:p w14:paraId="5B5E57BD">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15人</w:t>
                  </w:r>
                </w:p>
              </w:tc>
              <w:tc>
                <w:tcPr>
                  <w:tcW w:w="557" w:type="dxa"/>
                  <w:noWrap w:val="0"/>
                  <w:vAlign w:val="center"/>
                </w:tcPr>
                <w:p w14:paraId="43DF4601">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52C06840">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r>
            <w:tr w14:paraId="078C8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noWrap w:val="0"/>
                  <w:vAlign w:val="center"/>
                </w:tcPr>
                <w:p w14:paraId="2549BDEE">
                  <w:pPr>
                    <w:autoSpaceDE w:val="0"/>
                    <w:autoSpaceDN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声环境</w:t>
                  </w:r>
                </w:p>
              </w:tc>
              <w:tc>
                <w:tcPr>
                  <w:tcW w:w="1580" w:type="dxa"/>
                  <w:noWrap w:val="0"/>
                  <w:vAlign w:val="center"/>
                </w:tcPr>
                <w:p w14:paraId="50405A50">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107.426677°</w:t>
                  </w:r>
                </w:p>
                <w:p w14:paraId="1CD733DC">
                  <w:pPr>
                    <w:autoSpaceDE w:val="0"/>
                    <w:autoSpaceDN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34.352542°</w:t>
                  </w:r>
                </w:p>
              </w:tc>
              <w:tc>
                <w:tcPr>
                  <w:tcW w:w="966" w:type="dxa"/>
                  <w:noWrap w:val="0"/>
                  <w:vAlign w:val="center"/>
                </w:tcPr>
                <w:p w14:paraId="54F34DE1">
                  <w:pPr>
                    <w:pStyle w:val="164"/>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五一村</w:t>
                  </w:r>
                </w:p>
              </w:tc>
              <w:tc>
                <w:tcPr>
                  <w:tcW w:w="600" w:type="dxa"/>
                  <w:vMerge w:val="continue"/>
                  <w:noWrap w:val="0"/>
                  <w:vAlign w:val="center"/>
                </w:tcPr>
                <w:p w14:paraId="2CC0A715">
                  <w:pPr>
                    <w:pStyle w:val="164"/>
                    <w:rPr>
                      <w:rFonts w:hint="default" w:ascii="Times New Roman" w:hAnsi="Times New Roman" w:cs="Times New Roman"/>
                      <w:color w:val="auto"/>
                      <w:szCs w:val="21"/>
                    </w:rPr>
                  </w:pPr>
                </w:p>
              </w:tc>
              <w:tc>
                <w:tcPr>
                  <w:tcW w:w="1838" w:type="dxa"/>
                  <w:noWrap w:val="0"/>
                  <w:vAlign w:val="center"/>
                </w:tcPr>
                <w:p w14:paraId="64E56A89">
                  <w:pPr>
                    <w:autoSpaceDE w:val="0"/>
                    <w:autoSpaceDN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声环境质量标准</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GB3096-2008</w:t>
                  </w:r>
                  <w:r>
                    <w:rPr>
                      <w:rFonts w:hint="eastAsia" w:ascii="Times New Roman" w:hAnsi="Times New Roman" w:cs="Times New Roman"/>
                      <w:color w:val="auto"/>
                      <w:szCs w:val="21"/>
                      <w:lang w:eastAsia="zh-CN"/>
                    </w:rPr>
                    <w:t>）</w:t>
                  </w:r>
                </w:p>
              </w:tc>
              <w:tc>
                <w:tcPr>
                  <w:tcW w:w="1051" w:type="dxa"/>
                  <w:noWrap w:val="0"/>
                  <w:vAlign w:val="center"/>
                </w:tcPr>
                <w:p w14:paraId="1938688F">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15人</w:t>
                  </w:r>
                </w:p>
              </w:tc>
              <w:tc>
                <w:tcPr>
                  <w:tcW w:w="557" w:type="dxa"/>
                  <w:noWrap w:val="0"/>
                  <w:vAlign w:val="center"/>
                </w:tcPr>
                <w:p w14:paraId="3CD3821E">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北</w:t>
                  </w:r>
                </w:p>
              </w:tc>
              <w:tc>
                <w:tcPr>
                  <w:tcW w:w="847" w:type="dxa"/>
                  <w:noWrap w:val="0"/>
                  <w:vAlign w:val="center"/>
                </w:tcPr>
                <w:p w14:paraId="1834EAC5">
                  <w:pPr>
                    <w:pStyle w:val="164"/>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r>
          </w:tbl>
          <w:p w14:paraId="0D0FAEF9">
            <w:pPr>
              <w:widowControl/>
              <w:adjustRightInd w:val="0"/>
              <w:snapToGrid w:val="0"/>
              <w:spacing w:line="360" w:lineRule="auto"/>
              <w:ind w:firstLine="482"/>
              <w:rPr>
                <w:rFonts w:hint="default" w:ascii="Times New Roman" w:hAnsi="Times New Roman" w:cs="Times New Roman"/>
                <w:color w:val="auto"/>
                <w:kern w:val="0"/>
                <w:szCs w:val="21"/>
              </w:rPr>
            </w:pPr>
          </w:p>
        </w:tc>
      </w:tr>
      <w:tr w14:paraId="32DA3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60C9ED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5054595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AEBEF6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4C42B9C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EDEE0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14:paraId="4E3A693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噪声排放标准</w:t>
            </w:r>
          </w:p>
          <w:p w14:paraId="44D249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bookmarkStart w:id="2" w:name="_Hlk41382489"/>
            <w:r>
              <w:rPr>
                <w:rFonts w:hint="default" w:ascii="Times New Roman" w:hAnsi="Times New Roman" w:cs="Times New Roman"/>
                <w:color w:val="auto"/>
                <w:sz w:val="24"/>
                <w:lang w:eastAsia="zh-CN"/>
              </w:rPr>
              <w:t>根据宝鸡市城市区域噪声环境功能区划图，</w:t>
            </w:r>
            <w:r>
              <w:rPr>
                <w:rFonts w:hint="eastAsia" w:ascii="Times New Roman" w:hAnsi="Times New Roman" w:cs="Times New Roman"/>
                <w:color w:val="auto"/>
                <w:sz w:val="24"/>
                <w:lang w:val="en-US" w:eastAsia="zh-CN"/>
              </w:rPr>
              <w:t>以及</w:t>
            </w:r>
            <w:r>
              <w:rPr>
                <w:rFonts w:hint="default" w:ascii="Times New Roman" w:hAnsi="Times New Roman" w:eastAsia="宋体" w:cs="Times New Roman"/>
                <w:color w:val="auto"/>
                <w:sz w:val="24"/>
                <w:lang w:val="en-US" w:eastAsia="zh-CN"/>
              </w:rPr>
              <w:t>宝鸡市生态环境局发布的“关于《宝鸡市声环境功能区划分情况评估报告》的解释说明”可知</w:t>
            </w:r>
            <w:r>
              <w:rPr>
                <w:rFonts w:hint="eastAsia" w:ascii="Times New Roman" w:hAnsi="Times New Roman" w:eastAsia="宋体" w:cs="Times New Roman"/>
                <w:color w:val="auto"/>
                <w:sz w:val="24"/>
                <w:lang w:val="en-US" w:eastAsia="zh-CN"/>
              </w:rPr>
              <w:t>陈仓科技工业园属于3类区</w:t>
            </w:r>
            <w:r>
              <w:rPr>
                <w:rFonts w:hint="default" w:ascii="Times New Roman" w:hAnsi="Times New Roman" w:eastAsia="宋体" w:cs="Times New Roman"/>
                <w:color w:val="auto"/>
                <w:sz w:val="24"/>
                <w:lang w:val="en-US" w:eastAsia="zh-CN"/>
              </w:rPr>
              <w:t>，结合本项目所在地位置（位于陈仓科技工业园内），本项目所在地</w:t>
            </w:r>
            <w:r>
              <w:rPr>
                <w:rFonts w:hint="eastAsia" w:cs="Times New Roman"/>
                <w:color w:val="auto"/>
                <w:sz w:val="24"/>
                <w:lang w:val="en-US" w:eastAsia="zh-CN"/>
              </w:rPr>
              <w:t>属于</w:t>
            </w:r>
            <w:r>
              <w:rPr>
                <w:rFonts w:hint="default" w:ascii="Times New Roman" w:hAnsi="Times New Roman" w:eastAsia="宋体" w:cs="Times New Roman"/>
                <w:color w:val="auto"/>
                <w:sz w:val="24"/>
                <w:lang w:val="en-US" w:eastAsia="zh-CN"/>
              </w:rPr>
              <w:t>3类区</w:t>
            </w:r>
            <w:r>
              <w:rPr>
                <w:rFonts w:hint="eastAsia" w:ascii="Times New Roman" w:hAnsi="Times New Roman" w:eastAsia="宋体" w:cs="Times New Roman"/>
                <w:color w:val="auto"/>
                <w:sz w:val="24"/>
                <w:lang w:val="en-US" w:eastAsia="zh-CN"/>
              </w:rPr>
              <w:t>范围</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lang w:val="en-US" w:eastAsia="zh-CN"/>
              </w:rPr>
              <w:t>运</w:t>
            </w:r>
            <w:r>
              <w:rPr>
                <w:rFonts w:hint="default" w:ascii="Times New Roman" w:hAnsi="Times New Roman" w:cs="Times New Roman"/>
                <w:color w:val="auto"/>
                <w:sz w:val="24"/>
              </w:rPr>
              <w:t>营期</w:t>
            </w:r>
            <w:r>
              <w:rPr>
                <w:rFonts w:hint="eastAsia" w:ascii="Times New Roman" w:hAnsi="Times New Roman" w:cs="Times New Roman"/>
                <w:color w:val="auto"/>
                <w:sz w:val="24"/>
                <w:lang w:val="en-US" w:eastAsia="zh-CN"/>
              </w:rPr>
              <w:t>厂界</w:t>
            </w:r>
            <w:r>
              <w:rPr>
                <w:rFonts w:hint="eastAsia" w:ascii="Times New Roman" w:hAnsi="Times New Roman" w:cs="Times New Roman"/>
                <w:color w:val="auto"/>
                <w:sz w:val="24"/>
                <w:lang w:eastAsia="zh-CN"/>
              </w:rPr>
              <w:t>东、南、西侧</w:t>
            </w:r>
            <w:r>
              <w:rPr>
                <w:rFonts w:hint="default" w:ascii="Times New Roman" w:hAnsi="Times New Roman" w:cs="Times New Roman"/>
                <w:color w:val="auto"/>
                <w:sz w:val="24"/>
              </w:rPr>
              <w:t>噪声排放限值执行《工业企业厂界环境噪声排放标准》（GB12348-2008）</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类标准限值</w:t>
            </w:r>
            <w:bookmarkEnd w:id="2"/>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北侧</w:t>
            </w:r>
            <w:r>
              <w:rPr>
                <w:rFonts w:hint="eastAsia" w:ascii="Times New Roman" w:hAnsi="Times New Roman" w:cs="Times New Roman"/>
                <w:color w:val="auto"/>
                <w:sz w:val="24"/>
                <w:lang w:val="en-US" w:eastAsia="zh-CN"/>
              </w:rPr>
              <w:t>紧邻虢蔡路，即北侧</w:t>
            </w:r>
            <w:r>
              <w:rPr>
                <w:rFonts w:hint="default" w:ascii="Times New Roman" w:hAnsi="Times New Roman" w:cs="Times New Roman"/>
                <w:color w:val="auto"/>
                <w:sz w:val="24"/>
              </w:rPr>
              <w:t>噪声排放限值执行《工业企业厂界环境噪声排放标准》（GB12348-2008）</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类标准限值详见表3-</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14:paraId="0959A3BF">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bookmarkStart w:id="3" w:name="_Hlk41382497"/>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《工业企业厂界环境噪声排放标准》（GB12348-2008）单位dB（A）</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75"/>
              <w:gridCol w:w="3832"/>
            </w:tblGrid>
            <w:tr w14:paraId="54CE7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49AA43F8">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声环境功能区类别</w:t>
                  </w:r>
                </w:p>
              </w:tc>
              <w:tc>
                <w:tcPr>
                  <w:tcW w:w="2392" w:type="pct"/>
                  <w:noWrap w:val="0"/>
                  <w:vAlign w:val="center"/>
                </w:tcPr>
                <w:p w14:paraId="09553732">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r>
            <w:tr w14:paraId="5286C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5C90150B">
                  <w:pPr>
                    <w:widowControl/>
                    <w:autoSpaceDE w:val="0"/>
                    <w:adjustRightInd w:val="0"/>
                    <w:snapToGrid w:val="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类</w:t>
                  </w:r>
                </w:p>
              </w:tc>
              <w:tc>
                <w:tcPr>
                  <w:tcW w:w="2392" w:type="pct"/>
                  <w:noWrap w:val="0"/>
                  <w:vAlign w:val="center"/>
                </w:tcPr>
                <w:p w14:paraId="4CB977D4">
                  <w:pPr>
                    <w:widowControl/>
                    <w:autoSpaceDE w:val="0"/>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65</w:t>
                  </w:r>
                </w:p>
              </w:tc>
            </w:tr>
            <w:tr w14:paraId="5E727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22C305FC">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4类</w:t>
                  </w:r>
                </w:p>
              </w:tc>
              <w:tc>
                <w:tcPr>
                  <w:tcW w:w="2392" w:type="pct"/>
                  <w:noWrap w:val="0"/>
                  <w:vAlign w:val="center"/>
                </w:tcPr>
                <w:p w14:paraId="3B90A58F">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70</w:t>
                  </w:r>
                </w:p>
              </w:tc>
            </w:tr>
            <w:bookmarkEnd w:id="3"/>
          </w:tbl>
          <w:p w14:paraId="1E068AC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大气排放标准</w:t>
            </w:r>
          </w:p>
          <w:p w14:paraId="632116F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eastAsia="zh-CN"/>
              </w:rPr>
              <w:t>废气主要为切割、</w:t>
            </w:r>
            <w:r>
              <w:rPr>
                <w:rFonts w:hint="eastAsia" w:ascii="Times New Roman" w:hAnsi="Times New Roman" w:eastAsia="宋体" w:cs="Times New Roman"/>
                <w:color w:val="auto"/>
                <w:sz w:val="24"/>
                <w:lang w:val="en-US" w:eastAsia="zh-CN"/>
              </w:rPr>
              <w:t>焊接、</w:t>
            </w:r>
            <w:r>
              <w:rPr>
                <w:rFonts w:hint="default" w:ascii="Times New Roman" w:hAnsi="Times New Roman" w:eastAsia="宋体" w:cs="Times New Roman"/>
                <w:color w:val="auto"/>
                <w:sz w:val="24"/>
                <w:lang w:val="en-US" w:eastAsia="zh-CN"/>
              </w:rPr>
              <w:t>抛丸</w:t>
            </w:r>
            <w:r>
              <w:rPr>
                <w:rFonts w:hint="default" w:ascii="Times New Roman" w:hAnsi="Times New Roman" w:eastAsia="宋体" w:cs="Times New Roman"/>
                <w:color w:val="auto"/>
                <w:sz w:val="24"/>
                <w:lang w:eastAsia="zh-CN"/>
              </w:rPr>
              <w:t>工序</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喷粉</w:t>
            </w:r>
            <w:r>
              <w:rPr>
                <w:rFonts w:hint="eastAsia" w:ascii="Times New Roman" w:hAnsi="Times New Roman" w:eastAsia="宋体" w:cs="Times New Roman"/>
                <w:color w:val="auto"/>
                <w:sz w:val="24"/>
                <w:lang w:eastAsia="zh-CN"/>
              </w:rPr>
              <w:t>工序</w:t>
            </w:r>
            <w:r>
              <w:rPr>
                <w:rFonts w:hint="default" w:ascii="Times New Roman" w:hAnsi="Times New Roman" w:eastAsia="宋体" w:cs="Times New Roman"/>
                <w:color w:val="auto"/>
                <w:sz w:val="24"/>
                <w:lang w:eastAsia="zh-CN"/>
              </w:rPr>
              <w:t>产生的</w:t>
            </w:r>
            <w:r>
              <w:rPr>
                <w:rFonts w:hint="eastAsia" w:ascii="Times New Roman" w:hAnsi="Times New Roman" w:eastAsia="宋体" w:cs="Times New Roman"/>
                <w:color w:val="auto"/>
                <w:sz w:val="24"/>
                <w:lang w:eastAsia="zh-CN"/>
              </w:rPr>
              <w:t>颗粒物、</w:t>
            </w:r>
            <w:r>
              <w:rPr>
                <w:rFonts w:hint="eastAsia" w:ascii="Times New Roman" w:hAnsi="Times New Roman" w:eastAsia="宋体" w:cs="Times New Roman"/>
                <w:color w:val="auto"/>
                <w:sz w:val="24"/>
                <w:lang w:val="en-US" w:eastAsia="zh-CN"/>
              </w:rPr>
              <w:t>固化</w:t>
            </w:r>
            <w:r>
              <w:rPr>
                <w:rFonts w:hint="eastAsia" w:cs="Times New Roman"/>
                <w:color w:val="auto"/>
                <w:sz w:val="24"/>
                <w:lang w:val="en-US" w:eastAsia="zh-CN"/>
              </w:rPr>
              <w:t>工序</w:t>
            </w:r>
            <w:r>
              <w:rPr>
                <w:rFonts w:hint="eastAsia" w:ascii="Times New Roman" w:hAnsi="Times New Roman" w:eastAsia="宋体" w:cs="Times New Roman"/>
                <w:color w:val="auto"/>
                <w:sz w:val="24"/>
                <w:lang w:val="en-US" w:eastAsia="zh-CN"/>
              </w:rPr>
              <w:t>产生的有机废气及天然气燃烧废气。</w:t>
            </w:r>
          </w:p>
          <w:p w14:paraId="0C0166E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切割、</w:t>
            </w:r>
            <w:r>
              <w:rPr>
                <w:rFonts w:hint="eastAsia" w:ascii="Times New Roman" w:hAnsi="Times New Roman" w:eastAsia="宋体" w:cs="Times New Roman"/>
                <w:color w:val="auto"/>
                <w:sz w:val="24"/>
                <w:lang w:val="en-US" w:eastAsia="zh-CN"/>
              </w:rPr>
              <w:t>焊接、</w:t>
            </w:r>
            <w:r>
              <w:rPr>
                <w:rFonts w:hint="default" w:ascii="Times New Roman" w:hAnsi="Times New Roman" w:eastAsia="宋体" w:cs="Times New Roman"/>
                <w:color w:val="auto"/>
                <w:sz w:val="24"/>
                <w:lang w:val="en-US" w:eastAsia="zh-CN"/>
              </w:rPr>
              <w:t>抛丸</w:t>
            </w:r>
            <w:r>
              <w:rPr>
                <w:rFonts w:hint="default" w:ascii="Times New Roman" w:hAnsi="Times New Roman" w:eastAsia="宋体" w:cs="Times New Roman"/>
                <w:color w:val="auto"/>
                <w:sz w:val="24"/>
                <w:lang w:eastAsia="zh-CN"/>
              </w:rPr>
              <w:t>工序</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喷粉</w:t>
            </w:r>
            <w:r>
              <w:rPr>
                <w:rFonts w:hint="eastAsia" w:ascii="Times New Roman" w:hAnsi="Times New Roman" w:eastAsia="宋体" w:cs="Times New Roman"/>
                <w:color w:val="auto"/>
                <w:sz w:val="24"/>
                <w:lang w:eastAsia="zh-CN"/>
              </w:rPr>
              <w:t>工序</w:t>
            </w:r>
            <w:r>
              <w:rPr>
                <w:rFonts w:hint="default" w:ascii="Times New Roman" w:hAnsi="Times New Roman" w:eastAsia="宋体" w:cs="Times New Roman"/>
                <w:color w:val="auto"/>
                <w:sz w:val="24"/>
                <w:lang w:eastAsia="zh-CN"/>
              </w:rPr>
              <w:t>产生的</w:t>
            </w:r>
            <w:r>
              <w:rPr>
                <w:rFonts w:hint="eastAsia" w:ascii="Times New Roman" w:hAnsi="Times New Roman" w:eastAsia="宋体" w:cs="Times New Roman"/>
                <w:color w:val="auto"/>
                <w:sz w:val="24"/>
                <w:lang w:eastAsia="zh-CN"/>
              </w:rPr>
              <w:t>颗粒物</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lang w:val="en-US" w:eastAsia="zh-CN"/>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2中排放限值要求及无组织排放监控浓度限值</w:t>
            </w:r>
            <w:r>
              <w:rPr>
                <w:rFonts w:hint="eastAsia" w:ascii="Times New Roman" w:hAnsi="Times New Roman" w:eastAsia="宋体" w:cs="Times New Roman"/>
                <w:color w:val="auto"/>
                <w:sz w:val="24"/>
                <w:lang w:val="en-US" w:eastAsia="zh-CN"/>
              </w:rPr>
              <w:t>；</w:t>
            </w:r>
          </w:p>
          <w:p w14:paraId="360F841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固化工序</w:t>
            </w:r>
            <w:r>
              <w:rPr>
                <w:rFonts w:ascii="宋体" w:hAnsi="宋体" w:eastAsia="宋体" w:cs="宋体"/>
                <w:color w:val="auto"/>
                <w:sz w:val="24"/>
                <w:szCs w:val="24"/>
              </w:rPr>
              <w:t>产生</w:t>
            </w:r>
            <w:r>
              <w:rPr>
                <w:rFonts w:hint="eastAsia" w:ascii="宋体" w:hAnsi="宋体" w:cs="宋体"/>
                <w:color w:val="auto"/>
                <w:sz w:val="24"/>
                <w:szCs w:val="24"/>
                <w:lang w:eastAsia="zh-CN"/>
              </w:rPr>
              <w:t>的</w:t>
            </w:r>
            <w:r>
              <w:rPr>
                <w:rFonts w:hint="eastAsia" w:ascii="宋体" w:hAnsi="宋体" w:cs="宋体"/>
                <w:color w:val="auto"/>
                <w:sz w:val="24"/>
                <w:szCs w:val="24"/>
                <w:lang w:val="en-US" w:eastAsia="zh-CN"/>
              </w:rPr>
              <w:t>有机废气</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非甲烷总烃</w:t>
            </w:r>
            <w:r>
              <w:rPr>
                <w:rFonts w:hint="eastAsia" w:cs="Times New Roman"/>
                <w:color w:val="auto"/>
                <w:sz w:val="24"/>
                <w:szCs w:val="24"/>
                <w:lang w:val="en-US" w:eastAsia="zh-CN"/>
              </w:rPr>
              <w:t>）</w:t>
            </w:r>
            <w:r>
              <w:rPr>
                <w:rFonts w:ascii="宋体" w:hAnsi="宋体" w:eastAsia="宋体" w:cs="宋体"/>
                <w:color w:val="auto"/>
                <w:sz w:val="24"/>
                <w:szCs w:val="24"/>
              </w:rPr>
              <w:t>有组织</w:t>
            </w:r>
            <w:r>
              <w:rPr>
                <w:rFonts w:hint="eastAsia" w:ascii="宋体" w:hAnsi="宋体" w:eastAsia="宋体" w:cs="宋体"/>
                <w:color w:val="auto"/>
                <w:sz w:val="24"/>
                <w:szCs w:val="24"/>
                <w:lang w:val="en-US" w:eastAsia="zh-CN"/>
              </w:rPr>
              <w:t>废气</w:t>
            </w:r>
            <w:r>
              <w:rPr>
                <w:rFonts w:hint="default" w:ascii="Times New Roman" w:hAnsi="Times New Roman" w:cs="Times New Roman"/>
                <w:color w:val="auto"/>
                <w:sz w:val="24"/>
                <w:szCs w:val="24"/>
                <w:lang w:eastAsia="zh-CN"/>
              </w:rPr>
              <w:t>执行《挥发性有机物排放控制标准》（DB61/T1061-2017）表 1 中表面涂装行业排放浓度限值</w:t>
            </w:r>
            <w:r>
              <w:rPr>
                <w:rFonts w:hint="eastAsia" w:cs="Times New Roman"/>
                <w:color w:val="auto"/>
                <w:sz w:val="24"/>
                <w:szCs w:val="24"/>
                <w:lang w:eastAsia="zh-CN"/>
              </w:rPr>
              <w:t>，</w:t>
            </w:r>
            <w:r>
              <w:rPr>
                <w:rFonts w:hint="eastAsia" w:cs="Times New Roman"/>
                <w:color w:val="auto"/>
                <w:sz w:val="24"/>
                <w:szCs w:val="24"/>
                <w:lang w:val="en-US" w:eastAsia="zh-CN"/>
              </w:rPr>
              <w:t>有机废气（</w:t>
            </w:r>
            <w:r>
              <w:rPr>
                <w:rFonts w:hint="default" w:ascii="Times New Roman" w:hAnsi="Times New Roman" w:cs="Times New Roman"/>
                <w:color w:val="auto"/>
                <w:sz w:val="24"/>
                <w:szCs w:val="24"/>
                <w:lang w:eastAsia="zh-CN"/>
              </w:rPr>
              <w:t>非甲烷总烃</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无组织厂区内执行《挥发性有机物无组织排放控制标准》（GB37822-2019）中相关标准，</w:t>
            </w:r>
            <w:r>
              <w:rPr>
                <w:rFonts w:hint="default"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lang w:eastAsia="zh-CN"/>
              </w:rPr>
              <w:t>执行《挥发性有机物排放控制标准》（DB61/T1061-2017）</w:t>
            </w:r>
            <w:r>
              <w:rPr>
                <w:rFonts w:hint="eastAsia" w:cs="Times New Roman"/>
                <w:color w:val="auto"/>
                <w:sz w:val="24"/>
                <w:szCs w:val="24"/>
                <w:lang w:eastAsia="zh-CN"/>
              </w:rPr>
              <w:t>中厂界排放标准</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天然气燃烧废气执行《工业炉窑大气污染物综合治理方案》（环大气</w:t>
            </w:r>
            <w:r>
              <w:rPr>
                <w:rFonts w:hint="eastAsia" w:cs="Times New Roman"/>
                <w:color w:val="auto"/>
                <w:sz w:val="24"/>
                <w:szCs w:val="24"/>
                <w:lang w:val="en-US" w:eastAsia="zh-CN"/>
              </w:rPr>
              <w:t>〔2019〕56号</w:t>
            </w:r>
            <w:r>
              <w:rPr>
                <w:rFonts w:hint="eastAsia" w:ascii="Times New Roman" w:hAnsi="Times New Roman" w:cs="Times New Roman"/>
                <w:color w:val="auto"/>
                <w:sz w:val="24"/>
                <w:szCs w:val="24"/>
                <w:lang w:val="en-US" w:eastAsia="zh-CN"/>
              </w:rPr>
              <w:t>）中相应管控要求；厂界无组织废气颗粒物执</w:t>
            </w:r>
            <w:r>
              <w:rPr>
                <w:rFonts w:hint="eastAsia" w:ascii="Times New Roman" w:hAnsi="Times New Roman" w:eastAsia="宋体" w:cs="Times New Roman"/>
                <w:color w:val="auto"/>
                <w:sz w:val="24"/>
                <w:szCs w:val="24"/>
                <w:lang w:val="en-US" w:eastAsia="zh-CN"/>
              </w:rPr>
              <w:t>行</w:t>
            </w:r>
            <w:r>
              <w:rPr>
                <w:rFonts w:hint="default" w:ascii="Times New Roman" w:hAnsi="Times New Roman" w:eastAsia="宋体" w:cs="Times New Roman"/>
                <w:color w:val="auto"/>
                <w:sz w:val="24"/>
                <w:szCs w:val="24"/>
                <w:lang w:val="en-US" w:eastAsia="zh-CN"/>
              </w:rPr>
              <w:t>《大气污染物综合排放标准》（GB16297-1996）</w:t>
            </w:r>
            <w:r>
              <w:rPr>
                <w:rFonts w:hint="eastAsia" w:ascii="Times New Roman" w:hAnsi="Times New Roman" w:eastAsia="宋体" w:cs="Times New Roman"/>
                <w:color w:val="auto"/>
                <w:sz w:val="24"/>
                <w:szCs w:val="24"/>
                <w:lang w:val="en-US" w:eastAsia="zh-CN"/>
              </w:rPr>
              <w:t>中相应限值要求。具体</w:t>
            </w:r>
            <w:r>
              <w:rPr>
                <w:rFonts w:hint="default" w:ascii="Times New Roman" w:hAnsi="Times New Roman" w:eastAsia="宋体" w:cs="Times New Roman"/>
                <w:color w:val="auto"/>
                <w:sz w:val="24"/>
                <w:szCs w:val="24"/>
                <w:lang w:val="en-US" w:eastAsia="zh-CN"/>
              </w:rPr>
              <w:t>见表3-</w:t>
            </w:r>
            <w:r>
              <w:rPr>
                <w:rFonts w:hint="eastAsia" w:ascii="Times New Roman" w:hAnsi="Times New Roman" w:eastAsia="宋体" w:cs="Times New Roman"/>
                <w:color w:val="auto"/>
                <w:sz w:val="24"/>
                <w:szCs w:val="24"/>
                <w:lang w:val="en-US" w:eastAsia="zh-CN"/>
              </w:rPr>
              <w:t>6</w:t>
            </w:r>
            <w:r>
              <w:rPr>
                <w:rFonts w:hint="eastAsia" w:cs="Times New Roman"/>
                <w:color w:val="auto"/>
                <w:sz w:val="24"/>
                <w:szCs w:val="24"/>
                <w:lang w:val="en-US" w:eastAsia="zh-CN"/>
              </w:rPr>
              <w:t>、3-7</w:t>
            </w:r>
            <w:r>
              <w:rPr>
                <w:rFonts w:hint="default" w:ascii="Times New Roman" w:hAnsi="Times New Roman" w:eastAsia="宋体" w:cs="Times New Roman"/>
                <w:color w:val="auto"/>
                <w:sz w:val="24"/>
                <w:szCs w:val="24"/>
                <w:lang w:val="en-US" w:eastAsia="zh-CN"/>
              </w:rPr>
              <w:t>：</w:t>
            </w:r>
          </w:p>
          <w:p w14:paraId="039E5E3A">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 xml:space="preserve"> 有组织废气污染物执行标准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06"/>
              <w:gridCol w:w="607"/>
              <w:gridCol w:w="1453"/>
              <w:gridCol w:w="1424"/>
              <w:gridCol w:w="1161"/>
              <w:gridCol w:w="2756"/>
            </w:tblGrid>
            <w:tr w14:paraId="59D73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restart"/>
                  <w:shd w:val="clear" w:color="auto" w:fill="FFFFFF"/>
                  <w:noWrap w:val="0"/>
                  <w:vAlign w:val="center"/>
                </w:tcPr>
                <w:p w14:paraId="0E0D4835">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废气类别</w:t>
                  </w:r>
                </w:p>
              </w:tc>
              <w:tc>
                <w:tcPr>
                  <w:tcW w:w="379" w:type="pct"/>
                  <w:vMerge w:val="restart"/>
                  <w:shd w:val="clear" w:color="auto" w:fill="FFFFFF"/>
                  <w:noWrap w:val="0"/>
                  <w:vAlign w:val="center"/>
                </w:tcPr>
                <w:p w14:paraId="78915B6E">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07" w:type="pct"/>
                  <w:vMerge w:val="restart"/>
                  <w:shd w:val="clear" w:color="auto" w:fill="FFFFFF"/>
                  <w:noWrap w:val="0"/>
                  <w:vAlign w:val="center"/>
                </w:tcPr>
                <w:p w14:paraId="5691EC7D">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sz w:val="21"/>
                      <w:szCs w:val="21"/>
                      <w:lang w:eastAsia="zh-CN"/>
                    </w:rPr>
                    <w:t>）</w:t>
                  </w:r>
                </w:p>
              </w:tc>
              <w:tc>
                <w:tcPr>
                  <w:tcW w:w="1614" w:type="pct"/>
                  <w:gridSpan w:val="2"/>
                  <w:shd w:val="clear" w:color="auto" w:fill="FFFFFF"/>
                  <w:noWrap w:val="0"/>
                  <w:vAlign w:val="center"/>
                </w:tcPr>
                <w:p w14:paraId="4827209E">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最高允许排放速率</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ascii="Times New Roman" w:hAnsi="Times New Roman" w:eastAsia="宋体" w:cs="Times New Roman"/>
                      <w:b/>
                      <w:bCs/>
                      <w:color w:val="auto"/>
                      <w:sz w:val="21"/>
                      <w:szCs w:val="21"/>
                      <w:lang w:eastAsia="zh-CN"/>
                    </w:rPr>
                    <w:t>）</w:t>
                  </w:r>
                </w:p>
              </w:tc>
              <w:tc>
                <w:tcPr>
                  <w:tcW w:w="1720" w:type="pct"/>
                  <w:vMerge w:val="restart"/>
                  <w:shd w:val="clear" w:color="auto" w:fill="FFFFFF"/>
                  <w:noWrap w:val="0"/>
                  <w:vAlign w:val="center"/>
                </w:tcPr>
                <w:p w14:paraId="0258FE05">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执行标准</w:t>
                  </w:r>
                </w:p>
              </w:tc>
            </w:tr>
            <w:tr w14:paraId="3A21C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continue"/>
                  <w:shd w:val="clear" w:color="auto" w:fill="auto"/>
                  <w:noWrap w:val="0"/>
                  <w:vAlign w:val="center"/>
                </w:tcPr>
                <w:p w14:paraId="122EDC64">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379" w:type="pct"/>
                  <w:vMerge w:val="continue"/>
                  <w:shd w:val="clear" w:color="auto" w:fill="auto"/>
                  <w:noWrap w:val="0"/>
                  <w:vAlign w:val="center"/>
                </w:tcPr>
                <w:p w14:paraId="01656211">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907" w:type="pct"/>
                  <w:vMerge w:val="continue"/>
                  <w:shd w:val="clear" w:color="auto" w:fill="auto"/>
                  <w:noWrap w:val="0"/>
                  <w:vAlign w:val="center"/>
                </w:tcPr>
                <w:p w14:paraId="4F966C8E">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889" w:type="pct"/>
                  <w:shd w:val="clear" w:color="auto" w:fill="FFFFFF"/>
                  <w:noWrap w:val="0"/>
                  <w:vAlign w:val="center"/>
                </w:tcPr>
                <w:p w14:paraId="720125E9">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排气筒高度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ascii="Times New Roman" w:hAnsi="Times New Roman" w:eastAsia="宋体" w:cs="Times New Roman"/>
                      <w:b/>
                      <w:bCs/>
                      <w:color w:val="auto"/>
                      <w:sz w:val="21"/>
                      <w:szCs w:val="21"/>
                      <w:lang w:eastAsia="zh-CN"/>
                    </w:rPr>
                    <w:t>）</w:t>
                  </w:r>
                </w:p>
              </w:tc>
              <w:tc>
                <w:tcPr>
                  <w:tcW w:w="724" w:type="pct"/>
                  <w:shd w:val="clear" w:color="auto" w:fill="FFFFFF"/>
                  <w:noWrap w:val="0"/>
                  <w:vAlign w:val="center"/>
                </w:tcPr>
                <w:p w14:paraId="11A290DC">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二级</w:t>
                  </w:r>
                </w:p>
              </w:tc>
              <w:tc>
                <w:tcPr>
                  <w:tcW w:w="1720" w:type="pct"/>
                  <w:vMerge w:val="continue"/>
                  <w:shd w:val="clear" w:color="auto" w:fill="FFFFFF"/>
                  <w:noWrap w:val="0"/>
                  <w:vAlign w:val="center"/>
                </w:tcPr>
                <w:p w14:paraId="55B197F0">
                  <w:pPr>
                    <w:pStyle w:val="25"/>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r>
            <w:tr w14:paraId="5698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shd w:val="clear" w:color="auto" w:fill="FFFFFF"/>
                  <w:noWrap w:val="0"/>
                  <w:vAlign w:val="center"/>
                </w:tcPr>
                <w:p w14:paraId="5C94A43E">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切割、焊接、修磨抛丸</w:t>
                  </w:r>
                </w:p>
              </w:tc>
              <w:tc>
                <w:tcPr>
                  <w:tcW w:w="379" w:type="pct"/>
                  <w:shd w:val="clear" w:color="auto" w:fill="FFFFFF"/>
                  <w:noWrap w:val="0"/>
                  <w:vAlign w:val="center"/>
                </w:tcPr>
                <w:p w14:paraId="3C44E4C3">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907" w:type="pct"/>
                  <w:shd w:val="clear" w:color="auto" w:fill="FFFFFF"/>
                  <w:noWrap w:val="0"/>
                  <w:vAlign w:val="center"/>
                </w:tcPr>
                <w:p w14:paraId="29AA25A2">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889" w:type="pct"/>
                  <w:shd w:val="clear" w:color="auto" w:fill="FFFFFF"/>
                  <w:noWrap w:val="0"/>
                  <w:vAlign w:val="center"/>
                </w:tcPr>
                <w:p w14:paraId="75E0B91B">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24" w:type="pct"/>
                  <w:shd w:val="clear" w:color="auto" w:fill="FFFFFF"/>
                  <w:noWrap w:val="0"/>
                  <w:vAlign w:val="center"/>
                </w:tcPr>
                <w:p w14:paraId="31FC0059">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720" w:type="pct"/>
                  <w:vMerge w:val="restart"/>
                  <w:shd w:val="clear" w:color="auto" w:fill="FFFFFF"/>
                  <w:noWrap w:val="0"/>
                  <w:vAlign w:val="center"/>
                </w:tcPr>
                <w:p w14:paraId="6B29AD78">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《大气污染物综合排放标准》（GB16297-1996）表2</w:t>
                  </w:r>
                </w:p>
              </w:tc>
            </w:tr>
            <w:tr w14:paraId="18B67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8" w:type="pct"/>
                  <w:shd w:val="clear" w:color="auto" w:fill="FFFFFF"/>
                  <w:noWrap w:val="0"/>
                  <w:vAlign w:val="center"/>
                </w:tcPr>
                <w:p w14:paraId="437600E8">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喷粉</w:t>
                  </w:r>
                  <w:r>
                    <w:rPr>
                      <w:rFonts w:hint="eastAsia" w:ascii="Times New Roman" w:hAnsi="Times New Roman" w:eastAsia="宋体" w:cs="Times New Roman"/>
                      <w:color w:val="auto"/>
                      <w:sz w:val="21"/>
                      <w:szCs w:val="21"/>
                      <w:lang w:val="en-US" w:eastAsia="zh-CN"/>
                    </w:rPr>
                    <w:t>废气</w:t>
                  </w:r>
                </w:p>
              </w:tc>
              <w:tc>
                <w:tcPr>
                  <w:tcW w:w="379" w:type="pct"/>
                  <w:shd w:val="clear" w:color="auto" w:fill="FFFFFF"/>
                  <w:noWrap w:val="0"/>
                  <w:vAlign w:val="center"/>
                </w:tcPr>
                <w:p w14:paraId="52D71EA2">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07" w:type="pct"/>
                  <w:shd w:val="clear" w:color="auto" w:fill="FFFFFF"/>
                  <w:noWrap w:val="0"/>
                  <w:vAlign w:val="center"/>
                </w:tcPr>
                <w:p w14:paraId="08913A59">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9" w:type="pct"/>
                  <w:shd w:val="clear" w:color="auto" w:fill="FFFFFF"/>
                  <w:noWrap w:val="0"/>
                  <w:vAlign w:val="center"/>
                </w:tcPr>
                <w:p w14:paraId="223C1C69">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4" w:type="pct"/>
                  <w:shd w:val="clear" w:color="auto" w:fill="FFFFFF"/>
                  <w:noWrap w:val="0"/>
                  <w:vAlign w:val="center"/>
                </w:tcPr>
                <w:p w14:paraId="395B1512">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20" w:type="pct"/>
                  <w:vMerge w:val="continue"/>
                  <w:shd w:val="clear" w:color="auto" w:fill="FFFFFF"/>
                  <w:noWrap w:val="0"/>
                  <w:vAlign w:val="center"/>
                </w:tcPr>
                <w:p w14:paraId="6492B9CE">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68F2E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shd w:val="clear" w:color="auto" w:fill="FFFFFF"/>
                  <w:noWrap w:val="0"/>
                  <w:vAlign w:val="center"/>
                </w:tcPr>
                <w:p w14:paraId="3B8968C6">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固化废气</w:t>
                  </w:r>
                </w:p>
              </w:tc>
              <w:tc>
                <w:tcPr>
                  <w:tcW w:w="379" w:type="pct"/>
                  <w:shd w:val="clear" w:color="auto" w:fill="FFFFFF"/>
                  <w:noWrap w:val="0"/>
                  <w:vAlign w:val="center"/>
                </w:tcPr>
                <w:p w14:paraId="782551EC">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907" w:type="pct"/>
                  <w:shd w:val="clear" w:color="auto" w:fill="FFFFFF"/>
                  <w:noWrap w:val="0"/>
                  <w:vAlign w:val="center"/>
                </w:tcPr>
                <w:p w14:paraId="73423917">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889" w:type="pct"/>
                  <w:shd w:val="clear" w:color="auto" w:fill="FFFFFF"/>
                  <w:noWrap w:val="0"/>
                  <w:vAlign w:val="center"/>
                </w:tcPr>
                <w:p w14:paraId="78D6C1AF">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4" w:type="pct"/>
                  <w:shd w:val="clear" w:color="auto" w:fill="FFFFFF"/>
                  <w:noWrap w:val="0"/>
                  <w:vAlign w:val="center"/>
                </w:tcPr>
                <w:p w14:paraId="3F6AC9FD">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20" w:type="pct"/>
                  <w:shd w:val="clear" w:color="auto" w:fill="FFFFFF"/>
                  <w:noWrap w:val="0"/>
                  <w:vAlign w:val="center"/>
                </w:tcPr>
                <w:p w14:paraId="6D42BB10">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《挥发性有机物排放控制标准》（DB61/T1061-2017）表1 中表面涂装行业排放浓度限值</w:t>
                  </w:r>
                </w:p>
              </w:tc>
            </w:tr>
            <w:tr w14:paraId="1FA1E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restart"/>
                  <w:shd w:val="clear" w:color="auto" w:fill="FFFFFF"/>
                  <w:noWrap w:val="0"/>
                  <w:vAlign w:val="center"/>
                </w:tcPr>
                <w:p w14:paraId="1A83E7BB">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天然气燃烧废气</w:t>
                  </w:r>
                </w:p>
              </w:tc>
              <w:tc>
                <w:tcPr>
                  <w:tcW w:w="379" w:type="pct"/>
                  <w:shd w:val="clear" w:color="auto" w:fill="FFFFFF"/>
                  <w:noWrap w:val="0"/>
                  <w:vAlign w:val="center"/>
                </w:tcPr>
                <w:p w14:paraId="000EA7B5">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907" w:type="pct"/>
                  <w:shd w:val="clear" w:color="auto" w:fill="FFFFFF"/>
                  <w:noWrap w:val="0"/>
                  <w:vAlign w:val="center"/>
                </w:tcPr>
                <w:p w14:paraId="6DE48D97">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889" w:type="pct"/>
                  <w:shd w:val="clear" w:color="auto" w:fill="FFFFFF"/>
                  <w:noWrap w:val="0"/>
                  <w:vAlign w:val="center"/>
                </w:tcPr>
                <w:p w14:paraId="2CEE00FD">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4" w:type="pct"/>
                  <w:shd w:val="clear" w:color="auto" w:fill="FFFFFF"/>
                  <w:noWrap w:val="0"/>
                  <w:vAlign w:val="center"/>
                </w:tcPr>
                <w:p w14:paraId="55671293">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20" w:type="pct"/>
                  <w:vMerge w:val="restart"/>
                  <w:shd w:val="clear" w:color="auto" w:fill="FFFFFF"/>
                  <w:noWrap w:val="0"/>
                  <w:vAlign w:val="center"/>
                </w:tcPr>
                <w:p w14:paraId="1A350C44">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ascii="Times New Roman" w:hAnsi="Times New Roman"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p>
              </w:tc>
            </w:tr>
            <w:tr w14:paraId="4DCF9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continue"/>
                  <w:shd w:val="clear" w:color="auto" w:fill="FFFFFF"/>
                  <w:noWrap w:val="0"/>
                  <w:vAlign w:val="center"/>
                </w:tcPr>
                <w:p w14:paraId="2C28FFE0">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379" w:type="pct"/>
                  <w:shd w:val="clear" w:color="auto" w:fill="FFFFFF"/>
                  <w:noWrap w:val="0"/>
                  <w:vAlign w:val="center"/>
                </w:tcPr>
                <w:p w14:paraId="21FA0F12">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907" w:type="pct"/>
                  <w:shd w:val="clear" w:color="auto" w:fill="FFFFFF"/>
                  <w:noWrap w:val="0"/>
                  <w:vAlign w:val="center"/>
                </w:tcPr>
                <w:p w14:paraId="4B99109F">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889" w:type="pct"/>
                  <w:shd w:val="clear" w:color="auto" w:fill="FFFFFF"/>
                  <w:noWrap w:val="0"/>
                  <w:vAlign w:val="center"/>
                </w:tcPr>
                <w:p w14:paraId="75E60D23">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4" w:type="pct"/>
                  <w:shd w:val="clear" w:color="auto" w:fill="FFFFFF"/>
                  <w:noWrap w:val="0"/>
                  <w:vAlign w:val="center"/>
                </w:tcPr>
                <w:p w14:paraId="13CAAB20">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20" w:type="pct"/>
                  <w:vMerge w:val="continue"/>
                  <w:shd w:val="clear" w:color="auto" w:fill="FFFFFF"/>
                  <w:noWrap w:val="0"/>
                  <w:vAlign w:val="center"/>
                </w:tcPr>
                <w:p w14:paraId="521EEFB4">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r>
            <w:tr w14:paraId="2B0A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continue"/>
                  <w:shd w:val="clear" w:color="auto" w:fill="FFFFFF"/>
                  <w:noWrap w:val="0"/>
                  <w:vAlign w:val="center"/>
                </w:tcPr>
                <w:p w14:paraId="4516B576">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379" w:type="pct"/>
                  <w:shd w:val="clear" w:color="auto" w:fill="FFFFFF"/>
                  <w:noWrap w:val="0"/>
                  <w:vAlign w:val="center"/>
                </w:tcPr>
                <w:p w14:paraId="3599E16E">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907" w:type="pct"/>
                  <w:shd w:val="clear" w:color="auto" w:fill="FFFFFF"/>
                  <w:noWrap w:val="0"/>
                  <w:vAlign w:val="center"/>
                </w:tcPr>
                <w:p w14:paraId="6FB9EBAD">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889" w:type="pct"/>
                  <w:shd w:val="clear" w:color="auto" w:fill="FFFFFF"/>
                  <w:noWrap w:val="0"/>
                  <w:vAlign w:val="center"/>
                </w:tcPr>
                <w:p w14:paraId="20C532C7">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24" w:type="pct"/>
                  <w:shd w:val="clear" w:color="auto" w:fill="FFFFFF"/>
                  <w:noWrap w:val="0"/>
                  <w:vAlign w:val="center"/>
                </w:tcPr>
                <w:p w14:paraId="47525811">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720" w:type="pct"/>
                  <w:vMerge w:val="continue"/>
                  <w:shd w:val="clear" w:color="auto" w:fill="FFFFFF"/>
                  <w:noWrap w:val="0"/>
                  <w:vAlign w:val="center"/>
                </w:tcPr>
                <w:p w14:paraId="776EBAFA">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r>
            <w:tr w14:paraId="49291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8" w:type="pct"/>
                  <w:vMerge w:val="continue"/>
                  <w:shd w:val="clear" w:color="auto" w:fill="FFFFFF"/>
                  <w:noWrap w:val="0"/>
                  <w:vAlign w:val="center"/>
                </w:tcPr>
                <w:p w14:paraId="3BE47810">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379" w:type="pct"/>
                  <w:shd w:val="clear" w:color="auto" w:fill="FFFFFF"/>
                  <w:noWrap w:val="0"/>
                  <w:vAlign w:val="center"/>
                </w:tcPr>
                <w:p w14:paraId="67B73004">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林格曼黑度</w:t>
                  </w:r>
                </w:p>
              </w:tc>
              <w:tc>
                <w:tcPr>
                  <w:tcW w:w="2521" w:type="pct"/>
                  <w:gridSpan w:val="3"/>
                  <w:shd w:val="clear" w:color="auto" w:fill="FFFFFF"/>
                  <w:noWrap w:val="0"/>
                  <w:vAlign w:val="center"/>
                </w:tcPr>
                <w:p w14:paraId="43AAD4A7">
                  <w:pPr>
                    <w:pStyle w:val="25"/>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≤1级</w:t>
                  </w:r>
                </w:p>
              </w:tc>
              <w:tc>
                <w:tcPr>
                  <w:tcW w:w="1720" w:type="pct"/>
                  <w:shd w:val="clear" w:color="auto" w:fill="FFFFFF"/>
                  <w:noWrap w:val="0"/>
                  <w:vAlign w:val="center"/>
                </w:tcPr>
                <w:p w14:paraId="01EFF94D">
                  <w:pPr>
                    <w:pStyle w:val="25"/>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《工业窑炉大气污染物排放标准（GB9078-1996）表2二级排放标准限值要求</w:t>
                  </w:r>
                </w:p>
              </w:tc>
            </w:tr>
          </w:tbl>
          <w:p w14:paraId="52EFD803">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无组织废气污染物执行标准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457"/>
              <w:gridCol w:w="2080"/>
              <w:gridCol w:w="1059"/>
              <w:gridCol w:w="1136"/>
              <w:gridCol w:w="2275"/>
            </w:tblGrid>
            <w:tr w14:paraId="4C94F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4C9A064">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无组织废气</w:t>
                  </w:r>
                </w:p>
              </w:tc>
              <w:tc>
                <w:tcPr>
                  <w:tcW w:w="1298" w:type="pct"/>
                  <w:tcBorders>
                    <w:tl2br w:val="nil"/>
                    <w:tr2bl w:val="nil"/>
                  </w:tcBorders>
                  <w:noWrap w:val="0"/>
                  <w:vAlign w:val="center"/>
                </w:tcPr>
                <w:p w14:paraId="459061AF">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标准名称</w:t>
                  </w:r>
                </w:p>
              </w:tc>
              <w:tc>
                <w:tcPr>
                  <w:tcW w:w="661" w:type="pct"/>
                  <w:tcBorders>
                    <w:tl2br w:val="nil"/>
                    <w:tr2bl w:val="nil"/>
                  </w:tcBorders>
                  <w:noWrap w:val="0"/>
                  <w:vAlign w:val="center"/>
                </w:tcPr>
                <w:p w14:paraId="577B3ABE">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709" w:type="pct"/>
                  <w:tcBorders>
                    <w:tl2br w:val="nil"/>
                    <w:tr2bl w:val="nil"/>
                  </w:tcBorders>
                  <w:noWrap w:val="0"/>
                  <w:vAlign w:val="center"/>
                </w:tcPr>
                <w:p w14:paraId="6B7A5263">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监控点</w:t>
                  </w:r>
                </w:p>
              </w:tc>
              <w:tc>
                <w:tcPr>
                  <w:tcW w:w="1419" w:type="pct"/>
                  <w:tcBorders>
                    <w:tl2br w:val="nil"/>
                    <w:tr2bl w:val="nil"/>
                  </w:tcBorders>
                  <w:noWrap w:val="0"/>
                  <w:vAlign w:val="center"/>
                </w:tcPr>
                <w:p w14:paraId="45CF277C">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无组织排放监控浓度限值（</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lang w:val="en-US" w:eastAsia="zh-CN"/>
                    </w:rPr>
                    <w:t>）</w:t>
                  </w:r>
                </w:p>
              </w:tc>
            </w:tr>
            <w:tr w14:paraId="41548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09" w:type="pct"/>
                  <w:vMerge w:val="restart"/>
                  <w:tcBorders>
                    <w:tl2br w:val="nil"/>
                    <w:tr2bl w:val="nil"/>
                  </w:tcBorders>
                  <w:noWrap w:val="0"/>
                  <w:vAlign w:val="center"/>
                </w:tcPr>
                <w:p w14:paraId="7A61454C">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厂界无组织</w:t>
                  </w:r>
                </w:p>
              </w:tc>
              <w:tc>
                <w:tcPr>
                  <w:tcW w:w="1298" w:type="pct"/>
                  <w:tcBorders>
                    <w:tl2br w:val="nil"/>
                    <w:tr2bl w:val="nil"/>
                  </w:tcBorders>
                  <w:noWrap w:val="0"/>
                  <w:vAlign w:val="center"/>
                </w:tcPr>
                <w:p w14:paraId="14643DD2">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大气污染物综合排放标准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z w:val="21"/>
                      <w:szCs w:val="21"/>
                      <w:lang w:val="en-US" w:eastAsia="zh-CN"/>
                    </w:rPr>
                    <w:t>16297-1996</w:t>
                  </w:r>
                  <w:r>
                    <w:rPr>
                      <w:rFonts w:hint="default" w:ascii="Times New Roman" w:hAnsi="Times New Roman" w:eastAsia="宋体" w:cs="Times New Roman"/>
                      <w:color w:val="auto"/>
                      <w:sz w:val="21"/>
                      <w:szCs w:val="21"/>
                    </w:rPr>
                    <w:t>）</w:t>
                  </w:r>
                </w:p>
              </w:tc>
              <w:tc>
                <w:tcPr>
                  <w:tcW w:w="661" w:type="pct"/>
                  <w:tcBorders>
                    <w:tl2br w:val="nil"/>
                    <w:tr2bl w:val="nil"/>
                  </w:tcBorders>
                  <w:noWrap w:val="0"/>
                  <w:vAlign w:val="center"/>
                </w:tcPr>
                <w:p w14:paraId="356BFFAC">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709" w:type="pct"/>
                  <w:vMerge w:val="restart"/>
                  <w:tcBorders>
                    <w:tl2br w:val="nil"/>
                    <w:tr2bl w:val="nil"/>
                  </w:tcBorders>
                  <w:noWrap w:val="0"/>
                  <w:vAlign w:val="center"/>
                </w:tcPr>
                <w:p w14:paraId="548B2123">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周界外浓度</w:t>
                  </w:r>
                </w:p>
                <w:p w14:paraId="6845B4A8">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最高点</w:t>
                  </w:r>
                </w:p>
              </w:tc>
              <w:tc>
                <w:tcPr>
                  <w:tcW w:w="1419" w:type="pct"/>
                  <w:tcBorders>
                    <w:tl2br w:val="nil"/>
                    <w:tr2bl w:val="nil"/>
                  </w:tcBorders>
                  <w:noWrap w:val="0"/>
                  <w:vAlign w:val="center"/>
                </w:tcPr>
                <w:p w14:paraId="258B9459">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1</w:t>
                  </w:r>
                </w:p>
              </w:tc>
            </w:tr>
            <w:tr w14:paraId="763E2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909" w:type="pct"/>
                  <w:vMerge w:val="continue"/>
                  <w:tcBorders>
                    <w:tl2br w:val="nil"/>
                    <w:tr2bl w:val="nil"/>
                  </w:tcBorders>
                  <w:noWrap w:val="0"/>
                  <w:vAlign w:val="center"/>
                </w:tcPr>
                <w:p w14:paraId="18A6506C">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p>
              </w:tc>
              <w:tc>
                <w:tcPr>
                  <w:tcW w:w="1298" w:type="pct"/>
                  <w:tcBorders>
                    <w:tl2br w:val="nil"/>
                    <w:tr2bl w:val="nil"/>
                  </w:tcBorders>
                  <w:noWrap w:val="0"/>
                  <w:vAlign w:val="center"/>
                </w:tcPr>
                <w:p w14:paraId="73FF6B4B">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val="0"/>
                      <w:bCs w:val="0"/>
                      <w:color w:val="auto"/>
                      <w:sz w:val="21"/>
                      <w:szCs w:val="21"/>
                      <w:lang w:val="en-US" w:eastAsia="zh-CN"/>
                    </w:rPr>
                    <w:t>挥发性有机物排放控制标准》（DB61/T1061-2017）表</w:t>
                  </w:r>
                  <w:r>
                    <w:rPr>
                      <w:rFonts w:hint="eastAsia" w:ascii="Times New Roman" w:hAnsi="Times New Roman" w:cs="Times New Roman"/>
                      <w:b w:val="0"/>
                      <w:bCs w:val="0"/>
                      <w:color w:val="auto"/>
                      <w:sz w:val="21"/>
                      <w:szCs w:val="21"/>
                      <w:lang w:val="en-US" w:eastAsia="zh-CN"/>
                    </w:rPr>
                    <w:t>3企业边界监控点浓度限值</w:t>
                  </w:r>
                </w:p>
              </w:tc>
              <w:tc>
                <w:tcPr>
                  <w:tcW w:w="661" w:type="pct"/>
                  <w:tcBorders>
                    <w:tl2br w:val="nil"/>
                    <w:tr2bl w:val="nil"/>
                  </w:tcBorders>
                  <w:noWrap w:val="0"/>
                  <w:vAlign w:val="center"/>
                </w:tcPr>
                <w:p w14:paraId="51BDBB2E">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709" w:type="pct"/>
                  <w:vMerge w:val="continue"/>
                  <w:tcBorders>
                    <w:tl2br w:val="nil"/>
                    <w:tr2bl w:val="nil"/>
                  </w:tcBorders>
                  <w:noWrap w:val="0"/>
                  <w:vAlign w:val="center"/>
                </w:tcPr>
                <w:p w14:paraId="236F68E6">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p>
              </w:tc>
              <w:tc>
                <w:tcPr>
                  <w:tcW w:w="1419" w:type="pct"/>
                  <w:tcBorders>
                    <w:tl2br w:val="nil"/>
                    <w:tr2bl w:val="nil"/>
                  </w:tcBorders>
                  <w:noWrap w:val="0"/>
                  <w:vAlign w:val="center"/>
                </w:tcPr>
                <w:p w14:paraId="4E828B62">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r>
            <w:tr w14:paraId="52D08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A202210">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厂内无组织</w:t>
                  </w:r>
                </w:p>
              </w:tc>
              <w:tc>
                <w:tcPr>
                  <w:tcW w:w="1298" w:type="pct"/>
                  <w:tcBorders>
                    <w:tl2br w:val="nil"/>
                    <w:tr2bl w:val="nil"/>
                  </w:tcBorders>
                  <w:noWrap w:val="0"/>
                  <w:vAlign w:val="center"/>
                </w:tcPr>
                <w:p w14:paraId="106E6BAD">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《挥发性有机物无组织排放控制标准》GB37822-2019</w:t>
                  </w:r>
                </w:p>
              </w:tc>
              <w:tc>
                <w:tcPr>
                  <w:tcW w:w="661" w:type="pct"/>
                  <w:tcBorders>
                    <w:tl2br w:val="nil"/>
                    <w:tr2bl w:val="nil"/>
                  </w:tcBorders>
                  <w:noWrap w:val="0"/>
                  <w:vAlign w:val="center"/>
                </w:tcPr>
                <w:p w14:paraId="74A39381">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709" w:type="pct"/>
                  <w:tcBorders>
                    <w:tl2br w:val="nil"/>
                    <w:tr2bl w:val="nil"/>
                  </w:tcBorders>
                  <w:noWrap w:val="0"/>
                  <w:vAlign w:val="center"/>
                </w:tcPr>
                <w:p w14:paraId="653B9736">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厂房外设置</w:t>
                  </w:r>
                </w:p>
                <w:p w14:paraId="6507D938">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监控点</w:t>
                  </w:r>
                </w:p>
              </w:tc>
              <w:tc>
                <w:tcPr>
                  <w:tcW w:w="1419" w:type="pct"/>
                  <w:tcBorders>
                    <w:tl2br w:val="nil"/>
                    <w:tr2bl w:val="nil"/>
                  </w:tcBorders>
                  <w:noWrap w:val="0"/>
                  <w:vAlign w:val="center"/>
                </w:tcPr>
                <w:p w14:paraId="34AA80A8">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p w14:paraId="7DEB20C6">
                  <w:pPr>
                    <w:pStyle w:val="171"/>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（监控点处1h平均浓度值）</w:t>
                  </w:r>
                </w:p>
              </w:tc>
            </w:tr>
          </w:tbl>
          <w:p w14:paraId="0FC9519F">
            <w:pPr>
              <w:widowControl/>
              <w:spacing w:line="360" w:lineRule="auto"/>
              <w:ind w:firstLine="480" w:firstLineChars="200"/>
              <w:rPr>
                <w:rFonts w:hint="default" w:ascii="Times New Roman" w:hAnsi="Times New Roman" w:eastAsia="黑体" w:cs="Times New Roman"/>
                <w:bCs/>
                <w:color w:val="auto"/>
                <w:sz w:val="24"/>
                <w:szCs w:val="24"/>
                <w:lang w:val="en-US" w:eastAsia="zh-CN"/>
              </w:rPr>
            </w:pPr>
            <w:r>
              <w:rPr>
                <w:rFonts w:hint="default" w:ascii="Times New Roman" w:hAnsi="Times New Roman" w:cs="Times New Roman"/>
                <w:b w:val="0"/>
                <w:bCs/>
                <w:color w:val="auto"/>
                <w:sz w:val="24"/>
                <w:szCs w:val="24"/>
                <w:lang w:val="en-US" w:eastAsia="zh-CN"/>
              </w:rPr>
              <w:t>根据《挥发性有机物无组织排放控制标准》（GB37822-2019）中同时，根据《重污染天气重点行业应急减排措施制定技术指南》（环办大气函</w:t>
            </w:r>
            <w:r>
              <w:rPr>
                <w:rFonts w:hint="eastAsia" w:cs="Times New Roman"/>
                <w:b w:val="0"/>
                <w:bCs/>
                <w:color w:val="auto"/>
                <w:sz w:val="24"/>
                <w:szCs w:val="24"/>
                <w:lang w:val="en-US" w:eastAsia="zh-CN"/>
              </w:rPr>
              <w:t>〔2020〕</w:t>
            </w:r>
            <w:r>
              <w:rPr>
                <w:rFonts w:hint="default" w:ascii="Times New Roman" w:hAnsi="Times New Roman" w:cs="Times New Roman"/>
                <w:b w:val="0"/>
                <w:bCs/>
                <w:color w:val="auto"/>
                <w:sz w:val="24"/>
                <w:szCs w:val="24"/>
                <w:lang w:val="en-US" w:eastAsia="zh-CN"/>
              </w:rPr>
              <w:t>（340）号）中工业涂装A级企业“排放限值”要求，在连续一年的监测数据中，车间或生产设施排气筒排放的NMHC为20mg/m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—30mg/m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lang w:val="en-US" w:eastAsia="zh-CN"/>
              </w:rPr>
              <w:t>，厂区内无组织排放监控点NMHC的小时平均浓度值不超过6mg/m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、任意一次浓度值不超过20</w:t>
            </w:r>
            <w:r>
              <w:rPr>
                <w:rFonts w:hint="default" w:ascii="Times New Roman" w:hAnsi="Times New Roman" w:cs="Times New Roman"/>
                <w:b w:val="0"/>
                <w:bCs/>
                <w:color w:val="auto"/>
                <w:sz w:val="24"/>
                <w:szCs w:val="24"/>
                <w:lang w:val="en-US" w:eastAsia="zh-CN"/>
              </w:rPr>
              <w:t>mg/m</w:t>
            </w:r>
            <w:r>
              <w:rPr>
                <w:rFonts w:hint="default" w:ascii="Times New Roman" w:hAnsi="Times New Roman" w:cs="Times New Roman"/>
                <w:b w:val="0"/>
                <w:bCs/>
                <w:color w:val="auto"/>
                <w:sz w:val="24"/>
                <w:szCs w:val="24"/>
                <w:vertAlign w:val="superscript"/>
                <w:lang w:val="en-US" w:eastAsia="zh-CN"/>
              </w:rPr>
              <w:t>3</w:t>
            </w:r>
            <w:r>
              <w:rPr>
                <w:rFonts w:hint="default" w:ascii="Times New Roman" w:hAnsi="Times New Roman" w:cs="Times New Roman"/>
                <w:b w:val="0"/>
                <w:bCs/>
                <w:color w:val="auto"/>
                <w:sz w:val="24"/>
                <w:szCs w:val="24"/>
                <w:vertAlign w:val="baseline"/>
                <w:lang w:val="en-US" w:eastAsia="zh-CN"/>
              </w:rPr>
              <w:t>。</w:t>
            </w:r>
          </w:p>
          <w:p w14:paraId="45F321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固体废物</w:t>
            </w:r>
          </w:p>
          <w:p w14:paraId="78C1446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固体废物的处理、处置均应满足《中华人民共和国固体废物污染环境防治法》中的有关规定要求。采用库房、包装工具（罐、桶、包装袋等）贮存一般工业固体废物过程的污染控制，其贮存过程应满足相应防渗漏、防雨淋、防扬尘等环境保护要求。</w:t>
            </w:r>
          </w:p>
          <w:p w14:paraId="3FDBDB35">
            <w:pPr>
              <w:adjustRightInd w:val="0"/>
              <w:snapToGrid w:val="0"/>
              <w:spacing w:line="360" w:lineRule="auto"/>
              <w:ind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危险废物执行《危险废物贮存污染控制标准》（GB18597-2023）。</w:t>
            </w:r>
          </w:p>
        </w:tc>
      </w:tr>
      <w:tr w14:paraId="07A3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800" w:type="dxa"/>
            <w:noWrap w:val="0"/>
            <w:vAlign w:val="center"/>
          </w:tcPr>
          <w:p w14:paraId="586AB41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81F391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897C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190" w:type="dxa"/>
            <w:noWrap w:val="0"/>
            <w:vAlign w:val="center"/>
          </w:tcPr>
          <w:p w14:paraId="211CBBB3">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根据《陕西省“十四五”生态环境保护规划》（陕政办发</w:t>
            </w:r>
            <w:r>
              <w:rPr>
                <w:rFonts w:hint="eastAsia" w:cs="Times New Roman"/>
                <w:color w:val="auto"/>
                <w:sz w:val="24"/>
                <w:lang w:eastAsia="zh-CN"/>
              </w:rPr>
              <w:t>〔2021〕25号</w:t>
            </w:r>
            <w:r>
              <w:rPr>
                <w:rFonts w:hint="default" w:ascii="Times New Roman" w:hAnsi="Times New Roman" w:cs="Times New Roman"/>
                <w:color w:val="auto"/>
                <w:sz w:val="24"/>
              </w:rPr>
              <w:t>）文件，对NO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、VOC</w:t>
            </w:r>
            <w:r>
              <w:rPr>
                <w:rFonts w:hint="eastAsia"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、COD和NH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-N污染物排放实行总量控制和计划管理的规定。本项目建成后涉及废气因子主要为颗粒物、二氧化硫、氮氧化物和非甲烷总烃。</w:t>
            </w:r>
          </w:p>
          <w:p w14:paraId="4A0E35A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综上，本项目主要涉及的总量控制因子为氮氧化物和VOC</w:t>
            </w:r>
            <w:r>
              <w:rPr>
                <w:rFonts w:hint="eastAsia"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，排放总量分别为0.</w:t>
            </w:r>
            <w:r>
              <w:rPr>
                <w:rFonts w:hint="eastAsia" w:ascii="Times New Roman" w:hAnsi="Times New Roman" w:cs="Times New Roman"/>
                <w:color w:val="auto"/>
                <w:sz w:val="24"/>
                <w:lang w:val="en-US" w:eastAsia="zh-CN"/>
              </w:rPr>
              <w:t>112</w:t>
            </w:r>
            <w:r>
              <w:rPr>
                <w:rFonts w:hint="default" w:ascii="Times New Roman" w:hAnsi="Times New Roman" w:cs="Times New Roman"/>
                <w:color w:val="auto"/>
                <w:sz w:val="24"/>
              </w:rPr>
              <w:t>t/a和0.</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2t/a。具体总量指标最后以当地生态环境保护部门核定的总量为准。本项目总量通过排污权交易获得。</w:t>
            </w:r>
          </w:p>
        </w:tc>
      </w:tr>
    </w:tbl>
    <w:p w14:paraId="46E85670">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405"/>
      </w:tblGrid>
      <w:tr w14:paraId="52E47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628" w:type="dxa"/>
            <w:noWrap w:val="0"/>
            <w:tcMar>
              <w:left w:w="28" w:type="dxa"/>
              <w:right w:w="28" w:type="dxa"/>
            </w:tcMar>
            <w:vAlign w:val="center"/>
          </w:tcPr>
          <w:p w14:paraId="154DB0D1">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EB324BD">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C883C51">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A2B8848">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EA47BED">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353" w:type="dxa"/>
            <w:noWrap w:val="0"/>
            <w:vAlign w:val="center"/>
          </w:tcPr>
          <w:p w14:paraId="06AE4C4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在原有项目内预留位置进行设备安装，</w:t>
            </w:r>
            <w:r>
              <w:rPr>
                <w:rFonts w:hint="default" w:ascii="Times New Roman" w:hAnsi="Times New Roman" w:cs="Times New Roman"/>
                <w:color w:val="auto"/>
                <w:sz w:val="24"/>
                <w:szCs w:val="24"/>
              </w:rPr>
              <w:t>安装过程</w:t>
            </w:r>
            <w:r>
              <w:rPr>
                <w:rFonts w:hint="default" w:ascii="Times New Roman" w:hAnsi="Times New Roman" w:cs="Times New Roman"/>
                <w:color w:val="auto"/>
                <w:sz w:val="24"/>
                <w:szCs w:val="24"/>
                <w:lang w:val="en-US" w:eastAsia="zh-CN"/>
              </w:rPr>
              <w:t>会</w:t>
            </w:r>
            <w:r>
              <w:rPr>
                <w:rFonts w:hint="default" w:ascii="Times New Roman" w:hAnsi="Times New Roman" w:cs="Times New Roman"/>
                <w:color w:val="auto"/>
                <w:sz w:val="24"/>
                <w:szCs w:val="24"/>
              </w:rPr>
              <w:t>产生噪声和少量</w:t>
            </w:r>
            <w:r>
              <w:rPr>
                <w:rFonts w:hint="default" w:ascii="Times New Roman" w:hAnsi="Times New Roman" w:cs="Times New Roman"/>
                <w:color w:val="auto"/>
                <w:sz w:val="24"/>
                <w:szCs w:val="24"/>
                <w:lang w:eastAsia="zh-CN"/>
              </w:rPr>
              <w:t>固废（</w:t>
            </w:r>
            <w:r>
              <w:rPr>
                <w:rFonts w:hint="default" w:ascii="Times New Roman" w:hAnsi="Times New Roman" w:cs="Times New Roman"/>
                <w:color w:val="auto"/>
                <w:sz w:val="24"/>
                <w:szCs w:val="24"/>
              </w:rPr>
              <w:t>包装垃圾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14:paraId="709DF5B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噪声：设备安装和调试过程均在厂房内进行，</w:t>
            </w:r>
            <w:r>
              <w:rPr>
                <w:rFonts w:hint="default" w:ascii="Times New Roman" w:hAnsi="Times New Roman" w:cs="Times New Roman"/>
                <w:color w:val="auto"/>
                <w:sz w:val="24"/>
                <w:szCs w:val="24"/>
                <w:lang w:val="en-US" w:eastAsia="zh-CN"/>
              </w:rPr>
              <w:t>厂房均为砖混结构，</w:t>
            </w:r>
            <w:r>
              <w:rPr>
                <w:rFonts w:hint="default" w:ascii="Times New Roman" w:hAnsi="Times New Roman" w:cs="Times New Roman"/>
                <w:color w:val="auto"/>
                <w:sz w:val="24"/>
                <w:szCs w:val="24"/>
                <w:lang w:eastAsia="zh-CN"/>
              </w:rPr>
              <w:t>通过厂房隔声降低对周围环境的影响。</w:t>
            </w:r>
          </w:p>
          <w:p w14:paraId="612CE38F">
            <w:pPr>
              <w:pStyle w:val="29"/>
              <w:keepNext/>
              <w:keepLines/>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固废：主要为废包装材料（废木板、纸箱、塑料等），收集后交物资回收公司。</w:t>
            </w:r>
          </w:p>
          <w:p w14:paraId="3B6ACDD6">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项目设备安装数量较少、工期较短，设备安装时噪声和少量固废随施工期结束而消除，因此项目施工期环境影响较小。</w:t>
            </w:r>
          </w:p>
        </w:tc>
      </w:tr>
      <w:tr w14:paraId="0BE6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628" w:type="dxa"/>
            <w:noWrap w:val="0"/>
            <w:tcMar>
              <w:left w:w="28" w:type="dxa"/>
              <w:right w:w="28" w:type="dxa"/>
            </w:tcMar>
            <w:vAlign w:val="center"/>
          </w:tcPr>
          <w:p w14:paraId="4874A1B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F88A26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6F2E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EC4A8B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714B37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D438957">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353" w:type="dxa"/>
            <w:noWrap w:val="0"/>
            <w:vAlign w:val="center"/>
          </w:tcPr>
          <w:p w14:paraId="48783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8"/>
                <w:szCs w:val="28"/>
                <w:lang w:val="en-US" w:eastAsia="zh-CN" w:bidi="ar-SA"/>
              </w:rPr>
              <w:t>一、运营期大气环境影响和保护措施</w:t>
            </w:r>
          </w:p>
          <w:p w14:paraId="7FC50E4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1.大气环境污染工序及源强分析</w:t>
            </w:r>
          </w:p>
          <w:p w14:paraId="35BA9B7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）废气产排情况一览表</w:t>
            </w:r>
          </w:p>
          <w:p w14:paraId="027A271C">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kern w:val="0"/>
                <w:sz w:val="24"/>
              </w:rPr>
              <w:t>本项目</w:t>
            </w:r>
            <w:r>
              <w:rPr>
                <w:rFonts w:hint="eastAsia" w:ascii="Times New Roman" w:hAnsi="Times New Roman" w:eastAsia="宋体" w:cs="Times New Roman"/>
                <w:color w:val="auto"/>
                <w:kern w:val="0"/>
                <w:sz w:val="24"/>
                <w:lang w:eastAsia="zh-CN"/>
              </w:rPr>
              <w:t>焊接</w:t>
            </w:r>
            <w:r>
              <w:rPr>
                <w:rFonts w:hint="eastAsia" w:ascii="Times New Roman" w:hAnsi="Times New Roman" w:eastAsia="宋体" w:cs="Times New Roman"/>
                <w:color w:val="auto"/>
                <w:kern w:val="0"/>
                <w:sz w:val="24"/>
                <w:lang w:val="en-US" w:eastAsia="zh-CN"/>
              </w:rPr>
              <w:t>设密闭焊接房，在密闭房上方设集气口收集后进入滤筒除尘器处理由排气筒DA001高空排放；激光切割设集气口，废气经收集进入滤筒除尘器处理由排气筒DA001高空排放；抛丸废气经设备自带袋式除尘器处理后统一进入滤筒除尘器处理由排气筒DA001高空排放；固化废气经活性炭处理后</w:t>
            </w:r>
            <w:r>
              <w:rPr>
                <w:rFonts w:hint="eastAsia" w:cs="Times New Roman"/>
                <w:color w:val="auto"/>
                <w:kern w:val="0"/>
                <w:sz w:val="24"/>
                <w:lang w:val="en-US" w:eastAsia="zh-CN"/>
              </w:rPr>
              <w:t>由DA002</w:t>
            </w:r>
            <w:r>
              <w:rPr>
                <w:rFonts w:hint="eastAsia" w:ascii="Times New Roman" w:hAnsi="Times New Roman" w:eastAsia="宋体" w:cs="Times New Roman"/>
                <w:color w:val="auto"/>
                <w:kern w:val="0"/>
                <w:sz w:val="24"/>
                <w:lang w:val="en-US" w:eastAsia="zh-CN"/>
              </w:rPr>
              <w:t>高空排放；天然气燃烧废气设低氮燃烧处理后</w:t>
            </w:r>
            <w:r>
              <w:rPr>
                <w:rFonts w:hint="eastAsia" w:cs="Times New Roman"/>
                <w:color w:val="auto"/>
                <w:kern w:val="0"/>
                <w:sz w:val="24"/>
                <w:lang w:val="en-US" w:eastAsia="zh-CN"/>
              </w:rPr>
              <w:t>由DA002</w:t>
            </w:r>
            <w:r>
              <w:rPr>
                <w:rFonts w:hint="eastAsia" w:ascii="Times New Roman" w:hAnsi="Times New Roman" w:eastAsia="宋体" w:cs="Times New Roman"/>
                <w:color w:val="auto"/>
                <w:kern w:val="0"/>
                <w:sz w:val="24"/>
                <w:lang w:val="en-US" w:eastAsia="zh-CN"/>
              </w:rPr>
              <w:t>高空排放；</w:t>
            </w:r>
            <w:r>
              <w:rPr>
                <w:rFonts w:hint="eastAsia" w:cs="Times New Roman"/>
                <w:color w:val="auto"/>
                <w:kern w:val="0"/>
                <w:sz w:val="24"/>
                <w:lang w:val="en-US" w:eastAsia="zh-CN"/>
              </w:rPr>
              <w:t>喷粉</w:t>
            </w:r>
            <w:r>
              <w:rPr>
                <w:rFonts w:hint="eastAsia" w:ascii="Times New Roman" w:hAnsi="Times New Roman" w:eastAsia="宋体" w:cs="Times New Roman"/>
                <w:color w:val="auto"/>
                <w:kern w:val="0"/>
                <w:sz w:val="24"/>
                <w:lang w:val="en-US" w:eastAsia="zh-CN"/>
              </w:rPr>
              <w:t>设密闭喷粉房，粉尘经收集过滤后回用，部分废粉经沉淀收集后外售废粉收购单位，未收集部分无组织排放。</w:t>
            </w:r>
          </w:p>
          <w:p w14:paraId="640490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项目废气产排情况一览表</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3"/>
              <w:gridCol w:w="2441"/>
              <w:gridCol w:w="993"/>
              <w:gridCol w:w="99"/>
              <w:gridCol w:w="1045"/>
              <w:gridCol w:w="49"/>
              <w:gridCol w:w="1097"/>
              <w:gridCol w:w="24"/>
              <w:gridCol w:w="1125"/>
            </w:tblGrid>
            <w:tr w14:paraId="07F54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6967BCC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产污环节</w:t>
                  </w:r>
                </w:p>
              </w:tc>
              <w:tc>
                <w:tcPr>
                  <w:tcW w:w="1497" w:type="pct"/>
                  <w:tcBorders>
                    <w:tl2br w:val="nil"/>
                    <w:tr2bl w:val="nil"/>
                  </w:tcBorders>
                  <w:noWrap w:val="0"/>
                  <w:vAlign w:val="center"/>
                </w:tcPr>
                <w:p w14:paraId="57A4BB64">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抛丸工序</w:t>
                  </w:r>
                </w:p>
              </w:tc>
              <w:tc>
                <w:tcPr>
                  <w:tcW w:w="1341" w:type="pct"/>
                  <w:gridSpan w:val="4"/>
                  <w:tcBorders>
                    <w:tl2br w:val="nil"/>
                    <w:tr2bl w:val="nil"/>
                  </w:tcBorders>
                  <w:noWrap w:val="0"/>
                  <w:vAlign w:val="center"/>
                </w:tcPr>
                <w:p w14:paraId="5F0E16F8">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激光切割</w:t>
                  </w:r>
                </w:p>
              </w:tc>
              <w:tc>
                <w:tcPr>
                  <w:tcW w:w="1376" w:type="pct"/>
                  <w:gridSpan w:val="3"/>
                  <w:tcBorders>
                    <w:tl2br w:val="nil"/>
                    <w:tr2bl w:val="nil"/>
                  </w:tcBorders>
                  <w:noWrap w:val="0"/>
                  <w:vAlign w:val="center"/>
                </w:tcPr>
                <w:p w14:paraId="78853C33">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焊接</w:t>
                  </w:r>
                </w:p>
              </w:tc>
            </w:tr>
            <w:tr w14:paraId="73D15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1CC1BC7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497" w:type="pct"/>
                  <w:tcBorders>
                    <w:tl2br w:val="nil"/>
                    <w:tr2bl w:val="nil"/>
                  </w:tcBorders>
                  <w:noWrap w:val="0"/>
                  <w:vAlign w:val="center"/>
                </w:tcPr>
                <w:p w14:paraId="7F786B2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1341" w:type="pct"/>
                  <w:gridSpan w:val="4"/>
                  <w:tcBorders>
                    <w:tl2br w:val="nil"/>
                    <w:tr2bl w:val="nil"/>
                  </w:tcBorders>
                  <w:noWrap w:val="0"/>
                  <w:vAlign w:val="center"/>
                </w:tcPr>
                <w:p w14:paraId="5B9F9AD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376" w:type="pct"/>
                  <w:gridSpan w:val="3"/>
                  <w:tcBorders>
                    <w:tl2br w:val="nil"/>
                    <w:tr2bl w:val="nil"/>
                  </w:tcBorders>
                  <w:noWrap w:val="0"/>
                  <w:vAlign w:val="center"/>
                </w:tcPr>
                <w:p w14:paraId="5BFFB9B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r>
            <w:tr w14:paraId="4A571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3E7C1C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污染物产生量（t/a）</w:t>
                  </w:r>
                </w:p>
              </w:tc>
              <w:tc>
                <w:tcPr>
                  <w:tcW w:w="1497" w:type="pct"/>
                  <w:tcBorders>
                    <w:tl2br w:val="nil"/>
                    <w:tr2bl w:val="nil"/>
                  </w:tcBorders>
                  <w:noWrap w:val="0"/>
                  <w:vAlign w:val="center"/>
                </w:tcPr>
                <w:p w14:paraId="5937BEC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4.43</w:t>
                  </w:r>
                </w:p>
              </w:tc>
              <w:tc>
                <w:tcPr>
                  <w:tcW w:w="1341" w:type="pct"/>
                  <w:gridSpan w:val="4"/>
                  <w:tcBorders>
                    <w:tl2br w:val="nil"/>
                    <w:tr2bl w:val="nil"/>
                  </w:tcBorders>
                  <w:noWrap w:val="0"/>
                  <w:vAlign w:val="center"/>
                </w:tcPr>
                <w:p w14:paraId="0A8D683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0.88</w:t>
                  </w:r>
                </w:p>
              </w:tc>
              <w:tc>
                <w:tcPr>
                  <w:tcW w:w="1376" w:type="pct"/>
                  <w:gridSpan w:val="3"/>
                  <w:tcBorders>
                    <w:tl2br w:val="nil"/>
                    <w:tr2bl w:val="nil"/>
                  </w:tcBorders>
                  <w:noWrap w:val="0"/>
                  <w:vAlign w:val="center"/>
                </w:tcPr>
                <w:p w14:paraId="1C7E3B6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w:t>
                  </w:r>
                </w:p>
              </w:tc>
            </w:tr>
            <w:tr w14:paraId="00FD8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5DF3F7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1497" w:type="pct"/>
                  <w:tcBorders>
                    <w:tl2br w:val="nil"/>
                    <w:tr2bl w:val="nil"/>
                  </w:tcBorders>
                  <w:noWrap w:val="0"/>
                  <w:vAlign w:val="center"/>
                </w:tcPr>
                <w:p w14:paraId="31EC063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670" w:type="pct"/>
                  <w:gridSpan w:val="2"/>
                  <w:tcBorders>
                    <w:tl2br w:val="nil"/>
                    <w:tr2bl w:val="nil"/>
                  </w:tcBorders>
                  <w:noWrap w:val="0"/>
                  <w:vAlign w:val="center"/>
                </w:tcPr>
                <w:p w14:paraId="333FCC1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有</w:t>
                  </w:r>
                  <w:r>
                    <w:rPr>
                      <w:rFonts w:hint="eastAsia" w:ascii="Times New Roman" w:hAnsi="Times New Roman" w:eastAsia="宋体" w:cs="Times New Roman"/>
                      <w:color w:val="auto"/>
                      <w:szCs w:val="21"/>
                      <w:lang w:eastAsia="zh-CN"/>
                    </w:rPr>
                    <w:t>组织</w:t>
                  </w:r>
                </w:p>
              </w:tc>
              <w:tc>
                <w:tcPr>
                  <w:tcW w:w="670" w:type="pct"/>
                  <w:gridSpan w:val="2"/>
                  <w:tcBorders>
                    <w:tl2br w:val="nil"/>
                    <w:tr2bl w:val="nil"/>
                  </w:tcBorders>
                  <w:noWrap w:val="0"/>
                  <w:vAlign w:val="center"/>
                </w:tcPr>
                <w:p w14:paraId="4FC8ABF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688" w:type="pct"/>
                  <w:gridSpan w:val="2"/>
                  <w:tcBorders>
                    <w:tl2br w:val="nil"/>
                    <w:tr2bl w:val="nil"/>
                  </w:tcBorders>
                  <w:noWrap w:val="0"/>
                  <w:vAlign w:val="center"/>
                </w:tcPr>
                <w:p w14:paraId="1E04B0D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688" w:type="pct"/>
                  <w:tcBorders>
                    <w:tl2br w:val="nil"/>
                    <w:tr2bl w:val="nil"/>
                  </w:tcBorders>
                  <w:noWrap w:val="0"/>
                  <w:vAlign w:val="center"/>
                </w:tcPr>
                <w:p w14:paraId="63FFE97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r>
            <w:tr w14:paraId="19D7D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4859110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522" w:type="pct"/>
                  <w:tcBorders>
                    <w:tl2br w:val="nil"/>
                    <w:tr2bl w:val="nil"/>
                  </w:tcBorders>
                  <w:noWrap w:val="0"/>
                  <w:vAlign w:val="center"/>
                </w:tcPr>
                <w:p w14:paraId="2ABFA4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1497" w:type="pct"/>
                  <w:tcBorders>
                    <w:tl2br w:val="nil"/>
                    <w:tr2bl w:val="nil"/>
                  </w:tcBorders>
                  <w:noWrap w:val="0"/>
                  <w:vAlign w:val="center"/>
                </w:tcPr>
                <w:p w14:paraId="34E0D00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自带袋式除尘+滤筒除尘器</w:t>
                  </w:r>
                </w:p>
              </w:tc>
              <w:tc>
                <w:tcPr>
                  <w:tcW w:w="1341" w:type="pct"/>
                  <w:gridSpan w:val="4"/>
                  <w:tcBorders>
                    <w:tl2br w:val="nil"/>
                    <w:tr2bl w:val="nil"/>
                  </w:tcBorders>
                  <w:noWrap w:val="0"/>
                  <w:vAlign w:val="center"/>
                </w:tcPr>
                <w:p w14:paraId="6223BDC3">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滤筒除尘器</w:t>
                  </w:r>
                </w:p>
              </w:tc>
              <w:tc>
                <w:tcPr>
                  <w:tcW w:w="1376" w:type="pct"/>
                  <w:gridSpan w:val="3"/>
                  <w:tcBorders>
                    <w:tl2br w:val="nil"/>
                    <w:tr2bl w:val="nil"/>
                  </w:tcBorders>
                  <w:noWrap w:val="0"/>
                  <w:vAlign w:val="center"/>
                </w:tcPr>
                <w:p w14:paraId="687D4652">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滤筒除尘器</w:t>
                  </w:r>
                </w:p>
              </w:tc>
            </w:tr>
            <w:tr w14:paraId="740E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08DF5CF0">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7E39C01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收集效率%</w:t>
                  </w:r>
                </w:p>
              </w:tc>
              <w:tc>
                <w:tcPr>
                  <w:tcW w:w="1497" w:type="pct"/>
                  <w:tcBorders>
                    <w:tl2br w:val="nil"/>
                    <w:tr2bl w:val="nil"/>
                  </w:tcBorders>
                  <w:noWrap w:val="0"/>
                  <w:vAlign w:val="center"/>
                </w:tcPr>
                <w:p w14:paraId="6920DFA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341" w:type="pct"/>
                  <w:gridSpan w:val="4"/>
                  <w:tcBorders>
                    <w:tl2br w:val="nil"/>
                    <w:tr2bl w:val="nil"/>
                  </w:tcBorders>
                  <w:noWrap w:val="0"/>
                  <w:vAlign w:val="center"/>
                </w:tcPr>
                <w:p w14:paraId="01B4C8E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1376" w:type="pct"/>
                  <w:gridSpan w:val="3"/>
                  <w:tcBorders>
                    <w:tl2br w:val="nil"/>
                    <w:tr2bl w:val="nil"/>
                  </w:tcBorders>
                  <w:noWrap w:val="0"/>
                  <w:vAlign w:val="center"/>
                </w:tcPr>
                <w:p w14:paraId="0BB6DD9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r>
            <w:tr w14:paraId="5E358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43E64A59">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1DF5A0B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497" w:type="pct"/>
                  <w:tcBorders>
                    <w:tl2br w:val="nil"/>
                    <w:tr2bl w:val="nil"/>
                  </w:tcBorders>
                  <w:noWrap w:val="0"/>
                  <w:vAlign w:val="center"/>
                </w:tcPr>
                <w:p w14:paraId="4C17A181">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lang w:val="en-US" w:eastAsia="zh-CN"/>
                    </w:rPr>
                    <w:t>自带袋式除尘器85%，滤筒除尘器95%</w:t>
                  </w:r>
                </w:p>
              </w:tc>
              <w:tc>
                <w:tcPr>
                  <w:tcW w:w="1341" w:type="pct"/>
                  <w:gridSpan w:val="4"/>
                  <w:tcBorders>
                    <w:tl2br w:val="nil"/>
                    <w:tr2bl w:val="nil"/>
                  </w:tcBorders>
                  <w:noWrap w:val="0"/>
                  <w:vAlign w:val="center"/>
                </w:tcPr>
                <w:p w14:paraId="1CE12C2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1376" w:type="pct"/>
                  <w:gridSpan w:val="3"/>
                  <w:tcBorders>
                    <w:tl2br w:val="nil"/>
                    <w:tr2bl w:val="nil"/>
                  </w:tcBorders>
                  <w:noWrap w:val="0"/>
                  <w:vAlign w:val="center"/>
                </w:tcPr>
                <w:p w14:paraId="572723D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r>
            <w:tr w14:paraId="2E3C5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0E3722D3">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571D7F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1497" w:type="pct"/>
                  <w:tcBorders>
                    <w:tl2br w:val="nil"/>
                    <w:tr2bl w:val="nil"/>
                  </w:tcBorders>
                  <w:noWrap w:val="0"/>
                  <w:vAlign w:val="center"/>
                </w:tcPr>
                <w:p w14:paraId="11BF827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是</w:t>
                  </w:r>
                </w:p>
              </w:tc>
              <w:tc>
                <w:tcPr>
                  <w:tcW w:w="1341" w:type="pct"/>
                  <w:gridSpan w:val="4"/>
                  <w:tcBorders>
                    <w:tl2br w:val="nil"/>
                    <w:tr2bl w:val="nil"/>
                  </w:tcBorders>
                  <w:noWrap w:val="0"/>
                  <w:vAlign w:val="center"/>
                </w:tcPr>
                <w:p w14:paraId="1C605F94">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c>
                <w:tcPr>
                  <w:tcW w:w="1376" w:type="pct"/>
                  <w:gridSpan w:val="3"/>
                  <w:tcBorders>
                    <w:tl2br w:val="nil"/>
                    <w:tr2bl w:val="nil"/>
                  </w:tcBorders>
                  <w:noWrap w:val="0"/>
                  <w:vAlign w:val="center"/>
                </w:tcPr>
                <w:p w14:paraId="4A57D958">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r>
            <w:tr w14:paraId="78080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4B8470D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4215" w:type="pct"/>
                  <w:gridSpan w:val="8"/>
                  <w:tcBorders>
                    <w:tl2br w:val="nil"/>
                    <w:tr2bl w:val="nil"/>
                  </w:tcBorders>
                  <w:noWrap w:val="0"/>
                  <w:vAlign w:val="center"/>
                </w:tcPr>
                <w:p w14:paraId="110277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r>
                    <w:rPr>
                      <w:rFonts w:hint="eastAsia" w:cs="Times New Roman"/>
                      <w:color w:val="auto"/>
                      <w:szCs w:val="21"/>
                      <w:lang w:val="en-US" w:eastAsia="zh-CN"/>
                    </w:rPr>
                    <w:t>.7</w:t>
                  </w:r>
                </w:p>
              </w:tc>
            </w:tr>
            <w:tr w14:paraId="1CFE3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0F45A3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污染物排放速率（kg/h）</w:t>
                  </w:r>
                </w:p>
              </w:tc>
              <w:tc>
                <w:tcPr>
                  <w:tcW w:w="4215" w:type="pct"/>
                  <w:gridSpan w:val="8"/>
                  <w:tcBorders>
                    <w:tl2br w:val="nil"/>
                    <w:tr2bl w:val="nil"/>
                  </w:tcBorders>
                  <w:noWrap w:val="0"/>
                  <w:vAlign w:val="center"/>
                </w:tcPr>
                <w:p w14:paraId="7A0C7CF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w:t>
                  </w:r>
                  <w:r>
                    <w:rPr>
                      <w:rFonts w:hint="eastAsia" w:cs="Times New Roman"/>
                      <w:color w:val="auto"/>
                      <w:szCs w:val="21"/>
                      <w:lang w:val="en-US" w:eastAsia="zh-CN"/>
                    </w:rPr>
                    <w:t>7</w:t>
                  </w:r>
                </w:p>
              </w:tc>
            </w:tr>
            <w:tr w14:paraId="42790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67AE370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污染物排放量（t/a）</w:t>
                  </w:r>
                </w:p>
              </w:tc>
              <w:tc>
                <w:tcPr>
                  <w:tcW w:w="1497" w:type="pct"/>
                  <w:tcBorders>
                    <w:tl2br w:val="nil"/>
                    <w:tr2bl w:val="nil"/>
                  </w:tcBorders>
                  <w:noWrap w:val="0"/>
                  <w:vAlign w:val="center"/>
                </w:tcPr>
                <w:p w14:paraId="3A99E8DC">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w:t>
                  </w:r>
                  <w:r>
                    <w:rPr>
                      <w:rFonts w:hint="eastAsia" w:cs="Times New Roman"/>
                      <w:color w:val="auto"/>
                      <w:szCs w:val="21"/>
                      <w:lang w:val="en-US" w:eastAsia="zh-CN"/>
                    </w:rPr>
                    <w:t>3</w:t>
                  </w:r>
                </w:p>
              </w:tc>
              <w:tc>
                <w:tcPr>
                  <w:tcW w:w="609" w:type="pct"/>
                  <w:tcBorders>
                    <w:tl2br w:val="nil"/>
                    <w:tr2bl w:val="nil"/>
                  </w:tcBorders>
                  <w:noWrap w:val="0"/>
                  <w:vAlign w:val="center"/>
                </w:tcPr>
                <w:p w14:paraId="3372A66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w:t>
                  </w:r>
                </w:p>
              </w:tc>
              <w:tc>
                <w:tcPr>
                  <w:tcW w:w="702" w:type="pct"/>
                  <w:gridSpan w:val="2"/>
                  <w:tcBorders>
                    <w:tl2br w:val="nil"/>
                    <w:tr2bl w:val="nil"/>
                  </w:tcBorders>
                  <w:noWrap w:val="0"/>
                  <w:vAlign w:val="center"/>
                </w:tcPr>
                <w:p w14:paraId="0F24EC1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0.13</w:t>
                  </w:r>
                </w:p>
              </w:tc>
              <w:tc>
                <w:tcPr>
                  <w:tcW w:w="702" w:type="pct"/>
                  <w:gridSpan w:val="2"/>
                  <w:tcBorders>
                    <w:tl2br w:val="nil"/>
                    <w:tr2bl w:val="nil"/>
                  </w:tcBorders>
                  <w:noWrap w:val="0"/>
                  <w:vAlign w:val="center"/>
                </w:tcPr>
                <w:p w14:paraId="2C2B033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0.0005</w:t>
                  </w:r>
                </w:p>
              </w:tc>
              <w:tc>
                <w:tcPr>
                  <w:tcW w:w="703" w:type="pct"/>
                  <w:gridSpan w:val="2"/>
                  <w:tcBorders>
                    <w:tl2br w:val="nil"/>
                    <w:tr2bl w:val="nil"/>
                  </w:tcBorders>
                  <w:noWrap w:val="0"/>
                  <w:vAlign w:val="center"/>
                </w:tcPr>
                <w:p w14:paraId="4E0A854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0.0005</w:t>
                  </w:r>
                </w:p>
              </w:tc>
            </w:tr>
            <w:tr w14:paraId="15C2A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5EC573F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排放口基本信息</w:t>
                  </w:r>
                </w:p>
              </w:tc>
              <w:tc>
                <w:tcPr>
                  <w:tcW w:w="522" w:type="pct"/>
                  <w:tcBorders>
                    <w:tl2br w:val="nil"/>
                    <w:tr2bl w:val="nil"/>
                  </w:tcBorders>
                  <w:noWrap w:val="0"/>
                  <w:vAlign w:val="center"/>
                </w:tcPr>
                <w:p w14:paraId="1FEC14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高度（m）</w:t>
                  </w:r>
                </w:p>
              </w:tc>
              <w:tc>
                <w:tcPr>
                  <w:tcW w:w="4215" w:type="pct"/>
                  <w:gridSpan w:val="8"/>
                  <w:tcBorders>
                    <w:tl2br w:val="nil"/>
                    <w:tr2bl w:val="nil"/>
                  </w:tcBorders>
                  <w:noWrap w:val="0"/>
                  <w:vAlign w:val="center"/>
                </w:tcPr>
                <w:p w14:paraId="62D48A0B">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15</w:t>
                  </w:r>
                </w:p>
              </w:tc>
            </w:tr>
            <w:tr w14:paraId="6F7EA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51072576">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6E2CF7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排气筒内径（m）</w:t>
                  </w:r>
                </w:p>
              </w:tc>
              <w:tc>
                <w:tcPr>
                  <w:tcW w:w="4215" w:type="pct"/>
                  <w:gridSpan w:val="8"/>
                  <w:tcBorders>
                    <w:tl2br w:val="nil"/>
                    <w:tr2bl w:val="nil"/>
                  </w:tcBorders>
                  <w:noWrap w:val="0"/>
                  <w:vAlign w:val="center"/>
                </w:tcPr>
                <w:p w14:paraId="44B1FC0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45</w:t>
                  </w:r>
                </w:p>
              </w:tc>
            </w:tr>
            <w:tr w14:paraId="05F51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35B92B6A">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1B9614B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tc>
              <w:tc>
                <w:tcPr>
                  <w:tcW w:w="4215" w:type="pct"/>
                  <w:gridSpan w:val="8"/>
                  <w:tcBorders>
                    <w:tl2br w:val="nil"/>
                    <w:tr2bl w:val="nil"/>
                  </w:tcBorders>
                  <w:noWrap w:val="0"/>
                  <w:vAlign w:val="center"/>
                </w:tcPr>
                <w:p w14:paraId="178E1A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常温</w:t>
                  </w:r>
                </w:p>
              </w:tc>
            </w:tr>
            <w:tr w14:paraId="4F695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22174E87">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127F6C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编号及名称</w:t>
                  </w:r>
                </w:p>
              </w:tc>
              <w:tc>
                <w:tcPr>
                  <w:tcW w:w="4215" w:type="pct"/>
                  <w:gridSpan w:val="8"/>
                  <w:tcBorders>
                    <w:tl2br w:val="nil"/>
                    <w:tr2bl w:val="nil"/>
                  </w:tcBorders>
                  <w:noWrap w:val="0"/>
                  <w:vAlign w:val="center"/>
                </w:tcPr>
                <w:p w14:paraId="6158403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DA001</w:t>
                  </w:r>
                </w:p>
              </w:tc>
            </w:tr>
            <w:tr w14:paraId="3F147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08E87AB7">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60BEEFA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w:t>
                  </w:r>
                </w:p>
                <w:p w14:paraId="43A25E0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坐标（°）</w:t>
                  </w:r>
                </w:p>
              </w:tc>
              <w:tc>
                <w:tcPr>
                  <w:tcW w:w="4215" w:type="pct"/>
                  <w:gridSpan w:val="8"/>
                  <w:tcBorders>
                    <w:tl2br w:val="nil"/>
                    <w:tr2bl w:val="nil"/>
                  </w:tcBorders>
                  <w:noWrap w:val="0"/>
                  <w:vAlign w:val="center"/>
                </w:tcPr>
                <w:p w14:paraId="27E17A76">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东经107.424820823，北纬34.350638751</w:t>
                  </w:r>
                </w:p>
              </w:tc>
            </w:tr>
            <w:tr w14:paraId="7FBCE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6EACFC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c>
                <w:tcPr>
                  <w:tcW w:w="4215" w:type="pct"/>
                  <w:gridSpan w:val="8"/>
                  <w:tcBorders>
                    <w:tl2br w:val="nil"/>
                    <w:tr2bl w:val="nil"/>
                  </w:tcBorders>
                  <w:noWrap w:val="0"/>
                  <w:vAlign w:val="center"/>
                </w:tcPr>
                <w:p w14:paraId="30656C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《大气污染物综合排放标准》（GB16297-1996）表</w:t>
                  </w:r>
                  <w:r>
                    <w:rPr>
                      <w:rFonts w:hint="eastAsia" w:ascii="Times New Roman" w:hAnsi="Times New Roman" w:eastAsia="宋体" w:cs="Times New Roman"/>
                      <w:color w:val="auto"/>
                      <w:szCs w:val="21"/>
                      <w:lang w:val="en-US" w:eastAsia="zh-CN"/>
                    </w:rPr>
                    <w:t>2</w:t>
                  </w:r>
                </w:p>
              </w:tc>
            </w:tr>
            <w:tr w14:paraId="0ADB5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restart"/>
                  <w:tcBorders>
                    <w:tl2br w:val="nil"/>
                    <w:tr2bl w:val="nil"/>
                  </w:tcBorders>
                  <w:noWrap w:val="0"/>
                  <w:vAlign w:val="center"/>
                </w:tcPr>
                <w:p w14:paraId="0D4F7F7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E55C5C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要求</w:t>
                  </w:r>
                </w:p>
              </w:tc>
              <w:tc>
                <w:tcPr>
                  <w:tcW w:w="522" w:type="pct"/>
                  <w:tcBorders>
                    <w:tl2br w:val="nil"/>
                    <w:tr2bl w:val="nil"/>
                  </w:tcBorders>
                  <w:noWrap w:val="0"/>
                  <w:vAlign w:val="center"/>
                </w:tcPr>
                <w:p w14:paraId="7CA341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FD95F4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4215" w:type="pct"/>
                  <w:gridSpan w:val="8"/>
                  <w:tcBorders>
                    <w:tl2br w:val="nil"/>
                    <w:tr2bl w:val="nil"/>
                  </w:tcBorders>
                  <w:noWrap w:val="0"/>
                  <w:vAlign w:val="center"/>
                </w:tcPr>
                <w:p w14:paraId="2105E33B">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有组织：</w:t>
                  </w:r>
                  <w:r>
                    <w:rPr>
                      <w:rFonts w:hint="default" w:ascii="Times New Roman" w:hAnsi="Times New Roman" w:eastAsia="宋体" w:cs="Times New Roman"/>
                      <w:color w:val="auto"/>
                      <w:szCs w:val="21"/>
                    </w:rPr>
                    <w:t>DA001出口</w:t>
                  </w:r>
                </w:p>
                <w:p w14:paraId="524DD6ED">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无组织：</w:t>
                  </w:r>
                  <w:r>
                    <w:rPr>
                      <w:rFonts w:hint="default" w:ascii="Times New Roman" w:hAnsi="Times New Roman" w:eastAsia="宋体" w:cs="Times New Roman"/>
                      <w:color w:val="auto"/>
                      <w:szCs w:val="21"/>
                    </w:rPr>
                    <w:t>厂界上风向1处，下风向3处</w:t>
                  </w:r>
                </w:p>
              </w:tc>
            </w:tr>
            <w:tr w14:paraId="3DB97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733A67D7">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707D33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A4C75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因子</w:t>
                  </w:r>
                </w:p>
              </w:tc>
              <w:tc>
                <w:tcPr>
                  <w:tcW w:w="4215" w:type="pct"/>
                  <w:gridSpan w:val="8"/>
                  <w:tcBorders>
                    <w:tl2br w:val="nil"/>
                    <w:tr2bl w:val="nil"/>
                  </w:tcBorders>
                  <w:noWrap w:val="0"/>
                  <w:vAlign w:val="center"/>
                </w:tcPr>
                <w:p w14:paraId="5B4D14C1">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颗粒物</w:t>
                  </w:r>
                </w:p>
              </w:tc>
            </w:tr>
            <w:tr w14:paraId="6C549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5EE22AA8">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561F1C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E31E4A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频次</w:t>
                  </w:r>
                </w:p>
              </w:tc>
              <w:tc>
                <w:tcPr>
                  <w:tcW w:w="4215" w:type="pct"/>
                  <w:gridSpan w:val="8"/>
                  <w:tcBorders>
                    <w:tl2br w:val="nil"/>
                    <w:tr2bl w:val="nil"/>
                  </w:tcBorders>
                  <w:noWrap w:val="0"/>
                  <w:vAlign w:val="center"/>
                </w:tcPr>
                <w:p w14:paraId="2C546F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0FC8851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1"/>
                <w:szCs w:val="21"/>
                <w:lang w:val="en-US" w:eastAsia="zh-CN"/>
              </w:rPr>
              <w:t xml:space="preserve">表4-1续  </w:t>
            </w:r>
            <w:r>
              <w:rPr>
                <w:rFonts w:hint="default" w:ascii="Times New Roman" w:hAnsi="Times New Roman" w:eastAsia="宋体" w:cs="Times New Roman"/>
                <w:b/>
                <w:bCs/>
                <w:color w:val="auto"/>
                <w:sz w:val="21"/>
                <w:szCs w:val="21"/>
                <w:lang w:val="en-US" w:eastAsia="zh-CN"/>
              </w:rPr>
              <w:t>项目废气产排情况一览表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6"/>
              <w:gridCol w:w="1943"/>
              <w:gridCol w:w="1329"/>
              <w:gridCol w:w="1338"/>
              <w:gridCol w:w="689"/>
              <w:gridCol w:w="794"/>
              <w:gridCol w:w="794"/>
            </w:tblGrid>
            <w:tr w14:paraId="5124B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1ADA223E">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产污环节</w:t>
                  </w:r>
                </w:p>
              </w:tc>
              <w:tc>
                <w:tcPr>
                  <w:tcW w:w="1192" w:type="pct"/>
                  <w:tcBorders>
                    <w:tl2br w:val="nil"/>
                    <w:tr2bl w:val="nil"/>
                  </w:tcBorders>
                  <w:noWrap w:val="0"/>
                  <w:vAlign w:val="center"/>
                </w:tcPr>
                <w:p w14:paraId="5DFA27C0">
                  <w:pPr>
                    <w:adjustRightInd w:val="0"/>
                    <w:snapToGrid w:val="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喷粉</w:t>
                  </w:r>
                </w:p>
              </w:tc>
              <w:tc>
                <w:tcPr>
                  <w:tcW w:w="953" w:type="pct"/>
                  <w:gridSpan w:val="2"/>
                  <w:tcBorders>
                    <w:tl2br w:val="nil"/>
                    <w:tr2bl w:val="nil"/>
                  </w:tcBorders>
                  <w:noWrap w:val="0"/>
                  <w:vAlign w:val="center"/>
                </w:tcPr>
                <w:p w14:paraId="17F3DC6E">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固化</w:t>
                  </w:r>
                </w:p>
              </w:tc>
              <w:tc>
                <w:tcPr>
                  <w:tcW w:w="2069" w:type="pct"/>
                  <w:gridSpan w:val="3"/>
                  <w:tcBorders>
                    <w:tl2br w:val="nil"/>
                    <w:tr2bl w:val="nil"/>
                  </w:tcBorders>
                  <w:noWrap w:val="0"/>
                  <w:vAlign w:val="center"/>
                </w:tcPr>
                <w:p w14:paraId="77A6E963">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燃烧</w:t>
                  </w:r>
                </w:p>
              </w:tc>
            </w:tr>
            <w:tr w14:paraId="28908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524E810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192" w:type="pct"/>
                  <w:tcBorders>
                    <w:tl2br w:val="nil"/>
                    <w:tr2bl w:val="nil"/>
                  </w:tcBorders>
                  <w:noWrap w:val="0"/>
                  <w:vAlign w:val="center"/>
                </w:tcPr>
                <w:p w14:paraId="120976F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953" w:type="pct"/>
                  <w:gridSpan w:val="2"/>
                  <w:tcBorders>
                    <w:tl2br w:val="nil"/>
                    <w:tr2bl w:val="nil"/>
                  </w:tcBorders>
                  <w:noWrap w:val="0"/>
                  <w:vAlign w:val="center"/>
                </w:tcPr>
                <w:p w14:paraId="3B0EA39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686" w:type="pct"/>
                  <w:tcBorders>
                    <w:tl2br w:val="nil"/>
                    <w:tr2bl w:val="nil"/>
                  </w:tcBorders>
                  <w:noWrap w:val="0"/>
                  <w:vAlign w:val="center"/>
                </w:tcPr>
                <w:p w14:paraId="5B2507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687" w:type="pct"/>
                  <w:tcBorders>
                    <w:tl2br w:val="nil"/>
                    <w:tr2bl w:val="nil"/>
                  </w:tcBorders>
                  <w:noWrap w:val="0"/>
                  <w:vAlign w:val="center"/>
                </w:tcPr>
                <w:p w14:paraId="06EB1B0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二氧化硫</w:t>
                  </w:r>
                </w:p>
              </w:tc>
              <w:tc>
                <w:tcPr>
                  <w:tcW w:w="696" w:type="pct"/>
                  <w:tcBorders>
                    <w:tl2br w:val="nil"/>
                    <w:tr2bl w:val="nil"/>
                  </w:tcBorders>
                  <w:noWrap w:val="0"/>
                  <w:vAlign w:val="center"/>
                </w:tcPr>
                <w:p w14:paraId="69366C9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氮氧化物</w:t>
                  </w:r>
                </w:p>
              </w:tc>
            </w:tr>
            <w:tr w14:paraId="2B5E8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682AFAA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污染物产生量（t/a）</w:t>
                  </w:r>
                </w:p>
              </w:tc>
              <w:tc>
                <w:tcPr>
                  <w:tcW w:w="1192" w:type="pct"/>
                  <w:tcBorders>
                    <w:tl2br w:val="nil"/>
                    <w:tr2bl w:val="nil"/>
                  </w:tcBorders>
                  <w:noWrap w:val="0"/>
                  <w:vAlign w:val="center"/>
                </w:tcPr>
                <w:p w14:paraId="2B42687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953" w:type="pct"/>
                  <w:gridSpan w:val="2"/>
                  <w:tcBorders>
                    <w:tl2br w:val="nil"/>
                    <w:tr2bl w:val="nil"/>
                  </w:tcBorders>
                  <w:noWrap w:val="0"/>
                  <w:vAlign w:val="center"/>
                </w:tcPr>
                <w:p w14:paraId="3DCC05B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0.37</w:t>
                  </w:r>
                </w:p>
              </w:tc>
              <w:tc>
                <w:tcPr>
                  <w:tcW w:w="686" w:type="pct"/>
                  <w:tcBorders>
                    <w:tl2br w:val="nil"/>
                    <w:tr2bl w:val="nil"/>
                  </w:tcBorders>
                  <w:noWrap w:val="0"/>
                  <w:vAlign w:val="center"/>
                </w:tcPr>
                <w:p w14:paraId="15F83E1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0.017</w:t>
                  </w:r>
                </w:p>
              </w:tc>
              <w:tc>
                <w:tcPr>
                  <w:tcW w:w="687" w:type="pct"/>
                  <w:tcBorders>
                    <w:tl2br w:val="nil"/>
                    <w:tr2bl w:val="nil"/>
                  </w:tcBorders>
                  <w:noWrap w:val="0"/>
                  <w:vAlign w:val="center"/>
                </w:tcPr>
                <w:p w14:paraId="3CDB32E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0.0024</w:t>
                  </w:r>
                </w:p>
              </w:tc>
              <w:tc>
                <w:tcPr>
                  <w:tcW w:w="696" w:type="pct"/>
                  <w:tcBorders>
                    <w:tl2br w:val="nil"/>
                    <w:tr2bl w:val="nil"/>
                  </w:tcBorders>
                  <w:noWrap w:val="0"/>
                  <w:vAlign w:val="center"/>
                </w:tcPr>
                <w:p w14:paraId="74AAD2D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0.112</w:t>
                  </w:r>
                </w:p>
              </w:tc>
            </w:tr>
            <w:tr w14:paraId="7D533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3651445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1192" w:type="pct"/>
                  <w:tcBorders>
                    <w:tl2br w:val="nil"/>
                    <w:tr2bl w:val="nil"/>
                  </w:tcBorders>
                  <w:noWrap w:val="0"/>
                  <w:vAlign w:val="center"/>
                </w:tcPr>
                <w:p w14:paraId="48A0210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无组织</w:t>
                  </w:r>
                </w:p>
              </w:tc>
              <w:tc>
                <w:tcPr>
                  <w:tcW w:w="475" w:type="pct"/>
                  <w:tcBorders>
                    <w:tl2br w:val="nil"/>
                    <w:tr2bl w:val="nil"/>
                  </w:tcBorders>
                  <w:noWrap w:val="0"/>
                  <w:vAlign w:val="center"/>
                </w:tcPr>
                <w:p w14:paraId="71C40554">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有</w:t>
                  </w:r>
                  <w:r>
                    <w:rPr>
                      <w:rFonts w:hint="eastAsia" w:ascii="Times New Roman" w:hAnsi="Times New Roman" w:eastAsia="宋体" w:cs="Times New Roman"/>
                      <w:color w:val="auto"/>
                      <w:szCs w:val="21"/>
                      <w:lang w:eastAsia="zh-CN"/>
                    </w:rPr>
                    <w:t>组织</w:t>
                  </w:r>
                </w:p>
              </w:tc>
              <w:tc>
                <w:tcPr>
                  <w:tcW w:w="477" w:type="pct"/>
                  <w:tcBorders>
                    <w:tl2br w:val="nil"/>
                    <w:tr2bl w:val="nil"/>
                  </w:tcBorders>
                  <w:noWrap w:val="0"/>
                  <w:vAlign w:val="center"/>
                </w:tcPr>
                <w:p w14:paraId="7562CAC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686" w:type="pct"/>
                  <w:tcBorders>
                    <w:tl2br w:val="nil"/>
                    <w:tr2bl w:val="nil"/>
                  </w:tcBorders>
                  <w:noWrap w:val="0"/>
                  <w:vAlign w:val="center"/>
                </w:tcPr>
                <w:p w14:paraId="1A2E6E7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687" w:type="pct"/>
                  <w:tcBorders>
                    <w:tl2br w:val="nil"/>
                    <w:tr2bl w:val="nil"/>
                  </w:tcBorders>
                  <w:noWrap w:val="0"/>
                  <w:vAlign w:val="center"/>
                </w:tcPr>
                <w:p w14:paraId="2301CAE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696" w:type="pct"/>
                  <w:tcBorders>
                    <w:tl2br w:val="nil"/>
                    <w:tr2bl w:val="nil"/>
                  </w:tcBorders>
                  <w:noWrap w:val="0"/>
                  <w:vAlign w:val="center"/>
                </w:tcPr>
                <w:p w14:paraId="3F87564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r>
            <w:tr w14:paraId="5120C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007D4C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522" w:type="pct"/>
                  <w:tcBorders>
                    <w:tl2br w:val="nil"/>
                    <w:tr2bl w:val="nil"/>
                  </w:tcBorders>
                  <w:noWrap w:val="0"/>
                  <w:vAlign w:val="center"/>
                </w:tcPr>
                <w:p w14:paraId="20013AB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1192" w:type="pct"/>
                  <w:tcBorders>
                    <w:tl2br w:val="nil"/>
                    <w:tr2bl w:val="nil"/>
                  </w:tcBorders>
                  <w:noWrap w:val="0"/>
                  <w:vAlign w:val="center"/>
                </w:tcPr>
                <w:p w14:paraId="28EC8AF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旋风除尘器</w:t>
                  </w:r>
                </w:p>
              </w:tc>
              <w:tc>
                <w:tcPr>
                  <w:tcW w:w="475" w:type="pct"/>
                  <w:tcBorders>
                    <w:tl2br w:val="nil"/>
                    <w:tr2bl w:val="nil"/>
                  </w:tcBorders>
                  <w:noWrap w:val="0"/>
                  <w:vAlign w:val="center"/>
                </w:tcPr>
                <w:p w14:paraId="4C53BC99">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二级活性炭</w:t>
                  </w:r>
                </w:p>
              </w:tc>
              <w:tc>
                <w:tcPr>
                  <w:tcW w:w="477" w:type="pct"/>
                  <w:tcBorders>
                    <w:tl2br w:val="nil"/>
                    <w:tr2bl w:val="nil"/>
                  </w:tcBorders>
                  <w:noWrap w:val="0"/>
                  <w:vAlign w:val="center"/>
                </w:tcPr>
                <w:p w14:paraId="09EB135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6" w:type="pct"/>
                  <w:tcBorders>
                    <w:tl2br w:val="nil"/>
                    <w:tr2bl w:val="nil"/>
                  </w:tcBorders>
                  <w:noWrap w:val="0"/>
                  <w:vAlign w:val="center"/>
                </w:tcPr>
                <w:p w14:paraId="0CFB2A48">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687" w:type="pct"/>
                  <w:tcBorders>
                    <w:tl2br w:val="nil"/>
                    <w:tr2bl w:val="nil"/>
                  </w:tcBorders>
                  <w:noWrap w:val="0"/>
                  <w:vAlign w:val="center"/>
                </w:tcPr>
                <w:p w14:paraId="5DA56EA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96" w:type="pct"/>
                  <w:tcBorders>
                    <w:tl2br w:val="nil"/>
                    <w:tr2bl w:val="nil"/>
                  </w:tcBorders>
                  <w:noWrap w:val="0"/>
                  <w:vAlign w:val="center"/>
                </w:tcPr>
                <w:p w14:paraId="7A28168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低氮燃烧</w:t>
                  </w:r>
                </w:p>
              </w:tc>
            </w:tr>
            <w:tr w14:paraId="62D9E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4C0A54F6">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38AD046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收集效率%</w:t>
                  </w:r>
                </w:p>
              </w:tc>
              <w:tc>
                <w:tcPr>
                  <w:tcW w:w="1192" w:type="pct"/>
                  <w:tcBorders>
                    <w:tl2br w:val="nil"/>
                    <w:tr2bl w:val="nil"/>
                  </w:tcBorders>
                  <w:noWrap w:val="0"/>
                  <w:vAlign w:val="center"/>
                </w:tcPr>
                <w:p w14:paraId="37DCA936">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475" w:type="pct"/>
                  <w:tcBorders>
                    <w:tl2br w:val="nil"/>
                    <w:tr2bl w:val="nil"/>
                  </w:tcBorders>
                  <w:noWrap w:val="0"/>
                  <w:vAlign w:val="center"/>
                </w:tcPr>
                <w:p w14:paraId="742305F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85</w:t>
                  </w:r>
                </w:p>
              </w:tc>
              <w:tc>
                <w:tcPr>
                  <w:tcW w:w="477" w:type="pct"/>
                  <w:tcBorders>
                    <w:tl2br w:val="nil"/>
                    <w:tr2bl w:val="nil"/>
                  </w:tcBorders>
                  <w:noWrap w:val="0"/>
                  <w:vAlign w:val="center"/>
                </w:tcPr>
                <w:p w14:paraId="3EB4A7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6" w:type="pct"/>
                  <w:tcBorders>
                    <w:tl2br w:val="nil"/>
                    <w:tr2bl w:val="nil"/>
                  </w:tcBorders>
                  <w:noWrap w:val="0"/>
                  <w:vAlign w:val="center"/>
                </w:tcPr>
                <w:p w14:paraId="78F382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7" w:type="pct"/>
                  <w:tcBorders>
                    <w:tl2br w:val="nil"/>
                    <w:tr2bl w:val="nil"/>
                  </w:tcBorders>
                  <w:noWrap w:val="0"/>
                  <w:vAlign w:val="center"/>
                </w:tcPr>
                <w:p w14:paraId="0335880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96" w:type="pct"/>
                  <w:tcBorders>
                    <w:tl2br w:val="nil"/>
                    <w:tr2bl w:val="nil"/>
                  </w:tcBorders>
                  <w:noWrap w:val="0"/>
                  <w:vAlign w:val="center"/>
                </w:tcPr>
                <w:p w14:paraId="60E4B515">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7D376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7FAD707F">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695409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192" w:type="pct"/>
                  <w:tcBorders>
                    <w:tl2br w:val="nil"/>
                    <w:tr2bl w:val="nil"/>
                  </w:tcBorders>
                  <w:noWrap w:val="0"/>
                  <w:vAlign w:val="center"/>
                </w:tcPr>
                <w:p w14:paraId="257E226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w:t>
                  </w:r>
                </w:p>
              </w:tc>
              <w:tc>
                <w:tcPr>
                  <w:tcW w:w="475" w:type="pct"/>
                  <w:tcBorders>
                    <w:tl2br w:val="nil"/>
                    <w:tr2bl w:val="nil"/>
                  </w:tcBorders>
                  <w:noWrap w:val="0"/>
                  <w:vAlign w:val="center"/>
                </w:tcPr>
                <w:p w14:paraId="50BD018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477" w:type="pct"/>
                  <w:tcBorders>
                    <w:tl2br w:val="nil"/>
                    <w:tr2bl w:val="nil"/>
                  </w:tcBorders>
                  <w:noWrap w:val="0"/>
                  <w:vAlign w:val="center"/>
                </w:tcPr>
                <w:p w14:paraId="2F0C4C9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6" w:type="pct"/>
                  <w:tcBorders>
                    <w:tl2br w:val="nil"/>
                    <w:tr2bl w:val="nil"/>
                  </w:tcBorders>
                  <w:noWrap w:val="0"/>
                  <w:vAlign w:val="center"/>
                </w:tcPr>
                <w:p w14:paraId="6957597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7" w:type="pct"/>
                  <w:tcBorders>
                    <w:tl2br w:val="nil"/>
                    <w:tr2bl w:val="nil"/>
                  </w:tcBorders>
                  <w:noWrap w:val="0"/>
                  <w:vAlign w:val="center"/>
                </w:tcPr>
                <w:p w14:paraId="19844104">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96" w:type="pct"/>
                  <w:tcBorders>
                    <w:tl2br w:val="nil"/>
                    <w:tr2bl w:val="nil"/>
                  </w:tcBorders>
                  <w:noWrap w:val="0"/>
                  <w:vAlign w:val="center"/>
                </w:tcPr>
                <w:p w14:paraId="47014E6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r>
            <w:tr w14:paraId="66C70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497D7334">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7385AF7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1192" w:type="pct"/>
                  <w:tcBorders>
                    <w:tl2br w:val="nil"/>
                    <w:tr2bl w:val="nil"/>
                  </w:tcBorders>
                  <w:noWrap w:val="0"/>
                  <w:vAlign w:val="center"/>
                </w:tcPr>
                <w:p w14:paraId="1EC56C0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是</w:t>
                  </w:r>
                </w:p>
              </w:tc>
              <w:tc>
                <w:tcPr>
                  <w:tcW w:w="475" w:type="pct"/>
                  <w:tcBorders>
                    <w:tl2br w:val="nil"/>
                    <w:tr2bl w:val="nil"/>
                  </w:tcBorders>
                  <w:noWrap w:val="0"/>
                  <w:vAlign w:val="center"/>
                </w:tcPr>
                <w:p w14:paraId="689D15D7">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c>
                <w:tcPr>
                  <w:tcW w:w="477" w:type="pct"/>
                  <w:tcBorders>
                    <w:tl2br w:val="nil"/>
                    <w:tr2bl w:val="nil"/>
                  </w:tcBorders>
                  <w:noWrap w:val="0"/>
                  <w:vAlign w:val="center"/>
                </w:tcPr>
                <w:p w14:paraId="54E3073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6" w:type="pct"/>
                  <w:tcBorders>
                    <w:tl2br w:val="nil"/>
                    <w:tr2bl w:val="nil"/>
                  </w:tcBorders>
                  <w:noWrap w:val="0"/>
                  <w:vAlign w:val="center"/>
                </w:tcPr>
                <w:p w14:paraId="5769F92E">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687" w:type="pct"/>
                  <w:tcBorders>
                    <w:tl2br w:val="nil"/>
                    <w:tr2bl w:val="nil"/>
                  </w:tcBorders>
                  <w:noWrap w:val="0"/>
                  <w:vAlign w:val="center"/>
                </w:tcPr>
                <w:p w14:paraId="69A85B4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96" w:type="pct"/>
                  <w:tcBorders>
                    <w:tl2br w:val="nil"/>
                    <w:tr2bl w:val="nil"/>
                  </w:tcBorders>
                  <w:noWrap w:val="0"/>
                  <w:vAlign w:val="center"/>
                </w:tcPr>
                <w:p w14:paraId="008BF19D">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是</w:t>
                  </w:r>
                </w:p>
              </w:tc>
            </w:tr>
            <w:tr w14:paraId="32C22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103EEBA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92" w:type="pct"/>
                  <w:tcBorders>
                    <w:tl2br w:val="nil"/>
                    <w:tr2bl w:val="nil"/>
                  </w:tcBorders>
                  <w:noWrap w:val="0"/>
                  <w:vAlign w:val="center"/>
                </w:tcPr>
                <w:p w14:paraId="08F5B4A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475" w:type="pct"/>
                  <w:tcBorders>
                    <w:tl2br w:val="nil"/>
                    <w:tr2bl w:val="nil"/>
                  </w:tcBorders>
                  <w:noWrap w:val="0"/>
                  <w:vAlign w:val="center"/>
                </w:tcPr>
                <w:p w14:paraId="78A9DC6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w:t>
                  </w:r>
                </w:p>
              </w:tc>
              <w:tc>
                <w:tcPr>
                  <w:tcW w:w="477" w:type="pct"/>
                  <w:tcBorders>
                    <w:tl2br w:val="nil"/>
                    <w:tr2bl w:val="nil"/>
                  </w:tcBorders>
                  <w:noWrap w:val="0"/>
                  <w:vAlign w:val="center"/>
                </w:tcPr>
                <w:p w14:paraId="6098146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86" w:type="pct"/>
                  <w:tcBorders>
                    <w:tl2br w:val="nil"/>
                    <w:tr2bl w:val="nil"/>
                  </w:tcBorders>
                  <w:noWrap w:val="0"/>
                  <w:vAlign w:val="center"/>
                </w:tcPr>
                <w:p w14:paraId="15A5528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20.73</w:t>
                  </w:r>
                </w:p>
              </w:tc>
              <w:tc>
                <w:tcPr>
                  <w:tcW w:w="687" w:type="pct"/>
                  <w:tcBorders>
                    <w:tl2br w:val="nil"/>
                    <w:tr2bl w:val="nil"/>
                  </w:tcBorders>
                  <w:noWrap w:val="0"/>
                  <w:vAlign w:val="center"/>
                </w:tcPr>
                <w:p w14:paraId="56AFAA7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2.93</w:t>
                  </w:r>
                </w:p>
              </w:tc>
              <w:tc>
                <w:tcPr>
                  <w:tcW w:w="696" w:type="pct"/>
                  <w:tcBorders>
                    <w:tl2br w:val="nil"/>
                    <w:tr2bl w:val="nil"/>
                  </w:tcBorders>
                  <w:noWrap w:val="0"/>
                  <w:vAlign w:val="center"/>
                </w:tcPr>
                <w:p w14:paraId="46E243A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136.59</w:t>
                  </w:r>
                </w:p>
              </w:tc>
            </w:tr>
            <w:tr w14:paraId="7A1BA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6A50B81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污染物排放速率（kg/h）</w:t>
                  </w:r>
                </w:p>
              </w:tc>
              <w:tc>
                <w:tcPr>
                  <w:tcW w:w="1192" w:type="pct"/>
                  <w:tcBorders>
                    <w:tl2br w:val="nil"/>
                    <w:tr2bl w:val="nil"/>
                  </w:tcBorders>
                  <w:noWrap w:val="0"/>
                  <w:vAlign w:val="center"/>
                </w:tcPr>
                <w:p w14:paraId="2BC5B960">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08</w:t>
                  </w:r>
                </w:p>
              </w:tc>
              <w:tc>
                <w:tcPr>
                  <w:tcW w:w="475" w:type="pct"/>
                  <w:tcBorders>
                    <w:tl2br w:val="nil"/>
                    <w:tr2bl w:val="nil"/>
                  </w:tcBorders>
                  <w:noWrap w:val="0"/>
                  <w:vAlign w:val="center"/>
                </w:tcPr>
                <w:p w14:paraId="1019B8C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w:t>
                  </w:r>
                  <w:r>
                    <w:rPr>
                      <w:rFonts w:hint="eastAsia" w:cs="Times New Roman"/>
                      <w:color w:val="auto"/>
                      <w:szCs w:val="21"/>
                      <w:lang w:val="en-US" w:eastAsia="zh-CN"/>
                    </w:rPr>
                    <w:t>1</w:t>
                  </w:r>
                </w:p>
              </w:tc>
              <w:tc>
                <w:tcPr>
                  <w:tcW w:w="477" w:type="pct"/>
                  <w:tcBorders>
                    <w:tl2br w:val="nil"/>
                    <w:tr2bl w:val="nil"/>
                  </w:tcBorders>
                  <w:noWrap w:val="0"/>
                  <w:vAlign w:val="center"/>
                </w:tcPr>
                <w:p w14:paraId="1A58E48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w:t>
                  </w:r>
                </w:p>
              </w:tc>
              <w:tc>
                <w:tcPr>
                  <w:tcW w:w="686" w:type="pct"/>
                  <w:tcBorders>
                    <w:tl2br w:val="nil"/>
                    <w:tr2bl w:val="nil"/>
                  </w:tcBorders>
                  <w:noWrap w:val="0"/>
                  <w:vAlign w:val="center"/>
                </w:tcPr>
                <w:p w14:paraId="2FA2378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0.011</w:t>
                  </w:r>
                </w:p>
              </w:tc>
              <w:tc>
                <w:tcPr>
                  <w:tcW w:w="687" w:type="pct"/>
                  <w:tcBorders>
                    <w:tl2br w:val="nil"/>
                    <w:tr2bl w:val="nil"/>
                  </w:tcBorders>
                  <w:noWrap w:val="0"/>
                  <w:vAlign w:val="center"/>
                </w:tcPr>
                <w:p w14:paraId="70457D4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0.0016</w:t>
                  </w:r>
                </w:p>
              </w:tc>
              <w:tc>
                <w:tcPr>
                  <w:tcW w:w="696" w:type="pct"/>
                  <w:tcBorders>
                    <w:tl2br w:val="nil"/>
                    <w:tr2bl w:val="nil"/>
                  </w:tcBorders>
                  <w:noWrap w:val="0"/>
                  <w:vAlign w:val="center"/>
                </w:tcPr>
                <w:p w14:paraId="25F9953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0.075</w:t>
                  </w:r>
                </w:p>
              </w:tc>
            </w:tr>
            <w:tr w14:paraId="7248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7515D0B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污染物排放量（t/a）</w:t>
                  </w:r>
                </w:p>
              </w:tc>
              <w:tc>
                <w:tcPr>
                  <w:tcW w:w="1192" w:type="pct"/>
                  <w:tcBorders>
                    <w:tl2br w:val="nil"/>
                    <w:tr2bl w:val="nil"/>
                  </w:tcBorders>
                  <w:noWrap w:val="0"/>
                  <w:vAlign w:val="center"/>
                </w:tcPr>
                <w:p w14:paraId="005115F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w:t>
                  </w:r>
                </w:p>
              </w:tc>
              <w:tc>
                <w:tcPr>
                  <w:tcW w:w="475" w:type="pct"/>
                  <w:tcBorders>
                    <w:tl2br w:val="nil"/>
                    <w:tr2bl w:val="nil"/>
                  </w:tcBorders>
                  <w:noWrap w:val="0"/>
                  <w:vAlign w:val="center"/>
                </w:tcPr>
                <w:p w14:paraId="3227CBE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477" w:type="pct"/>
                  <w:tcBorders>
                    <w:tl2br w:val="nil"/>
                    <w:tr2bl w:val="nil"/>
                  </w:tcBorders>
                  <w:noWrap w:val="0"/>
                  <w:vAlign w:val="center"/>
                </w:tcPr>
                <w:p w14:paraId="5425614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0.06</w:t>
                  </w:r>
                </w:p>
              </w:tc>
              <w:tc>
                <w:tcPr>
                  <w:tcW w:w="686" w:type="pct"/>
                  <w:tcBorders>
                    <w:tl2br w:val="nil"/>
                    <w:tr2bl w:val="nil"/>
                  </w:tcBorders>
                  <w:noWrap w:val="0"/>
                  <w:vAlign w:val="center"/>
                </w:tcPr>
                <w:p w14:paraId="6020ADD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0.017</w:t>
                  </w:r>
                </w:p>
              </w:tc>
              <w:tc>
                <w:tcPr>
                  <w:tcW w:w="687" w:type="pct"/>
                  <w:tcBorders>
                    <w:tl2br w:val="nil"/>
                    <w:tr2bl w:val="nil"/>
                  </w:tcBorders>
                  <w:noWrap w:val="0"/>
                  <w:vAlign w:val="center"/>
                </w:tcPr>
                <w:p w14:paraId="38A1742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0.0024</w:t>
                  </w:r>
                </w:p>
              </w:tc>
              <w:tc>
                <w:tcPr>
                  <w:tcW w:w="696" w:type="pct"/>
                  <w:tcBorders>
                    <w:tl2br w:val="nil"/>
                    <w:tr2bl w:val="nil"/>
                  </w:tcBorders>
                  <w:noWrap w:val="0"/>
                  <w:vAlign w:val="center"/>
                </w:tcPr>
                <w:p w14:paraId="2BD42FA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0.112</w:t>
                  </w:r>
                </w:p>
              </w:tc>
            </w:tr>
            <w:tr w14:paraId="397C9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04C1E6F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排放口基本信息</w:t>
                  </w:r>
                </w:p>
              </w:tc>
              <w:tc>
                <w:tcPr>
                  <w:tcW w:w="522" w:type="pct"/>
                  <w:tcBorders>
                    <w:tl2br w:val="nil"/>
                    <w:tr2bl w:val="nil"/>
                  </w:tcBorders>
                  <w:noWrap w:val="0"/>
                  <w:vAlign w:val="center"/>
                </w:tcPr>
                <w:p w14:paraId="06CD155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高度（m）</w:t>
                  </w:r>
                </w:p>
              </w:tc>
              <w:tc>
                <w:tcPr>
                  <w:tcW w:w="1192" w:type="pct"/>
                  <w:tcBorders>
                    <w:tl2br w:val="nil"/>
                    <w:tr2bl w:val="nil"/>
                  </w:tcBorders>
                  <w:noWrap w:val="0"/>
                  <w:vAlign w:val="center"/>
                </w:tcPr>
                <w:p w14:paraId="1ADBDAED">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022" w:type="pct"/>
                  <w:gridSpan w:val="5"/>
                  <w:tcBorders>
                    <w:tl2br w:val="nil"/>
                    <w:tr2bl w:val="nil"/>
                  </w:tcBorders>
                  <w:noWrap w:val="0"/>
                  <w:vAlign w:val="center"/>
                </w:tcPr>
                <w:p w14:paraId="7D9C3EE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r>
            <w:tr w14:paraId="39C8D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77F8DC40">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380573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排气筒内径（m）</w:t>
                  </w:r>
                </w:p>
              </w:tc>
              <w:tc>
                <w:tcPr>
                  <w:tcW w:w="1192" w:type="pct"/>
                  <w:tcBorders>
                    <w:tl2br w:val="nil"/>
                    <w:tr2bl w:val="nil"/>
                  </w:tcBorders>
                  <w:noWrap w:val="0"/>
                  <w:vAlign w:val="center"/>
                </w:tcPr>
                <w:p w14:paraId="17D1D6B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022" w:type="pct"/>
                  <w:gridSpan w:val="5"/>
                  <w:tcBorders>
                    <w:tl2br w:val="nil"/>
                    <w:tr2bl w:val="nil"/>
                  </w:tcBorders>
                  <w:noWrap w:val="0"/>
                  <w:vAlign w:val="center"/>
                </w:tcPr>
                <w:p w14:paraId="4988475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0.45</w:t>
                  </w:r>
                </w:p>
              </w:tc>
            </w:tr>
            <w:tr w14:paraId="7D7E2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7726F66B">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5458814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tc>
              <w:tc>
                <w:tcPr>
                  <w:tcW w:w="1192" w:type="pct"/>
                  <w:tcBorders>
                    <w:tl2br w:val="nil"/>
                    <w:tr2bl w:val="nil"/>
                  </w:tcBorders>
                  <w:noWrap w:val="0"/>
                  <w:vAlign w:val="center"/>
                </w:tcPr>
                <w:p w14:paraId="0E58063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3022" w:type="pct"/>
                  <w:gridSpan w:val="5"/>
                  <w:tcBorders>
                    <w:tl2br w:val="nil"/>
                    <w:tr2bl w:val="nil"/>
                  </w:tcBorders>
                  <w:noWrap w:val="0"/>
                  <w:vAlign w:val="center"/>
                </w:tcPr>
                <w:p w14:paraId="72B1D7A2">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4C7B4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08A4016E">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0346FED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编号及名称</w:t>
                  </w:r>
                </w:p>
              </w:tc>
              <w:tc>
                <w:tcPr>
                  <w:tcW w:w="1192" w:type="pct"/>
                  <w:tcBorders>
                    <w:tl2br w:val="nil"/>
                    <w:tr2bl w:val="nil"/>
                  </w:tcBorders>
                  <w:noWrap w:val="0"/>
                  <w:vAlign w:val="center"/>
                </w:tcPr>
                <w:p w14:paraId="397A29D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022" w:type="pct"/>
                  <w:gridSpan w:val="5"/>
                  <w:tcBorders>
                    <w:tl2br w:val="nil"/>
                    <w:tr2bl w:val="nil"/>
                  </w:tcBorders>
                  <w:noWrap w:val="0"/>
                  <w:vAlign w:val="center"/>
                </w:tcPr>
                <w:p w14:paraId="0B4ABC8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r>
            <w:tr w14:paraId="2041A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39798219">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5F1491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w:t>
                  </w:r>
                </w:p>
                <w:p w14:paraId="00E8888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坐标（°）</w:t>
                  </w:r>
                </w:p>
              </w:tc>
              <w:tc>
                <w:tcPr>
                  <w:tcW w:w="1192" w:type="pct"/>
                  <w:tcBorders>
                    <w:tl2br w:val="nil"/>
                    <w:tr2bl w:val="nil"/>
                  </w:tcBorders>
                  <w:noWrap w:val="0"/>
                  <w:vAlign w:val="center"/>
                </w:tcPr>
                <w:p w14:paraId="4357A370">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w:t>
                  </w:r>
                </w:p>
              </w:tc>
              <w:tc>
                <w:tcPr>
                  <w:tcW w:w="3022" w:type="pct"/>
                  <w:gridSpan w:val="5"/>
                  <w:tcBorders>
                    <w:tl2br w:val="nil"/>
                    <w:tr2bl w:val="nil"/>
                  </w:tcBorders>
                  <w:noWrap w:val="0"/>
                  <w:vAlign w:val="center"/>
                </w:tcPr>
                <w:p w14:paraId="5192B884">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东经</w:t>
                  </w:r>
                  <w:r>
                    <w:rPr>
                      <w:rFonts w:hint="eastAsia" w:ascii="Times New Roman" w:hAnsi="Times New Roman" w:eastAsia="宋体" w:cs="Times New Roman"/>
                      <w:color w:val="auto"/>
                      <w:sz w:val="21"/>
                      <w:szCs w:val="21"/>
                      <w:lang w:val="en-US" w:eastAsia="zh-CN"/>
                    </w:rPr>
                    <w:t>107.425620122</w:t>
                  </w:r>
                  <w:r>
                    <w:rPr>
                      <w:rFonts w:hint="eastAsia" w:cs="Times New Roman"/>
                      <w:color w:val="auto"/>
                      <w:sz w:val="21"/>
                      <w:szCs w:val="21"/>
                      <w:lang w:val="en-US" w:eastAsia="zh-CN"/>
                    </w:rPr>
                    <w:t>，北纬</w:t>
                  </w:r>
                  <w:r>
                    <w:rPr>
                      <w:rFonts w:hint="eastAsia" w:ascii="Times New Roman" w:hAnsi="Times New Roman" w:eastAsia="宋体" w:cs="Times New Roman"/>
                      <w:color w:val="auto"/>
                      <w:sz w:val="21"/>
                      <w:szCs w:val="21"/>
                      <w:lang w:val="en-US" w:eastAsia="zh-CN"/>
                    </w:rPr>
                    <w:t>34.350869421</w:t>
                  </w:r>
                </w:p>
              </w:tc>
            </w:tr>
            <w:tr w14:paraId="5153C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gridSpan w:val="2"/>
                  <w:tcBorders>
                    <w:tl2br w:val="nil"/>
                    <w:tr2bl w:val="nil"/>
                  </w:tcBorders>
                  <w:noWrap w:val="0"/>
                  <w:vAlign w:val="center"/>
                </w:tcPr>
                <w:p w14:paraId="59E3A61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c>
                <w:tcPr>
                  <w:tcW w:w="1192" w:type="pct"/>
                  <w:tcBorders>
                    <w:tl2br w:val="nil"/>
                    <w:tr2bl w:val="nil"/>
                  </w:tcBorders>
                  <w:noWrap w:val="0"/>
                  <w:vAlign w:val="center"/>
                </w:tcPr>
                <w:p w14:paraId="7DAAF6AA">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《大气污染物综合排放标准》（GB16297-1996）</w:t>
                  </w:r>
                  <w:r>
                    <w:rPr>
                      <w:rFonts w:hint="eastAsia" w:cs="Times New Roman"/>
                      <w:color w:val="auto"/>
                      <w:szCs w:val="21"/>
                      <w:lang w:val="en-US" w:eastAsia="zh-CN"/>
                    </w:rPr>
                    <w:t>无组织（</w:t>
                  </w:r>
                  <w:r>
                    <w:rPr>
                      <w:rFonts w:hint="eastAsia" w:ascii="Times New Roman" w:hAnsi="Times New Roman" w:eastAsia="宋体" w:cs="Times New Roman"/>
                      <w:color w:val="auto"/>
                      <w:sz w:val="21"/>
                      <w:szCs w:val="21"/>
                      <w:lang w:val="en-US" w:eastAsia="zh-CN"/>
                    </w:rPr>
                    <w:t>排放浓度</w:t>
                  </w:r>
                  <w:r>
                    <w:rPr>
                      <w:rFonts w:hint="eastAsia" w:cs="Times New Roman"/>
                      <w:b w:val="0"/>
                      <w:bCs/>
                      <w:color w:val="auto"/>
                      <w:sz w:val="21"/>
                      <w:szCs w:val="21"/>
                      <w:lang w:val="en-US" w:eastAsia="zh-CN"/>
                    </w:rPr>
                    <w:t>1.0mg/m</w:t>
                  </w:r>
                  <w:r>
                    <w:rPr>
                      <w:rFonts w:hint="eastAsia" w:cs="Times New Roman"/>
                      <w:b w:val="0"/>
                      <w:bCs/>
                      <w:color w:val="auto"/>
                      <w:sz w:val="21"/>
                      <w:szCs w:val="21"/>
                      <w:vertAlign w:val="superscript"/>
                      <w:lang w:val="en-US" w:eastAsia="zh-CN"/>
                    </w:rPr>
                    <w:t>3</w:t>
                  </w:r>
                  <w:r>
                    <w:rPr>
                      <w:rFonts w:hint="eastAsia" w:cs="Times New Roman"/>
                      <w:color w:val="auto"/>
                      <w:szCs w:val="21"/>
                      <w:lang w:val="en-US" w:eastAsia="zh-CN"/>
                    </w:rPr>
                    <w:t>）</w:t>
                  </w:r>
                </w:p>
              </w:tc>
              <w:tc>
                <w:tcPr>
                  <w:tcW w:w="953" w:type="pct"/>
                  <w:gridSpan w:val="2"/>
                  <w:tcBorders>
                    <w:tl2br w:val="nil"/>
                    <w:tr2bl w:val="nil"/>
                  </w:tcBorders>
                  <w:noWrap w:val="0"/>
                  <w:vAlign w:val="center"/>
                </w:tcPr>
                <w:p w14:paraId="075288C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有组织需满足</w:t>
                  </w:r>
                  <w:r>
                    <w:rPr>
                      <w:rFonts w:hint="default" w:ascii="Times New Roman" w:hAnsi="Times New Roman" w:eastAsia="宋体" w:cs="Times New Roman"/>
                      <w:color w:val="auto"/>
                      <w:szCs w:val="21"/>
                    </w:rPr>
                    <w:t>《挥发性有机物排放控制标准》（DB61/T1061-2017）（排放浓度为50mg/m3），同时需满足《重污染天气重点行业应急减排措施制定技术指南》（环办大气函</w:t>
                  </w:r>
                  <w:r>
                    <w:rPr>
                      <w:rFonts w:hint="eastAsia" w:cs="Times New Roman"/>
                      <w:color w:val="auto"/>
                      <w:szCs w:val="21"/>
                      <w:lang w:eastAsia="zh-CN"/>
                    </w:rPr>
                    <w:t>〔2020〕</w:t>
                  </w:r>
                  <w:r>
                    <w:rPr>
                      <w:rFonts w:hint="default" w:ascii="Times New Roman" w:hAnsi="Times New Roman" w:eastAsia="宋体" w:cs="Times New Roman"/>
                      <w:color w:val="auto"/>
                      <w:szCs w:val="21"/>
                    </w:rPr>
                    <w:t>（340）号）中工业涂装A级企业“排放限值”要求（20mg/m3—30mg/m3）</w:t>
                  </w:r>
                  <w:r>
                    <w:rPr>
                      <w:rFonts w:hint="eastAsia" w:cs="Times New Roman"/>
                      <w:color w:val="auto"/>
                      <w:szCs w:val="21"/>
                      <w:lang w:eastAsia="zh-CN"/>
                    </w:rPr>
                    <w:t>；</w:t>
                  </w:r>
                  <w:r>
                    <w:rPr>
                      <w:rFonts w:hint="eastAsia" w:cs="Times New Roman"/>
                      <w:color w:val="auto"/>
                      <w:szCs w:val="21"/>
                      <w:lang w:val="en-US" w:eastAsia="zh-CN"/>
                    </w:rPr>
                    <w:t>无组织需满足</w:t>
                  </w: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c>
                <w:tcPr>
                  <w:tcW w:w="2069" w:type="pct"/>
                  <w:gridSpan w:val="3"/>
                  <w:tcBorders>
                    <w:tl2br w:val="nil"/>
                    <w:tr2bl w:val="nil"/>
                  </w:tcBorders>
                  <w:noWrap w:val="0"/>
                  <w:vAlign w:val="center"/>
                </w:tcPr>
                <w:p w14:paraId="200B1A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排放浓度</w:t>
                  </w:r>
                  <w:r>
                    <w:rPr>
                      <w:rFonts w:hint="eastAsia" w:ascii="Times New Roman" w:hAnsi="Times New Roman" w:cs="Times New Roman"/>
                      <w:color w:val="auto"/>
                      <w:sz w:val="21"/>
                      <w:szCs w:val="21"/>
                      <w:lang w:val="en-US" w:eastAsia="zh-CN"/>
                    </w:rPr>
                    <w:t>为30mg/m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200mg/m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，NOx</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300mg/m</w:t>
                  </w:r>
                  <w:r>
                    <w:rPr>
                      <w:rFonts w:hint="eastAsia" w:ascii="Times New Roman" w:hAnsi="Times New Roman" w:eastAsia="宋体" w:cs="Times New Roman"/>
                      <w:bCs/>
                      <w:color w:val="auto"/>
                      <w:kern w:val="0"/>
                      <w:sz w:val="21"/>
                      <w:szCs w:val="21"/>
                      <w:lang w:val="en-US" w:eastAsia="zh-CN"/>
                    </w:rPr>
                    <w:t>）</w:t>
                  </w:r>
                  <w:r>
                    <w:rPr>
                      <w:rFonts w:hint="eastAsia" w:cs="Times New Roman"/>
                      <w:bCs/>
                      <w:color w:val="auto"/>
                      <w:kern w:val="0"/>
                      <w:sz w:val="21"/>
                      <w:szCs w:val="21"/>
                      <w:lang w:val="en-US" w:eastAsia="zh-CN"/>
                    </w:rPr>
                    <w:t>；林格曼黑度需满足</w:t>
                  </w:r>
                  <w:r>
                    <w:rPr>
                      <w:rFonts w:hint="default" w:ascii="Times New Roman" w:hAnsi="Times New Roman" w:eastAsia="宋体" w:cs="Times New Roman"/>
                      <w:color w:val="auto"/>
                      <w:szCs w:val="21"/>
                    </w:rPr>
                    <w:t>《工业窑炉大气污染物排放标准（GB9078-1996）表2二级排放标准限值要求</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 w:val="21"/>
                      <w:szCs w:val="21"/>
                      <w:lang w:val="en-US" w:eastAsia="zh-CN"/>
                    </w:rPr>
                    <w:t>林格曼黑度</w:t>
                  </w:r>
                  <w:r>
                    <w:rPr>
                      <w:rFonts w:hint="default"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Cs w:val="21"/>
                      <w:lang w:eastAsia="zh-CN"/>
                    </w:rPr>
                    <w:t>）</w:t>
                  </w:r>
                </w:p>
              </w:tc>
            </w:tr>
            <w:tr w14:paraId="7BA6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48D6037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6CB8FBE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要求</w:t>
                  </w:r>
                </w:p>
              </w:tc>
              <w:tc>
                <w:tcPr>
                  <w:tcW w:w="522" w:type="pct"/>
                  <w:tcBorders>
                    <w:tl2br w:val="nil"/>
                    <w:tr2bl w:val="nil"/>
                  </w:tcBorders>
                  <w:noWrap w:val="0"/>
                  <w:vAlign w:val="center"/>
                </w:tcPr>
                <w:p w14:paraId="0F11D21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71B94E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4215" w:type="pct"/>
                  <w:gridSpan w:val="6"/>
                  <w:tcBorders>
                    <w:tl2br w:val="nil"/>
                    <w:tr2bl w:val="nil"/>
                  </w:tcBorders>
                  <w:noWrap w:val="0"/>
                  <w:vAlign w:val="center"/>
                </w:tcPr>
                <w:p w14:paraId="1B63D65D">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有组织：</w:t>
                  </w: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eastAsia" w:cs="Times New Roman"/>
                      <w:color w:val="auto"/>
                      <w:szCs w:val="21"/>
                      <w:lang w:val="en-US" w:eastAsia="zh-CN"/>
                    </w:rPr>
                    <w:t>进</w:t>
                  </w:r>
                  <w:r>
                    <w:rPr>
                      <w:rFonts w:hint="default" w:ascii="Times New Roman" w:hAnsi="Times New Roman" w:eastAsia="宋体" w:cs="Times New Roman"/>
                      <w:color w:val="auto"/>
                      <w:szCs w:val="21"/>
                    </w:rPr>
                    <w:t>出口</w:t>
                  </w:r>
                  <w:r>
                    <w:rPr>
                      <w:rFonts w:hint="eastAsia" w:cs="Times New Roman"/>
                      <w:color w:val="auto"/>
                      <w:szCs w:val="21"/>
                      <w:lang w:eastAsia="zh-CN"/>
                    </w:rPr>
                    <w:t>（</w:t>
                  </w:r>
                  <w:r>
                    <w:rPr>
                      <w:rFonts w:hint="eastAsia" w:cs="Times New Roman"/>
                      <w:color w:val="auto"/>
                      <w:szCs w:val="21"/>
                      <w:lang w:val="en-US" w:eastAsia="zh-CN"/>
                    </w:rPr>
                    <w:t>非甲烷总烃、颗粒物、二氧化硫、氮氧化物、林格曼黑度</w:t>
                  </w:r>
                  <w:r>
                    <w:rPr>
                      <w:rFonts w:hint="eastAsia" w:cs="Times New Roman"/>
                      <w:color w:val="auto"/>
                      <w:szCs w:val="21"/>
                      <w:lang w:eastAsia="zh-CN"/>
                    </w:rPr>
                    <w:t>）</w:t>
                  </w:r>
                </w:p>
                <w:p w14:paraId="21207B7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无组织：</w:t>
                  </w:r>
                  <w:r>
                    <w:rPr>
                      <w:rFonts w:hint="eastAsia" w:cs="Times New Roman"/>
                      <w:color w:val="auto"/>
                      <w:szCs w:val="21"/>
                      <w:lang w:val="en-US" w:eastAsia="zh-CN"/>
                    </w:rPr>
                    <w:t>颗粒物、非甲烷总烃在</w:t>
                  </w:r>
                  <w:r>
                    <w:rPr>
                      <w:rFonts w:hint="default" w:ascii="Times New Roman" w:hAnsi="Times New Roman" w:eastAsia="宋体" w:cs="Times New Roman"/>
                      <w:color w:val="auto"/>
                      <w:szCs w:val="21"/>
                    </w:rPr>
                    <w:t>厂界上风向1处，下风向3处</w:t>
                  </w:r>
                  <w:r>
                    <w:rPr>
                      <w:rFonts w:hint="eastAsia" w:cs="Times New Roman"/>
                      <w:color w:val="auto"/>
                      <w:szCs w:val="21"/>
                      <w:lang w:eastAsia="zh-CN"/>
                    </w:rPr>
                    <w:t>；</w:t>
                  </w:r>
                  <w:r>
                    <w:rPr>
                      <w:rFonts w:hint="eastAsia" w:cs="Times New Roman"/>
                      <w:color w:val="auto"/>
                      <w:szCs w:val="21"/>
                      <w:lang w:val="en-US" w:eastAsia="zh-CN"/>
                    </w:rPr>
                    <w:t>非甲烷总烃需在厂界设监测点，还需在</w:t>
                  </w:r>
                  <w:r>
                    <w:rPr>
                      <w:rFonts w:hint="eastAsia" w:ascii="Times New Roman" w:hAnsi="Times New Roman" w:eastAsia="宋体" w:cs="Times New Roman"/>
                      <w:color w:val="auto"/>
                      <w:szCs w:val="21"/>
                      <w:lang w:val="en-US" w:eastAsia="zh-CN"/>
                    </w:rPr>
                    <w:t>厂区内，厂房外设置监控点</w:t>
                  </w:r>
                </w:p>
              </w:tc>
            </w:tr>
            <w:tr w14:paraId="16F90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698767A4">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7B53A1C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14A25F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因子</w:t>
                  </w:r>
                </w:p>
              </w:tc>
              <w:tc>
                <w:tcPr>
                  <w:tcW w:w="4215" w:type="pct"/>
                  <w:gridSpan w:val="6"/>
                  <w:tcBorders>
                    <w:tl2br w:val="nil"/>
                    <w:tr2bl w:val="nil"/>
                  </w:tcBorders>
                  <w:noWrap w:val="0"/>
                  <w:vAlign w:val="center"/>
                </w:tcPr>
                <w:p w14:paraId="0291F38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r>
                    <w:rPr>
                      <w:rFonts w:hint="eastAsia" w:ascii="Times New Roman" w:hAnsi="Times New Roman" w:eastAsia="宋体" w:cs="Times New Roman"/>
                      <w:color w:val="auto"/>
                      <w:szCs w:val="21"/>
                      <w:lang w:eastAsia="zh-CN"/>
                    </w:rPr>
                    <w:t>颗粒物、</w:t>
                  </w:r>
                  <w:r>
                    <w:rPr>
                      <w:rFonts w:hint="eastAsia" w:ascii="Times New Roman" w:hAnsi="Times New Roman" w:eastAsia="宋体" w:cs="Times New Roman"/>
                      <w:color w:val="auto"/>
                      <w:szCs w:val="21"/>
                      <w:lang w:val="en-US" w:eastAsia="zh-CN"/>
                    </w:rPr>
                    <w:t>二氧化硫、氮氧化物</w:t>
                  </w:r>
                </w:p>
              </w:tc>
            </w:tr>
            <w:tr w14:paraId="55EC9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447A2F85">
                  <w:pPr>
                    <w:adjustRightInd w:val="0"/>
                    <w:snapToGrid w:val="0"/>
                    <w:jc w:val="center"/>
                    <w:rPr>
                      <w:rFonts w:hint="default" w:ascii="Times New Roman" w:hAnsi="Times New Roman" w:eastAsia="宋体" w:cs="Times New Roman"/>
                      <w:color w:val="auto"/>
                      <w:szCs w:val="21"/>
                    </w:rPr>
                  </w:pPr>
                </w:p>
              </w:tc>
              <w:tc>
                <w:tcPr>
                  <w:tcW w:w="522" w:type="pct"/>
                  <w:tcBorders>
                    <w:tl2br w:val="nil"/>
                    <w:tr2bl w:val="nil"/>
                  </w:tcBorders>
                  <w:noWrap w:val="0"/>
                  <w:vAlign w:val="center"/>
                </w:tcPr>
                <w:p w14:paraId="07503CA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1FA5174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频次</w:t>
                  </w:r>
                </w:p>
              </w:tc>
              <w:tc>
                <w:tcPr>
                  <w:tcW w:w="4215" w:type="pct"/>
                  <w:gridSpan w:val="6"/>
                  <w:tcBorders>
                    <w:tl2br w:val="nil"/>
                    <w:tr2bl w:val="nil"/>
                  </w:tcBorders>
                  <w:noWrap w:val="0"/>
                  <w:vAlign w:val="center"/>
                </w:tcPr>
                <w:p w14:paraId="56C6AF5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4A0A567C">
            <w:pPr>
              <w:keepNext/>
              <w:keepLines/>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）污染源源强核算过程</w:t>
            </w:r>
          </w:p>
          <w:p w14:paraId="7E9F1EAB">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b/>
                <w:bCs/>
                <w:color w:val="auto"/>
                <w:sz w:val="24"/>
                <w:lang w:eastAsia="zh-CN"/>
              </w:rPr>
              <w:t>①抛丸废气（含钢丸废气）</w:t>
            </w:r>
          </w:p>
          <w:p w14:paraId="7E43DB6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根据《排放源统计调查产排污核算方法和系数手册》中的《33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铁路、船舶、航空航天等运输设备修理（不包括电镀工艺）行业系数手册》中“干式预处理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抛丸、喷砂、打磨、滚筒”，确定预处理过程颗粒物的产污系数为2.19千克/吨</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原料，工业废气量为8500m³/t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原料。</w:t>
            </w:r>
          </w:p>
          <w:p w14:paraId="08AE2740">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新增抛丸工序后需对全厂的规格大于</w:t>
            </w:r>
            <w:r>
              <w:rPr>
                <w:rFonts w:hint="eastAsia" w:ascii="Times New Roman" w:hAnsi="Times New Roman" w:eastAsia="宋体" w:cs="Times New Roman"/>
                <w:color w:val="auto"/>
                <w:sz w:val="24"/>
                <w:lang w:val="en-US" w:eastAsia="zh-CN"/>
              </w:rPr>
              <w:t>200*250mm的工件进行抛丸，所用辅料为钢丸，故本次对项目抛丸工序产生的废气量进行核算，具体如下：</w:t>
            </w:r>
          </w:p>
          <w:p w14:paraId="26021D8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建成</w:t>
            </w:r>
            <w:r>
              <w:rPr>
                <w:rFonts w:hint="eastAsia" w:ascii="Times New Roman" w:hAnsi="Times New Roman" w:eastAsia="宋体" w:cs="Times New Roman"/>
                <w:color w:val="auto"/>
                <w:sz w:val="24"/>
                <w:lang w:val="en-US" w:eastAsia="zh-CN"/>
              </w:rPr>
              <w:t>后</w:t>
            </w:r>
            <w:r>
              <w:rPr>
                <w:rFonts w:hint="eastAsia" w:ascii="Times New Roman" w:hAnsi="Times New Roman" w:eastAsia="宋体" w:cs="Times New Roman"/>
                <w:color w:val="auto"/>
                <w:sz w:val="24"/>
                <w:lang w:eastAsia="zh-CN"/>
              </w:rPr>
              <w:t>钢板</w:t>
            </w:r>
            <w:r>
              <w:rPr>
                <w:rFonts w:hint="eastAsia" w:ascii="Times New Roman" w:hAnsi="Times New Roman" w:eastAsia="宋体" w:cs="Times New Roman"/>
                <w:color w:val="auto"/>
                <w:sz w:val="24"/>
                <w:lang w:val="en-US" w:eastAsia="zh-CN"/>
              </w:rPr>
              <w:t>和铝板</w:t>
            </w:r>
            <w:r>
              <w:rPr>
                <w:rFonts w:hint="eastAsia" w:ascii="Times New Roman" w:hAnsi="Times New Roman" w:eastAsia="宋体" w:cs="Times New Roman"/>
                <w:color w:val="auto"/>
                <w:sz w:val="24"/>
                <w:lang w:eastAsia="zh-CN"/>
              </w:rPr>
              <w:t>加工量为</w:t>
            </w:r>
            <w:r>
              <w:rPr>
                <w:rFonts w:hint="eastAsia" w:ascii="Times New Roman" w:hAnsi="Times New Roman" w:eastAsia="宋体" w:cs="Times New Roman"/>
                <w:color w:val="auto"/>
                <w:sz w:val="24"/>
                <w:lang w:val="en-US" w:eastAsia="zh-CN"/>
              </w:rPr>
              <w:t>802t/a，</w:t>
            </w:r>
            <w:r>
              <w:rPr>
                <w:rFonts w:hint="eastAsia" w:ascii="Times New Roman" w:hAnsi="Times New Roman" w:eastAsia="宋体" w:cs="Times New Roman"/>
                <w:color w:val="auto"/>
                <w:sz w:val="24"/>
                <w:lang w:eastAsia="zh-CN"/>
              </w:rPr>
              <w:t>规格大于</w:t>
            </w:r>
            <w:r>
              <w:rPr>
                <w:rFonts w:hint="eastAsia" w:ascii="Times New Roman" w:hAnsi="Times New Roman" w:eastAsia="宋体" w:cs="Times New Roman"/>
                <w:color w:val="auto"/>
                <w:sz w:val="24"/>
                <w:lang w:val="en-US" w:eastAsia="zh-CN"/>
              </w:rPr>
              <w:t>200*250mm的工件占</w:t>
            </w:r>
            <w:r>
              <w:rPr>
                <w:rFonts w:hint="eastAsia" w:cs="Times New Roman"/>
                <w:color w:val="auto"/>
                <w:sz w:val="24"/>
                <w:lang w:val="en-US" w:eastAsia="zh-CN"/>
              </w:rPr>
              <w:t>比</w:t>
            </w:r>
            <w:r>
              <w:rPr>
                <w:rFonts w:hint="eastAsia" w:ascii="Times New Roman" w:hAnsi="Times New Roman" w:eastAsia="宋体" w:cs="Times New Roman"/>
                <w:color w:val="auto"/>
                <w:sz w:val="24"/>
                <w:lang w:val="en-US" w:eastAsia="zh-CN"/>
              </w:rPr>
              <w:t>约为70%，故抛丸加工量约为560t/a，粉尘产生量为1.23t/a。</w:t>
            </w:r>
          </w:p>
          <w:p w14:paraId="0A5CEDB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经核算，抛丸工序产生的粉尘量为1.23t/a，钢丸在抛丸过程中会产生消耗，废钢丸与新钢丸</w:t>
            </w:r>
            <w:r>
              <w:rPr>
                <w:rFonts w:hint="eastAsia" w:cs="Times New Roman"/>
                <w:color w:val="auto"/>
                <w:sz w:val="24"/>
                <w:lang w:val="en-US" w:eastAsia="zh-CN"/>
              </w:rPr>
              <w:t>掺</w:t>
            </w:r>
            <w:r>
              <w:rPr>
                <w:rFonts w:hint="eastAsia" w:ascii="Times New Roman" w:hAnsi="Times New Roman" w:eastAsia="宋体" w:cs="Times New Roman"/>
                <w:color w:val="auto"/>
                <w:sz w:val="24"/>
                <w:lang w:val="en-US" w:eastAsia="zh-CN"/>
              </w:rPr>
              <w:t>半重复利用，直径消耗0.2mm就需要进行更换，项目年使用钢丸共计8t/a，损耗量占</w:t>
            </w: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0%，故钢丸粉尘约为</w:t>
            </w:r>
            <w:r>
              <w:rPr>
                <w:rFonts w:hint="eastAsia" w:cs="Times New Roman"/>
                <w:color w:val="auto"/>
                <w:sz w:val="24"/>
                <w:lang w:val="en-US" w:eastAsia="zh-CN"/>
              </w:rPr>
              <w:t>3.2</w:t>
            </w:r>
            <w:r>
              <w:rPr>
                <w:rFonts w:hint="eastAsia" w:ascii="Times New Roman" w:hAnsi="Times New Roman" w:eastAsia="宋体" w:cs="Times New Roman"/>
                <w:color w:val="auto"/>
                <w:sz w:val="24"/>
                <w:lang w:val="en-US" w:eastAsia="zh-CN"/>
              </w:rPr>
              <w:t>t/a，抛丸在抛丸机设备内部进行，产生的粉尘由设备自带袋式除尘器预处理后由引风机收集至滤筒除尘设施（TA001）中进行处理，自带除尘器处理效率为85%。经计算，抛丸</w:t>
            </w:r>
            <w:r>
              <w:rPr>
                <w:rFonts w:hint="eastAsia" w:cs="Times New Roman"/>
                <w:color w:val="auto"/>
                <w:sz w:val="24"/>
                <w:lang w:val="en-US" w:eastAsia="zh-CN"/>
              </w:rPr>
              <w:t>工序需经</w:t>
            </w:r>
            <w:r>
              <w:rPr>
                <w:rFonts w:hint="eastAsia" w:ascii="Times New Roman" w:hAnsi="Times New Roman" w:eastAsia="宋体" w:cs="Times New Roman"/>
                <w:color w:val="auto"/>
                <w:sz w:val="24"/>
                <w:lang w:val="en-US" w:eastAsia="zh-CN"/>
              </w:rPr>
              <w:t>滤筒除尘器（TA001）处理的</w:t>
            </w:r>
            <w:r>
              <w:rPr>
                <w:rFonts w:hint="eastAsia" w:cs="Times New Roman"/>
                <w:color w:val="auto"/>
                <w:sz w:val="24"/>
                <w:lang w:val="en-US" w:eastAsia="zh-CN"/>
              </w:rPr>
              <w:t>粉尘排放量</w:t>
            </w:r>
            <w:r>
              <w:rPr>
                <w:rFonts w:hint="eastAsia" w:ascii="Times New Roman" w:hAnsi="Times New Roman" w:eastAsia="宋体" w:cs="Times New Roman"/>
                <w:color w:val="auto"/>
                <w:sz w:val="24"/>
                <w:lang w:val="en-US" w:eastAsia="zh-CN"/>
              </w:rPr>
              <w:t>为</w:t>
            </w:r>
            <w:r>
              <w:rPr>
                <w:rFonts w:hint="eastAsia" w:cs="Times New Roman"/>
                <w:color w:val="auto"/>
                <w:sz w:val="24"/>
                <w:lang w:val="en-US" w:eastAsia="zh-CN"/>
              </w:rPr>
              <w:t>0.66</w:t>
            </w:r>
            <w:r>
              <w:rPr>
                <w:rFonts w:hint="eastAsia" w:ascii="Times New Roman" w:hAnsi="Times New Roman" w:eastAsia="宋体" w:cs="Times New Roman"/>
                <w:color w:val="auto"/>
                <w:sz w:val="24"/>
                <w:lang w:val="en-US" w:eastAsia="zh-CN"/>
              </w:rPr>
              <w:t>t/a。</w:t>
            </w:r>
            <w:r>
              <w:rPr>
                <w:rFonts w:hint="eastAsia" w:cs="Times New Roman"/>
                <w:color w:val="auto"/>
                <w:sz w:val="24"/>
                <w:lang w:val="en-US" w:eastAsia="zh-CN"/>
              </w:rPr>
              <w:t>下文与切割、焊接废气统一核算。</w:t>
            </w:r>
          </w:p>
          <w:p w14:paraId="7F8F1D5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③切割废气</w:t>
            </w:r>
          </w:p>
          <w:p w14:paraId="05C53DBA">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金属件在切割过程中会有微量的金属粉尘产生。零部件制作采用激光切割，参考《第二次全国污染源普查排污核算系数手册（试用版）》中等离子切割颗粒物产污系数1.10kg/吨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原料，项目需要切割原料用量为802</w:t>
            </w:r>
            <w:r>
              <w:rPr>
                <w:rFonts w:hint="eastAsia" w:cs="Times New Roman"/>
                <w:color w:val="auto"/>
                <w:sz w:val="24"/>
                <w:lang w:val="en-US" w:eastAsia="zh-CN"/>
              </w:rPr>
              <w:t>t/a</w:t>
            </w:r>
            <w:r>
              <w:rPr>
                <w:rFonts w:hint="eastAsia" w:ascii="Times New Roman" w:hAnsi="Times New Roman" w:eastAsia="宋体" w:cs="Times New Roman"/>
                <w:color w:val="auto"/>
                <w:sz w:val="24"/>
                <w:lang w:val="en-US" w:eastAsia="zh-CN"/>
              </w:rPr>
              <w:t>，粉尘产生量为0.88t/a，</w:t>
            </w:r>
            <w:r>
              <w:rPr>
                <w:rFonts w:hint="eastAsia" w:cs="Times New Roman"/>
                <w:color w:val="auto"/>
                <w:sz w:val="24"/>
                <w:lang w:val="en-US" w:eastAsia="zh-CN"/>
              </w:rPr>
              <w:t>将产生的切割粉尘</w:t>
            </w:r>
            <w:r>
              <w:rPr>
                <w:rFonts w:hint="eastAsia" w:ascii="Times New Roman" w:hAnsi="Times New Roman" w:eastAsia="宋体" w:cs="Times New Roman"/>
                <w:color w:val="auto"/>
                <w:sz w:val="24"/>
                <w:lang w:val="en-US" w:eastAsia="zh-CN"/>
              </w:rPr>
              <w:t>收集后进入滤筒除尘器（TA001）进行处理</w:t>
            </w:r>
            <w:r>
              <w:rPr>
                <w:rFonts w:hint="eastAsia" w:cs="Times New Roman"/>
                <w:color w:val="auto"/>
                <w:sz w:val="24"/>
                <w:lang w:val="en-US" w:eastAsia="zh-CN"/>
              </w:rPr>
              <w:t>（收集方式：一台切割机上方密闭设集气系统，另两台切割机分别设下吸式收尘，分别将粉尘收至集气管道）</w:t>
            </w:r>
            <w:r>
              <w:rPr>
                <w:rFonts w:hint="eastAsia" w:ascii="Times New Roman" w:hAnsi="Times New Roman" w:eastAsia="宋体" w:cs="Times New Roman"/>
                <w:color w:val="auto"/>
                <w:sz w:val="24"/>
                <w:lang w:val="en-US" w:eastAsia="zh-CN"/>
              </w:rPr>
              <w:t>，收集效率</w:t>
            </w:r>
            <w:r>
              <w:rPr>
                <w:rFonts w:hint="eastAsia" w:cs="Times New Roman"/>
                <w:color w:val="auto"/>
                <w:sz w:val="24"/>
                <w:lang w:val="en-US" w:eastAsia="zh-CN"/>
              </w:rPr>
              <w:t>约</w:t>
            </w:r>
            <w:r>
              <w:rPr>
                <w:rFonts w:hint="eastAsia" w:ascii="Times New Roman" w:hAnsi="Times New Roman" w:eastAsia="宋体" w:cs="Times New Roman"/>
                <w:color w:val="auto"/>
                <w:sz w:val="24"/>
                <w:lang w:val="en-US" w:eastAsia="zh-CN"/>
              </w:rPr>
              <w:t>为85%，则进入滤筒除尘器的</w:t>
            </w:r>
            <w:r>
              <w:rPr>
                <w:rFonts w:hint="eastAsia" w:cs="Times New Roman"/>
                <w:color w:val="auto"/>
                <w:sz w:val="24"/>
                <w:lang w:val="en-US" w:eastAsia="zh-CN"/>
              </w:rPr>
              <w:t>粉尘</w:t>
            </w:r>
            <w:r>
              <w:rPr>
                <w:rFonts w:hint="eastAsia" w:ascii="Times New Roman" w:hAnsi="Times New Roman" w:eastAsia="宋体" w:cs="Times New Roman"/>
                <w:color w:val="auto"/>
                <w:sz w:val="24"/>
                <w:lang w:val="en-US" w:eastAsia="zh-CN"/>
              </w:rPr>
              <w:t>量为0.75t/a。</w:t>
            </w:r>
          </w:p>
          <w:p w14:paraId="4D2EE21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③焊接废气</w:t>
            </w:r>
          </w:p>
          <w:p w14:paraId="1055533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本项目需要对部分工件进行焊接，使用辅料为焊丝，消耗量为1t/a，根据</w:t>
            </w:r>
            <w:r>
              <w:rPr>
                <w:rFonts w:hint="default" w:ascii="Times New Roman" w:hAnsi="Times New Roman" w:eastAsia="宋体" w:cs="Times New Roman"/>
                <w:color w:val="auto"/>
                <w:sz w:val="24"/>
                <w:lang w:val="en-US" w:eastAsia="zh-CN"/>
              </w:rPr>
              <w:t>《排放源统计调查产排污核算方法和系数手册》（公告 2021 年第 24 号）中“机械行业系数手册</w:t>
            </w:r>
            <w:r>
              <w:rPr>
                <w:rFonts w:hint="eastAsia" w:ascii="Times New Roman" w:hAnsi="Times New Roman" w:eastAsia="宋体" w:cs="Times New Roman"/>
                <w:color w:val="auto"/>
                <w:sz w:val="24"/>
                <w:lang w:val="en-US" w:eastAsia="zh-CN"/>
              </w:rPr>
              <w:t>09-焊接环节二氧化碳保护焊、埋弧焊、氩弧焊工艺使用实心焊丝的产污系数为9.19千克/吨</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原料。经计算焊接</w:t>
            </w:r>
            <w:r>
              <w:rPr>
                <w:rFonts w:hint="eastAsia" w:cs="Times New Roman"/>
                <w:color w:val="auto"/>
                <w:sz w:val="24"/>
                <w:lang w:val="en-US" w:eastAsia="zh-CN"/>
              </w:rPr>
              <w:t>粉尘</w:t>
            </w:r>
            <w:r>
              <w:rPr>
                <w:rFonts w:hint="eastAsia" w:ascii="Times New Roman" w:hAnsi="Times New Roman" w:eastAsia="宋体" w:cs="Times New Roman"/>
                <w:color w:val="auto"/>
                <w:sz w:val="24"/>
                <w:lang w:val="en-US" w:eastAsia="zh-CN"/>
              </w:rPr>
              <w:t>产生量为0.01t/a。焊接工序设密闭焊接房，</w:t>
            </w:r>
            <w:r>
              <w:rPr>
                <w:rFonts w:hint="eastAsia" w:cs="Times New Roman"/>
                <w:color w:val="auto"/>
                <w:sz w:val="24"/>
                <w:lang w:val="en-US" w:eastAsia="zh-CN"/>
              </w:rPr>
              <w:t>密闭房上方设集气口，粉尘经</w:t>
            </w:r>
            <w:r>
              <w:rPr>
                <w:rFonts w:hint="eastAsia" w:ascii="Times New Roman" w:hAnsi="Times New Roman" w:eastAsia="宋体" w:cs="Times New Roman"/>
                <w:color w:val="auto"/>
                <w:sz w:val="24"/>
                <w:lang w:val="en-US" w:eastAsia="zh-CN"/>
              </w:rPr>
              <w:t>收集后进入滤筒除尘器进行处理，收集效率为95%，则进入滤筒除尘器（TA001）的废气量为0.0095t/a。</w:t>
            </w:r>
          </w:p>
          <w:p w14:paraId="1F82592D">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经核算，</w:t>
            </w: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抛丸、切割、焊接工序需要</w:t>
            </w:r>
            <w:r>
              <w:rPr>
                <w:rFonts w:hint="eastAsia" w:ascii="Times New Roman" w:hAnsi="Times New Roman" w:eastAsia="宋体" w:cs="Times New Roman"/>
                <w:color w:val="auto"/>
                <w:sz w:val="24"/>
                <w:lang w:val="en-US" w:eastAsia="zh-CN"/>
              </w:rPr>
              <w:t>进入滤筒除尘器</w:t>
            </w:r>
            <w:r>
              <w:rPr>
                <w:rFonts w:hint="eastAsia" w:cs="Times New Roman"/>
                <w:color w:val="auto"/>
                <w:sz w:val="24"/>
                <w:lang w:val="en-US" w:eastAsia="zh-CN"/>
              </w:rPr>
              <w:t>处理的粉尘量共计</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4195</w:t>
            </w:r>
            <w:r>
              <w:rPr>
                <w:rFonts w:hint="eastAsia" w:ascii="Times New Roman" w:hAnsi="Times New Roman" w:eastAsia="宋体" w:cs="Times New Roman"/>
                <w:color w:val="auto"/>
                <w:sz w:val="24"/>
                <w:lang w:val="en-US" w:eastAsia="zh-CN"/>
              </w:rPr>
              <w:t>t/a，滤筒除尘器处理效率为95%，则</w:t>
            </w:r>
            <w:r>
              <w:rPr>
                <w:rFonts w:hint="eastAsia" w:cs="Times New Roman"/>
                <w:color w:val="auto"/>
                <w:sz w:val="24"/>
                <w:lang w:val="en-US" w:eastAsia="zh-CN"/>
              </w:rPr>
              <w:t>抛丸、切割、焊接工序</w:t>
            </w:r>
            <w:r>
              <w:rPr>
                <w:rFonts w:hint="eastAsia" w:ascii="Times New Roman" w:hAnsi="Times New Roman" w:eastAsia="宋体" w:cs="Times New Roman"/>
                <w:color w:val="auto"/>
                <w:sz w:val="24"/>
                <w:lang w:val="en-US" w:eastAsia="zh-CN"/>
              </w:rPr>
              <w:t>有组织废气排放量</w:t>
            </w:r>
            <w:r>
              <w:rPr>
                <w:rFonts w:hint="eastAsia" w:cs="Times New Roman"/>
                <w:color w:val="auto"/>
                <w:sz w:val="24"/>
                <w:lang w:val="en-US" w:eastAsia="zh-CN"/>
              </w:rPr>
              <w:t>共计</w:t>
            </w:r>
            <w:r>
              <w:rPr>
                <w:rFonts w:hint="eastAsia" w:ascii="Times New Roman" w:hAnsi="Times New Roman" w:eastAsia="宋体" w:cs="Times New Roman"/>
                <w:color w:val="auto"/>
                <w:sz w:val="24"/>
                <w:lang w:val="en-US" w:eastAsia="zh-CN"/>
              </w:rPr>
              <w:t>为0.0</w:t>
            </w:r>
            <w:r>
              <w:rPr>
                <w:rFonts w:hint="eastAsia" w:cs="Times New Roman"/>
                <w:color w:val="auto"/>
                <w:sz w:val="24"/>
                <w:lang w:val="en-US" w:eastAsia="zh-CN"/>
              </w:rPr>
              <w:t>705</w:t>
            </w:r>
            <w:r>
              <w:rPr>
                <w:rFonts w:hint="eastAsia" w:ascii="Times New Roman" w:hAnsi="Times New Roman" w:eastAsia="宋体" w:cs="Times New Roman"/>
                <w:color w:val="auto"/>
                <w:sz w:val="24"/>
                <w:lang w:val="en-US" w:eastAsia="zh-CN"/>
              </w:rPr>
              <w:t>t/a，无组织废气排放量共计0.1305t/a，收尘灰共计</w:t>
            </w:r>
            <w:r>
              <w:rPr>
                <w:rFonts w:hint="eastAsia" w:cs="Times New Roman"/>
                <w:color w:val="auto"/>
                <w:sz w:val="24"/>
                <w:lang w:val="en-US" w:eastAsia="zh-CN"/>
              </w:rPr>
              <w:t>4.489</w:t>
            </w:r>
            <w:r>
              <w:rPr>
                <w:rFonts w:hint="eastAsia" w:ascii="Times New Roman" w:hAnsi="Times New Roman" w:eastAsia="宋体" w:cs="Times New Roman"/>
                <w:color w:val="auto"/>
                <w:sz w:val="24"/>
                <w:lang w:val="en-US" w:eastAsia="zh-CN"/>
              </w:rPr>
              <w:t>t/a。抛丸、焊接、切割产生的废气最终均进入滤筒除尘器（TA001）中处理后由一根15米排气筒（DA001）高空排放。</w:t>
            </w:r>
          </w:p>
          <w:p w14:paraId="0067E304">
            <w:pPr>
              <w:adjustRightInd w:val="0"/>
              <w:snapToGrid w:val="0"/>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④</w:t>
            </w:r>
            <w:r>
              <w:rPr>
                <w:rFonts w:hint="eastAsia" w:cs="Times New Roman"/>
                <w:b/>
                <w:bCs/>
                <w:color w:val="auto"/>
                <w:sz w:val="24"/>
                <w:lang w:val="en-US" w:eastAsia="zh-CN"/>
              </w:rPr>
              <w:t>喷粉</w:t>
            </w:r>
            <w:r>
              <w:rPr>
                <w:rFonts w:hint="eastAsia" w:ascii="Times New Roman" w:hAnsi="Times New Roman" w:eastAsia="宋体" w:cs="Times New Roman"/>
                <w:b/>
                <w:bCs/>
                <w:color w:val="auto"/>
                <w:sz w:val="24"/>
                <w:lang w:val="en-US" w:eastAsia="zh-CN"/>
              </w:rPr>
              <w:t>废气</w:t>
            </w:r>
          </w:p>
          <w:p w14:paraId="3A6ABD5F">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本项目采用人工静电喷涂方式进行常温</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使用100%固性粉末，主要成分为环氧树脂和聚酯树脂。项目静电喷涂在密闭的</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室内进行，</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过程会产生一定的颗粒物，本项目</w:t>
            </w:r>
            <w:r>
              <w:rPr>
                <w:rFonts w:hint="eastAsia" w:ascii="Times New Roman" w:hAnsi="Times New Roman" w:eastAsia="宋体" w:cs="Times New Roman"/>
                <w:color w:val="auto"/>
                <w:sz w:val="24"/>
                <w:lang w:val="en-US" w:eastAsia="zh-CN"/>
              </w:rPr>
              <w:t>塑粉</w:t>
            </w:r>
            <w:r>
              <w:rPr>
                <w:rFonts w:hint="default" w:ascii="Times New Roman" w:hAnsi="Times New Roman" w:eastAsia="宋体" w:cs="Times New Roman"/>
                <w:color w:val="auto"/>
                <w:sz w:val="24"/>
                <w:lang w:val="en-US" w:eastAsia="zh-CN"/>
              </w:rPr>
              <w:t>年用量为</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过程无有机废气产生。</w:t>
            </w:r>
          </w:p>
          <w:p w14:paraId="47DF056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根据《工业源产排污核算方法和系数手册》中机械行业系数手册中产污系数，</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工艺颗粒物产生量为300千克/吨－原料，全厂塑粉使用量为</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t/a，则</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粉尘产生量为</w:t>
            </w:r>
            <w:r>
              <w:rPr>
                <w:rFonts w:hint="eastAsia" w:ascii="Times New Roman" w:hAnsi="Times New Roman" w:eastAsia="宋体" w:cs="Times New Roman"/>
                <w:color w:val="auto"/>
                <w:sz w:val="24"/>
                <w:lang w:val="en-US" w:eastAsia="zh-CN"/>
              </w:rPr>
              <w:t>2.4</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喷粉</w:t>
            </w:r>
            <w:r>
              <w:rPr>
                <w:rFonts w:hint="default" w:ascii="Times New Roman" w:hAnsi="Times New Roman" w:eastAsia="宋体" w:cs="Times New Roman"/>
                <w:color w:val="auto"/>
                <w:sz w:val="24"/>
                <w:lang w:val="en-US" w:eastAsia="zh-CN"/>
              </w:rPr>
              <w:t>工序</w:t>
            </w:r>
            <w:r>
              <w:rPr>
                <w:rFonts w:hint="eastAsia" w:ascii="Times New Roman" w:hAnsi="Times New Roman" w:eastAsia="宋体" w:cs="Times New Roman"/>
                <w:color w:val="auto"/>
                <w:sz w:val="24"/>
                <w:lang w:val="en-US" w:eastAsia="zh-CN"/>
              </w:rPr>
              <w:t>每天有效工作时间为5</w:t>
            </w:r>
            <w:r>
              <w:rPr>
                <w:rFonts w:hint="default" w:ascii="Times New Roman" w:hAnsi="Times New Roman" w:eastAsia="宋体" w:cs="Times New Roman"/>
                <w:color w:val="auto"/>
                <w:sz w:val="24"/>
                <w:lang w:val="en-US" w:eastAsia="zh-CN"/>
              </w:rPr>
              <w:t>h，年工作天数300天。</w:t>
            </w:r>
          </w:p>
          <w:p w14:paraId="733B201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静电喷涂室</w:t>
            </w:r>
            <w:r>
              <w:rPr>
                <w:rFonts w:hint="eastAsia" w:ascii="Times New Roman" w:hAnsi="Times New Roman" w:eastAsia="宋体" w:cs="Times New Roman"/>
                <w:color w:val="auto"/>
                <w:sz w:val="24"/>
                <w:lang w:val="en-US" w:eastAsia="zh-CN"/>
              </w:rPr>
              <w:t>采用下吸式收集方式，将在喷涂过程中未被工件吸附的过量粉末吸入旋风除尘器，经分离器分离后再送至供粉箱进行喷涂，形成塑粉循环使用系统，分离后产生的废粉沉淀至旋风除尘器底部袋子中，统一收集后外售处理。</w:t>
            </w:r>
          </w:p>
          <w:p w14:paraId="098B9B5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该工序</w:t>
            </w:r>
            <w:r>
              <w:rPr>
                <w:rFonts w:hint="default" w:ascii="Times New Roman" w:hAnsi="Times New Roman" w:eastAsia="宋体" w:cs="Times New Roman"/>
                <w:color w:val="auto"/>
                <w:sz w:val="24"/>
                <w:lang w:val="en-US" w:eastAsia="zh-CN"/>
              </w:rPr>
              <w:t>废气收集效率较高，以95%计。</w:t>
            </w:r>
            <w:r>
              <w:rPr>
                <w:rFonts w:hint="eastAsia" w:ascii="Times New Roman" w:hAnsi="Times New Roman" w:eastAsia="宋体" w:cs="Times New Roman"/>
                <w:color w:val="auto"/>
                <w:sz w:val="24"/>
                <w:lang w:val="en-US" w:eastAsia="zh-CN"/>
              </w:rPr>
              <w:t>经核算，</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工序无</w:t>
            </w:r>
            <w:r>
              <w:rPr>
                <w:rFonts w:hint="default" w:ascii="Times New Roman" w:hAnsi="Times New Roman" w:eastAsia="宋体" w:cs="Times New Roman"/>
                <w:color w:val="auto"/>
                <w:sz w:val="24"/>
                <w:lang w:val="en-US" w:eastAsia="zh-CN"/>
              </w:rPr>
              <w:t>组织废气</w:t>
            </w:r>
            <w:r>
              <w:rPr>
                <w:rFonts w:hint="eastAsia" w:ascii="Times New Roman" w:hAnsi="Times New Roman" w:eastAsia="宋体" w:cs="Times New Roman"/>
                <w:color w:val="auto"/>
                <w:sz w:val="24"/>
                <w:lang w:val="en-US" w:eastAsia="zh-CN"/>
              </w:rPr>
              <w:t>排放</w:t>
            </w:r>
            <w:r>
              <w:rPr>
                <w:rFonts w:hint="default" w:ascii="Times New Roman" w:hAnsi="Times New Roman" w:eastAsia="宋体" w:cs="Times New Roman"/>
                <w:color w:val="auto"/>
                <w:sz w:val="24"/>
                <w:lang w:val="en-US" w:eastAsia="zh-CN"/>
              </w:rPr>
              <w:t>量为</w:t>
            </w:r>
            <w:r>
              <w:rPr>
                <w:rFonts w:hint="eastAsia" w:ascii="Times New Roman" w:hAnsi="Times New Roman" w:eastAsia="宋体" w:cs="Times New Roman"/>
                <w:color w:val="auto"/>
                <w:sz w:val="24"/>
                <w:lang w:val="en-US" w:eastAsia="zh-CN"/>
              </w:rPr>
              <w:t>0.12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筛分回用的塑粉约占95%，废粉约占5%，故废粉产生量为0.12t/a。</w:t>
            </w:r>
          </w:p>
          <w:p w14:paraId="2FF2162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⑤固化废气</w:t>
            </w:r>
          </w:p>
          <w:p w14:paraId="3AA37D8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工件经</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后进入固化廊道加热固化，固化过程会造成少量树脂粉末热分解产生有机气体，通过全自动生产线在固化廊道进出口顶部设置集气口收集有机废气。</w:t>
            </w:r>
          </w:p>
          <w:p w14:paraId="37DEF05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考虑到后期企业可能存在更换树脂粉末情况，因此本项目不根据树脂粉末VOC含量</w:t>
            </w:r>
            <w:r>
              <w:rPr>
                <w:rFonts w:hint="eastAsia" w:cs="Times New Roman"/>
                <w:color w:val="auto"/>
                <w:sz w:val="24"/>
                <w:lang w:val="en-US" w:eastAsia="zh-CN"/>
              </w:rPr>
              <w:t>检测报告</w:t>
            </w:r>
            <w:r>
              <w:rPr>
                <w:rFonts w:hint="default" w:ascii="Times New Roman" w:hAnsi="Times New Roman" w:eastAsia="宋体" w:cs="Times New Roman"/>
                <w:color w:val="auto"/>
                <w:sz w:val="24"/>
                <w:lang w:val="en-US" w:eastAsia="zh-CN"/>
              </w:rPr>
              <w:t>进行计算，要求企业后期使用树脂粉末涂料满足《低挥发性有机化合物含量涂料产品技术要求》（GB/T38597-2020）表3中挥发性有机化合物（VOC）含量限量值应≤60g/L的要求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因此，本项目以含量限值≤60g/L（即树脂粉末涂料VOC含量以60g/L）计。树脂粉末密度为1.3g/mL，则经换算，树脂粉末年用量即</w:t>
            </w:r>
            <w:r>
              <w:rPr>
                <w:rFonts w:hint="eastAsia" w:ascii="Times New Roman" w:hAnsi="Times New Roman" w:eastAsia="宋体" w:cs="Times New Roman"/>
                <w:color w:val="auto"/>
                <w:sz w:val="24"/>
                <w:lang w:val="en-US" w:eastAsia="zh-CN"/>
              </w:rPr>
              <w:t>6153.8</w:t>
            </w:r>
            <w:r>
              <w:rPr>
                <w:rFonts w:hint="default" w:ascii="Times New Roman" w:hAnsi="Times New Roman" w:eastAsia="宋体" w:cs="Times New Roman"/>
                <w:color w:val="auto"/>
                <w:sz w:val="24"/>
                <w:lang w:val="en-US" w:eastAsia="zh-CN"/>
              </w:rPr>
              <w:t>L。</w:t>
            </w:r>
          </w:p>
          <w:p w14:paraId="19EDD5E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所用树脂粉末为聚酯塑粉及环氧聚酯塑粉，原子灰（腻子）中主要成分为不饱和聚酯树脂，其分解温度均为280℃，本项目固化炉控制最高温度为180℃，未达到其分解温度，因此固化过程会产生一定的有机废气，以非甲烷总烃计。固化工序每天</w:t>
            </w:r>
            <w:r>
              <w:rPr>
                <w:rFonts w:hint="eastAsia" w:ascii="Times New Roman" w:hAnsi="Times New Roman" w:eastAsia="宋体" w:cs="Times New Roman"/>
                <w:color w:val="auto"/>
                <w:sz w:val="24"/>
                <w:lang w:val="en-US" w:eastAsia="zh-CN"/>
              </w:rPr>
              <w:t>5h</w:t>
            </w:r>
            <w:r>
              <w:rPr>
                <w:rFonts w:hint="default" w:ascii="Times New Roman" w:hAnsi="Times New Roman" w:eastAsia="宋体" w:cs="Times New Roman"/>
                <w:color w:val="auto"/>
                <w:sz w:val="24"/>
                <w:lang w:val="en-US" w:eastAsia="zh-CN"/>
              </w:rPr>
              <w:t>，因此年工作时间</w:t>
            </w:r>
            <w:r>
              <w:rPr>
                <w:rFonts w:hint="eastAsia" w:ascii="Times New Roman" w:hAnsi="Times New Roman" w:eastAsia="宋体" w:cs="Times New Roman"/>
                <w:color w:val="auto"/>
                <w:sz w:val="24"/>
                <w:lang w:val="en-US" w:eastAsia="zh-CN"/>
              </w:rPr>
              <w:t>1500</w:t>
            </w:r>
            <w:r>
              <w:rPr>
                <w:rFonts w:hint="default" w:ascii="Times New Roman" w:hAnsi="Times New Roman" w:eastAsia="宋体" w:cs="Times New Roman"/>
                <w:color w:val="auto"/>
                <w:sz w:val="24"/>
                <w:lang w:val="en-US" w:eastAsia="zh-CN"/>
              </w:rPr>
              <w:t>h。</w:t>
            </w:r>
          </w:p>
          <w:p w14:paraId="0E50BDD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固化过程非甲烷总烃产生总量为</w:t>
            </w:r>
            <w:r>
              <w:rPr>
                <w:rFonts w:hint="eastAsia" w:ascii="Times New Roman" w:hAnsi="Times New Roman" w:eastAsia="宋体" w:cs="Times New Roman"/>
                <w:color w:val="auto"/>
                <w:sz w:val="24"/>
                <w:lang w:val="en-US" w:eastAsia="zh-CN"/>
              </w:rPr>
              <w:t>0.37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进</w:t>
            </w:r>
            <w:r>
              <w:rPr>
                <w:rFonts w:hint="default" w:ascii="Times New Roman" w:hAnsi="Times New Roman" w:eastAsia="宋体" w:cs="Times New Roman"/>
                <w:color w:val="auto"/>
                <w:sz w:val="24"/>
                <w:lang w:val="en-US" w:eastAsia="zh-CN"/>
              </w:rPr>
              <w:t>出口设集气口</w:t>
            </w:r>
            <w:r>
              <w:rPr>
                <w:rFonts w:hint="eastAsia" w:ascii="Times New Roman" w:hAnsi="Times New Roman" w:eastAsia="宋体" w:cs="Times New Roman"/>
                <w:color w:val="auto"/>
                <w:sz w:val="24"/>
                <w:lang w:val="en-US" w:eastAsia="zh-CN"/>
              </w:rPr>
              <w:t>，对固化废气</w:t>
            </w:r>
            <w:r>
              <w:rPr>
                <w:rFonts w:hint="default" w:ascii="Times New Roman" w:hAnsi="Times New Roman" w:eastAsia="宋体" w:cs="Times New Roman"/>
                <w:color w:val="auto"/>
                <w:sz w:val="24"/>
                <w:lang w:val="en-US" w:eastAsia="zh-CN"/>
              </w:rPr>
              <w:t>进行收集（收集效率以8</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%计），经风机（风量1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en-US" w:eastAsia="zh-CN"/>
              </w:rPr>
              <w:t>000</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/h）引至二级活性炭吸附箱（TA00</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，要求企业设置</w:t>
            </w:r>
            <w:r>
              <w:rPr>
                <w:rFonts w:hint="eastAsia" w:ascii="Times New Roman" w:hAnsi="Times New Roman" w:eastAsia="宋体" w:cs="Times New Roman"/>
                <w:color w:val="auto"/>
                <w:sz w:val="24"/>
                <w:lang w:val="en-US" w:eastAsia="zh-CN"/>
              </w:rPr>
              <w:t>二</w:t>
            </w:r>
            <w:r>
              <w:rPr>
                <w:rFonts w:hint="default" w:ascii="Times New Roman" w:hAnsi="Times New Roman" w:eastAsia="宋体" w:cs="Times New Roman"/>
                <w:color w:val="auto"/>
                <w:sz w:val="24"/>
                <w:lang w:val="en-US" w:eastAsia="zh-CN"/>
              </w:rPr>
              <w:t>级活性炭吸附处理效率不低于50%）处理后经15m排气筒（DA002）有组织排放，因此有组织排放量为0.</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lang w:val="en-US" w:eastAsia="zh-CN"/>
              </w:rPr>
              <w:t>t/a，排放速率为0.</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kg/h，排放浓度为</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mg</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，无组织排放量为</w:t>
            </w:r>
            <w:r>
              <w:rPr>
                <w:rFonts w:hint="eastAsia" w:ascii="Times New Roman" w:hAnsi="Times New Roman" w:eastAsia="宋体" w:cs="Times New Roman"/>
                <w:color w:val="auto"/>
                <w:sz w:val="24"/>
                <w:lang w:val="en-US" w:eastAsia="zh-CN"/>
              </w:rPr>
              <w:t>0.06</w:t>
            </w:r>
            <w:r>
              <w:rPr>
                <w:rFonts w:hint="default" w:ascii="Times New Roman" w:hAnsi="Times New Roman" w:eastAsia="宋体" w:cs="Times New Roman"/>
                <w:color w:val="auto"/>
                <w:sz w:val="24"/>
                <w:lang w:val="en-US" w:eastAsia="zh-CN"/>
              </w:rPr>
              <w:t>t/a，排放速率为0.</w:t>
            </w:r>
            <w:r>
              <w:rPr>
                <w:rFonts w:hint="eastAsia" w:ascii="Times New Roman" w:hAnsi="Times New Roman" w:eastAsia="宋体" w:cs="Times New Roman"/>
                <w:color w:val="auto"/>
                <w:sz w:val="24"/>
                <w:lang w:val="en-US" w:eastAsia="zh-CN"/>
              </w:rPr>
              <w:t>04</w:t>
            </w:r>
            <w:r>
              <w:rPr>
                <w:rFonts w:hint="default" w:ascii="Times New Roman" w:hAnsi="Times New Roman" w:eastAsia="宋体" w:cs="Times New Roman"/>
                <w:color w:val="auto"/>
                <w:sz w:val="24"/>
                <w:lang w:val="en-US" w:eastAsia="zh-CN"/>
              </w:rPr>
              <w:t>kg/h。</w:t>
            </w:r>
          </w:p>
          <w:p w14:paraId="7F7662A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⑥天然气燃烧废气（烟尘、SO</w:t>
            </w:r>
            <w:r>
              <w:rPr>
                <w:rFonts w:hint="eastAsia" w:ascii="Times New Roman" w:hAnsi="Times New Roman" w:eastAsia="宋体" w:cs="Times New Roman"/>
                <w:b/>
                <w:bCs/>
                <w:color w:val="auto"/>
                <w:sz w:val="24"/>
                <w:vertAlign w:val="subscript"/>
                <w:lang w:val="en-US" w:eastAsia="zh-CN"/>
              </w:rPr>
              <w:t>2</w:t>
            </w:r>
            <w:r>
              <w:rPr>
                <w:rFonts w:hint="eastAsia" w:ascii="Times New Roman" w:hAnsi="Times New Roman" w:eastAsia="宋体" w:cs="Times New Roman"/>
                <w:b/>
                <w:bCs/>
                <w:color w:val="auto"/>
                <w:sz w:val="24"/>
                <w:lang w:val="en-US" w:eastAsia="zh-CN"/>
              </w:rPr>
              <w:t>、NO</w:t>
            </w:r>
            <w:r>
              <w:rPr>
                <w:rFonts w:hint="eastAsia" w:ascii="Times New Roman" w:hAnsi="Times New Roman" w:eastAsia="宋体" w:cs="Times New Roman"/>
                <w:b/>
                <w:bCs/>
                <w:color w:val="auto"/>
                <w:sz w:val="24"/>
                <w:vertAlign w:val="subscript"/>
                <w:lang w:val="en-US" w:eastAsia="zh-CN"/>
              </w:rPr>
              <w:t>X</w:t>
            </w:r>
            <w:r>
              <w:rPr>
                <w:rFonts w:hint="eastAsia" w:ascii="Times New Roman" w:hAnsi="Times New Roman" w:eastAsia="宋体" w:cs="Times New Roman"/>
                <w:b/>
                <w:bCs/>
                <w:color w:val="auto"/>
                <w:sz w:val="24"/>
                <w:lang w:val="en-US" w:eastAsia="zh-CN"/>
              </w:rPr>
              <w:t>）</w:t>
            </w:r>
          </w:p>
          <w:p w14:paraId="06B6DCC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本项目烘干和固化工序采用天然气提供热源，属于清洁能源，燃烧过程会产生烟尘、SO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等污染物，参照《排放源统计调查产排污核算方法和系数手册》中33-37,431-434机械行业中14涂装的产排污系数表，本项目燃料废气的系数表详见表4-2。</w:t>
            </w:r>
          </w:p>
          <w:p w14:paraId="568A577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表4-2  </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33-37,431-434机械行业中14涂装</w:t>
            </w:r>
            <w:r>
              <w:rPr>
                <w:rFonts w:hint="eastAsia" w:cs="Times New Roman"/>
                <w:b/>
                <w:bCs/>
                <w:color w:val="auto"/>
                <w:sz w:val="21"/>
                <w:szCs w:val="21"/>
                <w:lang w:val="en-US" w:eastAsia="zh-CN"/>
              </w:rPr>
              <w:t>）产排污系数表</w:t>
            </w:r>
          </w:p>
          <w:tbl>
            <w:tblPr>
              <w:tblStyle w:val="31"/>
              <w:tblW w:w="813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73"/>
              <w:gridCol w:w="1062"/>
              <w:gridCol w:w="1061"/>
              <w:gridCol w:w="1315"/>
              <w:gridCol w:w="1166"/>
              <w:gridCol w:w="1380"/>
            </w:tblGrid>
            <w:tr w14:paraId="561F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tcBorders>
                    <w:tl2br w:val="nil"/>
                    <w:tr2bl w:val="nil"/>
                  </w:tcBorders>
                  <w:noWrap w:val="0"/>
                  <w:vAlign w:val="center"/>
                </w:tcPr>
                <w:p w14:paraId="1EBB869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产品名称</w:t>
                  </w:r>
                </w:p>
              </w:tc>
              <w:tc>
                <w:tcPr>
                  <w:tcW w:w="1073" w:type="dxa"/>
                  <w:tcBorders>
                    <w:tl2br w:val="nil"/>
                    <w:tr2bl w:val="nil"/>
                  </w:tcBorders>
                  <w:noWrap w:val="0"/>
                  <w:vAlign w:val="center"/>
                </w:tcPr>
                <w:p w14:paraId="6E18626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原料名称</w:t>
                  </w:r>
                </w:p>
              </w:tc>
              <w:tc>
                <w:tcPr>
                  <w:tcW w:w="1062" w:type="dxa"/>
                  <w:tcBorders>
                    <w:tl2br w:val="nil"/>
                    <w:tr2bl w:val="nil"/>
                  </w:tcBorders>
                  <w:noWrap w:val="0"/>
                  <w:vAlign w:val="center"/>
                </w:tcPr>
                <w:p w14:paraId="68C4443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工艺名称</w:t>
                  </w:r>
                </w:p>
              </w:tc>
              <w:tc>
                <w:tcPr>
                  <w:tcW w:w="1061" w:type="dxa"/>
                  <w:tcBorders>
                    <w:tl2br w:val="nil"/>
                    <w:tr2bl w:val="nil"/>
                  </w:tcBorders>
                  <w:noWrap w:val="0"/>
                  <w:vAlign w:val="center"/>
                </w:tcPr>
                <w:p w14:paraId="1813E08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规模等级</w:t>
                  </w:r>
                </w:p>
              </w:tc>
              <w:tc>
                <w:tcPr>
                  <w:tcW w:w="1315" w:type="dxa"/>
                  <w:tcBorders>
                    <w:tl2br w:val="nil"/>
                    <w:tr2bl w:val="nil"/>
                  </w:tcBorders>
                  <w:noWrap w:val="0"/>
                  <w:vAlign w:val="center"/>
                </w:tcPr>
                <w:p w14:paraId="4AB8B8A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污染物指标</w:t>
                  </w:r>
                </w:p>
              </w:tc>
              <w:tc>
                <w:tcPr>
                  <w:tcW w:w="1166" w:type="dxa"/>
                  <w:tcBorders>
                    <w:tl2br w:val="nil"/>
                    <w:tr2bl w:val="nil"/>
                  </w:tcBorders>
                  <w:noWrap w:val="0"/>
                  <w:vAlign w:val="center"/>
                </w:tcPr>
                <w:p w14:paraId="54D9C8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单位</w:t>
                  </w:r>
                </w:p>
              </w:tc>
              <w:tc>
                <w:tcPr>
                  <w:tcW w:w="1380" w:type="dxa"/>
                  <w:tcBorders>
                    <w:tl2br w:val="nil"/>
                    <w:tr2bl w:val="nil"/>
                  </w:tcBorders>
                  <w:noWrap w:val="0"/>
                  <w:vAlign w:val="center"/>
                </w:tcPr>
                <w:p w14:paraId="6E01978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产污系数</w:t>
                  </w:r>
                </w:p>
              </w:tc>
            </w:tr>
            <w:tr w14:paraId="3C2A2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restart"/>
                  <w:tcBorders>
                    <w:tl2br w:val="nil"/>
                    <w:tr2bl w:val="nil"/>
                  </w:tcBorders>
                  <w:noWrap w:val="0"/>
                  <w:vAlign w:val="center"/>
                </w:tcPr>
                <w:p w14:paraId="61D84C0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蒸汽/热水/其他</w:t>
                  </w:r>
                </w:p>
              </w:tc>
              <w:tc>
                <w:tcPr>
                  <w:tcW w:w="1073" w:type="dxa"/>
                  <w:vMerge w:val="restart"/>
                  <w:tcBorders>
                    <w:tl2br w:val="nil"/>
                    <w:tr2bl w:val="nil"/>
                  </w:tcBorders>
                  <w:noWrap w:val="0"/>
                  <w:vAlign w:val="center"/>
                </w:tcPr>
                <w:p w14:paraId="2D68EFD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w:t>
                  </w:r>
                </w:p>
              </w:tc>
              <w:tc>
                <w:tcPr>
                  <w:tcW w:w="1062" w:type="dxa"/>
                  <w:vMerge w:val="restart"/>
                  <w:tcBorders>
                    <w:tl2br w:val="nil"/>
                    <w:tr2bl w:val="nil"/>
                  </w:tcBorders>
                  <w:noWrap w:val="0"/>
                  <w:vAlign w:val="center"/>
                </w:tcPr>
                <w:p w14:paraId="76C0B4A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室燃炉</w:t>
                  </w:r>
                </w:p>
              </w:tc>
              <w:tc>
                <w:tcPr>
                  <w:tcW w:w="1061" w:type="dxa"/>
                  <w:vMerge w:val="restart"/>
                  <w:tcBorders>
                    <w:tl2br w:val="nil"/>
                    <w:tr2bl w:val="nil"/>
                  </w:tcBorders>
                  <w:noWrap w:val="0"/>
                  <w:vAlign w:val="center"/>
                </w:tcPr>
                <w:p w14:paraId="3A10460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所有规模</w:t>
                  </w:r>
                </w:p>
              </w:tc>
              <w:tc>
                <w:tcPr>
                  <w:tcW w:w="1315" w:type="dxa"/>
                  <w:tcBorders>
                    <w:tl2br w:val="nil"/>
                    <w:tr2bl w:val="nil"/>
                  </w:tcBorders>
                  <w:noWrap w:val="0"/>
                  <w:vAlign w:val="center"/>
                </w:tcPr>
                <w:p w14:paraId="5953FC0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工业废气量</w:t>
                  </w:r>
                </w:p>
              </w:tc>
              <w:tc>
                <w:tcPr>
                  <w:tcW w:w="1166" w:type="dxa"/>
                  <w:tcBorders>
                    <w:tl2br w:val="nil"/>
                    <w:tr2bl w:val="nil"/>
                  </w:tcBorders>
                  <w:noWrap w:val="0"/>
                  <w:vAlign w:val="center"/>
                </w:tcPr>
                <w:p w14:paraId="40EC9DF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立方米/立方米-原料</w:t>
                  </w:r>
                </w:p>
              </w:tc>
              <w:tc>
                <w:tcPr>
                  <w:tcW w:w="1380" w:type="dxa"/>
                  <w:tcBorders>
                    <w:tl2br w:val="nil"/>
                    <w:tr2bl w:val="nil"/>
                  </w:tcBorders>
                  <w:noWrap w:val="0"/>
                  <w:vAlign w:val="center"/>
                </w:tcPr>
                <w:p w14:paraId="20F7910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13.6</w:t>
                  </w:r>
                </w:p>
              </w:tc>
            </w:tr>
            <w:tr w14:paraId="4B056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13DD897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764FB4E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784676A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6BB6C39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7FB0715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166" w:type="dxa"/>
                  <w:tcBorders>
                    <w:tl2br w:val="nil"/>
                    <w:tr2bl w:val="nil"/>
                  </w:tcBorders>
                  <w:noWrap w:val="0"/>
                  <w:vAlign w:val="center"/>
                </w:tcPr>
                <w:p w14:paraId="2A7F77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千克/立方米-原料</w:t>
                  </w:r>
                </w:p>
              </w:tc>
              <w:tc>
                <w:tcPr>
                  <w:tcW w:w="1380" w:type="dxa"/>
                  <w:tcBorders>
                    <w:tl2br w:val="nil"/>
                    <w:tr2bl w:val="nil"/>
                  </w:tcBorders>
                  <w:noWrap w:val="0"/>
                  <w:vAlign w:val="center"/>
                </w:tcPr>
                <w:p w14:paraId="13E70C5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0.000286</w:t>
                  </w:r>
                </w:p>
              </w:tc>
            </w:tr>
            <w:tr w14:paraId="02F03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1479D74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69693BF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1CDDD9D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16DBBB3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5018105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p>
              </w:tc>
              <w:tc>
                <w:tcPr>
                  <w:tcW w:w="1166" w:type="dxa"/>
                  <w:tcBorders>
                    <w:tl2br w:val="nil"/>
                    <w:tr2bl w:val="nil"/>
                  </w:tcBorders>
                  <w:noWrap w:val="0"/>
                  <w:vAlign w:val="center"/>
                </w:tcPr>
                <w:p w14:paraId="63CAB24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千克/立方米-原料</w:t>
                  </w:r>
                </w:p>
              </w:tc>
              <w:tc>
                <w:tcPr>
                  <w:tcW w:w="1380" w:type="dxa"/>
                  <w:tcBorders>
                    <w:tl2br w:val="nil"/>
                    <w:tr2bl w:val="nil"/>
                  </w:tcBorders>
                  <w:noWrap w:val="0"/>
                  <w:vAlign w:val="center"/>
                </w:tcPr>
                <w:p w14:paraId="78E8DD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0.000002S①</w:t>
                  </w:r>
                </w:p>
              </w:tc>
            </w:tr>
            <w:tr w14:paraId="0E07D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14:paraId="06129FA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73" w:type="dxa"/>
                  <w:vMerge w:val="continue"/>
                  <w:tcBorders>
                    <w:tl2br w:val="nil"/>
                    <w:tr2bl w:val="nil"/>
                  </w:tcBorders>
                  <w:noWrap w:val="0"/>
                  <w:vAlign w:val="center"/>
                </w:tcPr>
                <w:p w14:paraId="21084A9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2" w:type="dxa"/>
                  <w:vMerge w:val="continue"/>
                  <w:tcBorders>
                    <w:tl2br w:val="nil"/>
                    <w:tr2bl w:val="nil"/>
                  </w:tcBorders>
                  <w:noWrap w:val="0"/>
                  <w:vAlign w:val="center"/>
                </w:tcPr>
                <w:p w14:paraId="5B9EF42E">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061" w:type="dxa"/>
                  <w:vMerge w:val="continue"/>
                  <w:tcBorders>
                    <w:tl2br w:val="nil"/>
                    <w:tr2bl w:val="nil"/>
                  </w:tcBorders>
                  <w:noWrap w:val="0"/>
                  <w:vAlign w:val="center"/>
                </w:tcPr>
                <w:p w14:paraId="2AD159E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15" w:type="dxa"/>
                  <w:tcBorders>
                    <w:tl2br w:val="nil"/>
                    <w:tr2bl w:val="nil"/>
                  </w:tcBorders>
                  <w:noWrap w:val="0"/>
                  <w:vAlign w:val="center"/>
                </w:tcPr>
                <w:p w14:paraId="1FDA687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p>
              </w:tc>
              <w:tc>
                <w:tcPr>
                  <w:tcW w:w="1166" w:type="dxa"/>
                  <w:tcBorders>
                    <w:tl2br w:val="nil"/>
                    <w:tr2bl w:val="nil"/>
                  </w:tcBorders>
                  <w:noWrap w:val="0"/>
                  <w:vAlign w:val="center"/>
                </w:tcPr>
                <w:p w14:paraId="7054E8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千克/立方米-原料</w:t>
                  </w:r>
                </w:p>
              </w:tc>
              <w:tc>
                <w:tcPr>
                  <w:tcW w:w="1380" w:type="dxa"/>
                  <w:tcBorders>
                    <w:tl2br w:val="nil"/>
                    <w:tr2bl w:val="nil"/>
                  </w:tcBorders>
                  <w:noWrap w:val="0"/>
                  <w:vAlign w:val="center"/>
                </w:tcPr>
                <w:p w14:paraId="2EAFCA4E">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0.00187</w:t>
                  </w:r>
                </w:p>
              </w:tc>
            </w:tr>
          </w:tbl>
          <w:p w14:paraId="51644015">
            <w:pPr>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1"/>
                <w:szCs w:val="21"/>
                <w:lang w:val="en-US" w:eastAsia="zh-CN"/>
              </w:rPr>
              <w:t>注：产排污系数表中二氧化硫的产排污系数是以含硫量（S）的形式表示的，其中含硫量（S）是指燃气收到基硫分含量，单位为毫克/立方米。根据《天然气》（GB17820-2018），本项目天然气属于一类，总硫含量为20毫克/立方米，则S=20。</w:t>
            </w:r>
          </w:p>
          <w:p w14:paraId="7EB9CA2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根据企业提供资料，天然气使用量为6万m³。则天然气燃烧废气产排情况见表4-3。</w:t>
            </w:r>
          </w:p>
          <w:p w14:paraId="1D2C67A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表4-3  天然气燃烧废气污染物产生和排放情况</w:t>
            </w:r>
          </w:p>
          <w:tbl>
            <w:tblPr>
              <w:tblStyle w:val="31"/>
              <w:tblW w:w="81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1356"/>
              <w:gridCol w:w="1356"/>
              <w:gridCol w:w="1356"/>
              <w:gridCol w:w="1356"/>
              <w:gridCol w:w="1357"/>
            </w:tblGrid>
            <w:tr w14:paraId="6498A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l2br w:val="nil"/>
                    <w:tr2bl w:val="nil"/>
                  </w:tcBorders>
                  <w:noWrap w:val="0"/>
                  <w:vAlign w:val="center"/>
                </w:tcPr>
                <w:p w14:paraId="7AB31765">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污染源</w:t>
                  </w:r>
                </w:p>
              </w:tc>
              <w:tc>
                <w:tcPr>
                  <w:tcW w:w="1356" w:type="dxa"/>
                  <w:vMerge w:val="restart"/>
                  <w:tcBorders>
                    <w:tl2br w:val="nil"/>
                    <w:tr2bl w:val="nil"/>
                  </w:tcBorders>
                  <w:noWrap w:val="0"/>
                  <w:vAlign w:val="center"/>
                </w:tcPr>
                <w:p w14:paraId="09D7D7D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2712" w:type="dxa"/>
                  <w:gridSpan w:val="2"/>
                  <w:tcBorders>
                    <w:tl2br w:val="nil"/>
                    <w:tr2bl w:val="nil"/>
                  </w:tcBorders>
                  <w:noWrap w:val="0"/>
                  <w:vAlign w:val="center"/>
                </w:tcPr>
                <w:p w14:paraId="3C73E8F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产生情况</w:t>
                  </w:r>
                </w:p>
              </w:tc>
              <w:tc>
                <w:tcPr>
                  <w:tcW w:w="2713" w:type="dxa"/>
                  <w:gridSpan w:val="2"/>
                  <w:tcBorders>
                    <w:tl2br w:val="nil"/>
                    <w:tr2bl w:val="nil"/>
                  </w:tcBorders>
                  <w:noWrap w:val="0"/>
                  <w:vAlign w:val="center"/>
                </w:tcPr>
                <w:p w14:paraId="2F2DB6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排放情况</w:t>
                  </w:r>
                </w:p>
              </w:tc>
            </w:tr>
            <w:tr w14:paraId="116D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6BF37BF5">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vMerge w:val="continue"/>
                  <w:tcBorders>
                    <w:tl2br w:val="nil"/>
                    <w:tr2bl w:val="nil"/>
                  </w:tcBorders>
                  <w:noWrap w:val="0"/>
                  <w:vAlign w:val="center"/>
                </w:tcPr>
                <w:p w14:paraId="28FEF78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4233F2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产生量（t/a）</w:t>
                  </w:r>
                </w:p>
              </w:tc>
              <w:tc>
                <w:tcPr>
                  <w:tcW w:w="1356" w:type="dxa"/>
                  <w:tcBorders>
                    <w:tl2br w:val="nil"/>
                    <w:tr2bl w:val="nil"/>
                  </w:tcBorders>
                  <w:noWrap w:val="0"/>
                  <w:vAlign w:val="center"/>
                </w:tcPr>
                <w:p w14:paraId="631A6B9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产生浓度（㎎/m³）</w:t>
                  </w:r>
                </w:p>
              </w:tc>
              <w:tc>
                <w:tcPr>
                  <w:tcW w:w="1356" w:type="dxa"/>
                  <w:tcBorders>
                    <w:tl2br w:val="nil"/>
                    <w:tr2bl w:val="nil"/>
                  </w:tcBorders>
                  <w:noWrap w:val="0"/>
                  <w:vAlign w:val="center"/>
                </w:tcPr>
                <w:p w14:paraId="479C6E8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排放量（t/a）</w:t>
                  </w:r>
                </w:p>
              </w:tc>
              <w:tc>
                <w:tcPr>
                  <w:tcW w:w="1357" w:type="dxa"/>
                  <w:tcBorders>
                    <w:tl2br w:val="nil"/>
                    <w:tr2bl w:val="nil"/>
                  </w:tcBorders>
                  <w:noWrap w:val="0"/>
                  <w:vAlign w:val="center"/>
                </w:tcPr>
                <w:p w14:paraId="1370BFD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排放浓度（㎎/m³）</w:t>
                  </w:r>
                </w:p>
              </w:tc>
            </w:tr>
            <w:tr w14:paraId="448D7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l2br w:val="nil"/>
                    <w:tr2bl w:val="nil"/>
                  </w:tcBorders>
                  <w:noWrap w:val="0"/>
                  <w:vAlign w:val="center"/>
                </w:tcPr>
                <w:p w14:paraId="5199AFB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天然气燃烧废气（DA002）</w:t>
                  </w:r>
                </w:p>
              </w:tc>
              <w:tc>
                <w:tcPr>
                  <w:tcW w:w="1356" w:type="dxa"/>
                  <w:tcBorders>
                    <w:tl2br w:val="nil"/>
                    <w:tr2bl w:val="nil"/>
                  </w:tcBorders>
                  <w:noWrap w:val="0"/>
                  <w:vAlign w:val="center"/>
                </w:tcPr>
                <w:p w14:paraId="544BEAA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烟气量</w:t>
                  </w:r>
                </w:p>
              </w:tc>
              <w:tc>
                <w:tcPr>
                  <w:tcW w:w="1356" w:type="dxa"/>
                  <w:tcBorders>
                    <w:tl2br w:val="nil"/>
                    <w:tr2bl w:val="nil"/>
                  </w:tcBorders>
                  <w:noWrap w:val="0"/>
                  <w:vAlign w:val="center"/>
                </w:tcPr>
                <w:p w14:paraId="7906B6B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82万m³</w:t>
                  </w:r>
                </w:p>
              </w:tc>
              <w:tc>
                <w:tcPr>
                  <w:tcW w:w="1356" w:type="dxa"/>
                  <w:tcBorders>
                    <w:tl2br w:val="nil"/>
                    <w:tr2bl w:val="nil"/>
                  </w:tcBorders>
                  <w:noWrap w:val="0"/>
                  <w:vAlign w:val="center"/>
                </w:tcPr>
                <w:p w14:paraId="74A3F1B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1356" w:type="dxa"/>
                  <w:tcBorders>
                    <w:tl2br w:val="nil"/>
                    <w:tr2bl w:val="nil"/>
                  </w:tcBorders>
                  <w:noWrap w:val="0"/>
                  <w:vAlign w:val="center"/>
                </w:tcPr>
                <w:p w14:paraId="1275DD9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82万m³</w:t>
                  </w:r>
                </w:p>
              </w:tc>
              <w:tc>
                <w:tcPr>
                  <w:tcW w:w="1357" w:type="dxa"/>
                  <w:tcBorders>
                    <w:tl2br w:val="nil"/>
                    <w:tr2bl w:val="nil"/>
                  </w:tcBorders>
                  <w:noWrap w:val="0"/>
                  <w:vAlign w:val="center"/>
                </w:tcPr>
                <w:p w14:paraId="616E90E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DEC3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518B21D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6176186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356" w:type="dxa"/>
                  <w:tcBorders>
                    <w:tl2br w:val="nil"/>
                    <w:tr2bl w:val="nil"/>
                  </w:tcBorders>
                  <w:noWrap w:val="0"/>
                  <w:vAlign w:val="center"/>
                </w:tcPr>
                <w:p w14:paraId="6C649D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0.017</w:t>
                  </w:r>
                </w:p>
              </w:tc>
              <w:tc>
                <w:tcPr>
                  <w:tcW w:w="1356" w:type="dxa"/>
                  <w:tcBorders>
                    <w:tl2br w:val="nil"/>
                    <w:tr2bl w:val="nil"/>
                  </w:tcBorders>
                  <w:noWrap w:val="0"/>
                  <w:vAlign w:val="center"/>
                </w:tcPr>
                <w:p w14:paraId="6FEF4D0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20.73</w:t>
                  </w:r>
                </w:p>
              </w:tc>
              <w:tc>
                <w:tcPr>
                  <w:tcW w:w="1356" w:type="dxa"/>
                  <w:tcBorders>
                    <w:tl2br w:val="nil"/>
                    <w:tr2bl w:val="nil"/>
                  </w:tcBorders>
                  <w:noWrap w:val="0"/>
                  <w:vAlign w:val="center"/>
                </w:tcPr>
                <w:p w14:paraId="04D28C7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0.017</w:t>
                  </w:r>
                </w:p>
              </w:tc>
              <w:tc>
                <w:tcPr>
                  <w:tcW w:w="1357" w:type="dxa"/>
                  <w:tcBorders>
                    <w:tl2br w:val="nil"/>
                    <w:tr2bl w:val="nil"/>
                  </w:tcBorders>
                  <w:noWrap w:val="0"/>
                  <w:vAlign w:val="center"/>
                </w:tcPr>
                <w:p w14:paraId="0CD4C1B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20.73</w:t>
                  </w:r>
                </w:p>
              </w:tc>
            </w:tr>
            <w:tr w14:paraId="1BB36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603BA11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02438C5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黑体" w:cs="Times New Roman"/>
                      <w:bCs/>
                      <w:color w:val="auto"/>
                      <w:sz w:val="21"/>
                      <w:szCs w:val="21"/>
                      <w:lang w:val="en-US" w:eastAsia="zh-CN"/>
                    </w:rPr>
                    <w:t>SO</w:t>
                  </w:r>
                  <w:r>
                    <w:rPr>
                      <w:rFonts w:hint="eastAsia" w:ascii="Times New Roman" w:hAnsi="Times New Roman" w:eastAsia="黑体" w:cs="Times New Roman"/>
                      <w:bCs/>
                      <w:color w:val="auto"/>
                      <w:sz w:val="21"/>
                      <w:szCs w:val="21"/>
                      <w:vertAlign w:val="subscript"/>
                      <w:lang w:val="en-US" w:eastAsia="zh-CN"/>
                    </w:rPr>
                    <w:t>2</w:t>
                  </w:r>
                </w:p>
              </w:tc>
              <w:tc>
                <w:tcPr>
                  <w:tcW w:w="1356" w:type="dxa"/>
                  <w:tcBorders>
                    <w:tl2br w:val="nil"/>
                    <w:tr2bl w:val="nil"/>
                  </w:tcBorders>
                  <w:noWrap w:val="0"/>
                  <w:vAlign w:val="center"/>
                </w:tcPr>
                <w:p w14:paraId="7EE79ED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0.0024</w:t>
                  </w:r>
                </w:p>
              </w:tc>
              <w:tc>
                <w:tcPr>
                  <w:tcW w:w="1356" w:type="dxa"/>
                  <w:tcBorders>
                    <w:tl2br w:val="nil"/>
                    <w:tr2bl w:val="nil"/>
                  </w:tcBorders>
                  <w:noWrap w:val="0"/>
                  <w:vAlign w:val="center"/>
                </w:tcPr>
                <w:p w14:paraId="4BF258D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2.93</w:t>
                  </w:r>
                </w:p>
              </w:tc>
              <w:tc>
                <w:tcPr>
                  <w:tcW w:w="1356" w:type="dxa"/>
                  <w:tcBorders>
                    <w:tl2br w:val="nil"/>
                    <w:tr2bl w:val="nil"/>
                  </w:tcBorders>
                  <w:noWrap w:val="0"/>
                  <w:vAlign w:val="center"/>
                </w:tcPr>
                <w:p w14:paraId="37ED1E8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0.0024</w:t>
                  </w:r>
                </w:p>
              </w:tc>
              <w:tc>
                <w:tcPr>
                  <w:tcW w:w="1357" w:type="dxa"/>
                  <w:tcBorders>
                    <w:tl2br w:val="nil"/>
                    <w:tr2bl w:val="nil"/>
                  </w:tcBorders>
                  <w:noWrap w:val="0"/>
                  <w:vAlign w:val="center"/>
                </w:tcPr>
                <w:p w14:paraId="7DBBE03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2.93</w:t>
                  </w:r>
                </w:p>
              </w:tc>
            </w:tr>
            <w:tr w14:paraId="24763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l2br w:val="nil"/>
                    <w:tr2bl w:val="nil"/>
                  </w:tcBorders>
                  <w:noWrap w:val="0"/>
                  <w:vAlign w:val="center"/>
                </w:tcPr>
                <w:p w14:paraId="463EE35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56" w:type="dxa"/>
                  <w:tcBorders>
                    <w:tl2br w:val="nil"/>
                    <w:tr2bl w:val="nil"/>
                  </w:tcBorders>
                  <w:noWrap w:val="0"/>
                  <w:vAlign w:val="center"/>
                </w:tcPr>
                <w:p w14:paraId="2ADD79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黑体" w:cs="Times New Roman"/>
                      <w:bCs/>
                      <w:color w:val="auto"/>
                      <w:sz w:val="21"/>
                      <w:szCs w:val="21"/>
                      <w:lang w:val="en-US" w:eastAsia="zh-CN"/>
                    </w:rPr>
                    <w:t>NO</w:t>
                  </w:r>
                  <w:r>
                    <w:rPr>
                      <w:rFonts w:hint="eastAsia" w:ascii="Times New Roman" w:hAnsi="Times New Roman" w:eastAsia="黑体" w:cs="Times New Roman"/>
                      <w:bCs/>
                      <w:color w:val="auto"/>
                      <w:sz w:val="21"/>
                      <w:szCs w:val="21"/>
                      <w:vertAlign w:val="subscript"/>
                      <w:lang w:val="en-US" w:eastAsia="zh-CN"/>
                    </w:rPr>
                    <w:t>X</w:t>
                  </w:r>
                </w:p>
              </w:tc>
              <w:tc>
                <w:tcPr>
                  <w:tcW w:w="1356" w:type="dxa"/>
                  <w:tcBorders>
                    <w:tl2br w:val="nil"/>
                    <w:tr2bl w:val="nil"/>
                  </w:tcBorders>
                  <w:noWrap w:val="0"/>
                  <w:vAlign w:val="center"/>
                </w:tcPr>
                <w:p w14:paraId="6F1102D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0.112</w:t>
                  </w:r>
                </w:p>
              </w:tc>
              <w:tc>
                <w:tcPr>
                  <w:tcW w:w="1356" w:type="dxa"/>
                  <w:tcBorders>
                    <w:tl2br w:val="nil"/>
                    <w:tr2bl w:val="nil"/>
                  </w:tcBorders>
                  <w:noWrap w:val="0"/>
                  <w:vAlign w:val="center"/>
                </w:tcPr>
                <w:p w14:paraId="459FADB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136.59</w:t>
                  </w:r>
                </w:p>
              </w:tc>
              <w:tc>
                <w:tcPr>
                  <w:tcW w:w="1356" w:type="dxa"/>
                  <w:tcBorders>
                    <w:tl2br w:val="nil"/>
                    <w:tr2bl w:val="nil"/>
                  </w:tcBorders>
                  <w:noWrap w:val="0"/>
                  <w:vAlign w:val="center"/>
                </w:tcPr>
                <w:p w14:paraId="52F11EA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0.112</w:t>
                  </w:r>
                </w:p>
              </w:tc>
              <w:tc>
                <w:tcPr>
                  <w:tcW w:w="1357" w:type="dxa"/>
                  <w:tcBorders>
                    <w:tl2br w:val="nil"/>
                    <w:tr2bl w:val="nil"/>
                  </w:tcBorders>
                  <w:noWrap w:val="0"/>
                  <w:vAlign w:val="center"/>
                </w:tcPr>
                <w:p w14:paraId="0CCC349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136.59</w:t>
                  </w:r>
                </w:p>
              </w:tc>
            </w:tr>
          </w:tbl>
          <w:p w14:paraId="06FC1C8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污染物达标排放情况</w:t>
            </w:r>
          </w:p>
          <w:p w14:paraId="62FD4FDB">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w:t>
            </w:r>
            <w:r>
              <w:rPr>
                <w:rFonts w:hint="eastAsia" w:ascii="Times New Roman" w:hAnsi="Times New Roman" w:eastAsia="宋体" w:cs="Times New Roman"/>
                <w:b w:val="0"/>
                <w:bCs w:val="0"/>
                <w:color w:val="auto"/>
                <w:sz w:val="24"/>
                <w:lang w:val="en-US" w:eastAsia="zh-CN"/>
              </w:rPr>
              <w:t>废气主要为抛丸工序、焊接工序、切割、</w:t>
            </w:r>
            <w:r>
              <w:rPr>
                <w:rFonts w:hint="eastAsia" w:cs="Times New Roman"/>
                <w:b w:val="0"/>
                <w:bCs w:val="0"/>
                <w:color w:val="auto"/>
                <w:sz w:val="24"/>
                <w:lang w:val="en-US" w:eastAsia="zh-CN"/>
              </w:rPr>
              <w:t>喷粉</w:t>
            </w:r>
            <w:r>
              <w:rPr>
                <w:rFonts w:hint="eastAsia" w:ascii="Times New Roman" w:hAnsi="Times New Roman" w:eastAsia="宋体" w:cs="Times New Roman"/>
                <w:b w:val="0"/>
                <w:bCs w:val="0"/>
                <w:color w:val="auto"/>
                <w:sz w:val="24"/>
                <w:lang w:val="en-US" w:eastAsia="zh-CN"/>
              </w:rPr>
              <w:t>工序产生的颗粒物、固化工序产生的非甲烷总烃和天然气燃烧产生的颗粒物、二氧化硫、氮氧化物。</w:t>
            </w:r>
          </w:p>
          <w:p w14:paraId="5F999D2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val="0"/>
                <w:bCs w:val="0"/>
                <w:color w:val="auto"/>
                <w:sz w:val="24"/>
                <w:lang w:val="en-US" w:eastAsia="zh-CN"/>
              </w:rPr>
              <w:t>项目抛丸工序</w:t>
            </w:r>
            <w:r>
              <w:rPr>
                <w:rFonts w:hint="eastAsia" w:ascii="Times New Roman" w:hAnsi="Times New Roman" w:eastAsia="宋体" w:cs="Times New Roman"/>
                <w:color w:val="auto"/>
                <w:sz w:val="24"/>
                <w:lang w:val="en-US" w:eastAsia="zh-CN"/>
              </w:rPr>
              <w:t>在抛丸机设备内部进行，产生的粉尘分别由引风机直接收集至设备自带布袋除尘设施中进行预处理后进入滤筒除尘器，与焊接和激光切割工序产生的废气统一进行处理后通过15米排气筒（DA001）高空排放。经前文核算，颗粒物有组织排放量共计0.</w:t>
            </w:r>
            <w:r>
              <w:rPr>
                <w:rFonts w:hint="eastAsia" w:cs="Times New Roman"/>
                <w:color w:val="auto"/>
                <w:sz w:val="24"/>
                <w:lang w:val="en-US" w:eastAsia="zh-CN"/>
              </w:rPr>
              <w:t>0705</w:t>
            </w:r>
            <w:r>
              <w:rPr>
                <w:rFonts w:hint="eastAsia" w:ascii="Times New Roman" w:hAnsi="Times New Roman" w:eastAsia="宋体" w:cs="Times New Roman"/>
                <w:color w:val="auto"/>
                <w:sz w:val="24"/>
                <w:lang w:val="en-US" w:eastAsia="zh-CN"/>
              </w:rPr>
              <w:t>t/a，排放速率为0.04</w:t>
            </w:r>
            <w:r>
              <w:rPr>
                <w:rFonts w:hint="eastAsia" w:cs="Times New Roman"/>
                <w:color w:val="auto"/>
                <w:sz w:val="24"/>
                <w:lang w:val="en-US" w:eastAsia="zh-CN"/>
              </w:rPr>
              <w:t>7</w:t>
            </w:r>
            <w:r>
              <w:rPr>
                <w:rFonts w:hint="default" w:ascii="Times New Roman" w:hAnsi="Times New Roman" w:eastAsia="宋体" w:cs="Times New Roman"/>
                <w:b w:val="0"/>
                <w:bCs w:val="0"/>
                <w:color w:val="auto"/>
                <w:sz w:val="24"/>
                <w:lang w:val="en-US" w:eastAsia="zh-CN"/>
              </w:rPr>
              <w:t>kg/h</w:t>
            </w:r>
            <w:r>
              <w:rPr>
                <w:rFonts w:hint="eastAsia" w:ascii="Times New Roman" w:hAnsi="Times New Roman" w:eastAsia="宋体" w:cs="Times New Roman"/>
                <w:color w:val="auto"/>
                <w:sz w:val="24"/>
                <w:lang w:val="en-US" w:eastAsia="zh-CN"/>
              </w:rPr>
              <w:t>，排放浓度为4</w:t>
            </w:r>
            <w:r>
              <w:rPr>
                <w:rFonts w:hint="eastAsia" w:cs="Times New Roman"/>
                <w:color w:val="auto"/>
                <w:sz w:val="24"/>
                <w:lang w:val="en-US" w:eastAsia="zh-CN"/>
              </w:rPr>
              <w:t>.7</w:t>
            </w:r>
            <w:r>
              <w:rPr>
                <w:rFonts w:hint="default" w:ascii="Times New Roman" w:hAnsi="Times New Roman" w:eastAsia="宋体" w:cs="Times New Roman"/>
                <w:b w:val="0"/>
                <w:bCs w:val="0"/>
                <w:color w:val="auto"/>
                <w:sz w:val="24"/>
                <w:lang w:val="en-US" w:eastAsia="zh-CN"/>
              </w:rPr>
              <w:t>mg/m³</w:t>
            </w:r>
            <w:r>
              <w:rPr>
                <w:rFonts w:hint="eastAsia" w:ascii="Times New Roman" w:hAnsi="Times New Roman" w:eastAsia="宋体" w:cs="Times New Roman"/>
                <w:b w:val="0"/>
                <w:bCs w:val="0"/>
                <w:color w:val="auto"/>
                <w:sz w:val="24"/>
                <w:lang w:val="en-US" w:eastAsia="zh-CN"/>
              </w:rPr>
              <w:t>。</w:t>
            </w:r>
            <w:r>
              <w:rPr>
                <w:rFonts w:hint="eastAsia" w:ascii="Times New Roman" w:hAnsi="Times New Roman" w:eastAsia="宋体" w:cs="Times New Roman"/>
                <w:color w:val="auto"/>
                <w:sz w:val="24"/>
                <w:lang w:val="en-US" w:eastAsia="zh-CN"/>
              </w:rPr>
              <w:t>排放浓度</w:t>
            </w:r>
            <w:r>
              <w:rPr>
                <w:rFonts w:hint="default" w:ascii="Times New Roman" w:hAnsi="Times New Roman" w:eastAsia="宋体" w:cs="Times New Roman"/>
                <w:color w:val="auto"/>
                <w:sz w:val="24"/>
                <w:lang w:val="en-US" w:eastAsia="zh-CN"/>
              </w:rPr>
              <w:t>可满足《大气污染物综合排放标准》（GB162</w:t>
            </w:r>
            <w:r>
              <w:rPr>
                <w:rFonts w:hint="eastAsia" w:ascii="Times New Roman" w:hAnsi="Times New Roman" w:eastAsia="宋体" w:cs="Times New Roman"/>
                <w:color w:val="auto"/>
                <w:sz w:val="24"/>
                <w:lang w:val="en-US" w:eastAsia="zh-CN"/>
              </w:rPr>
              <w:t>97</w:t>
            </w:r>
            <w:r>
              <w:rPr>
                <w:rFonts w:hint="default" w:ascii="Times New Roman" w:hAnsi="Times New Roman" w:eastAsia="宋体" w:cs="Times New Roman"/>
                <w:color w:val="auto"/>
                <w:sz w:val="24"/>
                <w:lang w:val="en-US" w:eastAsia="zh-CN"/>
              </w:rPr>
              <w:t>-1996）表2中有组织排放标准限值。</w:t>
            </w:r>
          </w:p>
          <w:p w14:paraId="34DF8F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固化工序产生的非甲烷总烃经收集后通过二级活性炭吸附处理，由1根15米排气筒（DA002）高空排放。经前文核算，非甲烷总烃有组织排放量为0.16t/a，排放速率为0.</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kg/h，排放浓度为</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mg/m³。排放浓度可满足《重污染天气重点行业应急减排措施制定技术指南》（环办大气函【2020】（340）号）A级排放限值、《挥发性有机物排放控制标准》（DB61/T1061-2017）表1中表面涂装行业最高允许排放浓度。</w:t>
            </w:r>
          </w:p>
          <w:p w14:paraId="5AE1DE0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天然气燃烧废气经低氮燃烧处理后由1根15米排气筒（DA002）高空排放。经前文核算，颗粒物、二氧化硫、氮氧化物排放量分别为：0.17t/a、0.0</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24t/a、0.112t/a，排放浓度分别为20.73mg/m³、2.93mg/m³、136.59mg/m³，满足</w:t>
            </w:r>
            <w:r>
              <w:rPr>
                <w:rFonts w:hint="default" w:ascii="Times New Roman" w:hAnsi="Times New Roman" w:eastAsia="宋体" w:cs="Times New Roman"/>
                <w:color w:val="auto"/>
                <w:sz w:val="24"/>
                <w:lang w:val="en-US" w:eastAsia="zh-CN"/>
              </w:rPr>
              <w:t>《工业炉窑大气污染综合治理方案》</w:t>
            </w:r>
            <w:r>
              <w:rPr>
                <w:rFonts w:hint="eastAsia" w:ascii="Times New Roman" w:hAnsi="Times New Roman" w:eastAsia="宋体" w:cs="Times New Roman"/>
                <w:color w:val="auto"/>
                <w:sz w:val="24"/>
                <w:lang w:val="en-US" w:eastAsia="zh-CN"/>
              </w:rPr>
              <w:t>（环大气</w:t>
            </w:r>
            <w:r>
              <w:rPr>
                <w:rFonts w:hint="eastAsia" w:cs="Times New Roman"/>
                <w:color w:val="auto"/>
                <w:sz w:val="24"/>
                <w:lang w:val="en-US" w:eastAsia="zh-CN"/>
              </w:rPr>
              <w:t>〔2019〕56号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中</w:t>
            </w:r>
            <w:r>
              <w:rPr>
                <w:rFonts w:hint="eastAsia" w:ascii="Times New Roman" w:hAnsi="Times New Roman" w:eastAsia="宋体" w:cs="Times New Roman"/>
                <w:color w:val="auto"/>
                <w:sz w:val="24"/>
                <w:lang w:val="en-US" w:eastAsia="zh-CN"/>
              </w:rPr>
              <w:t>相应管控要求（颗粒物30mg/m³、二氧化硫20mg/m³、氮氧化物300mg/m³）</w:t>
            </w:r>
          </w:p>
          <w:p w14:paraId="7935326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本项目无组织废气主要为</w:t>
            </w:r>
            <w:r>
              <w:rPr>
                <w:rFonts w:hint="eastAsia" w:ascii="Times New Roman" w:hAnsi="Times New Roman" w:eastAsia="宋体" w:cs="Times New Roman"/>
                <w:color w:val="auto"/>
                <w:sz w:val="24"/>
                <w:lang w:val="en-US" w:eastAsia="zh-CN"/>
              </w:rPr>
              <w:t>切割</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焊接和</w:t>
            </w:r>
            <w:r>
              <w:rPr>
                <w:rFonts w:hint="eastAsia" w:cs="Times New Roman"/>
                <w:color w:val="auto"/>
                <w:sz w:val="24"/>
                <w:lang w:val="en-US" w:eastAsia="zh-CN"/>
              </w:rPr>
              <w:t>喷粉</w:t>
            </w:r>
            <w:r>
              <w:rPr>
                <w:rFonts w:hint="eastAsia" w:ascii="Times New Roman" w:hAnsi="Times New Roman" w:eastAsia="宋体" w:cs="Times New Roman"/>
                <w:color w:val="auto"/>
                <w:sz w:val="24"/>
                <w:lang w:val="en-US" w:eastAsia="zh-CN"/>
              </w:rPr>
              <w:t>工序</w:t>
            </w:r>
            <w:r>
              <w:rPr>
                <w:rFonts w:hint="default" w:ascii="Times New Roman" w:hAnsi="Times New Roman" w:eastAsia="宋体" w:cs="Times New Roman"/>
                <w:color w:val="auto"/>
                <w:sz w:val="24"/>
                <w:lang w:val="en-US" w:eastAsia="zh-CN"/>
              </w:rPr>
              <w:t>未收集部分，本项目废气未收集部分无组织排放。本项目设置密闭厂房，硬化厂区道路和作业场地等措施后有效降低本项目无组织废气的排放量</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由于金属颗粒物质量较重，有车间厂房阻拦，颗粒物散落范围很小，多在5m以内，飘逸至车间外环境的金属颗粒物极少，根据对《大气污染物综合排放标准》（GB16297-1996）复核调研和国家环保总局《大气污染物排放达标技术指南》课题调查资料表明，调研的国内6个机加工企业，各种设备周围5m处，金属颗粒物浓度在0.3～0.95mg/</w:t>
            </w:r>
            <w:r>
              <w:rPr>
                <w:rFonts w:hint="eastAsia" w:ascii="Times New Roman" w:hAnsi="Times New Roman" w:eastAsia="宋体" w:cs="Times New Roman"/>
                <w:color w:val="auto"/>
                <w:sz w:val="24"/>
                <w:lang w:val="en-US" w:eastAsia="zh-CN"/>
              </w:rPr>
              <w:t>m³</w:t>
            </w:r>
            <w:r>
              <w:rPr>
                <w:rFonts w:hint="default" w:ascii="Times New Roman" w:hAnsi="Times New Roman" w:eastAsia="宋体" w:cs="Times New Roman"/>
                <w:color w:val="auto"/>
                <w:sz w:val="24"/>
                <w:lang w:val="en-US" w:eastAsia="zh-CN"/>
              </w:rPr>
              <w:t>，平均浓度为0.61mg/</w:t>
            </w:r>
            <w:r>
              <w:rPr>
                <w:rFonts w:hint="eastAsia" w:cs="Times New Roman"/>
                <w:color w:val="auto"/>
                <w:sz w:val="24"/>
                <w:lang w:val="en-US" w:eastAsia="zh-CN"/>
              </w:rPr>
              <w:t>m³</w:t>
            </w:r>
            <w:r>
              <w:rPr>
                <w:rFonts w:hint="default" w:ascii="Times New Roman" w:hAnsi="Times New Roman" w:eastAsia="宋体" w:cs="Times New Roman"/>
                <w:color w:val="auto"/>
                <w:sz w:val="24"/>
                <w:lang w:val="en-US" w:eastAsia="zh-CN"/>
              </w:rPr>
              <w:t>，颗粒物通过车间通风，并经车间厂房阻拦后，厂界颗粒物无组织排放监控点达标，排放浓度＜1.0mg/m³标准限值。对周围空气环境质量产生影响很小。满足《大气污染物综合排放标准》（GB162</w:t>
            </w:r>
            <w:r>
              <w:rPr>
                <w:rFonts w:hint="eastAsia" w:ascii="Times New Roman" w:hAnsi="Times New Roman" w:eastAsia="宋体" w:cs="Times New Roman"/>
                <w:color w:val="auto"/>
                <w:sz w:val="24"/>
                <w:lang w:val="en-US" w:eastAsia="zh-CN"/>
              </w:rPr>
              <w:t>97</w:t>
            </w:r>
            <w:r>
              <w:rPr>
                <w:rFonts w:hint="default" w:ascii="Times New Roman" w:hAnsi="Times New Roman" w:eastAsia="宋体" w:cs="Times New Roman"/>
                <w:color w:val="auto"/>
                <w:sz w:val="24"/>
                <w:lang w:val="en-US" w:eastAsia="zh-CN"/>
              </w:rPr>
              <w:t>-1996）表2中无组织排放限值要求。</w:t>
            </w:r>
          </w:p>
          <w:p w14:paraId="2C5F1D2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废气治理设施可行性分析</w:t>
            </w:r>
          </w:p>
          <w:p w14:paraId="460A345E">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参照</w:t>
            </w:r>
            <w:r>
              <w:rPr>
                <w:rFonts w:hint="default" w:ascii="Times New Roman" w:hAnsi="Times New Roman" w:eastAsia="宋体" w:cs="Times New Roman"/>
                <w:color w:val="auto"/>
                <w:sz w:val="24"/>
                <w:lang w:val="en-US" w:eastAsia="zh-CN"/>
              </w:rPr>
              <w:t>《排污许可证申请与核发技术规范 通用设备、专用设备、仪器仪表及其他制造业》（DB61/T 1356-2020）中</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表A.</w:t>
            </w:r>
            <w:r>
              <w:rPr>
                <w:rFonts w:hint="eastAsia" w:ascii="Times New Roman" w:hAnsi="Times New Roman" w:eastAsia="宋体" w:cs="Times New Roman"/>
                <w:color w:val="auto"/>
                <w:sz w:val="24"/>
                <w:lang w:val="en-US" w:eastAsia="zh-CN"/>
              </w:rPr>
              <w:t>3排污单位废气污染防治可行技术”以及《排放源统计调查产排污核算方法和系数手册》中33-37,431-434机械行业中14涂装的产排污系数表与本项目各废气处理技术对比，均属于可行技术，具体如下表所示：</w:t>
            </w:r>
          </w:p>
          <w:p w14:paraId="2297CB5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推荐可行技术与本项目废气治理措施对比一览表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677"/>
              <w:gridCol w:w="1268"/>
              <w:gridCol w:w="1539"/>
              <w:gridCol w:w="1708"/>
              <w:gridCol w:w="852"/>
            </w:tblGrid>
            <w:tr w14:paraId="6C50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0" w:type="pct"/>
                  <w:gridSpan w:val="4"/>
                  <w:tcBorders>
                    <w:tl2br w:val="nil"/>
                    <w:tr2bl w:val="nil"/>
                  </w:tcBorders>
                  <w:noWrap w:val="0"/>
                  <w:vAlign w:val="center"/>
                </w:tcPr>
                <w:p w14:paraId="3EBE3E6A">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表A.</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排污单位废气污染防治</w:t>
                  </w:r>
                  <w:r>
                    <w:rPr>
                      <w:rFonts w:hint="default" w:ascii="Times New Roman" w:hAnsi="Times New Roman" w:cs="Times New Roman"/>
                      <w:color w:val="auto"/>
                      <w:sz w:val="21"/>
                      <w:szCs w:val="21"/>
                      <w:highlight w:val="none"/>
                      <w:lang w:val="en-US" w:eastAsia="zh-CN"/>
                    </w:rPr>
                    <w:t>可行技术</w:t>
                  </w:r>
                </w:p>
              </w:tc>
              <w:tc>
                <w:tcPr>
                  <w:tcW w:w="1569" w:type="pct"/>
                  <w:gridSpan w:val="2"/>
                  <w:tcBorders>
                    <w:tl2br w:val="nil"/>
                    <w:tr2bl w:val="nil"/>
                  </w:tcBorders>
                  <w:noWrap w:val="0"/>
                  <w:vAlign w:val="center"/>
                </w:tcPr>
                <w:p w14:paraId="7969FB3D">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w:t>
                  </w:r>
                </w:p>
              </w:tc>
            </w:tr>
            <w:tr w14:paraId="0FCF3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95DDE75">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生产单元</w:t>
                  </w:r>
                </w:p>
              </w:tc>
              <w:tc>
                <w:tcPr>
                  <w:tcW w:w="1028" w:type="pct"/>
                  <w:tcBorders>
                    <w:tl2br w:val="nil"/>
                    <w:tr2bl w:val="nil"/>
                  </w:tcBorders>
                  <w:noWrap w:val="0"/>
                  <w:vAlign w:val="center"/>
                </w:tcPr>
                <w:p w14:paraId="29CFB139">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主要生产设施名称</w:t>
                  </w:r>
                </w:p>
              </w:tc>
              <w:tc>
                <w:tcPr>
                  <w:tcW w:w="777" w:type="pct"/>
                  <w:tcBorders>
                    <w:tl2br w:val="nil"/>
                    <w:tr2bl w:val="nil"/>
                  </w:tcBorders>
                  <w:noWrap w:val="0"/>
                  <w:vAlign w:val="center"/>
                </w:tcPr>
                <w:p w14:paraId="7A76D42E">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大气污染物</w:t>
                  </w:r>
                </w:p>
              </w:tc>
              <w:tc>
                <w:tcPr>
                  <w:tcW w:w="943" w:type="pct"/>
                  <w:tcBorders>
                    <w:tl2br w:val="nil"/>
                    <w:tr2bl w:val="nil"/>
                  </w:tcBorders>
                  <w:noWrap w:val="0"/>
                  <w:vAlign w:val="center"/>
                </w:tcPr>
                <w:p w14:paraId="6A59456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推荐可行技术</w:t>
                  </w:r>
                </w:p>
              </w:tc>
              <w:tc>
                <w:tcPr>
                  <w:tcW w:w="1047" w:type="pct"/>
                  <w:tcBorders>
                    <w:tl2br w:val="nil"/>
                    <w:tr2bl w:val="nil"/>
                  </w:tcBorders>
                  <w:noWrap w:val="0"/>
                  <w:vAlign w:val="center"/>
                </w:tcPr>
                <w:p w14:paraId="2DB60F5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本项目治理措施</w:t>
                  </w:r>
                </w:p>
              </w:tc>
              <w:tc>
                <w:tcPr>
                  <w:tcW w:w="522" w:type="pct"/>
                  <w:tcBorders>
                    <w:tl2br w:val="nil"/>
                    <w:tr2bl w:val="nil"/>
                  </w:tcBorders>
                  <w:noWrap w:val="0"/>
                  <w:vAlign w:val="center"/>
                </w:tcPr>
                <w:p w14:paraId="48EAB00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可行性</w:t>
                  </w:r>
                </w:p>
              </w:tc>
            </w:tr>
            <w:tr w14:paraId="51369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65BC23C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下料</w:t>
                  </w:r>
                </w:p>
              </w:tc>
              <w:tc>
                <w:tcPr>
                  <w:tcW w:w="1028" w:type="pct"/>
                  <w:tcBorders>
                    <w:tl2br w:val="nil"/>
                    <w:tr2bl w:val="nil"/>
                  </w:tcBorders>
                  <w:noWrap w:val="0"/>
                  <w:vAlign w:val="center"/>
                </w:tcPr>
                <w:p w14:paraId="0F6A13C2">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各种切割设备</w:t>
                  </w:r>
                </w:p>
              </w:tc>
              <w:tc>
                <w:tcPr>
                  <w:tcW w:w="777" w:type="pct"/>
                  <w:tcBorders>
                    <w:tl2br w:val="nil"/>
                    <w:tr2bl w:val="nil"/>
                  </w:tcBorders>
                  <w:noWrap w:val="0"/>
                  <w:vAlign w:val="center"/>
                </w:tcPr>
                <w:p w14:paraId="77762A61">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6B5101E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16E9E6C9">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2" w:type="pct"/>
                  <w:tcBorders>
                    <w:tl2br w:val="nil"/>
                    <w:tr2bl w:val="nil"/>
                  </w:tcBorders>
                  <w:noWrap w:val="0"/>
                  <w:vAlign w:val="center"/>
                </w:tcPr>
                <w:p w14:paraId="5B136919">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1944E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5329048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焊接</w:t>
                  </w:r>
                </w:p>
              </w:tc>
              <w:tc>
                <w:tcPr>
                  <w:tcW w:w="1028" w:type="pct"/>
                  <w:tcBorders>
                    <w:tl2br w:val="nil"/>
                    <w:tr2bl w:val="nil"/>
                  </w:tcBorders>
                  <w:noWrap w:val="0"/>
                  <w:vAlign w:val="center"/>
                </w:tcPr>
                <w:p w14:paraId="53466F8F">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氩弧焊机、手工电弧焊机、二氧化碳保护焊机、等离子焊机、激光焊机、钎焊机等</w:t>
                  </w:r>
                </w:p>
              </w:tc>
              <w:tc>
                <w:tcPr>
                  <w:tcW w:w="777" w:type="pct"/>
                  <w:tcBorders>
                    <w:tl2br w:val="nil"/>
                    <w:tr2bl w:val="nil"/>
                  </w:tcBorders>
                  <w:noWrap w:val="0"/>
                  <w:vAlign w:val="center"/>
                </w:tcPr>
                <w:p w14:paraId="775DCB1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4B8745F0">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50029C3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2" w:type="pct"/>
                  <w:tcBorders>
                    <w:tl2br w:val="nil"/>
                    <w:tr2bl w:val="nil"/>
                  </w:tcBorders>
                  <w:noWrap w:val="0"/>
                  <w:vAlign w:val="center"/>
                </w:tcPr>
                <w:p w14:paraId="249036C6">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64D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E3F1A9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预处理</w:t>
                  </w:r>
                </w:p>
              </w:tc>
              <w:tc>
                <w:tcPr>
                  <w:tcW w:w="1028" w:type="pct"/>
                  <w:tcBorders>
                    <w:tl2br w:val="nil"/>
                    <w:tr2bl w:val="nil"/>
                  </w:tcBorders>
                  <w:noWrap w:val="0"/>
                  <w:vAlign w:val="center"/>
                </w:tcPr>
                <w:p w14:paraId="72795C54">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抛丸、打磨、喷砂</w:t>
                  </w:r>
                </w:p>
              </w:tc>
              <w:tc>
                <w:tcPr>
                  <w:tcW w:w="777" w:type="pct"/>
                  <w:tcBorders>
                    <w:tl2br w:val="nil"/>
                    <w:tr2bl w:val="nil"/>
                  </w:tcBorders>
                  <w:noWrap w:val="0"/>
                  <w:vAlign w:val="center"/>
                </w:tcPr>
                <w:p w14:paraId="7DCAA024">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3EE75C77">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袋式除尘、湿式除尘</w:t>
                  </w:r>
                </w:p>
              </w:tc>
              <w:tc>
                <w:tcPr>
                  <w:tcW w:w="1047" w:type="pct"/>
                  <w:tcBorders>
                    <w:tl2br w:val="nil"/>
                    <w:tr2bl w:val="nil"/>
                  </w:tcBorders>
                  <w:noWrap w:val="0"/>
                  <w:vAlign w:val="center"/>
                </w:tcPr>
                <w:p w14:paraId="01A6C73A">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袋式除尘+</w:t>
                  </w: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2" w:type="pct"/>
                  <w:tcBorders>
                    <w:tl2br w:val="nil"/>
                    <w:tr2bl w:val="nil"/>
                  </w:tcBorders>
                  <w:noWrap w:val="0"/>
                  <w:vAlign w:val="center"/>
                </w:tcPr>
                <w:p w14:paraId="5D11F7C0">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351AC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restart"/>
                  <w:tcBorders>
                    <w:tl2br w:val="nil"/>
                    <w:tr2bl w:val="nil"/>
                  </w:tcBorders>
                  <w:noWrap w:val="0"/>
                  <w:vAlign w:val="center"/>
                </w:tcPr>
                <w:p w14:paraId="02FD9600">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涂装</w:t>
                  </w:r>
                </w:p>
              </w:tc>
              <w:tc>
                <w:tcPr>
                  <w:tcW w:w="1028" w:type="pct"/>
                  <w:tcBorders>
                    <w:tl2br w:val="nil"/>
                    <w:tr2bl w:val="nil"/>
                  </w:tcBorders>
                  <w:noWrap w:val="0"/>
                  <w:vAlign w:val="center"/>
                </w:tcPr>
                <w:p w14:paraId="2F094AB2">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粉末喷涂室</w:t>
                  </w:r>
                </w:p>
              </w:tc>
              <w:tc>
                <w:tcPr>
                  <w:tcW w:w="777" w:type="pct"/>
                  <w:tcBorders>
                    <w:tl2br w:val="nil"/>
                    <w:tr2bl w:val="nil"/>
                  </w:tcBorders>
                  <w:noWrap w:val="0"/>
                  <w:vAlign w:val="center"/>
                </w:tcPr>
                <w:p w14:paraId="059A7088">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20E86459">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w:t>
                  </w:r>
                  <w:r>
                    <w:rPr>
                      <w:rFonts w:hint="eastAsia" w:ascii="Times New Roman" w:hAnsi="Times New Roman" w:cs="Times New Roman"/>
                      <w:b w:val="0"/>
                      <w:bCs w:val="0"/>
                      <w:color w:val="auto"/>
                      <w:sz w:val="21"/>
                      <w:szCs w:val="21"/>
                      <w:highlight w:val="none"/>
                      <w:vertAlign w:val="baseline"/>
                      <w:lang w:val="en-US" w:eastAsia="zh-CN"/>
                    </w:rPr>
                    <w:t>、滤筒/滤芯过滤/旋风/多管旋风</w:t>
                  </w:r>
                </w:p>
              </w:tc>
              <w:tc>
                <w:tcPr>
                  <w:tcW w:w="1047" w:type="pct"/>
                  <w:tcBorders>
                    <w:tl2br w:val="nil"/>
                    <w:tr2bl w:val="nil"/>
                  </w:tcBorders>
                  <w:noWrap w:val="0"/>
                  <w:vAlign w:val="center"/>
                </w:tcPr>
                <w:p w14:paraId="65BCC5DD">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大旋风除尘器</w:t>
                  </w:r>
                </w:p>
              </w:tc>
              <w:tc>
                <w:tcPr>
                  <w:tcW w:w="522" w:type="pct"/>
                  <w:tcBorders>
                    <w:tl2br w:val="nil"/>
                    <w:tr2bl w:val="nil"/>
                  </w:tcBorders>
                  <w:noWrap w:val="0"/>
                  <w:vAlign w:val="center"/>
                </w:tcPr>
                <w:p w14:paraId="7CB6975D">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C5E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l2br w:val="nil"/>
                    <w:tr2bl w:val="nil"/>
                  </w:tcBorders>
                  <w:noWrap w:val="0"/>
                  <w:vAlign w:val="center"/>
                </w:tcPr>
                <w:p w14:paraId="44C17C98">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28" w:type="pct"/>
                  <w:tcBorders>
                    <w:tl2br w:val="nil"/>
                    <w:tr2bl w:val="nil"/>
                  </w:tcBorders>
                  <w:noWrap w:val="0"/>
                  <w:vAlign w:val="center"/>
                </w:tcPr>
                <w:p w14:paraId="2355D365">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喷粉</w:t>
                  </w:r>
                  <w:r>
                    <w:rPr>
                      <w:rFonts w:hint="eastAsia" w:ascii="Times New Roman" w:hAnsi="Times New Roman" w:cs="Times New Roman"/>
                      <w:b w:val="0"/>
                      <w:bCs w:val="0"/>
                      <w:color w:val="auto"/>
                      <w:sz w:val="21"/>
                      <w:szCs w:val="21"/>
                      <w:highlight w:val="none"/>
                      <w:vertAlign w:val="baseline"/>
                      <w:lang w:val="en-US" w:eastAsia="zh-CN"/>
                    </w:rPr>
                    <w:t>后烘干</w:t>
                  </w:r>
                </w:p>
              </w:tc>
              <w:tc>
                <w:tcPr>
                  <w:tcW w:w="777" w:type="pct"/>
                  <w:tcBorders>
                    <w:tl2br w:val="nil"/>
                    <w:tr2bl w:val="nil"/>
                  </w:tcBorders>
                  <w:noWrap w:val="0"/>
                  <w:vAlign w:val="center"/>
                </w:tcPr>
                <w:p w14:paraId="7214D93B">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挥发性有机物</w:t>
                  </w:r>
                </w:p>
              </w:tc>
              <w:tc>
                <w:tcPr>
                  <w:tcW w:w="943" w:type="pct"/>
                  <w:tcBorders>
                    <w:tl2br w:val="nil"/>
                    <w:tr2bl w:val="nil"/>
                  </w:tcBorders>
                  <w:noWrap w:val="0"/>
                  <w:vAlign w:val="center"/>
                </w:tcPr>
                <w:p w14:paraId="232606FE">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吸附/浓缩+热力燃烧/催化燃烧、热力焚烧/催化焚烧、吸附/热力燃烧法</w:t>
                  </w:r>
                </w:p>
              </w:tc>
              <w:tc>
                <w:tcPr>
                  <w:tcW w:w="1047" w:type="pct"/>
                  <w:tcBorders>
                    <w:tl2br w:val="nil"/>
                    <w:tr2bl w:val="nil"/>
                  </w:tcBorders>
                  <w:noWrap w:val="0"/>
                  <w:vAlign w:val="center"/>
                </w:tcPr>
                <w:p w14:paraId="3462869A">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二级活性炭吸附</w:t>
                  </w:r>
                </w:p>
              </w:tc>
              <w:tc>
                <w:tcPr>
                  <w:tcW w:w="522" w:type="pct"/>
                  <w:tcBorders>
                    <w:tl2br w:val="nil"/>
                    <w:tr2bl w:val="nil"/>
                  </w:tcBorders>
                  <w:noWrap w:val="0"/>
                  <w:vAlign w:val="center"/>
                </w:tcPr>
                <w:p w14:paraId="275096DA">
                  <w:pPr>
                    <w:pStyle w:val="2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bl>
          <w:p w14:paraId="22982653">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活性炭吸附设备</w:t>
            </w:r>
          </w:p>
          <w:p w14:paraId="20D79F0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ascii="宋体" w:hAnsi="宋体" w:eastAsia="宋体" w:cs="宋体"/>
                <w:b w:val="0"/>
                <w:bCs w:val="0"/>
                <w:color w:val="auto"/>
                <w:sz w:val="24"/>
                <w:szCs w:val="24"/>
              </w:rPr>
              <w:t>针对本项目有机废气的治理，选用成熟可靠且应用较为广泛地吸附法处理措施，选择活性炭作为吸附剂，根据《</w:t>
            </w:r>
            <w:r>
              <w:rPr>
                <w:rFonts w:ascii="TimesNewRomanPSMT" w:hAnsi="TimesNewRomanPSMT" w:eastAsia="TimesNewRomanPSMT" w:cs="TimesNewRomanPSMT"/>
                <w:b w:val="0"/>
                <w:bCs w:val="0"/>
                <w:color w:val="auto"/>
                <w:sz w:val="24"/>
                <w:szCs w:val="24"/>
              </w:rPr>
              <w:t>2020</w:t>
            </w:r>
            <w:r>
              <w:rPr>
                <w:rFonts w:ascii="宋体" w:hAnsi="宋体" w:eastAsia="宋体" w:cs="宋体"/>
                <w:b w:val="0"/>
                <w:bCs w:val="0"/>
                <w:color w:val="auto"/>
                <w:sz w:val="24"/>
                <w:szCs w:val="24"/>
              </w:rPr>
              <w:t>年挥发性有机物治理攻坚方案》中规定，采用活性炭吸附技术的，应选择碘值不低于</w:t>
            </w:r>
            <w:r>
              <w:rPr>
                <w:rFonts w:hint="default" w:ascii="TimesNewRomanPSMT" w:hAnsi="TimesNewRomanPSMT" w:eastAsia="TimesNewRomanPSMT" w:cs="TimesNewRomanPSMT"/>
                <w:b w:val="0"/>
                <w:bCs w:val="0"/>
                <w:color w:val="auto"/>
                <w:sz w:val="24"/>
                <w:szCs w:val="24"/>
              </w:rPr>
              <w:t>800</w:t>
            </w:r>
            <w:r>
              <w:rPr>
                <w:rFonts w:ascii="宋体" w:hAnsi="宋体" w:eastAsia="宋体" w:cs="宋体"/>
                <w:b w:val="0"/>
                <w:bCs w:val="0"/>
                <w:color w:val="auto"/>
                <w:sz w:val="24"/>
                <w:szCs w:val="24"/>
              </w:rPr>
              <w:t>毫克</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克的活性炭，并按设计要求足量添加、及时更换。</w:t>
            </w:r>
            <w:r>
              <w:rPr>
                <w:rFonts w:hint="eastAsia" w:ascii="宋体" w:hAnsi="宋体" w:cs="宋体"/>
                <w:b w:val="0"/>
                <w:bCs w:val="0"/>
                <w:color w:val="auto"/>
                <w:sz w:val="24"/>
                <w:szCs w:val="24"/>
                <w:lang w:val="en-US" w:eastAsia="zh-CN"/>
              </w:rPr>
              <w:t>活</w:t>
            </w:r>
            <w:r>
              <w:rPr>
                <w:rFonts w:ascii="宋体" w:hAnsi="宋体" w:eastAsia="宋体" w:cs="宋体"/>
                <w:b w:val="0"/>
                <w:bCs w:val="0"/>
                <w:color w:val="auto"/>
                <w:sz w:val="24"/>
                <w:szCs w:val="24"/>
              </w:rPr>
              <w:t>性炭是最常用的吸附剂，</w:t>
            </w:r>
            <w:r>
              <w:rPr>
                <w:rFonts w:hint="default" w:ascii="TimesNewRomanPSMT" w:hAnsi="TimesNewRomanPSMT" w:eastAsia="TimesNewRomanPSMT" w:cs="TimesNewRomanPSMT"/>
                <w:b w:val="0"/>
                <w:bCs w:val="0"/>
                <w:color w:val="auto"/>
                <w:sz w:val="24"/>
                <w:szCs w:val="24"/>
              </w:rPr>
              <w:t>1g</w:t>
            </w:r>
            <w:r>
              <w:rPr>
                <w:rFonts w:ascii="宋体" w:hAnsi="宋体" w:eastAsia="宋体" w:cs="宋体"/>
                <w:b w:val="0"/>
                <w:bCs w:val="0"/>
                <w:color w:val="auto"/>
                <w:sz w:val="24"/>
                <w:szCs w:val="24"/>
              </w:rPr>
              <w:t>活性炭材料中的微孔，展开表面积可高达</w:t>
            </w:r>
            <w:r>
              <w:rPr>
                <w:rFonts w:hint="default" w:ascii="TimesNewRomanPSMT" w:hAnsi="TimesNewRomanPSMT" w:eastAsia="TimesNewRomanPSMT" w:cs="TimesNewRomanPSMT"/>
                <w:b w:val="0"/>
                <w:bCs w:val="0"/>
                <w:color w:val="auto"/>
                <w:sz w:val="24"/>
                <w:szCs w:val="24"/>
              </w:rPr>
              <w:t>800-1500</w:t>
            </w:r>
            <w:r>
              <w:rPr>
                <w:rFonts w:hint="eastAsia" w:ascii="TimesNewRomanPSMT" w:hAnsi="TimesNewRomanPSMT" w:eastAsia="宋体" w:cs="TimesNewRomanPSMT"/>
                <w:b w:val="0"/>
                <w:bCs w:val="0"/>
                <w:color w:val="auto"/>
                <w:sz w:val="24"/>
                <w:szCs w:val="24"/>
                <w:lang w:val="en-US" w:eastAsia="zh-CN"/>
              </w:rPr>
              <w:t>㎡</w:t>
            </w:r>
            <w:r>
              <w:rPr>
                <w:rFonts w:ascii="宋体" w:hAnsi="宋体" w:eastAsia="宋体" w:cs="宋体"/>
                <w:b w:val="0"/>
                <w:bCs w:val="0"/>
                <w:color w:val="auto"/>
                <w:sz w:val="24"/>
                <w:szCs w:val="24"/>
              </w:rPr>
              <w:t>，其为非极性分子，根据</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相似相容原理</w:t>
            </w:r>
            <w:r>
              <w:rPr>
                <w:rFonts w:hint="default" w:ascii="TimesNewRomanPSMT" w:hAnsi="TimesNewRomanPSMT" w:eastAsia="TimesNewRomanPSMT" w:cs="TimesNewRomanPSMT"/>
                <w:b w:val="0"/>
                <w:bCs w:val="0"/>
                <w:color w:val="auto"/>
                <w:sz w:val="24"/>
                <w:szCs w:val="24"/>
              </w:rPr>
              <w:t>”</w:t>
            </w:r>
            <w:r>
              <w:rPr>
                <w:rFonts w:ascii="宋体" w:hAnsi="宋体" w:eastAsia="宋体" w:cs="宋体"/>
                <w:b w:val="0"/>
                <w:bCs w:val="0"/>
                <w:color w:val="auto"/>
                <w:sz w:val="24"/>
                <w:szCs w:val="24"/>
              </w:rPr>
              <w:t>，当非极性的气体和非极性杂质分子被活性炭内孔捕捉后，由于分子之间相互吸引，会导致更多的分子不断被吸引，直至填满活性炭内的孔隙，因此，活性炭对很多挥发性有机气体的治理都十分有效，其缺点是需要再生，由于本项目废气产生量不大，从经济方面比较适合固定床吸附。饱和的废活性炭可作为危险废物交由具有相关危险废物经营许可证的单位收运处理。根据《国家危险废物名录》，更换的饱和活性炭属于危险废物。项目落实上述治理措施，当活性炭吸附饱和后</w:t>
            </w:r>
            <w:r>
              <w:rPr>
                <w:rFonts w:hint="eastAsia" w:ascii="宋体" w:hAnsi="宋体" w:eastAsia="宋体" w:cs="宋体"/>
                <w:b w:val="0"/>
                <w:bCs w:val="0"/>
                <w:color w:val="auto"/>
                <w:sz w:val="24"/>
                <w:szCs w:val="24"/>
                <w:lang w:eastAsia="zh-CN"/>
              </w:rPr>
              <w:t>，</w:t>
            </w:r>
            <w:r>
              <w:rPr>
                <w:rFonts w:ascii="宋体" w:hAnsi="宋体" w:eastAsia="宋体" w:cs="宋体"/>
                <w:b w:val="0"/>
                <w:bCs w:val="0"/>
                <w:color w:val="auto"/>
                <w:sz w:val="24"/>
                <w:szCs w:val="24"/>
              </w:rPr>
              <w:t>应及时更换饱和的活性炭，补充新鲜的活性炭，才能保证有机气体的稳定达标排放。环评要求，本项目废气处理设施应由专业设备厂家提供，</w:t>
            </w:r>
            <w:r>
              <w:rPr>
                <w:rFonts w:hint="eastAsia" w:ascii="宋体" w:hAnsi="宋体" w:cs="宋体"/>
                <w:b w:val="0"/>
                <w:bCs w:val="0"/>
                <w:color w:val="auto"/>
                <w:sz w:val="24"/>
                <w:szCs w:val="24"/>
                <w:lang w:eastAsia="zh-CN"/>
              </w:rPr>
              <w:t>并</w:t>
            </w:r>
            <w:r>
              <w:rPr>
                <w:rFonts w:ascii="宋体" w:hAnsi="宋体" w:eastAsia="宋体" w:cs="宋体"/>
                <w:b w:val="0"/>
                <w:bCs w:val="0"/>
                <w:color w:val="auto"/>
                <w:sz w:val="24"/>
                <w:szCs w:val="24"/>
              </w:rPr>
              <w:t>根据本项目废气处理情况进行设计，明确活性炭更换周期，同时建设单位应建立废气处理设施活性炭更换记录档案，如实记录活性炭更换时间、更换量、废活性炭去向等信息，活性炭更换记录应由专人填写，妥善保管，随时备查；废活性炭应在危险废物暂存间妥善暂存，定期交有资质单位进行处理，并严格落实危险废物转移五联单制度。</w:t>
            </w:r>
          </w:p>
          <w:p w14:paraId="5766C73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非正常工况废气</w:t>
            </w:r>
          </w:p>
          <w:p w14:paraId="76C0625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本项目非正常情况主要是停电或设备开停、检修时，环保装置未提前开启，造成废气超标排放，以最不利情况下废气处理系统净化效率为零考虑，源强最大的时段废气排放0.5h对周围环境的影响，具体见下表。</w:t>
            </w:r>
          </w:p>
          <w:p w14:paraId="791FA77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非正常工况废气排放情况一览表</w:t>
            </w:r>
          </w:p>
          <w:tbl>
            <w:tblPr>
              <w:tblStyle w:val="31"/>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090"/>
              <w:gridCol w:w="979"/>
              <w:gridCol w:w="1012"/>
              <w:gridCol w:w="1118"/>
              <w:gridCol w:w="1074"/>
              <w:gridCol w:w="935"/>
              <w:gridCol w:w="1057"/>
            </w:tblGrid>
            <w:tr w14:paraId="2F7E4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460A6CE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废气污</w:t>
                  </w:r>
                </w:p>
                <w:p w14:paraId="76CC2C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染源</w:t>
                  </w:r>
                </w:p>
              </w:tc>
              <w:tc>
                <w:tcPr>
                  <w:tcW w:w="668" w:type="pct"/>
                  <w:tcBorders>
                    <w:tl2br w:val="nil"/>
                    <w:tr2bl w:val="nil"/>
                  </w:tcBorders>
                  <w:noWrap w:val="0"/>
                  <w:vAlign w:val="center"/>
                </w:tcPr>
                <w:p w14:paraId="5632D93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非正常排放原因</w:t>
                  </w:r>
                </w:p>
              </w:tc>
              <w:tc>
                <w:tcPr>
                  <w:tcW w:w="600" w:type="pct"/>
                  <w:tcBorders>
                    <w:tl2br w:val="nil"/>
                    <w:tr2bl w:val="nil"/>
                  </w:tcBorders>
                  <w:noWrap w:val="0"/>
                  <w:vAlign w:val="center"/>
                </w:tcPr>
                <w:p w14:paraId="5197AD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p w14:paraId="50E3B3A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种类</w:t>
                  </w:r>
                </w:p>
              </w:tc>
              <w:tc>
                <w:tcPr>
                  <w:tcW w:w="620" w:type="pct"/>
                  <w:tcBorders>
                    <w:tl2br w:val="nil"/>
                    <w:tr2bl w:val="nil"/>
                  </w:tcBorders>
                  <w:noWrap w:val="0"/>
                  <w:vAlign w:val="center"/>
                </w:tcPr>
                <w:p w14:paraId="34ABF6E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w:t>
                  </w:r>
                </w:p>
                <w:p w14:paraId="5451B7F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频次</w:t>
                  </w:r>
                </w:p>
              </w:tc>
              <w:tc>
                <w:tcPr>
                  <w:tcW w:w="685" w:type="pct"/>
                  <w:tcBorders>
                    <w:tl2br w:val="nil"/>
                    <w:tr2bl w:val="nil"/>
                  </w:tcBorders>
                  <w:noWrap w:val="0"/>
                  <w:vAlign w:val="center"/>
                </w:tcPr>
                <w:p w14:paraId="5AD24E9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p>
                <w:p w14:paraId="0CDDBD7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（㎎/m³）</w:t>
                  </w:r>
                </w:p>
              </w:tc>
              <w:tc>
                <w:tcPr>
                  <w:tcW w:w="658" w:type="pct"/>
                  <w:tcBorders>
                    <w:tl2br w:val="nil"/>
                    <w:tr2bl w:val="nil"/>
                  </w:tcBorders>
                  <w:noWrap w:val="0"/>
                  <w:vAlign w:val="center"/>
                </w:tcPr>
                <w:p w14:paraId="0DD1897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排放速率（kg/h）</w:t>
                  </w:r>
                </w:p>
              </w:tc>
              <w:tc>
                <w:tcPr>
                  <w:tcW w:w="573" w:type="pct"/>
                  <w:tcBorders>
                    <w:tl2br w:val="nil"/>
                    <w:tr2bl w:val="nil"/>
                  </w:tcBorders>
                  <w:noWrap w:val="0"/>
                  <w:vAlign w:val="center"/>
                </w:tcPr>
                <w:p w14:paraId="055B71D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w:t>
                  </w:r>
                </w:p>
              </w:tc>
              <w:tc>
                <w:tcPr>
                  <w:tcW w:w="648" w:type="pct"/>
                  <w:tcBorders>
                    <w:tl2br w:val="nil"/>
                    <w:tr2bl w:val="nil"/>
                  </w:tcBorders>
                  <w:noWrap w:val="0"/>
                  <w:vAlign w:val="center"/>
                </w:tcPr>
                <w:p w14:paraId="4902C37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持续时间（h）</w:t>
                  </w:r>
                </w:p>
              </w:tc>
            </w:tr>
            <w:tr w14:paraId="501F9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1F99E0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切割、焊接、抛丸</w:t>
                  </w:r>
                </w:p>
              </w:tc>
              <w:tc>
                <w:tcPr>
                  <w:tcW w:w="668" w:type="pct"/>
                  <w:vMerge w:val="restart"/>
                  <w:tcBorders>
                    <w:tl2br w:val="nil"/>
                    <w:tr2bl w:val="nil"/>
                  </w:tcBorders>
                  <w:noWrap w:val="0"/>
                  <w:vAlign w:val="center"/>
                </w:tcPr>
                <w:p w14:paraId="2A9C1D9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集气系统、</w:t>
                  </w:r>
                  <w:r>
                    <w:rPr>
                      <w:rFonts w:hint="eastAsia" w:ascii="Times New Roman" w:hAnsi="Times New Roman" w:eastAsia="宋体" w:cs="Times New Roman"/>
                      <w:color w:val="auto"/>
                      <w:sz w:val="21"/>
                      <w:szCs w:val="21"/>
                      <w:vertAlign w:val="baseline"/>
                      <w:lang w:val="en-US" w:eastAsia="zh-CN"/>
                    </w:rPr>
                    <w:t>废气治理</w:t>
                  </w:r>
                  <w:r>
                    <w:rPr>
                      <w:rFonts w:hint="eastAsia" w:cs="Times New Roman"/>
                      <w:color w:val="auto"/>
                      <w:sz w:val="21"/>
                      <w:szCs w:val="21"/>
                      <w:vertAlign w:val="baseline"/>
                      <w:lang w:val="en-US" w:eastAsia="zh-CN"/>
                    </w:rPr>
                    <w:t>设施</w:t>
                  </w:r>
                  <w:r>
                    <w:rPr>
                      <w:rFonts w:hint="default" w:ascii="Times New Roman" w:hAnsi="Times New Roman" w:eastAsia="宋体" w:cs="Times New Roman"/>
                      <w:color w:val="auto"/>
                      <w:sz w:val="21"/>
                      <w:szCs w:val="21"/>
                      <w:vertAlign w:val="baseline"/>
                      <w:lang w:val="en-US" w:eastAsia="zh-CN"/>
                    </w:rPr>
                    <w:t>故障</w:t>
                  </w:r>
                  <w:r>
                    <w:rPr>
                      <w:rFonts w:hint="eastAsia" w:ascii="Times New Roman" w:hAnsi="Times New Roman" w:eastAsia="宋体" w:cs="Times New Roman"/>
                      <w:color w:val="auto"/>
                      <w:sz w:val="21"/>
                      <w:szCs w:val="21"/>
                      <w:vertAlign w:val="baseline"/>
                      <w:lang w:val="en-US" w:eastAsia="zh-CN"/>
                    </w:rPr>
                    <w:t>，处理能力降至0</w:t>
                  </w:r>
                </w:p>
              </w:tc>
              <w:tc>
                <w:tcPr>
                  <w:tcW w:w="600" w:type="pct"/>
                  <w:tcBorders>
                    <w:tl2br w:val="nil"/>
                    <w:tr2bl w:val="nil"/>
                  </w:tcBorders>
                  <w:noWrap w:val="0"/>
                  <w:vAlign w:val="center"/>
                </w:tcPr>
                <w:p w14:paraId="679CAC2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4F0C2A3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25D8BD0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69</w:t>
                  </w:r>
                </w:p>
              </w:tc>
              <w:tc>
                <w:tcPr>
                  <w:tcW w:w="658" w:type="pct"/>
                  <w:tcBorders>
                    <w:tl2br w:val="nil"/>
                    <w:tr2bl w:val="nil"/>
                  </w:tcBorders>
                  <w:noWrap w:val="0"/>
                  <w:vAlign w:val="center"/>
                </w:tcPr>
                <w:p w14:paraId="07458A1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0.69</w:t>
                  </w:r>
                </w:p>
              </w:tc>
              <w:tc>
                <w:tcPr>
                  <w:tcW w:w="573" w:type="pct"/>
                  <w:tcBorders>
                    <w:tl2br w:val="nil"/>
                    <w:tr2bl w:val="nil"/>
                  </w:tcBorders>
                  <w:noWrap w:val="0"/>
                  <w:vAlign w:val="center"/>
                </w:tcPr>
                <w:p w14:paraId="2FB0987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0.83</w:t>
                  </w:r>
                </w:p>
              </w:tc>
              <w:tc>
                <w:tcPr>
                  <w:tcW w:w="648" w:type="pct"/>
                  <w:tcBorders>
                    <w:tl2br w:val="nil"/>
                    <w:tr2bl w:val="nil"/>
                  </w:tcBorders>
                  <w:noWrap w:val="0"/>
                  <w:vAlign w:val="center"/>
                </w:tcPr>
                <w:p w14:paraId="4F5A91B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65A6E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26A06E9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喷粉</w:t>
                  </w:r>
                </w:p>
              </w:tc>
              <w:tc>
                <w:tcPr>
                  <w:tcW w:w="668" w:type="pct"/>
                  <w:vMerge w:val="continue"/>
                  <w:tcBorders>
                    <w:tl2br w:val="nil"/>
                    <w:tr2bl w:val="nil"/>
                  </w:tcBorders>
                  <w:noWrap w:val="0"/>
                  <w:vAlign w:val="center"/>
                </w:tcPr>
                <w:p w14:paraId="65A4EDB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530F439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1DE7EF9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3BA259D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160</w:t>
                  </w:r>
                </w:p>
              </w:tc>
              <w:tc>
                <w:tcPr>
                  <w:tcW w:w="658" w:type="pct"/>
                  <w:tcBorders>
                    <w:tl2br w:val="nil"/>
                    <w:tr2bl w:val="nil"/>
                  </w:tcBorders>
                  <w:noWrap w:val="0"/>
                  <w:vAlign w:val="center"/>
                </w:tcPr>
                <w:p w14:paraId="789E3A0F">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573" w:type="pct"/>
                  <w:tcBorders>
                    <w:tl2br w:val="nil"/>
                    <w:tr2bl w:val="nil"/>
                  </w:tcBorders>
                  <w:noWrap w:val="0"/>
                  <w:vAlign w:val="center"/>
                </w:tcPr>
                <w:p w14:paraId="76FB3C4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648" w:type="pct"/>
                  <w:tcBorders>
                    <w:tl2br w:val="nil"/>
                    <w:tr2bl w:val="nil"/>
                  </w:tcBorders>
                  <w:noWrap w:val="0"/>
                  <w:vAlign w:val="center"/>
                </w:tcPr>
                <w:p w14:paraId="732AF9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34B84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14:paraId="397919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固化</w:t>
                  </w:r>
                </w:p>
              </w:tc>
              <w:tc>
                <w:tcPr>
                  <w:tcW w:w="668" w:type="pct"/>
                  <w:vMerge w:val="continue"/>
                  <w:tcBorders>
                    <w:tl2br w:val="nil"/>
                    <w:tr2bl w:val="nil"/>
                  </w:tcBorders>
                  <w:noWrap w:val="0"/>
                  <w:vAlign w:val="center"/>
                </w:tcPr>
                <w:p w14:paraId="55A0485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07AEA80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非甲烷总烃</w:t>
                  </w:r>
                </w:p>
              </w:tc>
              <w:tc>
                <w:tcPr>
                  <w:tcW w:w="620" w:type="pct"/>
                  <w:tcBorders>
                    <w:tl2br w:val="nil"/>
                    <w:tr2bl w:val="nil"/>
                  </w:tcBorders>
                  <w:noWrap w:val="0"/>
                  <w:vAlign w:val="center"/>
                </w:tcPr>
                <w:p w14:paraId="265D357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1892DF0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658" w:type="pct"/>
                  <w:tcBorders>
                    <w:tl2br w:val="nil"/>
                    <w:tr2bl w:val="nil"/>
                  </w:tcBorders>
                  <w:noWrap w:val="0"/>
                  <w:vAlign w:val="center"/>
                </w:tcPr>
                <w:p w14:paraId="583E9CF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0.25</w:t>
                  </w:r>
                </w:p>
              </w:tc>
              <w:tc>
                <w:tcPr>
                  <w:tcW w:w="573" w:type="pct"/>
                  <w:tcBorders>
                    <w:tl2br w:val="nil"/>
                    <w:tr2bl w:val="nil"/>
                  </w:tcBorders>
                  <w:noWrap w:val="0"/>
                  <w:vAlign w:val="center"/>
                </w:tcPr>
                <w:p w14:paraId="52FD4B4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w:t>
                  </w:r>
                </w:p>
              </w:tc>
              <w:tc>
                <w:tcPr>
                  <w:tcW w:w="648" w:type="pct"/>
                  <w:tcBorders>
                    <w:tl2br w:val="nil"/>
                    <w:tr2bl w:val="nil"/>
                  </w:tcBorders>
                  <w:noWrap w:val="0"/>
                  <w:vAlign w:val="center"/>
                </w:tcPr>
                <w:p w14:paraId="32C306F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1F5A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restart"/>
                  <w:tcBorders>
                    <w:tl2br w:val="nil"/>
                    <w:tr2bl w:val="nil"/>
                  </w:tcBorders>
                  <w:noWrap w:val="0"/>
                  <w:vAlign w:val="center"/>
                </w:tcPr>
                <w:p w14:paraId="1E46C2E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天然气燃烧</w:t>
                  </w:r>
                </w:p>
              </w:tc>
              <w:tc>
                <w:tcPr>
                  <w:tcW w:w="668" w:type="pct"/>
                  <w:vMerge w:val="continue"/>
                  <w:tcBorders>
                    <w:tl2br w:val="nil"/>
                    <w:tr2bl w:val="nil"/>
                  </w:tcBorders>
                  <w:noWrap w:val="0"/>
                  <w:vAlign w:val="center"/>
                </w:tcPr>
                <w:p w14:paraId="786C0A1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02C351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620" w:type="pct"/>
                  <w:tcBorders>
                    <w:tl2br w:val="nil"/>
                    <w:tr2bl w:val="nil"/>
                  </w:tcBorders>
                  <w:noWrap w:val="0"/>
                  <w:vAlign w:val="center"/>
                </w:tcPr>
                <w:p w14:paraId="18B09B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0D267B3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136.59</w:t>
                  </w:r>
                </w:p>
              </w:tc>
              <w:tc>
                <w:tcPr>
                  <w:tcW w:w="658" w:type="pct"/>
                  <w:tcBorders>
                    <w:tl2br w:val="nil"/>
                    <w:tr2bl w:val="nil"/>
                  </w:tcBorders>
                  <w:noWrap w:val="0"/>
                  <w:vAlign w:val="center"/>
                </w:tcPr>
                <w:p w14:paraId="5992EB7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0.075</w:t>
                  </w:r>
                </w:p>
              </w:tc>
              <w:tc>
                <w:tcPr>
                  <w:tcW w:w="573" w:type="pct"/>
                  <w:tcBorders>
                    <w:tl2br w:val="nil"/>
                    <w:tr2bl w:val="nil"/>
                  </w:tcBorders>
                  <w:noWrap w:val="0"/>
                  <w:vAlign w:val="center"/>
                </w:tcPr>
                <w:p w14:paraId="22ED904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0.056</w:t>
                  </w:r>
                </w:p>
              </w:tc>
              <w:tc>
                <w:tcPr>
                  <w:tcW w:w="648" w:type="pct"/>
                  <w:tcBorders>
                    <w:tl2br w:val="nil"/>
                    <w:tr2bl w:val="nil"/>
                  </w:tcBorders>
                  <w:noWrap w:val="0"/>
                  <w:vAlign w:val="center"/>
                </w:tcPr>
                <w:p w14:paraId="7EF94E9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5C813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14:paraId="563CB9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668" w:type="pct"/>
                  <w:vMerge w:val="continue"/>
                  <w:tcBorders>
                    <w:tl2br w:val="nil"/>
                    <w:tr2bl w:val="nil"/>
                  </w:tcBorders>
                  <w:noWrap w:val="0"/>
                  <w:vAlign w:val="center"/>
                </w:tcPr>
                <w:p w14:paraId="21E2B1B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21D243F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620" w:type="pct"/>
                  <w:tcBorders>
                    <w:tl2br w:val="nil"/>
                    <w:tr2bl w:val="nil"/>
                  </w:tcBorders>
                  <w:noWrap w:val="0"/>
                  <w:vAlign w:val="center"/>
                </w:tcPr>
                <w:p w14:paraId="4D4C1B0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3FA41FC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2.93</w:t>
                  </w:r>
                </w:p>
              </w:tc>
              <w:tc>
                <w:tcPr>
                  <w:tcW w:w="658" w:type="pct"/>
                  <w:tcBorders>
                    <w:tl2br w:val="nil"/>
                    <w:tr2bl w:val="nil"/>
                  </w:tcBorders>
                  <w:noWrap w:val="0"/>
                  <w:vAlign w:val="center"/>
                </w:tcPr>
                <w:p w14:paraId="3C35D57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0.0016</w:t>
                  </w:r>
                </w:p>
              </w:tc>
              <w:tc>
                <w:tcPr>
                  <w:tcW w:w="573" w:type="pct"/>
                  <w:tcBorders>
                    <w:tl2br w:val="nil"/>
                    <w:tr2bl w:val="nil"/>
                  </w:tcBorders>
                  <w:noWrap w:val="0"/>
                  <w:vAlign w:val="center"/>
                </w:tcPr>
                <w:p w14:paraId="5368633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0.0012</w:t>
                  </w:r>
                </w:p>
              </w:tc>
              <w:tc>
                <w:tcPr>
                  <w:tcW w:w="648" w:type="pct"/>
                  <w:tcBorders>
                    <w:tl2br w:val="nil"/>
                    <w:tr2bl w:val="nil"/>
                  </w:tcBorders>
                  <w:noWrap w:val="0"/>
                  <w:vAlign w:val="center"/>
                </w:tcPr>
                <w:p w14:paraId="2F0971B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r w14:paraId="67C3A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14:paraId="7A4ADAE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668" w:type="pct"/>
                  <w:vMerge w:val="continue"/>
                  <w:tcBorders>
                    <w:tl2br w:val="nil"/>
                    <w:tr2bl w:val="nil"/>
                  </w:tcBorders>
                  <w:noWrap w:val="0"/>
                  <w:vAlign w:val="center"/>
                </w:tcPr>
                <w:p w14:paraId="37117E3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00" w:type="pct"/>
                  <w:tcBorders>
                    <w:tl2br w:val="nil"/>
                    <w:tr2bl w:val="nil"/>
                  </w:tcBorders>
                  <w:noWrap w:val="0"/>
                  <w:vAlign w:val="center"/>
                </w:tcPr>
                <w:p w14:paraId="711A5CC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620" w:type="pct"/>
                  <w:tcBorders>
                    <w:tl2br w:val="nil"/>
                    <w:tr2bl w:val="nil"/>
                  </w:tcBorders>
                  <w:noWrap w:val="0"/>
                  <w:vAlign w:val="center"/>
                </w:tcPr>
                <w:p w14:paraId="218033E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685" w:type="pct"/>
                  <w:tcBorders>
                    <w:tl2br w:val="nil"/>
                    <w:tr2bl w:val="nil"/>
                  </w:tcBorders>
                  <w:noWrap w:val="0"/>
                  <w:vAlign w:val="center"/>
                </w:tcPr>
                <w:p w14:paraId="16D9FAD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20.73</w:t>
                  </w:r>
                </w:p>
              </w:tc>
              <w:tc>
                <w:tcPr>
                  <w:tcW w:w="658" w:type="pct"/>
                  <w:tcBorders>
                    <w:tl2br w:val="nil"/>
                    <w:tr2bl w:val="nil"/>
                  </w:tcBorders>
                  <w:noWrap w:val="0"/>
                  <w:vAlign w:val="center"/>
                </w:tcPr>
                <w:p w14:paraId="000B748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0.011</w:t>
                  </w:r>
                </w:p>
              </w:tc>
              <w:tc>
                <w:tcPr>
                  <w:tcW w:w="573" w:type="pct"/>
                  <w:tcBorders>
                    <w:tl2br w:val="nil"/>
                    <w:tr2bl w:val="nil"/>
                  </w:tcBorders>
                  <w:noWrap w:val="0"/>
                  <w:vAlign w:val="center"/>
                </w:tcPr>
                <w:p w14:paraId="3CED7CE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0.0085</w:t>
                  </w:r>
                </w:p>
              </w:tc>
              <w:tc>
                <w:tcPr>
                  <w:tcW w:w="648" w:type="pct"/>
                  <w:tcBorders>
                    <w:tl2br w:val="nil"/>
                    <w:tr2bl w:val="nil"/>
                  </w:tcBorders>
                  <w:noWrap w:val="0"/>
                  <w:vAlign w:val="center"/>
                </w:tcPr>
                <w:p w14:paraId="115F3DB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0.5</w:t>
                  </w:r>
                </w:p>
              </w:tc>
            </w:tr>
          </w:tbl>
          <w:p w14:paraId="1D2E36E9">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eastAsia" w:ascii="Times New Roman" w:hAnsi="Times New Roman" w:eastAsia="宋体" w:cs="Times New Roman"/>
                <w:color w:val="auto"/>
                <w:sz w:val="24"/>
                <w:szCs w:val="24"/>
                <w:lang w:val="en-US" w:eastAsia="zh-CN"/>
              </w:rPr>
              <w:t>由上表可知，非正常工况下排气筒的排放浓度远大于正常工况下，甚至会超过标准限值，对周边大气环境影响加大。为防止生产废气非正常工况排放，建设单位必须加强废气处理设施的管理，定期检修，确保废气处理设施正常运行，在废气处理设施出现故障或停止运行时，产生废气的各工序也必须相应停止生产，杜绝废气非正常排放。</w:t>
            </w:r>
          </w:p>
          <w:p w14:paraId="448FCB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环境影响分析</w:t>
            </w:r>
          </w:p>
          <w:p w14:paraId="4D9C7FD6">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项目所在地区域环境空气为</w:t>
            </w:r>
            <w:r>
              <w:rPr>
                <w:rFonts w:hint="eastAsia" w:ascii="Times New Roman" w:hAnsi="Times New Roman" w:eastAsia="宋体" w:cs="Times New Roman"/>
                <w:color w:val="auto"/>
                <w:sz w:val="24"/>
                <w:szCs w:val="24"/>
                <w:lang w:val="en-US" w:eastAsia="zh-CN"/>
              </w:rPr>
              <w:t>不</w:t>
            </w:r>
            <w:r>
              <w:rPr>
                <w:rFonts w:hint="default" w:ascii="Times New Roman" w:hAnsi="Times New Roman" w:eastAsia="宋体" w:cs="Times New Roman"/>
                <w:color w:val="auto"/>
                <w:sz w:val="24"/>
                <w:szCs w:val="24"/>
                <w:lang w:val="en-US" w:eastAsia="zh-CN"/>
              </w:rPr>
              <w:t>达标区。项目废气经相关污染防治措施后可以达标排放，项目的实施不会对周边大气环境产生不利影响，不会影响区域环境质量目标的实现，周边环境空气质量可维持现状。本评价要求建设单位定期对废气处理设备进行维修保养，确保废气处理设施正常运行，如发生故障立即停产检修，经调试合格后方可投入生产。</w:t>
            </w:r>
          </w:p>
          <w:p w14:paraId="0EC07FEA">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Cs/>
                <w:color w:val="auto"/>
                <w:sz w:val="24"/>
                <w:szCs w:val="24"/>
              </w:rPr>
            </w:pPr>
            <w:r>
              <w:rPr>
                <w:rFonts w:hint="eastAsia"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监测计划</w:t>
            </w:r>
          </w:p>
          <w:p w14:paraId="3E00EC76">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项目运营后的环境监测工作可委托有资质监测单位进行，并做好监测数据的报告和存档，</w:t>
            </w:r>
            <w:r>
              <w:rPr>
                <w:rFonts w:hint="default" w:ascii="Times New Roman" w:hAnsi="Times New Roman" w:eastAsia="宋体" w:cs="Times New Roman"/>
                <w:color w:val="auto"/>
                <w:sz w:val="24"/>
                <w:szCs w:val="24"/>
              </w:rPr>
              <w:t>根据《排污许可证申请与核发技术规范 总则》（HJ942-2018）和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排污许可证申请与核发技术规范 通用设备、专用设备、仪器仪表及其他制造业</w:t>
            </w:r>
            <w:r>
              <w:rPr>
                <w:rFonts w:hint="default" w:ascii="Times New Roman" w:hAnsi="Times New Roman" w:eastAsia="宋体" w:cs="Times New Roman"/>
                <w:color w:val="auto"/>
                <w:sz w:val="24"/>
                <w:szCs w:val="24"/>
                <w:lang w:val="en-US" w:eastAsia="zh-CN"/>
              </w:rPr>
              <w:t>》DB61/T 1356-2020</w:t>
            </w:r>
            <w:r>
              <w:rPr>
                <w:rFonts w:hint="default" w:ascii="Times New Roman" w:hAnsi="Times New Roman" w:eastAsia="宋体" w:cs="Times New Roman"/>
                <w:color w:val="auto"/>
                <w:sz w:val="24"/>
                <w:szCs w:val="24"/>
              </w:rPr>
              <w:t>，本项目运营期废气监测情况如下：</w:t>
            </w:r>
          </w:p>
          <w:p w14:paraId="1C30222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运营期污染源监测内容及计划</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2"/>
              <w:gridCol w:w="1384"/>
              <w:gridCol w:w="1340"/>
              <w:gridCol w:w="1190"/>
              <w:gridCol w:w="2954"/>
            </w:tblGrid>
            <w:tr w14:paraId="43E0B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gridSpan w:val="2"/>
                  <w:noWrap w:val="0"/>
                  <w:vAlign w:val="center"/>
                </w:tcPr>
                <w:p w14:paraId="723624D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监测要素</w:t>
                  </w:r>
                </w:p>
              </w:tc>
              <w:tc>
                <w:tcPr>
                  <w:tcW w:w="848" w:type="pct"/>
                  <w:noWrap w:val="0"/>
                  <w:vAlign w:val="center"/>
                </w:tcPr>
                <w:p w14:paraId="13499C8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21" w:type="pct"/>
                  <w:noWrap w:val="0"/>
                  <w:vAlign w:val="center"/>
                </w:tcPr>
                <w:p w14:paraId="6A6DC72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29" w:type="pct"/>
                  <w:noWrap w:val="0"/>
                  <w:vAlign w:val="center"/>
                </w:tcPr>
                <w:p w14:paraId="54877E7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c>
                <w:tcPr>
                  <w:tcW w:w="1810" w:type="pct"/>
                  <w:noWrap w:val="0"/>
                  <w:vAlign w:val="center"/>
                </w:tcPr>
                <w:p w14:paraId="62534A0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14:paraId="7CFB0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noWrap w:val="0"/>
                  <w:vAlign w:val="center"/>
                </w:tcPr>
                <w:p w14:paraId="314146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529" w:type="pct"/>
                  <w:vMerge w:val="restart"/>
                  <w:noWrap w:val="0"/>
                  <w:vAlign w:val="center"/>
                </w:tcPr>
                <w:p w14:paraId="1F55CF3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848" w:type="pct"/>
                  <w:noWrap w:val="0"/>
                  <w:vAlign w:val="center"/>
                </w:tcPr>
                <w:p w14:paraId="41788A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35F304B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w:t>
                  </w:r>
                </w:p>
              </w:tc>
              <w:tc>
                <w:tcPr>
                  <w:tcW w:w="821" w:type="pct"/>
                  <w:noWrap w:val="0"/>
                  <w:vAlign w:val="center"/>
                </w:tcPr>
                <w:p w14:paraId="14B59DA5">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2CB1A0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36DAD05A">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r>
                    <w:rPr>
                      <w:rFonts w:hint="default" w:ascii="Times New Roman" w:hAnsi="Times New Roman" w:cs="Times New Roman"/>
                      <w:color w:val="auto"/>
                      <w:sz w:val="21"/>
                      <w:szCs w:val="21"/>
                      <w:lang w:val="en-US" w:eastAsia="zh-CN"/>
                    </w:rPr>
                    <w:t>表2</w:t>
                  </w:r>
                  <w:r>
                    <w:rPr>
                      <w:rFonts w:hint="default" w:ascii="Times New Roman" w:hAnsi="Times New Roman" w:eastAsia="宋体" w:cs="Times New Roman"/>
                      <w:color w:val="auto"/>
                      <w:sz w:val="21"/>
                      <w:szCs w:val="21"/>
                    </w:rPr>
                    <w:t>中排放限值要求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排放速率为3.5kg/h，排放浓度为120mg/m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41C9D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02122714">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569A3B1F">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restart"/>
                  <w:noWrap w:val="0"/>
                  <w:vAlign w:val="center"/>
                </w:tcPr>
                <w:p w14:paraId="1C6F886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574349D8">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w:t>
                  </w:r>
                </w:p>
              </w:tc>
              <w:tc>
                <w:tcPr>
                  <w:tcW w:w="821" w:type="pct"/>
                  <w:noWrap w:val="0"/>
                  <w:vAlign w:val="center"/>
                </w:tcPr>
                <w:p w14:paraId="4FE8D7AB">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48F32B2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restart"/>
                  <w:noWrap w:val="0"/>
                  <w:vAlign w:val="center"/>
                </w:tcPr>
                <w:p w14:paraId="6499D5F8">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 w:val="21"/>
                      <w:szCs w:val="21"/>
                    </w:rPr>
                    <w:t>《</w:t>
                  </w:r>
                  <w:r>
                    <w:rPr>
                      <w:rFonts w:hint="default" w:ascii="Times New Roman" w:hAnsi="Times New Roman" w:eastAsia="宋体" w:cs="Times New Roman"/>
                      <w:bCs/>
                      <w:color w:val="auto"/>
                      <w:kern w:val="0"/>
                      <w:sz w:val="21"/>
                      <w:szCs w:val="21"/>
                      <w:lang w:eastAsia="zh-CN"/>
                    </w:rPr>
                    <w:t>工业炉窑大气污染综合治理方案</w:t>
                  </w:r>
                  <w:r>
                    <w:rPr>
                      <w:rFonts w:hint="default" w:ascii="Times New Roman" w:hAnsi="Times New Roman" w:eastAsia="宋体" w:cs="Times New Roman"/>
                      <w:bCs/>
                      <w:color w:val="auto"/>
                      <w:kern w:val="0"/>
                      <w:sz w:val="21"/>
                      <w:szCs w:val="21"/>
                    </w:rPr>
                    <w:t>》</w:t>
                  </w:r>
                  <w:r>
                    <w:rPr>
                      <w:rFonts w:hint="eastAsia"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环大气</w:t>
                  </w:r>
                  <w:r>
                    <w:rPr>
                      <w:rFonts w:hint="eastAsia" w:cs="Times New Roman"/>
                      <w:bCs/>
                      <w:color w:val="auto"/>
                      <w:kern w:val="0"/>
                      <w:sz w:val="21"/>
                      <w:szCs w:val="21"/>
                      <w:lang w:val="en-US" w:eastAsia="zh-CN"/>
                    </w:rPr>
                    <w:t>〔2019〕56号</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eastAsia="zh-CN"/>
                    </w:rPr>
                    <w:t>中</w:t>
                  </w:r>
                  <w:r>
                    <w:rPr>
                      <w:rFonts w:hint="eastAsia" w:ascii="Times New Roman" w:hAnsi="Times New Roman" w:eastAsia="宋体" w:cs="Times New Roman"/>
                      <w:bCs/>
                      <w:color w:val="auto"/>
                      <w:kern w:val="0"/>
                      <w:sz w:val="21"/>
                      <w:szCs w:val="21"/>
                      <w:lang w:val="en-US" w:eastAsia="zh-CN"/>
                    </w:rPr>
                    <w:t>相应管控要求（</w:t>
                  </w:r>
                  <w:r>
                    <w:rPr>
                      <w:rFonts w:hint="eastAsia" w:ascii="Times New Roman" w:hAnsi="Times New Roman" w:cs="Times New Roman"/>
                      <w:color w:val="auto"/>
                      <w:sz w:val="21"/>
                      <w:szCs w:val="21"/>
                      <w:lang w:val="en-US" w:eastAsia="zh-CN"/>
                    </w:rPr>
                    <w:t>颗粒物</w:t>
                  </w:r>
                  <w:r>
                    <w:rPr>
                      <w:rFonts w:hint="eastAsia" w:ascii="Times New Roman" w:hAnsi="Times New Roman" w:eastAsia="宋体" w:cs="Times New Roman"/>
                      <w:color w:val="auto"/>
                      <w:sz w:val="21"/>
                      <w:szCs w:val="21"/>
                      <w:lang w:val="en-US" w:eastAsia="zh-CN"/>
                    </w:rPr>
                    <w:t>排放浓度</w:t>
                  </w:r>
                  <w:r>
                    <w:rPr>
                      <w:rFonts w:hint="eastAsia" w:ascii="Times New Roman" w:hAnsi="Times New Roman" w:cs="Times New Roman"/>
                      <w:color w:val="auto"/>
                      <w:sz w:val="21"/>
                      <w:szCs w:val="21"/>
                      <w:lang w:val="en-US" w:eastAsia="zh-CN"/>
                    </w:rPr>
                    <w:t>为30mg/m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200mg/m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，NOx</w:t>
                  </w:r>
                  <w:r>
                    <w:rPr>
                      <w:rFonts w:hint="eastAsia" w:ascii="Times New Roman" w:hAnsi="Times New Roman" w:eastAsia="宋体" w:cs="Times New Roman"/>
                      <w:color w:val="auto"/>
                      <w:sz w:val="21"/>
                      <w:szCs w:val="21"/>
                      <w:lang w:val="en-US" w:eastAsia="zh-CN"/>
                    </w:rPr>
                    <w:t>排放浓度为</w:t>
                  </w:r>
                  <w:r>
                    <w:rPr>
                      <w:rFonts w:hint="eastAsia" w:ascii="Times New Roman" w:hAnsi="Times New Roman" w:cs="Times New Roman"/>
                      <w:color w:val="auto"/>
                      <w:sz w:val="21"/>
                      <w:szCs w:val="21"/>
                      <w:lang w:val="en-US" w:eastAsia="zh-CN"/>
                    </w:rPr>
                    <w:t>300mg/m</w:t>
                  </w:r>
                  <w:r>
                    <w:rPr>
                      <w:rFonts w:hint="eastAsia" w:ascii="Times New Roman" w:hAnsi="Times New Roman" w:eastAsia="宋体" w:cs="Times New Roman"/>
                      <w:bCs/>
                      <w:color w:val="auto"/>
                      <w:kern w:val="0"/>
                      <w:sz w:val="21"/>
                      <w:szCs w:val="21"/>
                      <w:lang w:val="en-US" w:eastAsia="zh-CN"/>
                    </w:rPr>
                    <w:t>）</w:t>
                  </w:r>
                </w:p>
              </w:tc>
            </w:tr>
            <w:tr w14:paraId="797C4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6849809">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3FADBD1A">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29BF98E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38DB2836">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二氧化硫</w:t>
                  </w:r>
                </w:p>
              </w:tc>
              <w:tc>
                <w:tcPr>
                  <w:tcW w:w="729" w:type="pct"/>
                  <w:noWrap w:val="0"/>
                  <w:vAlign w:val="center"/>
                </w:tcPr>
                <w:p w14:paraId="0B47C8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continue"/>
                  <w:noWrap w:val="0"/>
                  <w:vAlign w:val="center"/>
                </w:tcPr>
                <w:p w14:paraId="6BCA5638">
                  <w:pPr>
                    <w:jc w:val="center"/>
                    <w:rPr>
                      <w:rFonts w:hint="default" w:ascii="Times New Roman" w:hAnsi="Times New Roman" w:eastAsia="宋体" w:cs="Times New Roman"/>
                      <w:color w:val="auto"/>
                      <w:szCs w:val="21"/>
                    </w:rPr>
                  </w:pPr>
                </w:p>
              </w:tc>
            </w:tr>
            <w:tr w14:paraId="7A30B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CEE1833">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2D1CE4F4">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E3908B0">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58C15992">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氮氧化物</w:t>
                  </w:r>
                </w:p>
              </w:tc>
              <w:tc>
                <w:tcPr>
                  <w:tcW w:w="729" w:type="pct"/>
                  <w:noWrap w:val="0"/>
                  <w:vAlign w:val="center"/>
                </w:tcPr>
                <w:p w14:paraId="0C8B64E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vMerge w:val="continue"/>
                  <w:noWrap w:val="0"/>
                  <w:vAlign w:val="center"/>
                </w:tcPr>
                <w:p w14:paraId="41E87F3F">
                  <w:pPr>
                    <w:jc w:val="center"/>
                    <w:rPr>
                      <w:rFonts w:hint="default" w:ascii="Times New Roman" w:hAnsi="Times New Roman" w:eastAsia="宋体" w:cs="Times New Roman"/>
                      <w:color w:val="auto"/>
                      <w:szCs w:val="21"/>
                    </w:rPr>
                  </w:pPr>
                </w:p>
              </w:tc>
            </w:tr>
            <w:tr w14:paraId="45A4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1BD84D9">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4F3FC1C4">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775E728">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26B1433F">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林格曼黑度</w:t>
                  </w:r>
                </w:p>
              </w:tc>
              <w:tc>
                <w:tcPr>
                  <w:tcW w:w="729" w:type="pct"/>
                  <w:noWrap w:val="0"/>
                  <w:vAlign w:val="center"/>
                </w:tcPr>
                <w:p w14:paraId="5B6EE1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0943D33B">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《工业窑炉大气污染物排放标准（GB9078-1996）表2二级排放标准限值要求</w:t>
                  </w:r>
                  <w:r>
                    <w:rPr>
                      <w:rFonts w:hint="eastAsia" w:ascii="Times New Roman" w:hAnsi="Times New Roman" w:eastAsia="宋体" w:cs="Times New Roman"/>
                      <w:color w:val="auto"/>
                      <w:szCs w:val="21"/>
                      <w:lang w:eastAsia="zh-CN"/>
                    </w:rPr>
                    <w:t>（</w:t>
                  </w:r>
                  <w:r>
                    <w:rPr>
                      <w:rFonts w:hint="eastAsia" w:ascii="Times New Roman" w:hAnsi="Times New Roman" w:cs="Times New Roman"/>
                      <w:color w:val="auto"/>
                      <w:sz w:val="21"/>
                      <w:szCs w:val="21"/>
                      <w:lang w:val="en-US" w:eastAsia="zh-CN"/>
                    </w:rPr>
                    <w:t>林格曼黑度</w:t>
                  </w:r>
                  <w:r>
                    <w:rPr>
                      <w:rFonts w:hint="default" w:ascii="Times New Roman" w:hAnsi="Times New Roman" w:eastAsia="宋体" w:cs="Times New Roman"/>
                      <w:color w:val="auto"/>
                      <w:sz w:val="21"/>
                      <w:szCs w:val="21"/>
                      <w:lang w:eastAsia="zh-CN"/>
                    </w:rPr>
                    <w:t>≤1</w:t>
                  </w:r>
                  <w:r>
                    <w:rPr>
                      <w:rFonts w:hint="eastAsia" w:ascii="Times New Roman" w:hAnsi="Times New Roman" w:eastAsia="宋体" w:cs="Times New Roman"/>
                      <w:color w:val="auto"/>
                      <w:szCs w:val="21"/>
                      <w:lang w:eastAsia="zh-CN"/>
                    </w:rPr>
                    <w:t>）</w:t>
                  </w:r>
                </w:p>
              </w:tc>
            </w:tr>
            <w:tr w14:paraId="693C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11D50454">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7B824628">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527551F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4BEC23CE">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44132B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0D82AB3D">
                  <w:pPr>
                    <w:adjustRightInd w:val="0"/>
                    <w:snapToGrid w:val="0"/>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（排放浓度为50</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，同时需满足《重污染天气重点行业应急减排措施制定技术指南》（环办大气函</w:t>
                  </w:r>
                  <w:r>
                    <w:rPr>
                      <w:rFonts w:hint="eastAsia" w:cs="Times New Roman"/>
                      <w:b w:val="0"/>
                      <w:bCs/>
                      <w:color w:val="auto"/>
                      <w:sz w:val="21"/>
                      <w:szCs w:val="21"/>
                      <w:lang w:val="en-US" w:eastAsia="zh-CN"/>
                    </w:rPr>
                    <w:t>〔2020〕</w:t>
                  </w:r>
                  <w:r>
                    <w:rPr>
                      <w:rFonts w:hint="default" w:ascii="Times New Roman" w:hAnsi="Times New Roman" w:cs="Times New Roman"/>
                      <w:b w:val="0"/>
                      <w:bCs/>
                      <w:color w:val="auto"/>
                      <w:sz w:val="21"/>
                      <w:szCs w:val="21"/>
                      <w:lang w:val="en-US" w:eastAsia="zh-CN"/>
                    </w:rPr>
                    <w:t>（340）号）中工业涂装A级企业“排放限值”要求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20mg/m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lang w:val="en-US" w:eastAsia="zh-CN"/>
                    </w:rPr>
                    <w:t>—30mg/m</w:t>
                  </w:r>
                  <w:r>
                    <w:rPr>
                      <w:rFonts w:hint="default" w:ascii="Times New Roman" w:hAnsi="Times New Roman"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1569E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DEAA77E">
                  <w:pPr>
                    <w:adjustRightInd w:val="0"/>
                    <w:snapToGrid w:val="0"/>
                    <w:jc w:val="center"/>
                    <w:rPr>
                      <w:rFonts w:hint="default" w:ascii="Times New Roman" w:hAnsi="Times New Roman" w:eastAsia="宋体" w:cs="Times New Roman"/>
                      <w:color w:val="auto"/>
                      <w:szCs w:val="21"/>
                    </w:rPr>
                  </w:pPr>
                </w:p>
              </w:tc>
              <w:tc>
                <w:tcPr>
                  <w:tcW w:w="529" w:type="pct"/>
                  <w:vMerge w:val="restart"/>
                  <w:noWrap w:val="0"/>
                  <w:vAlign w:val="center"/>
                </w:tcPr>
                <w:p w14:paraId="474E23FA">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无组织</w:t>
                  </w:r>
                </w:p>
              </w:tc>
              <w:tc>
                <w:tcPr>
                  <w:tcW w:w="848" w:type="pct"/>
                  <w:noWrap w:val="0"/>
                  <w:vAlign w:val="center"/>
                </w:tcPr>
                <w:p w14:paraId="39A99DFD">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厂区内，厂房外设置监控点</w:t>
                  </w:r>
                </w:p>
              </w:tc>
              <w:tc>
                <w:tcPr>
                  <w:tcW w:w="821" w:type="pct"/>
                  <w:noWrap w:val="0"/>
                  <w:vAlign w:val="center"/>
                </w:tcPr>
                <w:p w14:paraId="1D7D9149">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7349200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2D6404DA">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r>
            <w:tr w14:paraId="2A8EA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5BFFDA0">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73AA306A">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restart"/>
                  <w:noWrap w:val="0"/>
                  <w:vAlign w:val="center"/>
                </w:tcPr>
                <w:p w14:paraId="439AC62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厂界，上风向1个点，下风向3个点</w:t>
                  </w:r>
                </w:p>
              </w:tc>
              <w:tc>
                <w:tcPr>
                  <w:tcW w:w="821" w:type="pct"/>
                  <w:noWrap w:val="0"/>
                  <w:vAlign w:val="center"/>
                </w:tcPr>
                <w:p w14:paraId="18C753E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240EF72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79DF79C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大气污染物综合排放</w:t>
                  </w:r>
                  <w:r>
                    <w:rPr>
                      <w:rFonts w:hint="default" w:ascii="Times New Roman" w:hAnsi="Times New Roman" w:eastAsia="宋体" w:cs="Times New Roman"/>
                      <w:color w:val="auto"/>
                      <w:sz w:val="21"/>
                      <w:szCs w:val="21"/>
                    </w:rPr>
                    <w:t>标准》（GB</w:t>
                  </w:r>
                  <w:r>
                    <w:rPr>
                      <w:rFonts w:hint="default" w:ascii="Times New Roman" w:hAnsi="Times New Roman" w:cs="Times New Roman"/>
                      <w:color w:val="auto"/>
                      <w:sz w:val="21"/>
                      <w:szCs w:val="21"/>
                      <w:lang w:val="en-US" w:eastAsia="zh-CN"/>
                    </w:rPr>
                    <w:t>16297-1996</w:t>
                  </w:r>
                  <w:r>
                    <w:rPr>
                      <w:rFonts w:hint="default" w:ascii="Times New Roman" w:hAnsi="Times New Roman" w:eastAsia="宋体" w:cs="Times New Roman"/>
                      <w:color w:val="auto"/>
                      <w:sz w:val="21"/>
                      <w:szCs w:val="21"/>
                    </w:rPr>
                    <w:t>）</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w:t>
                  </w:r>
                  <w:r>
                    <w:rPr>
                      <w:rFonts w:hint="eastAsia" w:cs="Times New Roman"/>
                      <w:b w:val="0"/>
                      <w:bCs/>
                      <w:color w:val="auto"/>
                      <w:sz w:val="21"/>
                      <w:szCs w:val="21"/>
                      <w:lang w:val="en-US" w:eastAsia="zh-CN"/>
                    </w:rPr>
                    <w:t>1.0mg/m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68B80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3002E987">
                  <w:pPr>
                    <w:adjustRightInd w:val="0"/>
                    <w:snapToGrid w:val="0"/>
                    <w:jc w:val="center"/>
                    <w:rPr>
                      <w:rFonts w:hint="default" w:ascii="Times New Roman" w:hAnsi="Times New Roman" w:eastAsia="宋体" w:cs="Times New Roman"/>
                      <w:color w:val="auto"/>
                      <w:szCs w:val="21"/>
                    </w:rPr>
                  </w:pPr>
                </w:p>
              </w:tc>
              <w:tc>
                <w:tcPr>
                  <w:tcW w:w="529" w:type="pct"/>
                  <w:vMerge w:val="continue"/>
                  <w:noWrap w:val="0"/>
                  <w:vAlign w:val="center"/>
                </w:tcPr>
                <w:p w14:paraId="5703951F">
                  <w:pPr>
                    <w:adjustRightInd w:val="0"/>
                    <w:snapToGrid w:val="0"/>
                    <w:jc w:val="center"/>
                    <w:rPr>
                      <w:rFonts w:hint="eastAsia" w:ascii="Times New Roman" w:hAnsi="Times New Roman" w:eastAsia="宋体" w:cs="Times New Roman"/>
                      <w:color w:val="auto"/>
                      <w:szCs w:val="21"/>
                      <w:lang w:val="en-US" w:eastAsia="zh-CN"/>
                    </w:rPr>
                  </w:pPr>
                </w:p>
              </w:tc>
              <w:tc>
                <w:tcPr>
                  <w:tcW w:w="848" w:type="pct"/>
                  <w:vMerge w:val="continue"/>
                  <w:noWrap w:val="0"/>
                  <w:vAlign w:val="center"/>
                </w:tcPr>
                <w:p w14:paraId="1BAABA95">
                  <w:pPr>
                    <w:adjustRightInd w:val="0"/>
                    <w:snapToGrid w:val="0"/>
                    <w:jc w:val="center"/>
                    <w:rPr>
                      <w:rFonts w:hint="default" w:ascii="Times New Roman" w:hAnsi="Times New Roman" w:eastAsia="宋体" w:cs="Times New Roman"/>
                      <w:color w:val="auto"/>
                      <w:szCs w:val="21"/>
                      <w:lang w:val="en-US" w:eastAsia="zh-CN"/>
                    </w:rPr>
                  </w:pPr>
                </w:p>
              </w:tc>
              <w:tc>
                <w:tcPr>
                  <w:tcW w:w="821" w:type="pct"/>
                  <w:noWrap w:val="0"/>
                  <w:vAlign w:val="center"/>
                </w:tcPr>
                <w:p w14:paraId="3C06BA47">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729" w:type="pct"/>
                  <w:noWrap w:val="0"/>
                  <w:vAlign w:val="center"/>
                </w:tcPr>
                <w:p w14:paraId="646EE7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1F751BC6">
                  <w:pPr>
                    <w:jc w:val="center"/>
                    <w:rPr>
                      <w:rFonts w:hint="default" w:ascii="Times New Roman" w:hAnsi="Times New Roman" w:eastAsia="宋体" w:cs="Times New Roman"/>
                      <w:color w:val="auto"/>
                      <w:szCs w:val="21"/>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排放浓度为</w:t>
                  </w:r>
                  <w:r>
                    <w:rPr>
                      <w:rFonts w:hint="eastAsia" w:cs="Times New Roman"/>
                      <w:b w:val="0"/>
                      <w:bCs/>
                      <w:color w:val="auto"/>
                      <w:sz w:val="21"/>
                      <w:szCs w:val="21"/>
                      <w:lang w:val="en-US" w:eastAsia="zh-CN"/>
                    </w:rPr>
                    <w:t>3mg/m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bl>
          <w:p w14:paraId="664BCF75">
            <w:pPr>
              <w:keepNext/>
              <w:keepLines/>
              <w:pageBreakBefore w:val="0"/>
              <w:widowControl/>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Cs/>
                <w:color w:val="auto"/>
                <w:sz w:val="24"/>
                <w:szCs w:val="28"/>
              </w:rPr>
            </w:pPr>
            <w:r>
              <w:rPr>
                <w:rFonts w:hint="default" w:ascii="Times New Roman" w:hAnsi="Times New Roman" w:eastAsia="宋体" w:cs="Times New Roman"/>
                <w:b/>
                <w:bCs/>
                <w:color w:val="auto"/>
                <w:kern w:val="2"/>
                <w:sz w:val="28"/>
                <w:szCs w:val="28"/>
                <w:lang w:val="en-US" w:eastAsia="zh-CN" w:bidi="ar-SA"/>
              </w:rPr>
              <w:t>二、运营期废水环境影响和保护措施</w:t>
            </w:r>
          </w:p>
          <w:p w14:paraId="44B08991">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地表水污染工序及源强分析</w:t>
            </w:r>
          </w:p>
          <w:p w14:paraId="0FD865FA">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本项目新增工件清洗用水，清洗过程中需涉及脱脂、硅烷工艺，因此会产生清洗废水，本项目设置污水处理设施将废水清洗后继续用于工件清洗，定期补充，不外排。</w:t>
            </w:r>
          </w:p>
          <w:p w14:paraId="01E960FC">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2.废水治理设施可行性分析</w:t>
            </w:r>
          </w:p>
          <w:p w14:paraId="403E7745">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（1）废水污染防治措施</w:t>
            </w:r>
          </w:p>
          <w:p w14:paraId="6B9CD88D">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本项目工件清洗会产生清洗废水（槽液），经定期清理排入配套的一体化污水处理设施处理后循环使用，不外排。</w:t>
            </w:r>
          </w:p>
          <w:p w14:paraId="1FC88843">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（2）污水处理站建设内容</w:t>
            </w:r>
          </w:p>
          <w:p w14:paraId="564E96CD">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本项目设一套一体化污水处理设施，处理工艺为废水—污水调节池—pH调节池（加氢氧化钠调节）—混凝池—斜管沉淀（PAC、PAM）—中间水池—石英砂过滤—活性炭过滤—超滤—清水池—清水回用。废水处理能力为1m³/h，配套水箱均为1.5m³，每天主要处理3号和4号槽溢流出的废水，该溢流的废水量每天约1m³。每月对1-6号槽清洗废水（槽液）交替进行清理并排入污水处理设施内进行处理，污水设施处理能力可满足企业废水产生量。污水处理设施及清洗生产线所处地面均已硬化并做重点防渗，无土壤及地下水污染途径。</w:t>
            </w:r>
          </w:p>
          <w:p w14:paraId="409E09F4">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color w:val="auto"/>
                <w:sz w:val="24"/>
                <w:szCs w:val="24"/>
                <w:lang w:val="en-US" w:eastAsia="zh-CN"/>
              </w:rPr>
              <w:t>（3）废水达标回用可行性分析</w:t>
            </w:r>
          </w:p>
          <w:p w14:paraId="20252EF1">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本项目要求经处理后的废水水质达到</w:t>
            </w:r>
            <w:r>
              <w:rPr>
                <w:rFonts w:hint="eastAsia" w:ascii="Times New Roman" w:hAnsi="Times New Roman" w:eastAsia="宋体" w:cs="Times New Roman"/>
                <w:color w:val="auto"/>
                <w:sz w:val="24"/>
                <w:lang w:val="en-US" w:eastAsia="zh-CN"/>
              </w:rPr>
              <w:t>《城市污水再生利用 工业用水水质》（GB/T 19923-2005）表1中洗涤用水水质标准限值</w:t>
            </w:r>
            <w:r>
              <w:rPr>
                <w:rFonts w:hint="eastAsia" w:cs="Times New Roman"/>
                <w:color w:val="auto"/>
                <w:sz w:val="24"/>
                <w:lang w:val="en-US" w:eastAsia="zh-CN"/>
              </w:rPr>
              <w:t>。</w:t>
            </w:r>
          </w:p>
          <w:p w14:paraId="05EE89AE">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szCs w:val="24"/>
                <w:lang w:val="en-US" w:eastAsia="zh-CN"/>
              </w:rPr>
              <w:t>根据</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排污许可证申请与核发技术规范 通用设备、专用设备、仪器仪表及其他制造业</w:t>
            </w:r>
            <w:r>
              <w:rPr>
                <w:rFonts w:hint="default" w:ascii="Times New Roman" w:hAnsi="Times New Roman" w:eastAsia="宋体" w:cs="Times New Roman"/>
                <w:color w:val="auto"/>
                <w:sz w:val="24"/>
                <w:szCs w:val="24"/>
                <w:lang w:val="en-US" w:eastAsia="zh-CN"/>
              </w:rPr>
              <w:t>》DB61/T 1356-2020</w:t>
            </w:r>
            <w:r>
              <w:rPr>
                <w:rFonts w:hint="eastAsia" w:ascii="Times New Roman" w:hAnsi="Times New Roman" w:eastAsia="宋体" w:cs="Times New Roman"/>
                <w:color w:val="auto"/>
                <w:sz w:val="24"/>
                <w:szCs w:val="24"/>
                <w:lang w:val="en-US" w:eastAsia="zh-CN"/>
              </w:rPr>
              <w:t>中“表A.4 排污单位废水类型、污染物类型及污染治理可行技术”涂装车间生产废水对应的污染治理工艺为混凝、沉淀/气浮、砂滤、吸附</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则本项目使用的污水处理工艺符合相关要求，属于可行技术。同时参考《污水再生利用工程设计标准》（GB50335-2016）中规定可知，工业水回用的工艺选择原则，明确“预处理+过滤+膜处理”是常规回用工艺。</w:t>
            </w:r>
          </w:p>
          <w:p w14:paraId="1466B6A3">
            <w:pPr>
              <w:pStyle w:val="2"/>
              <w:pageBreakBefore w:val="0"/>
              <w:kinsoku/>
              <w:wordWrap/>
              <w:overflowPunct/>
              <w:topLinePunct w:val="0"/>
              <w:autoSpaceDE/>
              <w:autoSpaceDN/>
              <w:bidi w:val="0"/>
              <w:adjustRightInd/>
              <w:snapToGrid/>
              <w:spacing w:before="0" w:beforeAutospacing="0" w:after="0" w:afterAutospacing="0"/>
              <w:ind w:left="0" w:leftChars="0" w:firstLine="480" w:firstLineChars="200"/>
              <w:textAlignment w:val="auto"/>
              <w:rPr>
                <w:rFonts w:hint="default"/>
                <w:color w:val="auto"/>
                <w:sz w:val="24"/>
                <w:szCs w:val="24"/>
                <w:lang w:val="en-US" w:eastAsia="zh-CN"/>
              </w:rPr>
            </w:pPr>
            <w:r>
              <w:rPr>
                <w:rFonts w:hint="eastAsia" w:ascii="Times New Roman" w:hAnsi="Times New Roman" w:eastAsia="宋体" w:cs="Times New Roman"/>
                <w:color w:val="auto"/>
                <w:sz w:val="24"/>
                <w:szCs w:val="24"/>
                <w:lang w:val="en-US" w:eastAsia="zh-CN"/>
              </w:rPr>
              <w:t>故本项目选择的污水处理设施及工艺处理后的水质</w:t>
            </w:r>
            <w:r>
              <w:rPr>
                <w:rFonts w:hint="eastAsia" w:cs="Times New Roman"/>
                <w:color w:val="auto"/>
                <w:sz w:val="24"/>
                <w:szCs w:val="24"/>
                <w:lang w:val="en-US" w:eastAsia="zh-CN"/>
              </w:rPr>
              <w:t>能满足</w:t>
            </w:r>
            <w:r>
              <w:rPr>
                <w:rFonts w:hint="eastAsia" w:ascii="Times New Roman" w:hAnsi="Times New Roman" w:eastAsia="宋体" w:cs="Times New Roman"/>
                <w:color w:val="auto"/>
                <w:sz w:val="24"/>
                <w:lang w:val="en-US" w:eastAsia="zh-CN"/>
              </w:rPr>
              <w:t>《城市污水再生利用 工业用水水质》（GB/T 19923-2005）表1中洗涤用水水质标准限值，即废水治理设施可行</w:t>
            </w:r>
            <w:r>
              <w:rPr>
                <w:rFonts w:hint="eastAsia" w:cs="Times New Roman"/>
                <w:color w:val="auto"/>
                <w:sz w:val="24"/>
                <w:lang w:val="en-US" w:eastAsia="zh-CN"/>
              </w:rPr>
              <w:t>，处理后的水质可回用于工件清洗</w:t>
            </w:r>
            <w:r>
              <w:rPr>
                <w:rFonts w:hint="eastAsia" w:ascii="Times New Roman" w:hAnsi="Times New Roman" w:eastAsia="宋体" w:cs="Times New Roman"/>
                <w:color w:val="auto"/>
                <w:sz w:val="24"/>
                <w:lang w:val="en-US" w:eastAsia="zh-CN"/>
              </w:rPr>
              <w:t>。</w:t>
            </w:r>
          </w:p>
          <w:p w14:paraId="307FFDB5">
            <w:pPr>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三、运营期噪声环境影响和保护措施</w:t>
            </w:r>
          </w:p>
          <w:p w14:paraId="5F0B8F16">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噪声源强分析</w:t>
            </w:r>
          </w:p>
          <w:p w14:paraId="64407B55">
            <w:pPr>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olor w:val="auto"/>
                <w:sz w:val="24"/>
              </w:rPr>
              <w:t>本</w:t>
            </w:r>
            <w:r>
              <w:rPr>
                <w:color w:val="auto"/>
                <w:sz w:val="24"/>
              </w:rPr>
              <w:t>项目</w:t>
            </w:r>
            <w:r>
              <w:rPr>
                <w:rFonts w:hint="eastAsia"/>
                <w:color w:val="auto"/>
                <w:sz w:val="24"/>
              </w:rPr>
              <w:t>运营期</w:t>
            </w:r>
            <w:r>
              <w:rPr>
                <w:color w:val="auto"/>
                <w:sz w:val="24"/>
              </w:rPr>
              <w:t>主要噪声源</w:t>
            </w:r>
            <w:r>
              <w:rPr>
                <w:rFonts w:hint="eastAsia"/>
                <w:color w:val="auto"/>
                <w:sz w:val="24"/>
              </w:rPr>
              <w:t>为</w:t>
            </w:r>
            <w:r>
              <w:rPr>
                <w:rFonts w:hint="eastAsia"/>
                <w:color w:val="auto"/>
                <w:sz w:val="24"/>
                <w:lang w:val="en-US" w:eastAsia="zh-CN"/>
              </w:rPr>
              <w:t>生产</w:t>
            </w:r>
            <w:r>
              <w:rPr>
                <w:color w:val="auto"/>
                <w:sz w:val="24"/>
              </w:rPr>
              <w:t>设备运行</w:t>
            </w:r>
            <w:r>
              <w:rPr>
                <w:rFonts w:hint="eastAsia"/>
                <w:color w:val="auto"/>
                <w:sz w:val="24"/>
              </w:rPr>
              <w:t>过程中产生的</w:t>
            </w:r>
            <w:r>
              <w:rPr>
                <w:rFonts w:hint="eastAsia"/>
                <w:snapToGrid w:val="0"/>
                <w:color w:val="auto"/>
                <w:kern w:val="0"/>
                <w:sz w:val="24"/>
              </w:rPr>
              <w:t>机械</w:t>
            </w:r>
            <w:r>
              <w:rPr>
                <w:snapToGrid w:val="0"/>
                <w:color w:val="auto"/>
                <w:kern w:val="0"/>
                <w:sz w:val="24"/>
              </w:rPr>
              <w:t>噪声</w:t>
            </w:r>
            <w:r>
              <w:rPr>
                <w:rFonts w:hint="eastAsia"/>
                <w:snapToGrid w:val="0"/>
                <w:color w:val="auto"/>
                <w:kern w:val="0"/>
                <w:sz w:val="24"/>
              </w:rPr>
              <w:t>。</w:t>
            </w:r>
            <w:r>
              <w:rPr>
                <w:color w:val="auto"/>
                <w:sz w:val="24"/>
              </w:rPr>
              <w:t>项目</w:t>
            </w:r>
            <w:r>
              <w:rPr>
                <w:rFonts w:hint="eastAsia"/>
                <w:color w:val="auto"/>
                <w:sz w:val="24"/>
              </w:rPr>
              <w:t>单台</w:t>
            </w:r>
            <w:r>
              <w:rPr>
                <w:color w:val="auto"/>
                <w:sz w:val="24"/>
              </w:rPr>
              <w:t>设备噪声源</w:t>
            </w:r>
            <w:r>
              <w:rPr>
                <w:rFonts w:hint="eastAsia"/>
                <w:color w:val="auto"/>
                <w:sz w:val="24"/>
                <w:lang w:val="en-US" w:eastAsia="zh-CN"/>
              </w:rPr>
              <w:t>的</w:t>
            </w:r>
            <w:r>
              <w:rPr>
                <w:color w:val="auto"/>
                <w:sz w:val="24"/>
              </w:rPr>
              <w:t>声功率级为</w:t>
            </w:r>
            <w:r>
              <w:rPr>
                <w:rFonts w:hint="eastAsia"/>
                <w:color w:val="auto"/>
                <w:sz w:val="24"/>
              </w:rPr>
              <w:t>7</w:t>
            </w:r>
            <w:r>
              <w:rPr>
                <w:color w:val="auto"/>
                <w:sz w:val="24"/>
              </w:rPr>
              <w:t>5dB（A）~</w:t>
            </w:r>
            <w:r>
              <w:rPr>
                <w:rFonts w:hint="eastAsia"/>
                <w:color w:val="auto"/>
                <w:sz w:val="24"/>
                <w:lang w:val="en-US" w:eastAsia="zh-CN"/>
              </w:rPr>
              <w:t>90</w:t>
            </w:r>
            <w:r>
              <w:rPr>
                <w:color w:val="auto"/>
                <w:sz w:val="24"/>
              </w:rPr>
              <w:t>dB（A）。</w:t>
            </w:r>
            <w:r>
              <w:rPr>
                <w:rFonts w:hint="eastAsia"/>
                <w:color w:val="auto"/>
                <w:sz w:val="24"/>
                <w:lang w:val="en-US" w:eastAsia="zh-CN"/>
              </w:rPr>
              <w:t>以生产车间西南角为坐标原点，本项目</w:t>
            </w:r>
            <w:r>
              <w:rPr>
                <w:color w:val="auto"/>
                <w:sz w:val="24"/>
              </w:rPr>
              <w:t>各声源声级值详见</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w:t>
            </w:r>
          </w:p>
          <w:p w14:paraId="0D5461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lang w:val="en-US" w:eastAsia="zh-CN"/>
              </w:rPr>
              <w:t xml:space="preserve"> 工业企业噪声源强调查清单（室内声源）</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907"/>
              <w:gridCol w:w="872"/>
              <w:gridCol w:w="820"/>
              <w:gridCol w:w="504"/>
              <w:gridCol w:w="514"/>
              <w:gridCol w:w="535"/>
              <w:gridCol w:w="483"/>
              <w:gridCol w:w="483"/>
              <w:gridCol w:w="872"/>
              <w:gridCol w:w="897"/>
              <w:gridCol w:w="820"/>
            </w:tblGrid>
            <w:tr w14:paraId="67C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noWrap w:val="0"/>
                  <w:vAlign w:val="center"/>
                </w:tcPr>
                <w:p w14:paraId="164F176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55" w:type="pct"/>
                  <w:vMerge w:val="restart"/>
                  <w:noWrap w:val="0"/>
                  <w:vAlign w:val="center"/>
                </w:tcPr>
                <w:p w14:paraId="2018736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声源名称</w:t>
                  </w:r>
                </w:p>
              </w:tc>
              <w:tc>
                <w:tcPr>
                  <w:tcW w:w="533" w:type="pct"/>
                  <w:vMerge w:val="restart"/>
                  <w:noWrap w:val="0"/>
                  <w:vAlign w:val="center"/>
                </w:tcPr>
                <w:p w14:paraId="71B67FDD">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声压级/距声压级距离（dB（A）/m）</w:t>
                  </w:r>
                </w:p>
              </w:tc>
              <w:tc>
                <w:tcPr>
                  <w:tcW w:w="501" w:type="pct"/>
                  <w:vMerge w:val="restart"/>
                  <w:noWrap w:val="0"/>
                  <w:vAlign w:val="center"/>
                </w:tcPr>
                <w:p w14:paraId="539CA4A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声源控制措施</w:t>
                  </w:r>
                </w:p>
                <w:p w14:paraId="7B478D5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949" w:type="pct"/>
                  <w:gridSpan w:val="3"/>
                  <w:noWrap w:val="0"/>
                  <w:vAlign w:val="center"/>
                </w:tcPr>
                <w:p w14:paraId="61EEC224">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空间相对位置/m</w:t>
                  </w:r>
                </w:p>
              </w:tc>
              <w:tc>
                <w:tcPr>
                  <w:tcW w:w="295" w:type="pct"/>
                  <w:vMerge w:val="restart"/>
                  <w:noWrap w:val="0"/>
                  <w:vAlign w:val="center"/>
                </w:tcPr>
                <w:p w14:paraId="40FBBE1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距室内边界距离/m</w:t>
                  </w:r>
                </w:p>
              </w:tc>
              <w:tc>
                <w:tcPr>
                  <w:tcW w:w="295" w:type="pct"/>
                  <w:vMerge w:val="restart"/>
                  <w:noWrap w:val="0"/>
                  <w:vAlign w:val="center"/>
                </w:tcPr>
                <w:p w14:paraId="47D6C43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运行时段</w:t>
                  </w:r>
                </w:p>
                <w:p w14:paraId="1EBCA90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vMerge w:val="restart"/>
                  <w:noWrap w:val="0"/>
                  <w:vAlign w:val="center"/>
                </w:tcPr>
                <w:p w14:paraId="1464EA2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建筑物插入损失/dB（A）</w:t>
                  </w:r>
                </w:p>
              </w:tc>
              <w:tc>
                <w:tcPr>
                  <w:tcW w:w="1049" w:type="pct"/>
                  <w:gridSpan w:val="2"/>
                  <w:noWrap w:val="0"/>
                  <w:vAlign w:val="center"/>
                </w:tcPr>
                <w:p w14:paraId="340840BD">
                  <w:pPr>
                    <w:adjustRightInd w:val="0"/>
                    <w:snapToGrid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建筑物外噪声</w:t>
                  </w:r>
                </w:p>
              </w:tc>
            </w:tr>
            <w:tr w14:paraId="0C3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noWrap w:val="0"/>
                  <w:vAlign w:val="center"/>
                </w:tcPr>
                <w:p w14:paraId="4580324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55" w:type="pct"/>
                  <w:vMerge w:val="continue"/>
                  <w:noWrap w:val="0"/>
                  <w:vAlign w:val="center"/>
                </w:tcPr>
                <w:p w14:paraId="39284282">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noWrap w:val="0"/>
                  <w:vAlign w:val="center"/>
                </w:tcPr>
                <w:p w14:paraId="4188D1F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01" w:type="pct"/>
                  <w:vMerge w:val="continue"/>
                  <w:noWrap w:val="0"/>
                  <w:vAlign w:val="center"/>
                </w:tcPr>
                <w:p w14:paraId="5CB6165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308" w:type="pct"/>
                  <w:noWrap w:val="0"/>
                  <w:vAlign w:val="center"/>
                </w:tcPr>
                <w:p w14:paraId="68BDE8A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X</w:t>
                  </w:r>
                </w:p>
              </w:tc>
              <w:tc>
                <w:tcPr>
                  <w:tcW w:w="314" w:type="pct"/>
                  <w:noWrap w:val="0"/>
                  <w:vAlign w:val="center"/>
                </w:tcPr>
                <w:p w14:paraId="39C2316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Y</w:t>
                  </w:r>
                </w:p>
              </w:tc>
              <w:tc>
                <w:tcPr>
                  <w:tcW w:w="327" w:type="pct"/>
                  <w:noWrap w:val="0"/>
                  <w:vAlign w:val="center"/>
                </w:tcPr>
                <w:p w14:paraId="75D2B23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w:t>
                  </w:r>
                </w:p>
              </w:tc>
              <w:tc>
                <w:tcPr>
                  <w:tcW w:w="295" w:type="pct"/>
                  <w:vMerge w:val="continue"/>
                  <w:noWrap w:val="0"/>
                  <w:vAlign w:val="center"/>
                </w:tcPr>
                <w:p w14:paraId="094540D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p>
              </w:tc>
              <w:tc>
                <w:tcPr>
                  <w:tcW w:w="295" w:type="pct"/>
                  <w:vMerge w:val="continue"/>
                  <w:noWrap w:val="0"/>
                  <w:vAlign w:val="center"/>
                </w:tcPr>
                <w:p w14:paraId="40978BB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noWrap w:val="0"/>
                  <w:vAlign w:val="center"/>
                </w:tcPr>
                <w:p w14:paraId="4D0A5863">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48" w:type="pct"/>
                  <w:shd w:val="clear" w:color="auto" w:fill="auto"/>
                  <w:noWrap w:val="0"/>
                  <w:vAlign w:val="center"/>
                </w:tcPr>
                <w:p w14:paraId="7B36D4C4">
                  <w:pPr>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b w:val="0"/>
                      <w:bCs w:val="0"/>
                      <w:color w:val="auto"/>
                      <w:szCs w:val="21"/>
                    </w:rPr>
                    <w:t>声压级/dB(A)</w:t>
                  </w:r>
                </w:p>
              </w:tc>
              <w:tc>
                <w:tcPr>
                  <w:tcW w:w="501" w:type="pct"/>
                  <w:shd w:val="clear" w:color="auto" w:fill="auto"/>
                  <w:noWrap w:val="0"/>
                  <w:vAlign w:val="center"/>
                </w:tcPr>
                <w:p w14:paraId="423091FB">
                  <w:pPr>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eastAsia="宋体"/>
                      <w:b w:val="0"/>
                      <w:bCs w:val="0"/>
                      <w:color w:val="auto"/>
                      <w:szCs w:val="21"/>
                    </w:rPr>
                    <w:t>建筑物外距离</w:t>
                  </w:r>
                </w:p>
              </w:tc>
            </w:tr>
            <w:tr w14:paraId="7070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noWrap w:val="0"/>
                  <w:vAlign w:val="center"/>
                </w:tcPr>
                <w:p w14:paraId="6B54C1F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5" w:type="pct"/>
                  <w:noWrap w:val="0"/>
                  <w:vAlign w:val="center"/>
                </w:tcPr>
                <w:p w14:paraId="10B847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抛丸机</w:t>
                  </w:r>
                  <w:r>
                    <w:rPr>
                      <w:rFonts w:hint="eastAsia" w:ascii="Times New Roman" w:hAnsi="Times New Roman" w:cs="Times New Roman"/>
                      <w:color w:val="auto"/>
                      <w:sz w:val="21"/>
                      <w:szCs w:val="21"/>
                      <w:lang w:val="en-US" w:eastAsia="zh-CN"/>
                    </w:rPr>
                    <w:t>1</w:t>
                  </w:r>
                </w:p>
              </w:tc>
              <w:tc>
                <w:tcPr>
                  <w:tcW w:w="533" w:type="pct"/>
                  <w:noWrap w:val="0"/>
                  <w:vAlign w:val="center"/>
                </w:tcPr>
                <w:p w14:paraId="65EBEB6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restart"/>
                  <w:noWrap w:val="0"/>
                  <w:vAlign w:val="center"/>
                </w:tcPr>
                <w:p w14:paraId="14CC727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基础减振、厂房隔声</w:t>
                  </w:r>
                </w:p>
              </w:tc>
              <w:tc>
                <w:tcPr>
                  <w:tcW w:w="308" w:type="pct"/>
                  <w:noWrap w:val="0"/>
                  <w:vAlign w:val="center"/>
                </w:tcPr>
                <w:p w14:paraId="74EB8B9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314" w:type="pct"/>
                  <w:noWrap w:val="0"/>
                  <w:vAlign w:val="center"/>
                </w:tcPr>
                <w:p w14:paraId="5C224FD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w:t>
                  </w:r>
                </w:p>
              </w:tc>
              <w:tc>
                <w:tcPr>
                  <w:tcW w:w="327" w:type="pct"/>
                  <w:noWrap w:val="0"/>
                  <w:vAlign w:val="center"/>
                </w:tcPr>
                <w:p w14:paraId="72C5CED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6B4AC6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w:t>
                  </w:r>
                </w:p>
              </w:tc>
              <w:tc>
                <w:tcPr>
                  <w:tcW w:w="295" w:type="pct"/>
                  <w:vMerge w:val="restart"/>
                  <w:noWrap w:val="0"/>
                  <w:vAlign w:val="center"/>
                </w:tcPr>
                <w:p w14:paraId="33B3E59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w:t>
                  </w:r>
                </w:p>
              </w:tc>
              <w:tc>
                <w:tcPr>
                  <w:tcW w:w="533" w:type="pct"/>
                  <w:noWrap w:val="0"/>
                  <w:vAlign w:val="center"/>
                </w:tcPr>
                <w:p w14:paraId="0596190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shd w:val="clear" w:color="auto" w:fill="auto"/>
                  <w:noWrap w:val="0"/>
                  <w:vAlign w:val="center"/>
                </w:tcPr>
                <w:p w14:paraId="1139D91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53</w:t>
                  </w:r>
                </w:p>
              </w:tc>
              <w:tc>
                <w:tcPr>
                  <w:tcW w:w="501" w:type="pct"/>
                  <w:noWrap w:val="0"/>
                  <w:vAlign w:val="center"/>
                </w:tcPr>
                <w:p w14:paraId="4CF63C7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w:t>
                  </w:r>
                </w:p>
              </w:tc>
            </w:tr>
            <w:tr w14:paraId="1AF4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noWrap w:val="0"/>
                  <w:vAlign w:val="center"/>
                </w:tcPr>
                <w:p w14:paraId="60EEB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555" w:type="pct"/>
                  <w:noWrap w:val="0"/>
                  <w:vAlign w:val="center"/>
                </w:tcPr>
                <w:p w14:paraId="6F9711C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抛丸机</w:t>
                  </w:r>
                  <w:r>
                    <w:rPr>
                      <w:rFonts w:hint="eastAsia" w:cs="Times New Roman"/>
                      <w:color w:val="auto"/>
                      <w:sz w:val="21"/>
                      <w:szCs w:val="21"/>
                      <w:lang w:val="en-US" w:eastAsia="zh-CN"/>
                    </w:rPr>
                    <w:t>2</w:t>
                  </w:r>
                </w:p>
              </w:tc>
              <w:tc>
                <w:tcPr>
                  <w:tcW w:w="533" w:type="pct"/>
                  <w:noWrap w:val="0"/>
                  <w:vAlign w:val="center"/>
                </w:tcPr>
                <w:p w14:paraId="2427719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noWrap w:val="0"/>
                  <w:vAlign w:val="center"/>
                </w:tcPr>
                <w:p w14:paraId="47240C2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35DC0DB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noWrap w:val="0"/>
                  <w:vAlign w:val="center"/>
                </w:tcPr>
                <w:p w14:paraId="516775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26</w:t>
                  </w:r>
                </w:p>
              </w:tc>
              <w:tc>
                <w:tcPr>
                  <w:tcW w:w="327" w:type="pct"/>
                  <w:noWrap w:val="0"/>
                  <w:vAlign w:val="center"/>
                </w:tcPr>
                <w:p w14:paraId="71793D8D">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08E1F51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295" w:type="pct"/>
                  <w:vMerge w:val="continue"/>
                  <w:noWrap w:val="0"/>
                  <w:vAlign w:val="center"/>
                </w:tcPr>
                <w:p w14:paraId="3A86A5B9">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DAF551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shd w:val="clear" w:color="auto" w:fill="auto"/>
                  <w:noWrap w:val="0"/>
                  <w:vAlign w:val="center"/>
                </w:tcPr>
                <w:p w14:paraId="538300F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53</w:t>
                  </w:r>
                </w:p>
              </w:tc>
              <w:tc>
                <w:tcPr>
                  <w:tcW w:w="501" w:type="pct"/>
                  <w:noWrap w:val="0"/>
                  <w:vAlign w:val="center"/>
                </w:tcPr>
                <w:p w14:paraId="6109C7B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w:t>
                  </w:r>
                </w:p>
              </w:tc>
            </w:tr>
            <w:tr w14:paraId="772C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4" w:type="pct"/>
                  <w:noWrap w:val="0"/>
                  <w:vAlign w:val="center"/>
                </w:tcPr>
                <w:p w14:paraId="6DFD1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555" w:type="pct"/>
                  <w:noWrap w:val="0"/>
                  <w:vAlign w:val="center"/>
                </w:tcPr>
                <w:p w14:paraId="6EAB7F5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抛丸机</w:t>
                  </w:r>
                  <w:r>
                    <w:rPr>
                      <w:rFonts w:hint="eastAsia" w:cs="Times New Roman"/>
                      <w:color w:val="auto"/>
                      <w:sz w:val="21"/>
                      <w:szCs w:val="21"/>
                      <w:lang w:val="en-US" w:eastAsia="zh-CN"/>
                    </w:rPr>
                    <w:t>3</w:t>
                  </w:r>
                </w:p>
              </w:tc>
              <w:tc>
                <w:tcPr>
                  <w:tcW w:w="533" w:type="pct"/>
                  <w:noWrap w:val="0"/>
                  <w:vAlign w:val="center"/>
                </w:tcPr>
                <w:p w14:paraId="021CE4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noWrap w:val="0"/>
                  <w:vAlign w:val="center"/>
                </w:tcPr>
                <w:p w14:paraId="6927BB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0839015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noWrap w:val="0"/>
                  <w:vAlign w:val="center"/>
                </w:tcPr>
                <w:p w14:paraId="08DEF87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w:t>
                  </w:r>
                </w:p>
              </w:tc>
              <w:tc>
                <w:tcPr>
                  <w:tcW w:w="327" w:type="pct"/>
                  <w:noWrap w:val="0"/>
                  <w:vAlign w:val="center"/>
                </w:tcPr>
                <w:p w14:paraId="043F723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16454A8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295" w:type="pct"/>
                  <w:vMerge w:val="continue"/>
                  <w:noWrap w:val="0"/>
                  <w:vAlign w:val="center"/>
                </w:tcPr>
                <w:p w14:paraId="718D54A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66B503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548" w:type="pct"/>
                  <w:shd w:val="clear" w:color="auto" w:fill="auto"/>
                  <w:noWrap w:val="0"/>
                  <w:vAlign w:val="center"/>
                </w:tcPr>
                <w:p w14:paraId="34E1911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53</w:t>
                  </w:r>
                </w:p>
              </w:tc>
              <w:tc>
                <w:tcPr>
                  <w:tcW w:w="501" w:type="pct"/>
                  <w:noWrap w:val="0"/>
                  <w:vAlign w:val="center"/>
                </w:tcPr>
                <w:p w14:paraId="2EBFE29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w:t>
                  </w:r>
                </w:p>
              </w:tc>
            </w:tr>
            <w:tr w14:paraId="2FF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712416F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555" w:type="pct"/>
                  <w:noWrap w:val="0"/>
                  <w:vAlign w:val="center"/>
                </w:tcPr>
                <w:p w14:paraId="7FE8E89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静电喷塑机1</w:t>
                  </w:r>
                </w:p>
              </w:tc>
              <w:tc>
                <w:tcPr>
                  <w:tcW w:w="533" w:type="pct"/>
                  <w:noWrap w:val="0"/>
                  <w:vAlign w:val="center"/>
                </w:tcPr>
                <w:p w14:paraId="039EC6B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75/1</w:t>
                  </w:r>
                </w:p>
              </w:tc>
              <w:tc>
                <w:tcPr>
                  <w:tcW w:w="501" w:type="pct"/>
                  <w:noWrap w:val="0"/>
                  <w:vAlign w:val="center"/>
                </w:tcPr>
                <w:p w14:paraId="6F1EAB6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静电喷涂室隔声、厂房隔声</w:t>
                  </w:r>
                </w:p>
              </w:tc>
              <w:tc>
                <w:tcPr>
                  <w:tcW w:w="308" w:type="pct"/>
                  <w:noWrap w:val="0"/>
                  <w:vAlign w:val="center"/>
                </w:tcPr>
                <w:p w14:paraId="32A37F3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8</w:t>
                  </w:r>
                  <w:r>
                    <w:rPr>
                      <w:rFonts w:hint="default" w:ascii="Times New Roman" w:hAnsi="Times New Roman" w:cs="Times New Roman"/>
                      <w:color w:val="auto"/>
                      <w:kern w:val="2"/>
                      <w:sz w:val="21"/>
                      <w:szCs w:val="21"/>
                      <w:vertAlign w:val="baseline"/>
                      <w:lang w:val="en-US" w:eastAsia="zh-CN" w:bidi="ar-SA"/>
                    </w:rPr>
                    <w:t>9</w:t>
                  </w:r>
                </w:p>
              </w:tc>
              <w:tc>
                <w:tcPr>
                  <w:tcW w:w="314" w:type="pct"/>
                  <w:noWrap w:val="0"/>
                  <w:vAlign w:val="center"/>
                </w:tcPr>
                <w:p w14:paraId="1E02BBB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45</w:t>
                  </w:r>
                </w:p>
              </w:tc>
              <w:tc>
                <w:tcPr>
                  <w:tcW w:w="327" w:type="pct"/>
                  <w:noWrap w:val="0"/>
                  <w:vAlign w:val="center"/>
                </w:tcPr>
                <w:p w14:paraId="057E1F1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5" w:type="pct"/>
                  <w:noWrap w:val="0"/>
                  <w:vAlign w:val="center"/>
                </w:tcPr>
                <w:p w14:paraId="6E517D7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11</w:t>
                  </w:r>
                </w:p>
              </w:tc>
              <w:tc>
                <w:tcPr>
                  <w:tcW w:w="295" w:type="pct"/>
                  <w:vMerge w:val="continue"/>
                  <w:noWrap w:val="0"/>
                  <w:vAlign w:val="center"/>
                </w:tcPr>
                <w:p w14:paraId="18F904F7">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26427B0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8" w:type="pct"/>
                  <w:shd w:val="clear" w:color="auto" w:fill="auto"/>
                  <w:noWrap w:val="0"/>
                  <w:vAlign w:val="center"/>
                </w:tcPr>
                <w:p w14:paraId="7716020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w:t>
                  </w:r>
                </w:p>
              </w:tc>
              <w:tc>
                <w:tcPr>
                  <w:tcW w:w="501" w:type="pct"/>
                  <w:noWrap w:val="0"/>
                  <w:vAlign w:val="center"/>
                </w:tcPr>
                <w:p w14:paraId="78DDC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12</w:t>
                  </w:r>
                </w:p>
              </w:tc>
            </w:tr>
            <w:tr w14:paraId="7791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38CF4F84">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555" w:type="pct"/>
                  <w:noWrap w:val="0"/>
                  <w:vAlign w:val="center"/>
                </w:tcPr>
                <w:p w14:paraId="0267A94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1</w:t>
                  </w:r>
                </w:p>
              </w:tc>
              <w:tc>
                <w:tcPr>
                  <w:tcW w:w="533" w:type="pct"/>
                  <w:noWrap w:val="0"/>
                  <w:vAlign w:val="center"/>
                </w:tcPr>
                <w:p w14:paraId="3F8873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noWrap w:val="0"/>
                  <w:vAlign w:val="center"/>
                </w:tcPr>
                <w:p w14:paraId="4B00BC9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基础减振、厂房隔声</w:t>
                  </w:r>
                </w:p>
              </w:tc>
              <w:tc>
                <w:tcPr>
                  <w:tcW w:w="308" w:type="pct"/>
                  <w:noWrap w:val="0"/>
                  <w:vAlign w:val="center"/>
                </w:tcPr>
                <w:p w14:paraId="4DD8285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82</w:t>
                  </w:r>
                </w:p>
              </w:tc>
              <w:tc>
                <w:tcPr>
                  <w:tcW w:w="314" w:type="pct"/>
                  <w:noWrap w:val="0"/>
                  <w:vAlign w:val="center"/>
                </w:tcPr>
                <w:p w14:paraId="269AF25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52</w:t>
                  </w:r>
                </w:p>
              </w:tc>
              <w:tc>
                <w:tcPr>
                  <w:tcW w:w="327" w:type="pct"/>
                  <w:noWrap w:val="0"/>
                  <w:vAlign w:val="center"/>
                </w:tcPr>
                <w:p w14:paraId="08D730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54FAC11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5</w:t>
                  </w:r>
                </w:p>
              </w:tc>
              <w:tc>
                <w:tcPr>
                  <w:tcW w:w="295" w:type="pct"/>
                  <w:vMerge w:val="continue"/>
                  <w:noWrap w:val="0"/>
                  <w:vAlign w:val="center"/>
                </w:tcPr>
                <w:p w14:paraId="35DD4942">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4A91593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shd w:val="clear" w:color="auto" w:fill="auto"/>
                  <w:noWrap w:val="0"/>
                  <w:vAlign w:val="center"/>
                </w:tcPr>
                <w:p w14:paraId="5C91E43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56</w:t>
                  </w:r>
                </w:p>
              </w:tc>
              <w:tc>
                <w:tcPr>
                  <w:tcW w:w="501" w:type="pct"/>
                  <w:noWrap w:val="0"/>
                  <w:vAlign w:val="center"/>
                </w:tcPr>
                <w:p w14:paraId="5B27B37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9</w:t>
                  </w:r>
                </w:p>
              </w:tc>
            </w:tr>
            <w:tr w14:paraId="7060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59CA3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555" w:type="pct"/>
                  <w:noWrap w:val="0"/>
                  <w:vAlign w:val="center"/>
                </w:tcPr>
                <w:p w14:paraId="26F93DFB">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2</w:t>
                  </w:r>
                </w:p>
              </w:tc>
              <w:tc>
                <w:tcPr>
                  <w:tcW w:w="533" w:type="pct"/>
                  <w:noWrap w:val="0"/>
                  <w:vAlign w:val="center"/>
                </w:tcPr>
                <w:p w14:paraId="658FE2E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7D8CF2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3AAAC6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57</w:t>
                  </w:r>
                </w:p>
              </w:tc>
              <w:tc>
                <w:tcPr>
                  <w:tcW w:w="314" w:type="pct"/>
                  <w:noWrap w:val="0"/>
                  <w:vAlign w:val="center"/>
                </w:tcPr>
                <w:p w14:paraId="7B00892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w:t>
                  </w:r>
                </w:p>
              </w:tc>
              <w:tc>
                <w:tcPr>
                  <w:tcW w:w="327" w:type="pct"/>
                  <w:noWrap w:val="0"/>
                  <w:vAlign w:val="center"/>
                </w:tcPr>
                <w:p w14:paraId="23CCCD8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3D78ED5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c>
                <w:tcPr>
                  <w:tcW w:w="295" w:type="pct"/>
                  <w:vMerge w:val="continue"/>
                  <w:noWrap w:val="0"/>
                  <w:vAlign w:val="center"/>
                </w:tcPr>
                <w:p w14:paraId="00FFE4D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708BC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shd w:val="clear" w:color="auto" w:fill="auto"/>
                  <w:noWrap w:val="0"/>
                  <w:vAlign w:val="center"/>
                </w:tcPr>
                <w:p w14:paraId="492E8AF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40</w:t>
                  </w:r>
                </w:p>
              </w:tc>
              <w:tc>
                <w:tcPr>
                  <w:tcW w:w="501" w:type="pct"/>
                  <w:noWrap w:val="0"/>
                  <w:vAlign w:val="center"/>
                </w:tcPr>
                <w:p w14:paraId="0F25D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14</w:t>
                  </w:r>
                </w:p>
              </w:tc>
            </w:tr>
            <w:tr w14:paraId="7569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104C15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w:t>
                  </w:r>
                </w:p>
              </w:tc>
              <w:tc>
                <w:tcPr>
                  <w:tcW w:w="555" w:type="pct"/>
                  <w:noWrap w:val="0"/>
                  <w:vAlign w:val="center"/>
                </w:tcPr>
                <w:p w14:paraId="1B4923D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w:t>
                  </w:r>
                  <w:r>
                    <w:rPr>
                      <w:rFonts w:hint="eastAsia" w:ascii="Times New Roman" w:hAnsi="Times New Roman" w:cs="Times New Roman"/>
                      <w:color w:val="auto"/>
                      <w:sz w:val="21"/>
                      <w:szCs w:val="21"/>
                      <w:lang w:val="en-US" w:eastAsia="zh-CN"/>
                    </w:rPr>
                    <w:t>3</w:t>
                  </w:r>
                </w:p>
              </w:tc>
              <w:tc>
                <w:tcPr>
                  <w:tcW w:w="533" w:type="pct"/>
                  <w:noWrap w:val="0"/>
                  <w:vAlign w:val="center"/>
                </w:tcPr>
                <w:p w14:paraId="3CB28B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67D2638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08D7D59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28</w:t>
                  </w:r>
                </w:p>
              </w:tc>
              <w:tc>
                <w:tcPr>
                  <w:tcW w:w="314" w:type="pct"/>
                  <w:noWrap w:val="0"/>
                  <w:vAlign w:val="center"/>
                </w:tcPr>
                <w:p w14:paraId="11D96EA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w:t>
                  </w:r>
                </w:p>
              </w:tc>
              <w:tc>
                <w:tcPr>
                  <w:tcW w:w="327" w:type="pct"/>
                  <w:noWrap w:val="0"/>
                  <w:vAlign w:val="center"/>
                </w:tcPr>
                <w:p w14:paraId="4F97A4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5" w:type="pct"/>
                  <w:noWrap w:val="0"/>
                  <w:vAlign w:val="center"/>
                </w:tcPr>
                <w:p w14:paraId="50DD78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295" w:type="pct"/>
                  <w:vMerge w:val="continue"/>
                  <w:noWrap w:val="0"/>
                  <w:vAlign w:val="center"/>
                </w:tcPr>
                <w:p w14:paraId="733F240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345C9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548" w:type="pct"/>
                  <w:shd w:val="clear" w:color="auto" w:fill="auto"/>
                  <w:noWrap w:val="0"/>
                  <w:vAlign w:val="center"/>
                </w:tcPr>
                <w:p w14:paraId="309C439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44</w:t>
                  </w:r>
                </w:p>
              </w:tc>
              <w:tc>
                <w:tcPr>
                  <w:tcW w:w="501" w:type="pct"/>
                  <w:noWrap w:val="0"/>
                  <w:vAlign w:val="center"/>
                </w:tcPr>
                <w:p w14:paraId="6A1C92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4</w:t>
                  </w:r>
                </w:p>
              </w:tc>
            </w:tr>
            <w:tr w14:paraId="5AE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52650712">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555" w:type="pct"/>
                  <w:noWrap w:val="0"/>
                  <w:vAlign w:val="center"/>
                </w:tcPr>
                <w:p w14:paraId="091C9F6F">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环保设备风机1</w:t>
                  </w:r>
                </w:p>
              </w:tc>
              <w:tc>
                <w:tcPr>
                  <w:tcW w:w="533" w:type="pct"/>
                  <w:noWrap w:val="0"/>
                  <w:vAlign w:val="center"/>
                </w:tcPr>
                <w:p w14:paraId="54A94C5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noWrap w:val="0"/>
                  <w:vAlign w:val="center"/>
                </w:tcPr>
                <w:p w14:paraId="761CF42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隔声罩、橡胶减振垫、厂房隔声等</w:t>
                  </w:r>
                </w:p>
              </w:tc>
              <w:tc>
                <w:tcPr>
                  <w:tcW w:w="308" w:type="pct"/>
                  <w:noWrap w:val="0"/>
                  <w:vAlign w:val="center"/>
                </w:tcPr>
                <w:p w14:paraId="18C58BD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314" w:type="pct"/>
                  <w:noWrap w:val="0"/>
                  <w:vAlign w:val="center"/>
                </w:tcPr>
                <w:p w14:paraId="6CC63F6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w:t>
                  </w:r>
                </w:p>
              </w:tc>
              <w:tc>
                <w:tcPr>
                  <w:tcW w:w="327" w:type="pct"/>
                  <w:noWrap w:val="0"/>
                  <w:vAlign w:val="center"/>
                </w:tcPr>
                <w:p w14:paraId="7C159C0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43CDBFE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w:t>
                  </w:r>
                </w:p>
              </w:tc>
              <w:tc>
                <w:tcPr>
                  <w:tcW w:w="295" w:type="pct"/>
                  <w:vMerge w:val="continue"/>
                  <w:noWrap w:val="0"/>
                  <w:vAlign w:val="center"/>
                </w:tcPr>
                <w:p w14:paraId="5AE2C93D">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29AF9DF3">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shd w:val="clear" w:color="auto" w:fill="auto"/>
                  <w:noWrap w:val="0"/>
                  <w:vAlign w:val="center"/>
                </w:tcPr>
                <w:p w14:paraId="3B81458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50</w:t>
                  </w:r>
                </w:p>
              </w:tc>
              <w:tc>
                <w:tcPr>
                  <w:tcW w:w="501" w:type="pct"/>
                  <w:noWrap w:val="0"/>
                  <w:vAlign w:val="center"/>
                </w:tcPr>
                <w:p w14:paraId="458998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10</w:t>
                  </w:r>
                </w:p>
              </w:tc>
            </w:tr>
            <w:tr w14:paraId="21E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3CCC00AD">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w:t>
                  </w:r>
                </w:p>
              </w:tc>
              <w:tc>
                <w:tcPr>
                  <w:tcW w:w="555" w:type="pct"/>
                  <w:noWrap w:val="0"/>
                  <w:vAlign w:val="center"/>
                </w:tcPr>
                <w:p w14:paraId="1EBEFF71">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环保设备风机2</w:t>
                  </w:r>
                </w:p>
              </w:tc>
              <w:tc>
                <w:tcPr>
                  <w:tcW w:w="533" w:type="pct"/>
                  <w:noWrap w:val="0"/>
                  <w:vAlign w:val="center"/>
                </w:tcPr>
                <w:p w14:paraId="7F56508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BDF40F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680940C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75</w:t>
                  </w:r>
                </w:p>
              </w:tc>
              <w:tc>
                <w:tcPr>
                  <w:tcW w:w="314" w:type="pct"/>
                  <w:noWrap w:val="0"/>
                  <w:vAlign w:val="center"/>
                </w:tcPr>
                <w:p w14:paraId="5B547E6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w:t>
                  </w:r>
                </w:p>
              </w:tc>
              <w:tc>
                <w:tcPr>
                  <w:tcW w:w="327" w:type="pct"/>
                  <w:noWrap w:val="0"/>
                  <w:vAlign w:val="center"/>
                </w:tcPr>
                <w:p w14:paraId="2247694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0ACD90B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6</w:t>
                  </w:r>
                </w:p>
              </w:tc>
              <w:tc>
                <w:tcPr>
                  <w:tcW w:w="295" w:type="pct"/>
                  <w:vMerge w:val="continue"/>
                  <w:noWrap w:val="0"/>
                  <w:vAlign w:val="center"/>
                </w:tcPr>
                <w:p w14:paraId="605FDF5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71CA88B8">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shd w:val="clear" w:color="auto" w:fill="auto"/>
                  <w:noWrap w:val="0"/>
                  <w:vAlign w:val="center"/>
                </w:tcPr>
                <w:p w14:paraId="14B7731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44</w:t>
                  </w:r>
                </w:p>
              </w:tc>
              <w:tc>
                <w:tcPr>
                  <w:tcW w:w="501" w:type="pct"/>
                  <w:noWrap w:val="0"/>
                  <w:vAlign w:val="center"/>
                </w:tcPr>
                <w:p w14:paraId="2D6EA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12</w:t>
                  </w:r>
                </w:p>
              </w:tc>
            </w:tr>
            <w:tr w14:paraId="3AB3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5F9F287D">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555" w:type="pct"/>
                  <w:noWrap w:val="0"/>
                  <w:vAlign w:val="center"/>
                </w:tcPr>
                <w:p w14:paraId="7037BC8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环保设备风机3</w:t>
                  </w:r>
                </w:p>
              </w:tc>
              <w:tc>
                <w:tcPr>
                  <w:tcW w:w="533" w:type="pct"/>
                  <w:noWrap w:val="0"/>
                  <w:vAlign w:val="center"/>
                </w:tcPr>
                <w:p w14:paraId="17A47AC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7686EF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60086F7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r>
                    <w:rPr>
                      <w:rFonts w:hint="eastAsia" w:ascii="Times New Roman" w:hAnsi="Times New Roman" w:cs="Times New Roman"/>
                      <w:color w:val="auto"/>
                      <w:sz w:val="21"/>
                      <w:szCs w:val="21"/>
                      <w:vertAlign w:val="baseline"/>
                      <w:lang w:val="en-US" w:eastAsia="zh-CN"/>
                    </w:rPr>
                    <w:t>1</w:t>
                  </w:r>
                </w:p>
              </w:tc>
              <w:tc>
                <w:tcPr>
                  <w:tcW w:w="314" w:type="pct"/>
                  <w:noWrap w:val="0"/>
                  <w:vAlign w:val="center"/>
                </w:tcPr>
                <w:p w14:paraId="5DCDDD4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38</w:t>
                  </w:r>
                </w:p>
              </w:tc>
              <w:tc>
                <w:tcPr>
                  <w:tcW w:w="327" w:type="pct"/>
                  <w:noWrap w:val="0"/>
                  <w:vAlign w:val="center"/>
                </w:tcPr>
                <w:p w14:paraId="311AAB3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19BC61B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w:t>
                  </w:r>
                </w:p>
              </w:tc>
              <w:tc>
                <w:tcPr>
                  <w:tcW w:w="295" w:type="pct"/>
                  <w:vMerge w:val="continue"/>
                  <w:noWrap w:val="0"/>
                  <w:vAlign w:val="center"/>
                </w:tcPr>
                <w:p w14:paraId="40F0DD4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FBAB94C">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shd w:val="clear" w:color="auto" w:fill="auto"/>
                  <w:noWrap w:val="0"/>
                  <w:vAlign w:val="center"/>
                </w:tcPr>
                <w:p w14:paraId="0FD8B28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60</w:t>
                  </w:r>
                </w:p>
              </w:tc>
              <w:tc>
                <w:tcPr>
                  <w:tcW w:w="501" w:type="pct"/>
                  <w:noWrap w:val="0"/>
                  <w:vAlign w:val="center"/>
                </w:tcPr>
                <w:p w14:paraId="51DA4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14</w:t>
                  </w:r>
                </w:p>
              </w:tc>
            </w:tr>
            <w:tr w14:paraId="5F8C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24AC4370">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w:t>
                  </w:r>
                </w:p>
              </w:tc>
              <w:tc>
                <w:tcPr>
                  <w:tcW w:w="555" w:type="pct"/>
                  <w:noWrap w:val="0"/>
                  <w:vAlign w:val="center"/>
                </w:tcPr>
                <w:p w14:paraId="28D8B6AA">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热风炉风机</w:t>
                  </w:r>
                </w:p>
              </w:tc>
              <w:tc>
                <w:tcPr>
                  <w:tcW w:w="533" w:type="pct"/>
                  <w:noWrap w:val="0"/>
                  <w:vAlign w:val="center"/>
                </w:tcPr>
                <w:p w14:paraId="609448B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EA277F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722D9AE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78</w:t>
                  </w:r>
                </w:p>
              </w:tc>
              <w:tc>
                <w:tcPr>
                  <w:tcW w:w="314" w:type="pct"/>
                  <w:noWrap w:val="0"/>
                  <w:vAlign w:val="center"/>
                </w:tcPr>
                <w:p w14:paraId="093011B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w:t>
                  </w:r>
                </w:p>
              </w:tc>
              <w:tc>
                <w:tcPr>
                  <w:tcW w:w="327" w:type="pct"/>
                  <w:noWrap w:val="0"/>
                  <w:vAlign w:val="center"/>
                </w:tcPr>
                <w:p w14:paraId="216985B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1404687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8</w:t>
                  </w:r>
                </w:p>
              </w:tc>
              <w:tc>
                <w:tcPr>
                  <w:tcW w:w="295" w:type="pct"/>
                  <w:vMerge w:val="continue"/>
                  <w:noWrap w:val="0"/>
                  <w:vAlign w:val="center"/>
                </w:tcPr>
                <w:p w14:paraId="37939EA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B20D9E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2"/>
                      <w:szCs w:val="22"/>
                      <w:u w:val="none"/>
                      <w:lang w:val="en-US" w:eastAsia="zh-CN" w:bidi="ar"/>
                    </w:rPr>
                    <w:t>30</w:t>
                  </w:r>
                </w:p>
              </w:tc>
              <w:tc>
                <w:tcPr>
                  <w:tcW w:w="548" w:type="pct"/>
                  <w:shd w:val="clear" w:color="auto" w:fill="auto"/>
                  <w:noWrap w:val="0"/>
                  <w:vAlign w:val="center"/>
                </w:tcPr>
                <w:p w14:paraId="6A4008F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42</w:t>
                  </w:r>
                </w:p>
              </w:tc>
              <w:tc>
                <w:tcPr>
                  <w:tcW w:w="501" w:type="pct"/>
                  <w:noWrap w:val="0"/>
                  <w:vAlign w:val="center"/>
                </w:tcPr>
                <w:p w14:paraId="5A509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14</w:t>
                  </w:r>
                </w:p>
              </w:tc>
            </w:tr>
            <w:tr w14:paraId="247F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noWrap w:val="0"/>
                  <w:vAlign w:val="center"/>
                </w:tcPr>
                <w:p w14:paraId="47B618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w:t>
                  </w:r>
                </w:p>
              </w:tc>
              <w:tc>
                <w:tcPr>
                  <w:tcW w:w="555" w:type="pct"/>
                  <w:noWrap w:val="0"/>
                  <w:vAlign w:val="center"/>
                </w:tcPr>
                <w:p w14:paraId="31D7F569">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污水处理</w:t>
                  </w:r>
                  <w:r>
                    <w:rPr>
                      <w:rFonts w:hint="eastAsia" w:ascii="Times New Roman" w:hAnsi="Times New Roman" w:cs="Times New Roman"/>
                      <w:color w:val="auto"/>
                      <w:sz w:val="21"/>
                      <w:szCs w:val="21"/>
                      <w:lang w:val="en-US" w:eastAsia="zh-CN"/>
                    </w:rPr>
                    <w:t>设施</w:t>
                  </w:r>
                </w:p>
              </w:tc>
              <w:tc>
                <w:tcPr>
                  <w:tcW w:w="533" w:type="pct"/>
                  <w:noWrap w:val="0"/>
                  <w:vAlign w:val="center"/>
                </w:tcPr>
                <w:p w14:paraId="5B46FEC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80/1</w:t>
                  </w:r>
                </w:p>
              </w:tc>
              <w:tc>
                <w:tcPr>
                  <w:tcW w:w="501" w:type="pct"/>
                  <w:vMerge w:val="continue"/>
                  <w:noWrap w:val="0"/>
                  <w:vAlign w:val="center"/>
                </w:tcPr>
                <w:p w14:paraId="159DEB9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540B45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30</w:t>
                  </w:r>
                </w:p>
              </w:tc>
              <w:tc>
                <w:tcPr>
                  <w:tcW w:w="314" w:type="pct"/>
                  <w:noWrap w:val="0"/>
                  <w:vAlign w:val="center"/>
                </w:tcPr>
                <w:p w14:paraId="161CF64E">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46</w:t>
                  </w:r>
                </w:p>
              </w:tc>
              <w:tc>
                <w:tcPr>
                  <w:tcW w:w="327" w:type="pct"/>
                  <w:noWrap w:val="0"/>
                  <w:vAlign w:val="center"/>
                </w:tcPr>
                <w:p w14:paraId="1483C2B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5F2007F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w:t>
                  </w:r>
                </w:p>
              </w:tc>
              <w:tc>
                <w:tcPr>
                  <w:tcW w:w="295" w:type="pct"/>
                  <w:vMerge w:val="continue"/>
                  <w:noWrap w:val="0"/>
                  <w:vAlign w:val="center"/>
                </w:tcPr>
                <w:p w14:paraId="32253E8D">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316D64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548" w:type="pct"/>
                  <w:shd w:val="clear" w:color="auto" w:fill="auto"/>
                  <w:noWrap w:val="0"/>
                  <w:vAlign w:val="center"/>
                </w:tcPr>
                <w:p w14:paraId="4F92101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46</w:t>
                  </w:r>
                </w:p>
              </w:tc>
              <w:tc>
                <w:tcPr>
                  <w:tcW w:w="501" w:type="pct"/>
                  <w:noWrap w:val="0"/>
                  <w:vAlign w:val="center"/>
                </w:tcPr>
                <w:p w14:paraId="45BAE02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vertAlign w:val="baseline"/>
                      <w:lang w:val="en-US" w:eastAsia="zh-CN"/>
                    </w:rPr>
                    <w:t>12</w:t>
                  </w:r>
                </w:p>
              </w:tc>
            </w:tr>
          </w:tbl>
          <w:p w14:paraId="55EB9671">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2</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降噪治理措施</w:t>
            </w:r>
          </w:p>
          <w:p w14:paraId="50820FC6">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①生产设施均设置在厂房内，采用建筑物隔声，防止噪声的扩散和传播，并避免高噪声设备集中放置；生产作业时尽量避免开窗，以增强隔声效果</w:t>
            </w:r>
            <w:r>
              <w:rPr>
                <w:rFonts w:hint="default" w:ascii="Times New Roman" w:hAnsi="Times New Roman" w:cs="Times New Roman"/>
                <w:color w:val="auto"/>
                <w:sz w:val="24"/>
                <w:szCs w:val="24"/>
              </w:rPr>
              <w:t>；</w:t>
            </w:r>
          </w:p>
          <w:p w14:paraId="302E7123">
            <w:pPr>
              <w:adjustRightInd w:val="0"/>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w:t>
            </w:r>
            <w:r>
              <w:rPr>
                <w:rFonts w:hint="default" w:ascii="Times New Roman" w:hAnsi="Times New Roman" w:cs="Times New Roman"/>
                <w:color w:val="auto"/>
                <w:sz w:val="24"/>
                <w:szCs w:val="24"/>
              </w:rPr>
              <w:t>对原辅料、成品的装卸做到轻拿轻放，从而降低噪声的传播</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厂区</w:t>
            </w:r>
            <w:r>
              <w:rPr>
                <w:rFonts w:hint="eastAsia" w:cs="Times New Roman"/>
                <w:color w:val="auto"/>
                <w:sz w:val="24"/>
                <w:szCs w:val="24"/>
                <w:lang w:val="en-US" w:eastAsia="zh-CN"/>
              </w:rPr>
              <w:t>内</w:t>
            </w:r>
            <w:r>
              <w:rPr>
                <w:rFonts w:hint="default" w:ascii="Times New Roman" w:hAnsi="Times New Roman" w:cs="Times New Roman"/>
                <w:color w:val="auto"/>
                <w:sz w:val="24"/>
                <w:szCs w:val="24"/>
                <w:lang w:val="en-US" w:eastAsia="zh-CN"/>
              </w:rPr>
              <w:t>建筑隔声</w:t>
            </w:r>
            <w:r>
              <w:rPr>
                <w:rFonts w:hint="default" w:ascii="Times New Roman" w:hAnsi="Times New Roman" w:cs="Times New Roman"/>
                <w:color w:val="auto"/>
                <w:kern w:val="0"/>
                <w:sz w:val="24"/>
                <w:szCs w:val="24"/>
              </w:rPr>
              <w:t>；</w:t>
            </w:r>
          </w:p>
          <w:p w14:paraId="0D449B7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en-US" w:eastAsia="zh-CN"/>
              </w:rPr>
              <w:t>静电喷涂机在静电喷涂室内进行，通过喷涂室、厂房隔声，减少噪声传播。</w:t>
            </w:r>
          </w:p>
          <w:p w14:paraId="225A1805">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④对厂内环保设备风机采取隔声罩、橡胶减振垫等措施，并安装于厂房内；</w:t>
            </w:r>
          </w:p>
          <w:p w14:paraId="0C75FA5F">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⑤对空压机下方设置基础减振，并安装于厂房内；</w:t>
            </w:r>
          </w:p>
          <w:p w14:paraId="31C18463">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lang w:val="en-US" w:eastAsia="zh-CN"/>
              </w:rPr>
              <w:t>⑥</w:t>
            </w:r>
            <w:r>
              <w:rPr>
                <w:rFonts w:hint="default" w:ascii="Times New Roman" w:hAnsi="Times New Roman" w:cs="Times New Roman"/>
                <w:color w:val="auto"/>
                <w:kern w:val="0"/>
                <w:sz w:val="24"/>
                <w:szCs w:val="24"/>
              </w:rPr>
              <w:t>加强设备的维护和保养，确保设备处于良好的运转状态</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预防维修不良的机械设备因部件</w:t>
            </w:r>
            <w:r>
              <w:rPr>
                <w:rFonts w:hint="default" w:ascii="Times New Roman" w:hAnsi="Times New Roman" w:cs="Times New Roman"/>
                <w:color w:val="auto"/>
                <w:kern w:val="0"/>
                <w:sz w:val="24"/>
                <w:szCs w:val="24"/>
                <w:lang w:eastAsia="zh-CN"/>
              </w:rPr>
              <w:t>振动</w:t>
            </w:r>
            <w:r>
              <w:rPr>
                <w:rFonts w:hint="default" w:ascii="Times New Roman" w:hAnsi="Times New Roman" w:cs="Times New Roman"/>
                <w:color w:val="auto"/>
                <w:kern w:val="0"/>
                <w:sz w:val="24"/>
                <w:szCs w:val="24"/>
              </w:rPr>
              <w:t>而增加其工作噪声，从而在声源处达到降噪措施</w:t>
            </w:r>
            <w:r>
              <w:rPr>
                <w:rFonts w:hint="default" w:ascii="Times New Roman" w:hAnsi="Times New Roman" w:cs="Times New Roman"/>
                <w:color w:val="auto"/>
                <w:kern w:val="0"/>
                <w:sz w:val="24"/>
                <w:szCs w:val="24"/>
                <w:lang w:eastAsia="zh-CN"/>
              </w:rPr>
              <w:t>。</w:t>
            </w:r>
          </w:p>
          <w:p w14:paraId="10728992">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预测模式</w:t>
            </w:r>
          </w:p>
          <w:p w14:paraId="0F657E14">
            <w:pPr>
              <w:widowControl/>
              <w:adjustRightInd w:val="0"/>
              <w:snapToGrid w:val="0"/>
              <w:spacing w:line="360" w:lineRule="auto"/>
              <w:ind w:firstLine="480" w:firstLineChars="200"/>
              <w:rPr>
                <w:color w:val="auto"/>
                <w:sz w:val="24"/>
              </w:rPr>
            </w:pPr>
            <w:r>
              <w:rPr>
                <w:color w:val="auto"/>
                <w:sz w:val="24"/>
              </w:rPr>
              <w:t>（1）预测方法</w:t>
            </w:r>
          </w:p>
          <w:p w14:paraId="5F705434">
            <w:pPr>
              <w:widowControl/>
              <w:spacing w:line="360" w:lineRule="auto"/>
              <w:ind w:firstLine="480" w:firstLineChars="200"/>
              <w:rPr>
                <w:bCs/>
                <w:color w:val="auto"/>
                <w:sz w:val="24"/>
              </w:rPr>
            </w:pPr>
            <w:r>
              <w:rPr>
                <w:rFonts w:hint="eastAsia"/>
                <w:bCs/>
                <w:color w:val="auto"/>
                <w:sz w:val="24"/>
                <w:lang w:val="en-US" w:eastAsia="zh-CN"/>
              </w:rPr>
              <w:t>①</w:t>
            </w:r>
            <w:r>
              <w:rPr>
                <w:bCs/>
                <w:color w:val="auto"/>
                <w:sz w:val="24"/>
              </w:rPr>
              <w:t>预测方案</w:t>
            </w:r>
          </w:p>
          <w:p w14:paraId="3C3966A5">
            <w:pPr>
              <w:widowControl/>
              <w:spacing w:line="360" w:lineRule="auto"/>
              <w:ind w:firstLine="480" w:firstLineChars="200"/>
              <w:rPr>
                <w:bCs/>
                <w:color w:val="auto"/>
                <w:sz w:val="24"/>
              </w:rPr>
            </w:pPr>
            <w:r>
              <w:rPr>
                <w:rFonts w:hint="eastAsia" w:ascii="宋体" w:hAnsi="宋体" w:cs="宋体"/>
                <w:bCs/>
                <w:color w:val="auto"/>
                <w:sz w:val="24"/>
                <w:lang w:val="en-US" w:eastAsia="zh-CN"/>
              </w:rPr>
              <w:t>A.</w:t>
            </w:r>
            <w:r>
              <w:rPr>
                <w:bCs/>
                <w:color w:val="auto"/>
                <w:sz w:val="24"/>
              </w:rPr>
              <w:t>本次评价对厂界昼间</w:t>
            </w:r>
            <w:r>
              <w:rPr>
                <w:rFonts w:hint="eastAsia"/>
                <w:bCs/>
                <w:color w:val="auto"/>
                <w:sz w:val="24"/>
              </w:rPr>
              <w:t>噪声</w:t>
            </w:r>
            <w:r>
              <w:rPr>
                <w:bCs/>
                <w:color w:val="auto"/>
                <w:sz w:val="24"/>
              </w:rPr>
              <w:t>达标性进行预测分析。</w:t>
            </w:r>
          </w:p>
          <w:p w14:paraId="2477DCD9">
            <w:pPr>
              <w:widowControl/>
              <w:spacing w:line="360" w:lineRule="auto"/>
              <w:ind w:firstLine="480" w:firstLineChars="200"/>
              <w:rPr>
                <w:bCs/>
                <w:color w:val="auto"/>
                <w:sz w:val="24"/>
              </w:rPr>
            </w:pPr>
            <w:r>
              <w:rPr>
                <w:rFonts w:hint="eastAsia" w:ascii="宋体" w:hAnsi="宋体" w:cs="宋体"/>
                <w:bCs/>
                <w:color w:val="auto"/>
                <w:sz w:val="24"/>
                <w:lang w:val="en-US" w:eastAsia="zh-CN"/>
              </w:rPr>
              <w:t>B.</w:t>
            </w:r>
            <w:r>
              <w:rPr>
                <w:bCs/>
                <w:color w:val="auto"/>
                <w:sz w:val="24"/>
              </w:rPr>
              <w:t>厂界以工程噪声贡献值作为评价量。</w:t>
            </w:r>
          </w:p>
          <w:p w14:paraId="544D53AD">
            <w:pPr>
              <w:widowControl/>
              <w:spacing w:line="360" w:lineRule="auto"/>
              <w:ind w:firstLine="480" w:firstLineChars="200"/>
              <w:rPr>
                <w:bCs/>
                <w:color w:val="auto"/>
                <w:sz w:val="24"/>
              </w:rPr>
            </w:pPr>
            <w:r>
              <w:rPr>
                <w:rFonts w:hint="eastAsia"/>
                <w:bCs/>
                <w:color w:val="auto"/>
                <w:sz w:val="24"/>
                <w:lang w:val="en-US" w:eastAsia="zh-CN"/>
              </w:rPr>
              <w:t>②</w:t>
            </w:r>
            <w:r>
              <w:rPr>
                <w:bCs/>
                <w:color w:val="auto"/>
                <w:sz w:val="24"/>
              </w:rPr>
              <w:t>预测模式</w:t>
            </w:r>
          </w:p>
          <w:p w14:paraId="07FE014D">
            <w:pPr>
              <w:widowControl/>
              <w:spacing w:line="360" w:lineRule="auto"/>
              <w:ind w:firstLine="480" w:firstLineChars="200"/>
              <w:rPr>
                <w:color w:val="auto"/>
                <w:sz w:val="24"/>
              </w:rPr>
            </w:pPr>
            <w:r>
              <w:rPr>
                <w:bCs/>
                <w:color w:val="auto"/>
                <w:sz w:val="24"/>
              </w:rPr>
              <w:t>按照《环境影响评价技术导则 声环境》（HJ2.4—20</w:t>
            </w:r>
            <w:r>
              <w:rPr>
                <w:rFonts w:hint="eastAsia"/>
                <w:bCs/>
                <w:color w:val="auto"/>
                <w:sz w:val="24"/>
              </w:rPr>
              <w:t>21</w:t>
            </w:r>
            <w:r>
              <w:rPr>
                <w:bCs/>
                <w:color w:val="auto"/>
                <w:sz w:val="24"/>
              </w:rPr>
              <w:t>）中推荐的模式进行预测计算。</w:t>
            </w:r>
          </w:p>
          <w:p w14:paraId="01C01C76">
            <w:pPr>
              <w:widowControl/>
              <w:spacing w:line="360" w:lineRule="auto"/>
              <w:rPr>
                <w:color w:val="auto"/>
                <w:sz w:val="24"/>
              </w:rPr>
            </w:pPr>
            <w:r>
              <w:rPr>
                <w:color w:val="auto"/>
                <w:sz w:val="24"/>
              </w:rPr>
              <w:t>A</w:t>
            </w:r>
            <w:r>
              <w:rPr>
                <w:rFonts w:hint="eastAsia"/>
                <w:color w:val="auto"/>
                <w:sz w:val="24"/>
                <w:lang w:eastAsia="zh-CN"/>
              </w:rPr>
              <w:t>.</w:t>
            </w:r>
            <w:r>
              <w:rPr>
                <w:rFonts w:hint="eastAsia"/>
                <w:color w:val="auto"/>
                <w:kern w:val="0"/>
                <w:sz w:val="24"/>
              </w:rPr>
              <w:t>靠近室外围护结构处的</w:t>
            </w:r>
            <w:r>
              <w:rPr>
                <w:color w:val="auto"/>
                <w:kern w:val="0"/>
                <w:sz w:val="24"/>
              </w:rPr>
              <w:t>噪声级的计算</w:t>
            </w:r>
          </w:p>
          <w:p w14:paraId="5D39818B">
            <w:pPr>
              <w:widowControl/>
              <w:spacing w:line="360" w:lineRule="auto"/>
              <w:jc w:val="center"/>
              <w:rPr>
                <w:rFonts w:hint="eastAsia"/>
                <w:i/>
                <w:iCs/>
                <w:color w:val="auto"/>
                <w:kern w:val="0"/>
                <w:sz w:val="24"/>
              </w:rPr>
            </w:pPr>
            <w:r>
              <w:rPr>
                <w:i/>
                <w:iCs/>
                <w:color w:val="auto"/>
                <w:kern w:val="0"/>
                <w:sz w:val="24"/>
              </w:rPr>
              <w:t>L</w:t>
            </w:r>
            <w:r>
              <w:rPr>
                <w:rFonts w:hint="eastAsia"/>
                <w:i/>
                <w:iCs/>
                <w:color w:val="auto"/>
                <w:kern w:val="0"/>
                <w:sz w:val="24"/>
                <w:vertAlign w:val="subscript"/>
              </w:rPr>
              <w:t>p2i</w:t>
            </w:r>
            <w:r>
              <w:rPr>
                <w:i/>
                <w:iCs/>
                <w:color w:val="auto"/>
                <w:kern w:val="0"/>
                <w:sz w:val="24"/>
              </w:rPr>
              <w:t>（T）=L</w:t>
            </w:r>
            <w:r>
              <w:rPr>
                <w:rFonts w:hint="eastAsia"/>
                <w:i/>
                <w:iCs/>
                <w:color w:val="auto"/>
                <w:kern w:val="0"/>
                <w:sz w:val="24"/>
                <w:vertAlign w:val="subscript"/>
              </w:rPr>
              <w:t>p1i</w:t>
            </w:r>
            <w:r>
              <w:rPr>
                <w:i/>
                <w:iCs/>
                <w:color w:val="auto"/>
                <w:kern w:val="0"/>
                <w:sz w:val="24"/>
              </w:rPr>
              <w:t>（T）—（TL</w:t>
            </w:r>
            <w:r>
              <w:rPr>
                <w:rFonts w:hint="eastAsia"/>
                <w:i/>
                <w:iCs/>
                <w:color w:val="auto"/>
                <w:kern w:val="0"/>
                <w:sz w:val="24"/>
                <w:vertAlign w:val="subscript"/>
              </w:rPr>
              <w:t>i</w:t>
            </w:r>
            <w:r>
              <w:rPr>
                <w:i/>
                <w:iCs/>
                <w:color w:val="auto"/>
                <w:kern w:val="0"/>
                <w:sz w:val="24"/>
              </w:rPr>
              <w:t>+6）</w:t>
            </w:r>
            <w:r>
              <w:rPr>
                <w:rFonts w:hint="eastAsia"/>
                <w:i/>
                <w:iCs/>
                <w:color w:val="auto"/>
                <w:kern w:val="0"/>
                <w:sz w:val="24"/>
              </w:rPr>
              <w:t xml:space="preserve">        </w:t>
            </w:r>
          </w:p>
          <w:p w14:paraId="435C671E">
            <w:pPr>
              <w:widowControl/>
              <w:spacing w:line="360" w:lineRule="auto"/>
              <w:ind w:firstLine="960" w:firstLineChars="400"/>
              <w:rPr>
                <w:color w:val="auto"/>
                <w:kern w:val="0"/>
                <w:sz w:val="24"/>
              </w:rPr>
            </w:pPr>
            <w:r>
              <w:rPr>
                <w:color w:val="auto"/>
                <w:kern w:val="0"/>
                <w:sz w:val="24"/>
              </w:rPr>
              <w:t>式中：</w:t>
            </w:r>
          </w:p>
          <w:p w14:paraId="715DAB3C">
            <w:pPr>
              <w:widowControl/>
              <w:spacing w:line="360" w:lineRule="auto"/>
              <w:ind w:left="2158" w:leftChars="456" w:hanging="1200" w:hangingChars="500"/>
              <w:rPr>
                <w:color w:val="auto"/>
                <w:kern w:val="0"/>
                <w:sz w:val="24"/>
              </w:rPr>
            </w:pPr>
            <w:r>
              <w:rPr>
                <w:i/>
                <w:iCs/>
                <w:color w:val="auto"/>
                <w:kern w:val="0"/>
                <w:sz w:val="24"/>
              </w:rPr>
              <w:t>L</w:t>
            </w:r>
            <w:r>
              <w:rPr>
                <w:rFonts w:hint="eastAsia"/>
                <w:i/>
                <w:iCs/>
                <w:color w:val="auto"/>
                <w:kern w:val="0"/>
                <w:sz w:val="24"/>
                <w:vertAlign w:val="subscript"/>
              </w:rPr>
              <w:t>p2i</w:t>
            </w:r>
            <w:r>
              <w:rPr>
                <w:i/>
                <w:iCs/>
                <w:color w:val="auto"/>
                <w:kern w:val="0"/>
                <w:sz w:val="24"/>
              </w:rPr>
              <w:t>（T）</w:t>
            </w:r>
            <w:r>
              <w:rPr>
                <w:bCs/>
                <w:color w:val="auto"/>
                <w:sz w:val="24"/>
              </w:rPr>
              <w:t>—</w:t>
            </w:r>
            <w:r>
              <w:rPr>
                <w:rFonts w:hint="eastAsia"/>
                <w:color w:val="auto"/>
                <w:kern w:val="0"/>
                <w:sz w:val="24"/>
              </w:rPr>
              <w:t>靠近围护结构处室外N个声源i倍频带的叠加声压级，dB</w:t>
            </w:r>
            <w:r>
              <w:rPr>
                <w:color w:val="auto"/>
                <w:kern w:val="0"/>
                <w:sz w:val="24"/>
              </w:rPr>
              <w:t>；</w:t>
            </w:r>
          </w:p>
          <w:p w14:paraId="325B98BD">
            <w:pPr>
              <w:widowControl/>
              <w:spacing w:line="360" w:lineRule="auto"/>
              <w:ind w:left="2398" w:leftChars="456" w:hanging="1440" w:hangingChars="600"/>
              <w:rPr>
                <w:i/>
                <w:iCs/>
                <w:color w:val="auto"/>
                <w:kern w:val="0"/>
                <w:sz w:val="24"/>
              </w:rPr>
            </w:pPr>
            <w:r>
              <w:rPr>
                <w:i/>
                <w:iCs/>
                <w:color w:val="auto"/>
                <w:kern w:val="0"/>
                <w:sz w:val="24"/>
              </w:rPr>
              <w:t>L</w:t>
            </w:r>
            <w:r>
              <w:rPr>
                <w:rFonts w:hint="eastAsia"/>
                <w:i/>
                <w:iCs/>
                <w:color w:val="auto"/>
                <w:kern w:val="0"/>
                <w:sz w:val="24"/>
                <w:vertAlign w:val="subscript"/>
              </w:rPr>
              <w:t>p1i</w:t>
            </w:r>
            <w:r>
              <w:rPr>
                <w:i/>
                <w:iCs/>
                <w:color w:val="auto"/>
                <w:kern w:val="0"/>
                <w:sz w:val="24"/>
              </w:rPr>
              <w:t>（T）</w:t>
            </w:r>
            <w:r>
              <w:rPr>
                <w:bCs/>
                <w:color w:val="auto"/>
                <w:sz w:val="24"/>
              </w:rPr>
              <w:t>—</w:t>
            </w:r>
            <w:r>
              <w:rPr>
                <w:rFonts w:hint="eastAsia"/>
                <w:color w:val="auto"/>
                <w:kern w:val="0"/>
                <w:sz w:val="24"/>
              </w:rPr>
              <w:t>靠近围护结构处室内N个声源i倍频带的叠加声压级，dB</w:t>
            </w:r>
            <w:r>
              <w:rPr>
                <w:color w:val="auto"/>
                <w:kern w:val="0"/>
                <w:sz w:val="24"/>
              </w:rPr>
              <w:t>；</w:t>
            </w:r>
          </w:p>
          <w:p w14:paraId="2FA5821D">
            <w:pPr>
              <w:widowControl/>
              <w:spacing w:line="360" w:lineRule="auto"/>
              <w:ind w:firstLine="960" w:firstLineChars="400"/>
              <w:rPr>
                <w:rFonts w:hint="eastAsia" w:eastAsia="宋体"/>
                <w:color w:val="auto"/>
                <w:kern w:val="0"/>
                <w:sz w:val="24"/>
                <w:lang w:val="en-US" w:eastAsia="zh-CN"/>
              </w:rPr>
            </w:pPr>
            <w:r>
              <w:rPr>
                <w:color w:val="auto"/>
                <w:kern w:val="0"/>
                <w:sz w:val="24"/>
              </w:rPr>
              <w:t>TL</w:t>
            </w:r>
            <w:r>
              <w:rPr>
                <w:rFonts w:hint="eastAsia"/>
                <w:color w:val="auto"/>
                <w:kern w:val="0"/>
                <w:sz w:val="24"/>
                <w:vertAlign w:val="subscript"/>
              </w:rPr>
              <w:t>i</w:t>
            </w:r>
            <w:r>
              <w:rPr>
                <w:bCs/>
                <w:color w:val="auto"/>
                <w:sz w:val="24"/>
              </w:rPr>
              <w:t>—</w:t>
            </w:r>
            <w:r>
              <w:rPr>
                <w:rFonts w:hint="eastAsia"/>
                <w:color w:val="auto"/>
                <w:kern w:val="0"/>
                <w:sz w:val="24"/>
              </w:rPr>
              <w:t>围护结构i倍频带的隔音量，dB</w:t>
            </w:r>
            <w:r>
              <w:rPr>
                <w:rFonts w:hint="eastAsia"/>
                <w:color w:val="auto"/>
                <w:kern w:val="0"/>
                <w:sz w:val="24"/>
                <w:lang w:val="en-US" w:eastAsia="zh-CN"/>
              </w:rPr>
              <w:t>。</w:t>
            </w:r>
          </w:p>
          <w:p w14:paraId="37F2A92D">
            <w:pPr>
              <w:widowControl/>
              <w:spacing w:line="360" w:lineRule="auto"/>
              <w:rPr>
                <w:color w:val="auto"/>
                <w:sz w:val="24"/>
              </w:rPr>
            </w:pPr>
            <w:r>
              <w:rPr>
                <w:color w:val="auto"/>
                <w:kern w:val="0"/>
                <w:sz w:val="24"/>
              </w:rPr>
              <w:t>B</w:t>
            </w:r>
            <w:r>
              <w:rPr>
                <w:rFonts w:hint="eastAsia"/>
                <w:color w:val="auto"/>
                <w:kern w:val="0"/>
                <w:sz w:val="24"/>
                <w:lang w:eastAsia="zh-CN"/>
              </w:rPr>
              <w:t>.</w:t>
            </w:r>
            <w:r>
              <w:rPr>
                <w:color w:val="auto"/>
                <w:kern w:val="0"/>
                <w:sz w:val="24"/>
              </w:rPr>
              <w:t>室内声源等效室外声源噪声级的计算</w:t>
            </w:r>
          </w:p>
          <w:p w14:paraId="4659ECFA">
            <w:pPr>
              <w:widowControl/>
              <w:spacing w:line="360" w:lineRule="auto"/>
              <w:jc w:val="center"/>
              <w:rPr>
                <w:rFonts w:hint="eastAsia"/>
                <w:i/>
                <w:iCs/>
                <w:color w:val="auto"/>
                <w:kern w:val="0"/>
                <w:sz w:val="24"/>
              </w:rPr>
            </w:pPr>
            <w:r>
              <w:rPr>
                <w:i/>
                <w:iCs/>
                <w:color w:val="auto"/>
                <w:kern w:val="0"/>
                <w:sz w:val="24"/>
              </w:rPr>
              <w:t>L</w:t>
            </w:r>
            <w:r>
              <w:rPr>
                <w:rFonts w:hint="eastAsia"/>
                <w:i/>
                <w:iCs/>
                <w:color w:val="auto"/>
                <w:kern w:val="0"/>
                <w:sz w:val="24"/>
                <w:vertAlign w:val="subscript"/>
              </w:rPr>
              <w:t>w</w:t>
            </w:r>
            <w:r>
              <w:rPr>
                <w:i/>
                <w:iCs/>
                <w:color w:val="auto"/>
                <w:kern w:val="0"/>
                <w:sz w:val="24"/>
              </w:rPr>
              <w:t>=L</w:t>
            </w:r>
            <w:r>
              <w:rPr>
                <w:rFonts w:hint="eastAsia"/>
                <w:i/>
                <w:iCs/>
                <w:color w:val="auto"/>
                <w:kern w:val="0"/>
                <w:sz w:val="24"/>
                <w:vertAlign w:val="subscript"/>
              </w:rPr>
              <w:t>p2</w:t>
            </w:r>
            <w:r>
              <w:rPr>
                <w:i/>
                <w:iCs/>
                <w:color w:val="auto"/>
                <w:kern w:val="0"/>
                <w:sz w:val="24"/>
              </w:rPr>
              <w:t>（T）</w:t>
            </w:r>
            <w:r>
              <w:rPr>
                <w:rFonts w:hint="eastAsia"/>
                <w:i/>
                <w:iCs/>
                <w:color w:val="auto"/>
                <w:kern w:val="0"/>
                <w:sz w:val="24"/>
              </w:rPr>
              <w:t xml:space="preserve">+10lgS         </w:t>
            </w:r>
          </w:p>
          <w:p w14:paraId="54AD3029">
            <w:pPr>
              <w:pStyle w:val="2"/>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eastAsia"/>
                <w:i/>
                <w:iCs/>
                <w:color w:val="auto"/>
                <w:kern w:val="0"/>
                <w:sz w:val="24"/>
                <w:szCs w:val="24"/>
              </w:rPr>
            </w:pPr>
            <w:r>
              <w:rPr>
                <w:rFonts w:hint="eastAsia"/>
                <w:i/>
                <w:iCs/>
                <w:color w:val="auto"/>
                <w:kern w:val="0"/>
                <w:sz w:val="24"/>
                <w:szCs w:val="24"/>
              </w:rPr>
              <w:t>式中：</w:t>
            </w:r>
          </w:p>
          <w:p w14:paraId="3E5CF460">
            <w:pPr>
              <w:pStyle w:val="2"/>
              <w:keepNext w:val="0"/>
              <w:keepLines w:val="0"/>
              <w:pageBreakBefore w:val="0"/>
              <w:kinsoku/>
              <w:wordWrap/>
              <w:overflowPunct/>
              <w:topLinePunct w:val="0"/>
              <w:autoSpaceDE/>
              <w:autoSpaceDN/>
              <w:bidi w:val="0"/>
              <w:adjustRightInd/>
              <w:snapToGrid/>
              <w:spacing w:line="360" w:lineRule="auto"/>
              <w:ind w:left="0" w:leftChars="0" w:firstLine="720" w:firstLineChars="300"/>
              <w:jc w:val="both"/>
              <w:textAlignment w:val="auto"/>
              <w:rPr>
                <w:rFonts w:hint="eastAsia"/>
                <w:bCs/>
                <w:color w:val="auto"/>
                <w:sz w:val="24"/>
                <w:szCs w:val="24"/>
              </w:rPr>
            </w:pPr>
            <w:r>
              <w:rPr>
                <w:i/>
                <w:iCs/>
                <w:color w:val="auto"/>
                <w:kern w:val="0"/>
                <w:sz w:val="24"/>
                <w:szCs w:val="24"/>
              </w:rPr>
              <w:t>L</w:t>
            </w:r>
            <w:r>
              <w:rPr>
                <w:rFonts w:hint="eastAsia"/>
                <w:i/>
                <w:iCs/>
                <w:color w:val="auto"/>
                <w:kern w:val="0"/>
                <w:sz w:val="24"/>
                <w:szCs w:val="24"/>
                <w:vertAlign w:val="subscript"/>
              </w:rPr>
              <w:t>w</w:t>
            </w:r>
            <w:r>
              <w:rPr>
                <w:bCs/>
                <w:color w:val="auto"/>
                <w:sz w:val="24"/>
                <w:szCs w:val="24"/>
              </w:rPr>
              <w:t>—</w:t>
            </w:r>
            <w:r>
              <w:rPr>
                <w:rFonts w:hint="eastAsia"/>
                <w:bCs/>
                <w:color w:val="auto"/>
                <w:sz w:val="24"/>
                <w:szCs w:val="24"/>
              </w:rPr>
              <w:t>中心位置位于透声面积（S）处的等效声源的倍频带声功率级，dB；</w:t>
            </w:r>
          </w:p>
          <w:p w14:paraId="07AB349A">
            <w:pPr>
              <w:pStyle w:val="2"/>
              <w:keepNext w:val="0"/>
              <w:keepLines w:val="0"/>
              <w:pageBreakBefore w:val="0"/>
              <w:kinsoku/>
              <w:wordWrap/>
              <w:overflowPunct/>
              <w:topLinePunct w:val="0"/>
              <w:autoSpaceDE/>
              <w:autoSpaceDN/>
              <w:bidi w:val="0"/>
              <w:adjustRightInd/>
              <w:snapToGrid/>
              <w:spacing w:line="360" w:lineRule="auto"/>
              <w:ind w:left="899" w:leftChars="314" w:hanging="240" w:hangingChars="100"/>
              <w:jc w:val="both"/>
              <w:textAlignment w:val="auto"/>
              <w:rPr>
                <w:color w:val="auto"/>
                <w:kern w:val="0"/>
                <w:sz w:val="24"/>
                <w:szCs w:val="24"/>
              </w:rPr>
            </w:pPr>
            <w:r>
              <w:rPr>
                <w:i/>
                <w:iCs/>
                <w:color w:val="auto"/>
                <w:kern w:val="0"/>
                <w:sz w:val="24"/>
                <w:szCs w:val="24"/>
              </w:rPr>
              <w:t>L</w:t>
            </w:r>
            <w:r>
              <w:rPr>
                <w:rFonts w:hint="eastAsia"/>
                <w:i/>
                <w:iCs/>
                <w:color w:val="auto"/>
                <w:kern w:val="0"/>
                <w:sz w:val="24"/>
                <w:szCs w:val="24"/>
                <w:vertAlign w:val="subscript"/>
              </w:rPr>
              <w:t>p2</w:t>
            </w:r>
            <w:r>
              <w:rPr>
                <w:i/>
                <w:iCs/>
                <w:color w:val="auto"/>
                <w:kern w:val="0"/>
                <w:sz w:val="24"/>
                <w:szCs w:val="24"/>
              </w:rPr>
              <w:t>（T）</w:t>
            </w:r>
            <w:r>
              <w:rPr>
                <w:bCs/>
                <w:color w:val="auto"/>
                <w:sz w:val="24"/>
                <w:szCs w:val="24"/>
              </w:rPr>
              <w:t>—</w:t>
            </w:r>
            <w:r>
              <w:rPr>
                <w:rFonts w:hint="eastAsia"/>
                <w:color w:val="auto"/>
                <w:kern w:val="0"/>
                <w:sz w:val="24"/>
                <w:szCs w:val="24"/>
              </w:rPr>
              <w:t>靠近围护结构处室外声源的声压级，dB</w:t>
            </w:r>
            <w:r>
              <w:rPr>
                <w:color w:val="auto"/>
                <w:kern w:val="0"/>
                <w:sz w:val="24"/>
                <w:szCs w:val="24"/>
              </w:rPr>
              <w:t>；</w:t>
            </w:r>
          </w:p>
          <w:p w14:paraId="665000BC">
            <w:pPr>
              <w:keepNext w:val="0"/>
              <w:keepLines w:val="0"/>
              <w:pageBreakBefore w:val="0"/>
              <w:widowControl/>
              <w:kinsoku/>
              <w:wordWrap/>
              <w:overflowPunct/>
              <w:topLinePunct w:val="0"/>
              <w:autoSpaceDE/>
              <w:autoSpaceDN/>
              <w:bidi w:val="0"/>
              <w:adjustRightInd/>
              <w:snapToGrid/>
              <w:spacing w:line="360" w:lineRule="auto"/>
              <w:ind w:firstLine="720" w:firstLineChars="300"/>
              <w:jc w:val="both"/>
              <w:textAlignment w:val="auto"/>
              <w:rPr>
                <w:color w:val="auto"/>
                <w:sz w:val="24"/>
                <w:szCs w:val="24"/>
              </w:rPr>
            </w:pPr>
            <w:r>
              <w:rPr>
                <w:rFonts w:hint="eastAsia"/>
                <w:color w:val="auto"/>
                <w:kern w:val="0"/>
                <w:sz w:val="24"/>
                <w:szCs w:val="24"/>
              </w:rPr>
              <w:t>S-透声面积，m</w:t>
            </w:r>
            <w:r>
              <w:rPr>
                <w:rFonts w:hint="eastAsia"/>
                <w:color w:val="auto"/>
                <w:kern w:val="0"/>
                <w:sz w:val="24"/>
                <w:szCs w:val="24"/>
                <w:vertAlign w:val="superscript"/>
              </w:rPr>
              <w:t>2</w:t>
            </w:r>
            <w:r>
              <w:rPr>
                <w:rFonts w:hint="eastAsia"/>
                <w:color w:val="auto"/>
                <w:kern w:val="0"/>
                <w:sz w:val="24"/>
                <w:szCs w:val="24"/>
              </w:rPr>
              <w:t>。</w:t>
            </w:r>
          </w:p>
          <w:p w14:paraId="3B6BB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color w:val="auto"/>
                <w:sz w:val="24"/>
                <w:szCs w:val="24"/>
              </w:rPr>
            </w:pPr>
            <w:r>
              <w:rPr>
                <w:color w:val="auto"/>
                <w:sz w:val="24"/>
                <w:szCs w:val="24"/>
              </w:rPr>
              <w:t>C</w:t>
            </w:r>
            <w:r>
              <w:rPr>
                <w:rFonts w:hint="eastAsia"/>
                <w:color w:val="auto"/>
                <w:sz w:val="24"/>
                <w:szCs w:val="24"/>
                <w:lang w:eastAsia="zh-CN"/>
              </w:rPr>
              <w:t>.</w:t>
            </w:r>
            <w:r>
              <w:rPr>
                <w:color w:val="auto"/>
                <w:sz w:val="24"/>
                <w:szCs w:val="24"/>
              </w:rPr>
              <w:t>室外点声源在预测点产生的噪声级</w:t>
            </w:r>
          </w:p>
          <w:p w14:paraId="4B76B780">
            <w:pPr>
              <w:widowControl/>
              <w:spacing w:line="360" w:lineRule="auto"/>
              <w:ind w:firstLine="960" w:firstLineChars="400"/>
              <w:rPr>
                <w:rFonts w:hint="eastAsia"/>
                <w:color w:val="auto"/>
                <w:kern w:val="0"/>
                <w:sz w:val="24"/>
              </w:rPr>
            </w:pPr>
            <w:r>
              <w:rPr>
                <w:rFonts w:hint="eastAsia"/>
                <w:color w:val="auto"/>
                <w:kern w:val="0"/>
                <w:sz w:val="24"/>
              </w:rPr>
              <w:drawing>
                <wp:inline distT="0" distB="0" distL="114300" distR="114300">
                  <wp:extent cx="4028440" cy="270510"/>
                  <wp:effectExtent l="0" t="0" r="10160" b="15240"/>
                  <wp:docPr id="23" name="图片 67" descr="微信图片_20220809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descr="微信图片_20220809162056"/>
                          <pic:cNvPicPr>
                            <a:picLocks noChangeAspect="1"/>
                          </pic:cNvPicPr>
                        </pic:nvPicPr>
                        <pic:blipFill>
                          <a:blip r:embed="rId15"/>
                          <a:stretch>
                            <a:fillRect/>
                          </a:stretch>
                        </pic:blipFill>
                        <pic:spPr>
                          <a:xfrm>
                            <a:off x="0" y="0"/>
                            <a:ext cx="4028440" cy="270510"/>
                          </a:xfrm>
                          <a:prstGeom prst="rect">
                            <a:avLst/>
                          </a:prstGeom>
                          <a:noFill/>
                          <a:ln>
                            <a:noFill/>
                          </a:ln>
                        </pic:spPr>
                      </pic:pic>
                    </a:graphicData>
                  </a:graphic>
                </wp:inline>
              </w:drawing>
            </w:r>
          </w:p>
          <w:p w14:paraId="41397393">
            <w:pPr>
              <w:widowControl/>
              <w:spacing w:line="360" w:lineRule="auto"/>
              <w:ind w:firstLine="960" w:firstLineChars="400"/>
              <w:rPr>
                <w:color w:val="auto"/>
                <w:kern w:val="0"/>
                <w:sz w:val="24"/>
              </w:rPr>
            </w:pPr>
            <w:r>
              <w:rPr>
                <w:color w:val="auto"/>
                <w:kern w:val="0"/>
                <w:sz w:val="24"/>
              </w:rPr>
              <w:t>式中：</w:t>
            </w:r>
          </w:p>
          <w:p w14:paraId="08D23363">
            <w:pPr>
              <w:widowControl/>
              <w:spacing w:line="360" w:lineRule="auto"/>
              <w:ind w:firstLine="960" w:firstLineChars="400"/>
              <w:rPr>
                <w:color w:val="auto"/>
                <w:kern w:val="0"/>
                <w:sz w:val="24"/>
              </w:rPr>
            </w:pPr>
            <w:r>
              <w:rPr>
                <w:color w:val="auto"/>
                <w:kern w:val="0"/>
                <w:sz w:val="24"/>
              </w:rPr>
              <w:t>L</w:t>
            </w:r>
            <w:r>
              <w:rPr>
                <w:rFonts w:hint="eastAsia"/>
                <w:color w:val="auto"/>
                <w:kern w:val="0"/>
                <w:sz w:val="24"/>
                <w:vertAlign w:val="subscript"/>
              </w:rPr>
              <w:t>p</w:t>
            </w:r>
            <w:r>
              <w:rPr>
                <w:color w:val="auto"/>
                <w:kern w:val="0"/>
                <w:sz w:val="24"/>
              </w:rPr>
              <w:t>（r）—</w:t>
            </w:r>
            <w:r>
              <w:rPr>
                <w:rFonts w:hint="eastAsia"/>
                <w:color w:val="auto"/>
                <w:kern w:val="0"/>
                <w:sz w:val="24"/>
              </w:rPr>
              <w:t>预测点处声压级</w:t>
            </w:r>
            <w:r>
              <w:rPr>
                <w:rFonts w:hint="eastAsia"/>
                <w:color w:val="auto"/>
                <w:kern w:val="0"/>
                <w:sz w:val="24"/>
                <w:lang w:eastAsia="zh-CN"/>
              </w:rPr>
              <w:t>；</w:t>
            </w:r>
            <w:r>
              <w:rPr>
                <w:color w:val="auto"/>
                <w:kern w:val="0"/>
                <w:sz w:val="24"/>
              </w:rPr>
              <w:t>dB；</w:t>
            </w:r>
          </w:p>
          <w:p w14:paraId="2C8BA58A">
            <w:pPr>
              <w:widowControl/>
              <w:spacing w:line="360" w:lineRule="auto"/>
              <w:ind w:firstLine="960" w:firstLineChars="400"/>
              <w:rPr>
                <w:color w:val="auto"/>
                <w:kern w:val="0"/>
                <w:sz w:val="24"/>
              </w:rPr>
            </w:pPr>
            <w:r>
              <w:rPr>
                <w:color w:val="auto"/>
                <w:kern w:val="0"/>
                <w:sz w:val="24"/>
              </w:rPr>
              <w:t>L</w:t>
            </w:r>
            <w:r>
              <w:rPr>
                <w:rFonts w:hint="eastAsia"/>
                <w:color w:val="auto"/>
                <w:kern w:val="0"/>
                <w:sz w:val="24"/>
                <w:vertAlign w:val="subscript"/>
              </w:rPr>
              <w:t>w</w:t>
            </w:r>
            <w:r>
              <w:rPr>
                <w:color w:val="auto"/>
                <w:kern w:val="0"/>
                <w:sz w:val="24"/>
              </w:rPr>
              <w:t>—</w:t>
            </w:r>
            <w:r>
              <w:rPr>
                <w:rFonts w:hint="eastAsia"/>
                <w:color w:val="auto"/>
                <w:kern w:val="0"/>
                <w:sz w:val="24"/>
              </w:rPr>
              <w:t>由点声源产生的声功率级（A计权或倍频带）</w:t>
            </w:r>
            <w:r>
              <w:rPr>
                <w:rFonts w:hint="eastAsia"/>
                <w:color w:val="auto"/>
                <w:kern w:val="0"/>
                <w:sz w:val="24"/>
                <w:lang w:eastAsia="zh-CN"/>
              </w:rPr>
              <w:t>；</w:t>
            </w:r>
            <w:r>
              <w:rPr>
                <w:color w:val="auto"/>
                <w:kern w:val="0"/>
                <w:sz w:val="24"/>
              </w:rPr>
              <w:t>dB；</w:t>
            </w:r>
          </w:p>
          <w:p w14:paraId="111F044D">
            <w:pPr>
              <w:pStyle w:val="2"/>
              <w:spacing w:before="0" w:beforeAutospacing="0" w:after="0" w:afterAutospacing="0"/>
              <w:ind w:left="1678" w:leftChars="456" w:hanging="720" w:hangingChars="300"/>
              <w:rPr>
                <w:color w:val="auto"/>
                <w:kern w:val="0"/>
              </w:rPr>
            </w:pPr>
            <w:r>
              <w:rPr>
                <w:rFonts w:hint="eastAsia"/>
                <w:color w:val="auto"/>
                <w:kern w:val="0"/>
              </w:rPr>
              <w:t>Dc</w:t>
            </w:r>
            <w:r>
              <w:rPr>
                <w:color w:val="auto"/>
                <w:kern w:val="0"/>
              </w:rPr>
              <w:t>—</w:t>
            </w:r>
            <w:r>
              <w:rPr>
                <w:rFonts w:hint="eastAsia"/>
                <w:color w:val="auto"/>
                <w:kern w:val="0"/>
              </w:rPr>
              <w:t>指向性校正，它描述点声源的等效连续声压级与产生声功率级</w:t>
            </w:r>
            <w:r>
              <w:rPr>
                <w:color w:val="auto"/>
                <w:kern w:val="0"/>
              </w:rPr>
              <w:t>L</w:t>
            </w:r>
            <w:r>
              <w:rPr>
                <w:rFonts w:hint="eastAsia"/>
                <w:color w:val="auto"/>
                <w:kern w:val="0"/>
                <w:vertAlign w:val="subscript"/>
              </w:rPr>
              <w:t>w</w:t>
            </w:r>
            <w:r>
              <w:rPr>
                <w:rFonts w:hint="eastAsia"/>
                <w:color w:val="auto"/>
                <w:kern w:val="0"/>
              </w:rPr>
              <w:t>的全向点声源在规定方向的声级的偏差程度</w:t>
            </w:r>
            <w:r>
              <w:rPr>
                <w:rFonts w:hint="eastAsia"/>
                <w:color w:val="auto"/>
                <w:kern w:val="0"/>
                <w:lang w:eastAsia="zh-CN"/>
              </w:rPr>
              <w:t>；</w:t>
            </w:r>
            <w:r>
              <w:rPr>
                <w:color w:val="auto"/>
                <w:kern w:val="0"/>
              </w:rPr>
              <w:t>dB；</w:t>
            </w:r>
          </w:p>
          <w:p w14:paraId="0DCE4C3D">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div</w:t>
            </w:r>
            <w:r>
              <w:rPr>
                <w:color w:val="auto"/>
                <w:kern w:val="0"/>
                <w:sz w:val="24"/>
              </w:rPr>
              <w:t>—几何发散引起的衰减</w:t>
            </w:r>
            <w:r>
              <w:rPr>
                <w:rFonts w:hint="eastAsia"/>
                <w:color w:val="auto"/>
                <w:kern w:val="0"/>
                <w:sz w:val="24"/>
                <w:lang w:eastAsia="zh-CN"/>
              </w:rPr>
              <w:t>；</w:t>
            </w:r>
            <w:r>
              <w:rPr>
                <w:color w:val="auto"/>
                <w:kern w:val="0"/>
                <w:sz w:val="24"/>
              </w:rPr>
              <w:t>dB；</w:t>
            </w:r>
          </w:p>
          <w:p w14:paraId="762B6EFB">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atm</w:t>
            </w:r>
            <w:r>
              <w:rPr>
                <w:color w:val="auto"/>
                <w:kern w:val="0"/>
                <w:sz w:val="24"/>
              </w:rPr>
              <w:t>—</w:t>
            </w:r>
            <w:r>
              <w:rPr>
                <w:rFonts w:hint="eastAsia"/>
                <w:color w:val="auto"/>
                <w:kern w:val="0"/>
                <w:sz w:val="24"/>
              </w:rPr>
              <w:t>大气</w:t>
            </w:r>
            <w:r>
              <w:rPr>
                <w:color w:val="auto"/>
                <w:kern w:val="0"/>
                <w:sz w:val="24"/>
              </w:rPr>
              <w:t>吸收引起的衰减</w:t>
            </w:r>
            <w:r>
              <w:rPr>
                <w:rFonts w:hint="eastAsia"/>
                <w:color w:val="auto"/>
                <w:kern w:val="0"/>
                <w:sz w:val="24"/>
                <w:lang w:eastAsia="zh-CN"/>
              </w:rPr>
              <w:t>；</w:t>
            </w:r>
            <w:r>
              <w:rPr>
                <w:color w:val="auto"/>
                <w:kern w:val="0"/>
                <w:sz w:val="24"/>
              </w:rPr>
              <w:t>dB；</w:t>
            </w:r>
          </w:p>
          <w:p w14:paraId="265CB200">
            <w:pPr>
              <w:widowControl/>
              <w:spacing w:line="360" w:lineRule="auto"/>
              <w:ind w:firstLine="960" w:firstLineChars="400"/>
              <w:rPr>
                <w:color w:val="auto"/>
                <w:kern w:val="0"/>
                <w:sz w:val="24"/>
              </w:rPr>
            </w:pPr>
            <w:r>
              <w:rPr>
                <w:color w:val="auto"/>
                <w:kern w:val="0"/>
                <w:sz w:val="24"/>
              </w:rPr>
              <w:t>A</w:t>
            </w:r>
            <w:r>
              <w:rPr>
                <w:rFonts w:hint="eastAsia"/>
                <w:color w:val="auto"/>
                <w:kern w:val="0"/>
                <w:sz w:val="24"/>
                <w:vertAlign w:val="subscript"/>
              </w:rPr>
              <w:t>gr</w:t>
            </w:r>
            <w:r>
              <w:rPr>
                <w:color w:val="auto"/>
                <w:kern w:val="0"/>
                <w:sz w:val="24"/>
              </w:rPr>
              <w:t>—</w:t>
            </w:r>
            <w:r>
              <w:rPr>
                <w:rFonts w:hint="eastAsia"/>
                <w:color w:val="auto"/>
                <w:kern w:val="0"/>
                <w:sz w:val="24"/>
              </w:rPr>
              <w:t>地面效应引起的衰减</w:t>
            </w:r>
            <w:r>
              <w:rPr>
                <w:rFonts w:hint="eastAsia"/>
                <w:color w:val="auto"/>
                <w:kern w:val="0"/>
                <w:sz w:val="24"/>
                <w:lang w:eastAsia="zh-CN"/>
              </w:rPr>
              <w:t>；</w:t>
            </w:r>
            <w:r>
              <w:rPr>
                <w:color w:val="auto"/>
                <w:kern w:val="0"/>
                <w:sz w:val="24"/>
              </w:rPr>
              <w:t>dB；</w:t>
            </w:r>
          </w:p>
          <w:p w14:paraId="2B6CA9BF">
            <w:pPr>
              <w:widowControl/>
              <w:spacing w:line="360" w:lineRule="auto"/>
              <w:ind w:firstLine="960" w:firstLineChars="400"/>
              <w:rPr>
                <w:color w:val="auto"/>
                <w:kern w:val="0"/>
                <w:sz w:val="24"/>
              </w:rPr>
            </w:pPr>
            <w:r>
              <w:rPr>
                <w:color w:val="auto"/>
                <w:kern w:val="0"/>
                <w:sz w:val="24"/>
              </w:rPr>
              <w:t>A</w:t>
            </w:r>
            <w:r>
              <w:rPr>
                <w:color w:val="auto"/>
                <w:kern w:val="0"/>
                <w:sz w:val="24"/>
                <w:vertAlign w:val="subscript"/>
              </w:rPr>
              <w:t>bar</w:t>
            </w:r>
            <w:r>
              <w:rPr>
                <w:color w:val="auto"/>
                <w:kern w:val="0"/>
                <w:sz w:val="24"/>
              </w:rPr>
              <w:t>—</w:t>
            </w:r>
            <w:r>
              <w:rPr>
                <w:rFonts w:hint="eastAsia"/>
                <w:color w:val="auto"/>
                <w:kern w:val="0"/>
                <w:sz w:val="24"/>
              </w:rPr>
              <w:t>障碍物屏蔽引起的衰减</w:t>
            </w:r>
            <w:r>
              <w:rPr>
                <w:rFonts w:hint="eastAsia"/>
                <w:color w:val="auto"/>
                <w:kern w:val="0"/>
                <w:sz w:val="24"/>
                <w:lang w:eastAsia="zh-CN"/>
              </w:rPr>
              <w:t>；</w:t>
            </w:r>
            <w:r>
              <w:rPr>
                <w:color w:val="auto"/>
                <w:kern w:val="0"/>
                <w:sz w:val="24"/>
              </w:rPr>
              <w:t>dB；</w:t>
            </w:r>
          </w:p>
          <w:p w14:paraId="103BBDC4">
            <w:pPr>
              <w:widowControl/>
              <w:spacing w:line="360" w:lineRule="auto"/>
              <w:ind w:firstLine="960" w:firstLineChars="400"/>
              <w:rPr>
                <w:color w:val="auto"/>
                <w:kern w:val="0"/>
                <w:sz w:val="24"/>
              </w:rPr>
            </w:pPr>
            <w:r>
              <w:rPr>
                <w:color w:val="auto"/>
                <w:kern w:val="0"/>
                <w:sz w:val="24"/>
              </w:rPr>
              <w:t>A</w:t>
            </w:r>
            <w:r>
              <w:rPr>
                <w:rFonts w:hint="eastAsia"/>
                <w:color w:val="auto"/>
                <w:kern w:val="0"/>
                <w:sz w:val="24"/>
                <w:vertAlign w:val="subscript"/>
              </w:rPr>
              <w:t>misc</w:t>
            </w:r>
            <w:r>
              <w:rPr>
                <w:color w:val="auto"/>
                <w:kern w:val="0"/>
                <w:sz w:val="24"/>
              </w:rPr>
              <w:t>—</w:t>
            </w:r>
            <w:r>
              <w:rPr>
                <w:rFonts w:hint="eastAsia"/>
                <w:color w:val="auto"/>
                <w:kern w:val="0"/>
                <w:sz w:val="24"/>
              </w:rPr>
              <w:t>其他多方面效应引起的衰减</w:t>
            </w:r>
            <w:r>
              <w:rPr>
                <w:rFonts w:hint="eastAsia"/>
                <w:color w:val="auto"/>
                <w:kern w:val="0"/>
                <w:sz w:val="24"/>
                <w:lang w:eastAsia="zh-CN"/>
              </w:rPr>
              <w:t>；</w:t>
            </w:r>
            <w:r>
              <w:rPr>
                <w:color w:val="auto"/>
                <w:kern w:val="0"/>
                <w:sz w:val="24"/>
              </w:rPr>
              <w:t>dB；</w:t>
            </w:r>
          </w:p>
          <w:p w14:paraId="0A60D3E9">
            <w:pPr>
              <w:widowControl/>
              <w:spacing w:line="440" w:lineRule="exact"/>
              <w:ind w:firstLine="480" w:firstLineChars="200"/>
              <w:rPr>
                <w:color w:val="auto"/>
                <w:sz w:val="24"/>
              </w:rPr>
            </w:pPr>
            <w:r>
              <w:rPr>
                <w:color w:val="auto"/>
                <w:sz w:val="24"/>
              </w:rPr>
              <w:t>为避免计算中增大衰减量而造成预测值偏小，计算</w:t>
            </w:r>
            <w:r>
              <w:rPr>
                <w:rFonts w:hint="eastAsia"/>
                <w:color w:val="auto"/>
                <w:sz w:val="24"/>
                <w:lang w:eastAsia="zh-CN"/>
              </w:rPr>
              <w:t>时</w:t>
            </w:r>
            <w:r>
              <w:rPr>
                <w:color w:val="auto"/>
                <w:sz w:val="24"/>
              </w:rPr>
              <w:t>忽略</w:t>
            </w:r>
            <w:r>
              <w:rPr>
                <w:color w:val="auto"/>
                <w:kern w:val="0"/>
                <w:sz w:val="24"/>
              </w:rPr>
              <w:t>A</w:t>
            </w:r>
            <w:r>
              <w:rPr>
                <w:color w:val="auto"/>
                <w:kern w:val="0"/>
                <w:sz w:val="24"/>
                <w:vertAlign w:val="subscript"/>
              </w:rPr>
              <w:t>atm</w:t>
            </w:r>
            <w:r>
              <w:rPr>
                <w:color w:val="auto"/>
                <w:sz w:val="24"/>
              </w:rPr>
              <w:t>和</w:t>
            </w:r>
            <w:r>
              <w:rPr>
                <w:color w:val="auto"/>
                <w:kern w:val="0"/>
                <w:sz w:val="24"/>
              </w:rPr>
              <w:t>A</w:t>
            </w:r>
            <w:r>
              <w:rPr>
                <w:rFonts w:hint="eastAsia"/>
                <w:color w:val="auto"/>
                <w:kern w:val="0"/>
                <w:sz w:val="24"/>
                <w:vertAlign w:val="subscript"/>
              </w:rPr>
              <w:t>misc</w:t>
            </w:r>
            <w:r>
              <w:rPr>
                <w:color w:val="auto"/>
                <w:kern w:val="0"/>
                <w:sz w:val="24"/>
              </w:rPr>
              <w:t>。</w:t>
            </w:r>
          </w:p>
          <w:p w14:paraId="2303EE74">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sz w:val="21"/>
                <w:szCs w:val="21"/>
                <w:lang w:val="en-GB" w:eastAsia="zh-CN"/>
              </w:rPr>
              <w:t>表4-</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GB" w:eastAsia="zh-CN"/>
              </w:rPr>
              <w:t xml:space="preserve">   隔墙等遮挡物引起的A声级衰减一览表</w:t>
            </w:r>
          </w:p>
          <w:tbl>
            <w:tblPr>
              <w:tblStyle w:val="30"/>
              <w:tblW w:w="79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93"/>
              <w:gridCol w:w="3996"/>
            </w:tblGrid>
            <w:tr w14:paraId="457BF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6DD85D8">
                  <w:pPr>
                    <w:adjustRightInd w:val="0"/>
                    <w:snapToGrid w:val="0"/>
                    <w:jc w:val="center"/>
                    <w:rPr>
                      <w:b/>
                      <w:bCs/>
                      <w:color w:val="auto"/>
                      <w:szCs w:val="21"/>
                    </w:rPr>
                  </w:pPr>
                  <w:r>
                    <w:rPr>
                      <w:b/>
                      <w:bCs/>
                      <w:color w:val="auto"/>
                      <w:szCs w:val="21"/>
                    </w:rPr>
                    <w:t>条件</w:t>
                  </w:r>
                </w:p>
              </w:tc>
              <w:tc>
                <w:tcPr>
                  <w:tcW w:w="2501" w:type="pct"/>
                  <w:noWrap w:val="0"/>
                  <w:vAlign w:val="center"/>
                </w:tcPr>
                <w:p w14:paraId="7D63DB90">
                  <w:pPr>
                    <w:adjustRightInd w:val="0"/>
                    <w:snapToGrid w:val="0"/>
                    <w:jc w:val="center"/>
                    <w:rPr>
                      <w:b/>
                      <w:bCs/>
                      <w:color w:val="auto"/>
                      <w:szCs w:val="21"/>
                    </w:rPr>
                  </w:pPr>
                  <w:r>
                    <w:rPr>
                      <w:b/>
                      <w:bCs/>
                      <w:color w:val="auto"/>
                      <w:kern w:val="0"/>
                      <w:szCs w:val="21"/>
                    </w:rPr>
                    <w:t>A</w:t>
                  </w:r>
                  <w:r>
                    <w:rPr>
                      <w:b/>
                      <w:bCs/>
                      <w:color w:val="auto"/>
                      <w:kern w:val="0"/>
                      <w:szCs w:val="21"/>
                      <w:vertAlign w:val="subscript"/>
                    </w:rPr>
                    <w:t>bar</w:t>
                  </w:r>
                  <w:r>
                    <w:rPr>
                      <w:b/>
                      <w:bCs/>
                      <w:color w:val="auto"/>
                      <w:kern w:val="0"/>
                      <w:szCs w:val="21"/>
                    </w:rPr>
                    <w:t xml:space="preserve"> dB（A）</w:t>
                  </w:r>
                </w:p>
              </w:tc>
            </w:tr>
            <w:tr w14:paraId="63DC2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57C8719">
                  <w:pPr>
                    <w:adjustRightInd w:val="0"/>
                    <w:snapToGrid w:val="0"/>
                    <w:jc w:val="center"/>
                    <w:rPr>
                      <w:color w:val="auto"/>
                      <w:szCs w:val="21"/>
                    </w:rPr>
                  </w:pPr>
                  <w:r>
                    <w:rPr>
                      <w:color w:val="auto"/>
                      <w:szCs w:val="21"/>
                    </w:rPr>
                    <w:t>开小窗，密闭，门经隔声处理</w:t>
                  </w:r>
                </w:p>
              </w:tc>
              <w:tc>
                <w:tcPr>
                  <w:tcW w:w="2501" w:type="pct"/>
                  <w:noWrap w:val="0"/>
                  <w:vAlign w:val="center"/>
                </w:tcPr>
                <w:p w14:paraId="6D01E78F">
                  <w:pPr>
                    <w:adjustRightInd w:val="0"/>
                    <w:snapToGrid w:val="0"/>
                    <w:jc w:val="center"/>
                    <w:rPr>
                      <w:color w:val="auto"/>
                      <w:szCs w:val="21"/>
                    </w:rPr>
                  </w:pPr>
                  <w:r>
                    <w:rPr>
                      <w:color w:val="auto"/>
                      <w:szCs w:val="21"/>
                    </w:rPr>
                    <w:t>25</w:t>
                  </w:r>
                </w:p>
              </w:tc>
            </w:tr>
            <w:tr w14:paraId="2AFD8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91B91A1">
                  <w:pPr>
                    <w:adjustRightInd w:val="0"/>
                    <w:snapToGrid w:val="0"/>
                    <w:jc w:val="center"/>
                    <w:rPr>
                      <w:color w:val="auto"/>
                      <w:szCs w:val="21"/>
                    </w:rPr>
                  </w:pPr>
                  <w:r>
                    <w:rPr>
                      <w:color w:val="auto"/>
                      <w:szCs w:val="21"/>
                    </w:rPr>
                    <w:t>开大窗且不密闭，门较密闭</w:t>
                  </w:r>
                </w:p>
              </w:tc>
              <w:tc>
                <w:tcPr>
                  <w:tcW w:w="2501" w:type="pct"/>
                  <w:noWrap w:val="0"/>
                  <w:vAlign w:val="center"/>
                </w:tcPr>
                <w:p w14:paraId="2DD151B0">
                  <w:pPr>
                    <w:adjustRightInd w:val="0"/>
                    <w:snapToGrid w:val="0"/>
                    <w:jc w:val="center"/>
                    <w:rPr>
                      <w:color w:val="auto"/>
                      <w:szCs w:val="21"/>
                    </w:rPr>
                  </w:pPr>
                  <w:r>
                    <w:rPr>
                      <w:color w:val="auto"/>
                      <w:szCs w:val="21"/>
                    </w:rPr>
                    <w:t>20</w:t>
                  </w:r>
                </w:p>
              </w:tc>
            </w:tr>
            <w:tr w14:paraId="6526F0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06A65C6F">
                  <w:pPr>
                    <w:adjustRightInd w:val="0"/>
                    <w:snapToGrid w:val="0"/>
                    <w:jc w:val="center"/>
                    <w:rPr>
                      <w:color w:val="auto"/>
                      <w:szCs w:val="21"/>
                    </w:rPr>
                  </w:pPr>
                  <w:r>
                    <w:rPr>
                      <w:color w:val="auto"/>
                      <w:szCs w:val="21"/>
                    </w:rPr>
                    <w:t>开大窗且不密闭，门不密闭</w:t>
                  </w:r>
                </w:p>
              </w:tc>
              <w:tc>
                <w:tcPr>
                  <w:tcW w:w="2501" w:type="pct"/>
                  <w:noWrap w:val="0"/>
                  <w:vAlign w:val="center"/>
                </w:tcPr>
                <w:p w14:paraId="4712728E">
                  <w:pPr>
                    <w:adjustRightInd w:val="0"/>
                    <w:snapToGrid w:val="0"/>
                    <w:jc w:val="center"/>
                    <w:rPr>
                      <w:color w:val="auto"/>
                      <w:szCs w:val="21"/>
                    </w:rPr>
                  </w:pPr>
                  <w:r>
                    <w:rPr>
                      <w:color w:val="auto"/>
                      <w:szCs w:val="21"/>
                    </w:rPr>
                    <w:t>13</w:t>
                  </w:r>
                </w:p>
              </w:tc>
            </w:tr>
            <w:tr w14:paraId="5411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B6D25D6">
                  <w:pPr>
                    <w:adjustRightInd w:val="0"/>
                    <w:snapToGrid w:val="0"/>
                    <w:jc w:val="center"/>
                    <w:rPr>
                      <w:color w:val="auto"/>
                      <w:szCs w:val="21"/>
                    </w:rPr>
                  </w:pPr>
                  <w:r>
                    <w:rPr>
                      <w:color w:val="auto"/>
                      <w:szCs w:val="21"/>
                    </w:rPr>
                    <w:t>门与窗全部敞开</w:t>
                  </w:r>
                </w:p>
              </w:tc>
              <w:tc>
                <w:tcPr>
                  <w:tcW w:w="2501" w:type="pct"/>
                  <w:noWrap w:val="0"/>
                  <w:vAlign w:val="center"/>
                </w:tcPr>
                <w:p w14:paraId="3EC620DB">
                  <w:pPr>
                    <w:adjustRightInd w:val="0"/>
                    <w:snapToGrid w:val="0"/>
                    <w:jc w:val="center"/>
                    <w:rPr>
                      <w:color w:val="auto"/>
                      <w:szCs w:val="21"/>
                    </w:rPr>
                  </w:pPr>
                  <w:r>
                    <w:rPr>
                      <w:color w:val="auto"/>
                      <w:szCs w:val="21"/>
                    </w:rPr>
                    <w:t>8</w:t>
                  </w:r>
                </w:p>
              </w:tc>
            </w:tr>
          </w:tbl>
          <w:p w14:paraId="66452FE2">
            <w:pPr>
              <w:widowControl/>
              <w:spacing w:line="360" w:lineRule="auto"/>
              <w:ind w:firstLine="480" w:firstLineChars="200"/>
              <w:rPr>
                <w:color w:val="auto"/>
                <w:sz w:val="24"/>
              </w:rPr>
            </w:pPr>
            <w:r>
              <w:rPr>
                <w:color w:val="auto"/>
                <w:sz w:val="24"/>
              </w:rPr>
              <w:t>（2）预测结果：</w:t>
            </w:r>
          </w:p>
          <w:p w14:paraId="2F9B5F00">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color w:val="auto"/>
                <w:sz w:val="24"/>
              </w:rPr>
              <w:t>由于项目夜间不生产，</w:t>
            </w:r>
            <w:r>
              <w:rPr>
                <w:rFonts w:hint="eastAsia"/>
                <w:color w:val="auto"/>
                <w:sz w:val="24"/>
              </w:rPr>
              <w:t>且生产设备及工艺集中在生产车间，</w:t>
            </w:r>
            <w:r>
              <w:rPr>
                <w:color w:val="auto"/>
                <w:sz w:val="24"/>
              </w:rPr>
              <w:t>故只对项目</w:t>
            </w:r>
            <w:r>
              <w:rPr>
                <w:rFonts w:hint="eastAsia"/>
                <w:color w:val="auto"/>
                <w:sz w:val="24"/>
              </w:rPr>
              <w:t>生产车间的</w:t>
            </w:r>
            <w:r>
              <w:rPr>
                <w:color w:val="auto"/>
                <w:sz w:val="24"/>
              </w:rPr>
              <w:t>昼间噪声进行预测</w:t>
            </w:r>
            <w:r>
              <w:rPr>
                <w:rFonts w:hint="eastAsia"/>
                <w:color w:val="auto"/>
                <w:sz w:val="24"/>
              </w:rPr>
              <w:t>，</w:t>
            </w:r>
            <w:r>
              <w:rPr>
                <w:color w:val="auto"/>
                <w:kern w:val="0"/>
                <w:sz w:val="24"/>
                <w:lang w:bidi="ar"/>
              </w:rPr>
              <w:t>按照最不利情况预测厂界受到的影响，预测结果</w:t>
            </w:r>
            <w:r>
              <w:rPr>
                <w:rFonts w:hint="eastAsia"/>
                <w:color w:val="auto"/>
                <w:kern w:val="0"/>
                <w:sz w:val="24"/>
                <w:lang w:bidi="ar"/>
              </w:rPr>
              <w:t>见</w:t>
            </w:r>
            <w:r>
              <w:rPr>
                <w:color w:val="auto"/>
                <w:sz w:val="24"/>
              </w:rPr>
              <w:t>表</w:t>
            </w:r>
            <w:r>
              <w:rPr>
                <w:rFonts w:hint="eastAsia"/>
                <w:color w:val="auto"/>
                <w:sz w:val="24"/>
                <w:lang w:val="en-US" w:eastAsia="zh-CN"/>
              </w:rPr>
              <w:t>4-9：</w:t>
            </w:r>
          </w:p>
          <w:p w14:paraId="6F58227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项目主要噪声源产生及治理情况</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1"/>
              <w:gridCol w:w="977"/>
              <w:gridCol w:w="622"/>
              <w:gridCol w:w="883"/>
              <w:gridCol w:w="878"/>
              <w:gridCol w:w="946"/>
              <w:gridCol w:w="868"/>
              <w:gridCol w:w="1031"/>
              <w:gridCol w:w="1540"/>
            </w:tblGrid>
            <w:tr w14:paraId="22519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16E9286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599" w:type="pct"/>
                  <w:vMerge w:val="restart"/>
                  <w:tcBorders>
                    <w:tl2br w:val="nil"/>
                    <w:tr2bl w:val="nil"/>
                  </w:tcBorders>
                  <w:noWrap w:val="0"/>
                  <w:vAlign w:val="center"/>
                </w:tcPr>
                <w:p w14:paraId="578AEB4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tc>
              <w:tc>
                <w:tcPr>
                  <w:tcW w:w="381" w:type="pct"/>
                  <w:vMerge w:val="restart"/>
                  <w:tcBorders>
                    <w:tl2br w:val="nil"/>
                    <w:tr2bl w:val="nil"/>
                  </w:tcBorders>
                  <w:noWrap w:val="0"/>
                  <w:vAlign w:val="center"/>
                </w:tcPr>
                <w:p w14:paraId="0AA86FA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降噪后</w:t>
                  </w:r>
                </w:p>
                <w:p w14:paraId="481AFF2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2823" w:type="pct"/>
                  <w:gridSpan w:val="5"/>
                  <w:tcBorders>
                    <w:tl2br w:val="nil"/>
                    <w:tr2bl w:val="nil"/>
                  </w:tcBorders>
                  <w:noWrap w:val="0"/>
                  <w:vAlign w:val="center"/>
                </w:tcPr>
                <w:p w14:paraId="7F0567C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厂界</w:t>
                  </w:r>
                </w:p>
              </w:tc>
              <w:tc>
                <w:tcPr>
                  <w:tcW w:w="943" w:type="pct"/>
                  <w:tcBorders>
                    <w:tl2br w:val="nil"/>
                    <w:tr2bl w:val="nil"/>
                  </w:tcBorders>
                  <w:noWrap w:val="0"/>
                  <w:vAlign w:val="center"/>
                </w:tcPr>
                <w:p w14:paraId="052BF48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敏感点</w:t>
                  </w:r>
                </w:p>
              </w:tc>
            </w:tr>
            <w:tr w14:paraId="4933C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6EFDED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99" w:type="pct"/>
                  <w:vMerge w:val="continue"/>
                  <w:tcBorders>
                    <w:tl2br w:val="nil"/>
                    <w:tr2bl w:val="nil"/>
                  </w:tcBorders>
                  <w:noWrap w:val="0"/>
                  <w:vAlign w:val="center"/>
                </w:tcPr>
                <w:p w14:paraId="5F9166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81" w:type="pct"/>
                  <w:vMerge w:val="continue"/>
                  <w:tcBorders>
                    <w:tl2br w:val="nil"/>
                    <w:tr2bl w:val="nil"/>
                  </w:tcBorders>
                  <w:noWrap w:val="0"/>
                  <w:vAlign w:val="center"/>
                </w:tcPr>
                <w:p w14:paraId="5C0BED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40" w:type="pct"/>
                  <w:tcBorders>
                    <w:tl2br w:val="nil"/>
                    <w:tr2bl w:val="nil"/>
                  </w:tcBorders>
                  <w:noWrap w:val="0"/>
                  <w:vAlign w:val="center"/>
                </w:tcPr>
                <w:p w14:paraId="005794F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538" w:type="pct"/>
                  <w:tcBorders>
                    <w:tl2br w:val="nil"/>
                    <w:tr2bl w:val="nil"/>
                  </w:tcBorders>
                  <w:noWrap w:val="0"/>
                  <w:vAlign w:val="center"/>
                </w:tcPr>
                <w:p w14:paraId="13645480">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580" w:type="pct"/>
                  <w:tcBorders>
                    <w:tl2br w:val="nil"/>
                    <w:tr2bl w:val="nil"/>
                  </w:tcBorders>
                  <w:noWrap w:val="0"/>
                  <w:vAlign w:val="center"/>
                </w:tcPr>
                <w:p w14:paraId="4D3584B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100"/>
                      <w:sz w:val="21"/>
                      <w:szCs w:val="21"/>
                      <w:highlight w:val="none"/>
                    </w:rPr>
                    <w:t>南</w:t>
                  </w:r>
                </w:p>
              </w:tc>
              <w:tc>
                <w:tcPr>
                  <w:tcW w:w="532" w:type="pct"/>
                  <w:tcBorders>
                    <w:tl2br w:val="nil"/>
                    <w:tr2bl w:val="nil"/>
                  </w:tcBorders>
                  <w:noWrap w:val="0"/>
                  <w:vAlign w:val="center"/>
                </w:tcPr>
                <w:p w14:paraId="1A08523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632" w:type="pct"/>
                  <w:tcBorders>
                    <w:tl2br w:val="nil"/>
                    <w:tr2bl w:val="nil"/>
                  </w:tcBorders>
                  <w:noWrap w:val="0"/>
                  <w:vAlign w:val="center"/>
                </w:tcPr>
                <w:p w14:paraId="6237B91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c>
                <w:tcPr>
                  <w:tcW w:w="943" w:type="pct"/>
                  <w:tcBorders>
                    <w:tl2br w:val="nil"/>
                    <w:tr2bl w:val="nil"/>
                  </w:tcBorders>
                  <w:noWrap w:val="0"/>
                  <w:vAlign w:val="center"/>
                </w:tcPr>
                <w:p w14:paraId="65D697A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五一村</w:t>
                  </w:r>
                </w:p>
              </w:tc>
            </w:tr>
            <w:tr w14:paraId="0323C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27D12C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99" w:type="pct"/>
                  <w:vMerge w:val="restart"/>
                  <w:tcBorders>
                    <w:tl2br w:val="nil"/>
                    <w:tr2bl w:val="nil"/>
                  </w:tcBorders>
                  <w:noWrap w:val="0"/>
                  <w:vAlign w:val="center"/>
                </w:tcPr>
                <w:p w14:paraId="7F968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Cs w:val="21"/>
                      <w:lang w:val="en-US" w:eastAsia="zh-CN"/>
                    </w:rPr>
                    <w:t>抛丸机1</w:t>
                  </w:r>
                </w:p>
              </w:tc>
              <w:tc>
                <w:tcPr>
                  <w:tcW w:w="381" w:type="pct"/>
                  <w:vMerge w:val="restart"/>
                  <w:tcBorders>
                    <w:tl2br w:val="nil"/>
                    <w:tr2bl w:val="nil"/>
                  </w:tcBorders>
                  <w:noWrap w:val="0"/>
                  <w:vAlign w:val="center"/>
                </w:tcPr>
                <w:p w14:paraId="78432C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Cs w:val="21"/>
                      <w:lang w:val="en-US" w:eastAsia="zh-CN"/>
                    </w:rPr>
                    <w:t>65</w:t>
                  </w:r>
                </w:p>
              </w:tc>
              <w:tc>
                <w:tcPr>
                  <w:tcW w:w="540" w:type="pct"/>
                  <w:tcBorders>
                    <w:tl2br w:val="nil"/>
                    <w:tr2bl w:val="nil"/>
                  </w:tcBorders>
                  <w:noWrap w:val="0"/>
                  <w:vAlign w:val="center"/>
                </w:tcPr>
                <w:p w14:paraId="1B784AE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1A6EAFCE">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101</w:t>
                  </w:r>
                </w:p>
              </w:tc>
              <w:tc>
                <w:tcPr>
                  <w:tcW w:w="580" w:type="pct"/>
                  <w:tcBorders>
                    <w:tl2br w:val="nil"/>
                    <w:tr2bl w:val="nil"/>
                  </w:tcBorders>
                  <w:noWrap w:val="0"/>
                  <w:vAlign w:val="center"/>
                </w:tcPr>
                <w:p w14:paraId="0E8A2846">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532" w:type="pct"/>
                  <w:tcBorders>
                    <w:tl2br w:val="nil"/>
                    <w:tr2bl w:val="nil"/>
                  </w:tcBorders>
                  <w:noWrap w:val="0"/>
                  <w:vAlign w:val="center"/>
                </w:tcPr>
                <w:p w14:paraId="531B9205">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632" w:type="pct"/>
                  <w:tcBorders>
                    <w:tl2br w:val="nil"/>
                    <w:tr2bl w:val="nil"/>
                  </w:tcBorders>
                  <w:noWrap w:val="0"/>
                  <w:vAlign w:val="center"/>
                </w:tcPr>
                <w:p w14:paraId="7432C4E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943" w:type="pct"/>
                  <w:tcBorders>
                    <w:tl2br w:val="nil"/>
                    <w:tr2bl w:val="nil"/>
                  </w:tcBorders>
                  <w:noWrap w:val="0"/>
                  <w:vAlign w:val="center"/>
                </w:tcPr>
                <w:p w14:paraId="6BFDB51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88</w:t>
                  </w:r>
                </w:p>
              </w:tc>
            </w:tr>
            <w:tr w14:paraId="0DC15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3FFFA0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4918435E">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381" w:type="pct"/>
                  <w:vMerge w:val="continue"/>
                  <w:tcBorders>
                    <w:tl2br w:val="nil"/>
                    <w:tr2bl w:val="nil"/>
                  </w:tcBorders>
                  <w:noWrap w:val="0"/>
                  <w:vAlign w:val="center"/>
                </w:tcPr>
                <w:p w14:paraId="40C2466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736CF4B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D85DC9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580" w:type="pct"/>
                  <w:tcBorders>
                    <w:tl2br w:val="nil"/>
                    <w:tr2bl w:val="nil"/>
                  </w:tcBorders>
                  <w:noWrap w:val="0"/>
                  <w:vAlign w:val="center"/>
                </w:tcPr>
                <w:p w14:paraId="0180B9D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w:t>
                  </w:r>
                </w:p>
              </w:tc>
              <w:tc>
                <w:tcPr>
                  <w:tcW w:w="532" w:type="pct"/>
                  <w:tcBorders>
                    <w:tl2br w:val="nil"/>
                    <w:tr2bl w:val="nil"/>
                  </w:tcBorders>
                  <w:noWrap w:val="0"/>
                  <w:vAlign w:val="center"/>
                </w:tcPr>
                <w:p w14:paraId="642DFC30">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632" w:type="pct"/>
                  <w:tcBorders>
                    <w:tl2br w:val="nil"/>
                    <w:tr2bl w:val="nil"/>
                  </w:tcBorders>
                  <w:noWrap w:val="0"/>
                  <w:vAlign w:val="center"/>
                </w:tcPr>
                <w:p w14:paraId="3CD5B6C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943" w:type="pct"/>
                  <w:tcBorders>
                    <w:tl2br w:val="nil"/>
                    <w:tr2bl w:val="nil"/>
                  </w:tcBorders>
                  <w:noWrap w:val="0"/>
                  <w:vAlign w:val="center"/>
                </w:tcPr>
                <w:p w14:paraId="4465AFF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r>
            <w:tr w14:paraId="3FE8D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5B8160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99" w:type="pct"/>
                  <w:vMerge w:val="restart"/>
                  <w:tcBorders>
                    <w:tl2br w:val="nil"/>
                    <w:tr2bl w:val="nil"/>
                  </w:tcBorders>
                  <w:noWrap w:val="0"/>
                  <w:vAlign w:val="center"/>
                </w:tcPr>
                <w:p w14:paraId="382DD833">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抛丸机</w:t>
                  </w:r>
                  <w:r>
                    <w:rPr>
                      <w:rFonts w:hint="eastAsia" w:ascii="Times New Roman" w:hAnsi="Times New Roman" w:eastAsia="宋体" w:cs="Times New Roman"/>
                      <w:color w:val="auto"/>
                      <w:kern w:val="2"/>
                      <w:sz w:val="21"/>
                      <w:szCs w:val="21"/>
                      <w:lang w:val="en-US" w:eastAsia="zh-CN" w:bidi="ar-SA"/>
                    </w:rPr>
                    <w:t>2</w:t>
                  </w:r>
                </w:p>
              </w:tc>
              <w:tc>
                <w:tcPr>
                  <w:tcW w:w="381" w:type="pct"/>
                  <w:vMerge w:val="restart"/>
                  <w:tcBorders>
                    <w:tl2br w:val="nil"/>
                    <w:tr2bl w:val="nil"/>
                  </w:tcBorders>
                  <w:noWrap w:val="0"/>
                  <w:vAlign w:val="center"/>
                </w:tcPr>
                <w:p w14:paraId="4238093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ascii="Times New Roman" w:hAnsi="Times New Roman" w:cs="Times New Roman"/>
                      <w:color w:val="auto"/>
                      <w:lang w:val="en-US" w:eastAsia="zh-CN"/>
                    </w:rPr>
                    <w:t>65</w:t>
                  </w:r>
                </w:p>
              </w:tc>
              <w:tc>
                <w:tcPr>
                  <w:tcW w:w="540" w:type="pct"/>
                  <w:tcBorders>
                    <w:tl2br w:val="nil"/>
                    <w:tr2bl w:val="nil"/>
                  </w:tcBorders>
                  <w:noWrap w:val="0"/>
                  <w:vAlign w:val="center"/>
                </w:tcPr>
                <w:p w14:paraId="481C374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2F6CD3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100</w:t>
                  </w:r>
                </w:p>
              </w:tc>
              <w:tc>
                <w:tcPr>
                  <w:tcW w:w="580" w:type="pct"/>
                  <w:tcBorders>
                    <w:tl2br w:val="nil"/>
                    <w:tr2bl w:val="nil"/>
                  </w:tcBorders>
                  <w:noWrap w:val="0"/>
                  <w:vAlign w:val="center"/>
                </w:tcPr>
                <w:p w14:paraId="573DF0E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31</w:t>
                  </w:r>
                </w:p>
              </w:tc>
              <w:tc>
                <w:tcPr>
                  <w:tcW w:w="532" w:type="pct"/>
                  <w:tcBorders>
                    <w:tl2br w:val="nil"/>
                    <w:tr2bl w:val="nil"/>
                  </w:tcBorders>
                  <w:noWrap w:val="0"/>
                  <w:vAlign w:val="center"/>
                </w:tcPr>
                <w:p w14:paraId="634F933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13</w:t>
                  </w:r>
                </w:p>
              </w:tc>
              <w:tc>
                <w:tcPr>
                  <w:tcW w:w="632" w:type="pct"/>
                  <w:tcBorders>
                    <w:tl2br w:val="nil"/>
                    <w:tr2bl w:val="nil"/>
                  </w:tcBorders>
                  <w:noWrap w:val="0"/>
                  <w:vAlign w:val="center"/>
                </w:tcPr>
                <w:p w14:paraId="10C5EC2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39</w:t>
                  </w:r>
                </w:p>
              </w:tc>
              <w:tc>
                <w:tcPr>
                  <w:tcW w:w="943" w:type="pct"/>
                  <w:tcBorders>
                    <w:tl2br w:val="nil"/>
                    <w:tr2bl w:val="nil"/>
                  </w:tcBorders>
                  <w:noWrap w:val="0"/>
                  <w:vAlign w:val="center"/>
                </w:tcPr>
                <w:p w14:paraId="6C1833B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98</w:t>
                  </w:r>
                </w:p>
              </w:tc>
            </w:tr>
            <w:tr w14:paraId="4AE28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10C428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6AB46E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5031FEA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13B624A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DB078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580" w:type="pct"/>
                  <w:tcBorders>
                    <w:tl2br w:val="nil"/>
                    <w:tr2bl w:val="nil"/>
                  </w:tcBorders>
                  <w:noWrap w:val="0"/>
                  <w:vAlign w:val="center"/>
                </w:tcPr>
                <w:p w14:paraId="5A4FC5B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532" w:type="pct"/>
                  <w:tcBorders>
                    <w:tl2br w:val="nil"/>
                    <w:tr2bl w:val="nil"/>
                  </w:tcBorders>
                  <w:noWrap w:val="0"/>
                  <w:vAlign w:val="center"/>
                </w:tcPr>
                <w:p w14:paraId="639711B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632" w:type="pct"/>
                  <w:tcBorders>
                    <w:tl2br w:val="nil"/>
                    <w:tr2bl w:val="nil"/>
                  </w:tcBorders>
                  <w:noWrap w:val="0"/>
                  <w:vAlign w:val="center"/>
                </w:tcPr>
                <w:p w14:paraId="4C9F049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943" w:type="pct"/>
                  <w:tcBorders>
                    <w:tl2br w:val="nil"/>
                    <w:tr2bl w:val="nil"/>
                  </w:tcBorders>
                  <w:noWrap w:val="0"/>
                  <w:vAlign w:val="center"/>
                </w:tcPr>
                <w:p w14:paraId="62AC6D1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r>
            <w:tr w14:paraId="7FF70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74C9C9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99" w:type="pct"/>
                  <w:vMerge w:val="restart"/>
                  <w:tcBorders>
                    <w:tl2br w:val="nil"/>
                    <w:tr2bl w:val="nil"/>
                  </w:tcBorders>
                  <w:noWrap w:val="0"/>
                  <w:vAlign w:val="center"/>
                </w:tcPr>
                <w:p w14:paraId="207E6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抛丸机</w:t>
                  </w:r>
                  <w:r>
                    <w:rPr>
                      <w:rFonts w:hint="default" w:ascii="Times New Roman" w:hAnsi="Times New Roman" w:cs="Times New Roman"/>
                      <w:color w:val="auto"/>
                      <w:szCs w:val="21"/>
                      <w:lang w:val="en-US" w:eastAsia="zh-CN"/>
                    </w:rPr>
                    <w:t>3</w:t>
                  </w:r>
                </w:p>
              </w:tc>
              <w:tc>
                <w:tcPr>
                  <w:tcW w:w="381" w:type="pct"/>
                  <w:vMerge w:val="restart"/>
                  <w:tcBorders>
                    <w:tl2br w:val="nil"/>
                    <w:tr2bl w:val="nil"/>
                  </w:tcBorders>
                  <w:noWrap w:val="0"/>
                  <w:vAlign w:val="center"/>
                </w:tcPr>
                <w:p w14:paraId="6B063BD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ascii="Times New Roman" w:hAnsi="Times New Roman" w:cs="Times New Roman"/>
                      <w:color w:val="auto"/>
                      <w:lang w:val="en-US" w:eastAsia="zh-CN"/>
                    </w:rPr>
                    <w:t>65</w:t>
                  </w:r>
                </w:p>
              </w:tc>
              <w:tc>
                <w:tcPr>
                  <w:tcW w:w="540" w:type="pct"/>
                  <w:tcBorders>
                    <w:tl2br w:val="nil"/>
                    <w:tr2bl w:val="nil"/>
                  </w:tcBorders>
                  <w:noWrap w:val="0"/>
                  <w:vAlign w:val="center"/>
                </w:tcPr>
                <w:p w14:paraId="4421357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39D5B84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w:t>
                  </w:r>
                </w:p>
              </w:tc>
              <w:tc>
                <w:tcPr>
                  <w:tcW w:w="580" w:type="pct"/>
                  <w:tcBorders>
                    <w:tl2br w:val="nil"/>
                    <w:tr2bl w:val="nil"/>
                  </w:tcBorders>
                  <w:noWrap w:val="0"/>
                  <w:vAlign w:val="center"/>
                </w:tcPr>
                <w:p w14:paraId="33B32F0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26</w:t>
                  </w:r>
                </w:p>
              </w:tc>
              <w:tc>
                <w:tcPr>
                  <w:tcW w:w="532" w:type="pct"/>
                  <w:tcBorders>
                    <w:tl2br w:val="nil"/>
                    <w:tr2bl w:val="nil"/>
                  </w:tcBorders>
                  <w:noWrap w:val="0"/>
                  <w:vAlign w:val="center"/>
                </w:tcPr>
                <w:p w14:paraId="374DDC2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13</w:t>
                  </w:r>
                </w:p>
              </w:tc>
              <w:tc>
                <w:tcPr>
                  <w:tcW w:w="632" w:type="pct"/>
                  <w:tcBorders>
                    <w:tl2br w:val="nil"/>
                    <w:tr2bl w:val="nil"/>
                  </w:tcBorders>
                  <w:noWrap w:val="0"/>
                  <w:vAlign w:val="center"/>
                </w:tcPr>
                <w:p w14:paraId="4ECD38A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45</w:t>
                  </w:r>
                </w:p>
              </w:tc>
              <w:tc>
                <w:tcPr>
                  <w:tcW w:w="943" w:type="pct"/>
                  <w:tcBorders>
                    <w:tl2br w:val="nil"/>
                    <w:tr2bl w:val="nil"/>
                  </w:tcBorders>
                  <w:noWrap w:val="0"/>
                  <w:vAlign w:val="center"/>
                </w:tcPr>
                <w:p w14:paraId="768256B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104</w:t>
                  </w:r>
                </w:p>
              </w:tc>
            </w:tr>
            <w:tr w14:paraId="01C00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52A9BC2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51B5765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24F6D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5BA7C34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6496A98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580" w:type="pct"/>
                  <w:tcBorders>
                    <w:tl2br w:val="nil"/>
                    <w:tr2bl w:val="nil"/>
                  </w:tcBorders>
                  <w:noWrap w:val="0"/>
                  <w:vAlign w:val="center"/>
                </w:tcPr>
                <w:p w14:paraId="00F2739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532" w:type="pct"/>
                  <w:tcBorders>
                    <w:tl2br w:val="nil"/>
                    <w:tr2bl w:val="nil"/>
                  </w:tcBorders>
                  <w:noWrap w:val="0"/>
                  <w:vAlign w:val="center"/>
                </w:tcPr>
                <w:p w14:paraId="5AC067E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632" w:type="pct"/>
                  <w:tcBorders>
                    <w:tl2br w:val="nil"/>
                    <w:tr2bl w:val="nil"/>
                  </w:tcBorders>
                  <w:noWrap w:val="0"/>
                  <w:vAlign w:val="center"/>
                </w:tcPr>
                <w:p w14:paraId="4BE9705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p>
              </w:tc>
              <w:tc>
                <w:tcPr>
                  <w:tcW w:w="943" w:type="pct"/>
                  <w:tcBorders>
                    <w:tl2br w:val="nil"/>
                    <w:tr2bl w:val="nil"/>
                  </w:tcBorders>
                  <w:noWrap w:val="0"/>
                  <w:vAlign w:val="center"/>
                </w:tcPr>
                <w:p w14:paraId="60F6775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r>
            <w:tr w14:paraId="18276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675853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599" w:type="pct"/>
                  <w:vMerge w:val="restart"/>
                  <w:tcBorders>
                    <w:tl2br w:val="nil"/>
                    <w:tr2bl w:val="nil"/>
                  </w:tcBorders>
                  <w:noWrap w:val="0"/>
                  <w:vAlign w:val="center"/>
                </w:tcPr>
                <w:p w14:paraId="40043BD0">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静电喷塑机1</w:t>
                  </w:r>
                </w:p>
              </w:tc>
              <w:tc>
                <w:tcPr>
                  <w:tcW w:w="381" w:type="pct"/>
                  <w:vMerge w:val="restart"/>
                  <w:tcBorders>
                    <w:tl2br w:val="nil"/>
                    <w:tr2bl w:val="nil"/>
                  </w:tcBorders>
                  <w:noWrap w:val="0"/>
                  <w:vAlign w:val="center"/>
                </w:tcPr>
                <w:p w14:paraId="131BEEF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540" w:type="pct"/>
                  <w:tcBorders>
                    <w:tl2br w:val="nil"/>
                    <w:tr2bl w:val="nil"/>
                  </w:tcBorders>
                  <w:noWrap w:val="0"/>
                  <w:vAlign w:val="center"/>
                </w:tcPr>
                <w:p w14:paraId="7CFBD15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177456E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580" w:type="pct"/>
                  <w:tcBorders>
                    <w:tl2br w:val="nil"/>
                    <w:tr2bl w:val="nil"/>
                  </w:tcBorders>
                  <w:noWrap w:val="0"/>
                  <w:vAlign w:val="center"/>
                </w:tcPr>
                <w:p w14:paraId="5902E0A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113</w:t>
                  </w:r>
                </w:p>
              </w:tc>
              <w:tc>
                <w:tcPr>
                  <w:tcW w:w="532" w:type="pct"/>
                  <w:tcBorders>
                    <w:tl2br w:val="nil"/>
                    <w:tr2bl w:val="nil"/>
                  </w:tcBorders>
                  <w:noWrap w:val="0"/>
                  <w:vAlign w:val="center"/>
                </w:tcPr>
                <w:p w14:paraId="7BC8754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632" w:type="pct"/>
                  <w:tcBorders>
                    <w:tl2br w:val="nil"/>
                    <w:tr2bl w:val="nil"/>
                  </w:tcBorders>
                  <w:noWrap w:val="0"/>
                  <w:vAlign w:val="center"/>
                </w:tcPr>
                <w:p w14:paraId="0B2AF2A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943" w:type="pct"/>
                  <w:tcBorders>
                    <w:tl2br w:val="nil"/>
                    <w:tr2bl w:val="nil"/>
                  </w:tcBorders>
                  <w:noWrap w:val="0"/>
                  <w:vAlign w:val="center"/>
                </w:tcPr>
                <w:p w14:paraId="5325A14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58</w:t>
                  </w:r>
                </w:p>
              </w:tc>
            </w:tr>
            <w:tr w14:paraId="69777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261A411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CEC291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D1C26E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01BFCE6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6EF5B6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580" w:type="pct"/>
                  <w:tcBorders>
                    <w:tl2br w:val="nil"/>
                    <w:tr2bl w:val="nil"/>
                  </w:tcBorders>
                  <w:noWrap w:val="0"/>
                  <w:vAlign w:val="center"/>
                </w:tcPr>
                <w:p w14:paraId="7A2A7DD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532" w:type="pct"/>
                  <w:tcBorders>
                    <w:tl2br w:val="nil"/>
                    <w:tr2bl w:val="nil"/>
                  </w:tcBorders>
                  <w:noWrap w:val="0"/>
                  <w:vAlign w:val="center"/>
                </w:tcPr>
                <w:p w14:paraId="11B017D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w:t>
                  </w:r>
                </w:p>
              </w:tc>
              <w:tc>
                <w:tcPr>
                  <w:tcW w:w="632" w:type="pct"/>
                  <w:tcBorders>
                    <w:tl2br w:val="nil"/>
                    <w:tr2bl w:val="nil"/>
                  </w:tcBorders>
                  <w:noWrap w:val="0"/>
                  <w:vAlign w:val="center"/>
                </w:tcPr>
                <w:p w14:paraId="53E943A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943" w:type="pct"/>
                  <w:tcBorders>
                    <w:tl2br w:val="nil"/>
                    <w:tr2bl w:val="nil"/>
                  </w:tcBorders>
                  <w:noWrap w:val="0"/>
                  <w:vAlign w:val="center"/>
                </w:tcPr>
                <w:p w14:paraId="103C09A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14:paraId="290DF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24BEB5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99" w:type="pct"/>
                  <w:vMerge w:val="restart"/>
                  <w:tcBorders>
                    <w:tl2br w:val="nil"/>
                    <w:tr2bl w:val="nil"/>
                  </w:tcBorders>
                  <w:noWrap w:val="0"/>
                  <w:vAlign w:val="center"/>
                </w:tcPr>
                <w:p w14:paraId="7434D03F">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空压机1</w:t>
                  </w:r>
                </w:p>
              </w:tc>
              <w:tc>
                <w:tcPr>
                  <w:tcW w:w="381" w:type="pct"/>
                  <w:vMerge w:val="restart"/>
                  <w:tcBorders>
                    <w:tl2br w:val="nil"/>
                    <w:tr2bl w:val="nil"/>
                  </w:tcBorders>
                  <w:noWrap w:val="0"/>
                  <w:vAlign w:val="center"/>
                </w:tcPr>
                <w:p w14:paraId="57ADC4B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w:t>
                  </w:r>
                </w:p>
              </w:tc>
              <w:tc>
                <w:tcPr>
                  <w:tcW w:w="540" w:type="pct"/>
                  <w:tcBorders>
                    <w:tl2br w:val="nil"/>
                    <w:tr2bl w:val="nil"/>
                  </w:tcBorders>
                  <w:noWrap w:val="0"/>
                  <w:vAlign w:val="center"/>
                </w:tcPr>
                <w:p w14:paraId="515FDDE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4C65C16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580" w:type="pct"/>
                  <w:tcBorders>
                    <w:tl2br w:val="nil"/>
                    <w:tr2bl w:val="nil"/>
                  </w:tcBorders>
                  <w:noWrap w:val="0"/>
                  <w:vAlign w:val="center"/>
                </w:tcPr>
                <w:p w14:paraId="4D4D81E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123</w:t>
                  </w:r>
                </w:p>
              </w:tc>
              <w:tc>
                <w:tcPr>
                  <w:tcW w:w="532" w:type="pct"/>
                  <w:tcBorders>
                    <w:tl2br w:val="nil"/>
                    <w:tr2bl w:val="nil"/>
                  </w:tcBorders>
                  <w:noWrap w:val="0"/>
                  <w:vAlign w:val="center"/>
                </w:tcPr>
                <w:p w14:paraId="47B387E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73</w:t>
                  </w:r>
                </w:p>
              </w:tc>
              <w:tc>
                <w:tcPr>
                  <w:tcW w:w="632" w:type="pct"/>
                  <w:tcBorders>
                    <w:tl2br w:val="nil"/>
                    <w:tr2bl w:val="nil"/>
                  </w:tcBorders>
                  <w:noWrap w:val="0"/>
                  <w:vAlign w:val="center"/>
                </w:tcPr>
                <w:p w14:paraId="62A6BAD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943" w:type="pct"/>
                  <w:tcBorders>
                    <w:tl2br w:val="nil"/>
                    <w:tr2bl w:val="nil"/>
                  </w:tcBorders>
                  <w:noWrap w:val="0"/>
                  <w:vAlign w:val="center"/>
                </w:tcPr>
                <w:p w14:paraId="19A6829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49</w:t>
                  </w:r>
                </w:p>
              </w:tc>
            </w:tr>
            <w:tr w14:paraId="120D1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7E680FE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C2B740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06F34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786FDB1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6F0CB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c>
                <w:tcPr>
                  <w:tcW w:w="580" w:type="pct"/>
                  <w:tcBorders>
                    <w:tl2br w:val="nil"/>
                    <w:tr2bl w:val="nil"/>
                  </w:tcBorders>
                  <w:noWrap w:val="0"/>
                  <w:vAlign w:val="center"/>
                </w:tcPr>
                <w:p w14:paraId="65B1775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532" w:type="pct"/>
                  <w:tcBorders>
                    <w:tl2br w:val="nil"/>
                    <w:tr2bl w:val="nil"/>
                  </w:tcBorders>
                  <w:noWrap w:val="0"/>
                  <w:vAlign w:val="center"/>
                </w:tcPr>
                <w:p w14:paraId="0160B80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632" w:type="pct"/>
                  <w:tcBorders>
                    <w:tl2br w:val="nil"/>
                    <w:tr2bl w:val="nil"/>
                  </w:tcBorders>
                  <w:noWrap w:val="0"/>
                  <w:vAlign w:val="center"/>
                </w:tcPr>
                <w:p w14:paraId="77BCC5A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c>
                <w:tcPr>
                  <w:tcW w:w="943" w:type="pct"/>
                  <w:tcBorders>
                    <w:tl2br w:val="nil"/>
                    <w:tr2bl w:val="nil"/>
                  </w:tcBorders>
                  <w:noWrap w:val="0"/>
                  <w:vAlign w:val="center"/>
                </w:tcPr>
                <w:p w14:paraId="37E2E12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r>
            <w:tr w14:paraId="4D58F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4172D8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599" w:type="pct"/>
                  <w:vMerge w:val="restart"/>
                  <w:tcBorders>
                    <w:tl2br w:val="nil"/>
                    <w:tr2bl w:val="nil"/>
                  </w:tcBorders>
                  <w:noWrap w:val="0"/>
                  <w:vAlign w:val="center"/>
                </w:tcPr>
                <w:p w14:paraId="5673FF07">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空压机2</w:t>
                  </w:r>
                </w:p>
              </w:tc>
              <w:tc>
                <w:tcPr>
                  <w:tcW w:w="381" w:type="pct"/>
                  <w:vMerge w:val="restart"/>
                  <w:tcBorders>
                    <w:tl2br w:val="nil"/>
                    <w:tr2bl w:val="nil"/>
                  </w:tcBorders>
                  <w:noWrap w:val="0"/>
                  <w:vAlign w:val="center"/>
                </w:tcPr>
                <w:p w14:paraId="5640ABD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70</w:t>
                  </w:r>
                </w:p>
              </w:tc>
              <w:tc>
                <w:tcPr>
                  <w:tcW w:w="540" w:type="pct"/>
                  <w:tcBorders>
                    <w:tl2br w:val="nil"/>
                    <w:tr2bl w:val="nil"/>
                  </w:tcBorders>
                  <w:noWrap w:val="0"/>
                  <w:vAlign w:val="center"/>
                </w:tcPr>
                <w:p w14:paraId="4FBB811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70BCFE7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58</w:t>
                  </w:r>
                </w:p>
              </w:tc>
              <w:tc>
                <w:tcPr>
                  <w:tcW w:w="580" w:type="pct"/>
                  <w:tcBorders>
                    <w:tl2br w:val="nil"/>
                    <w:tr2bl w:val="nil"/>
                  </w:tcBorders>
                  <w:noWrap w:val="0"/>
                  <w:vAlign w:val="center"/>
                </w:tcPr>
                <w:p w14:paraId="01A27F6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86</w:t>
                  </w:r>
                </w:p>
              </w:tc>
              <w:tc>
                <w:tcPr>
                  <w:tcW w:w="532" w:type="pct"/>
                  <w:tcBorders>
                    <w:tl2br w:val="nil"/>
                    <w:tr2bl w:val="nil"/>
                  </w:tcBorders>
                  <w:noWrap w:val="0"/>
                  <w:vAlign w:val="center"/>
                </w:tcPr>
                <w:p w14:paraId="02FCEF6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w:t>
                  </w:r>
                </w:p>
              </w:tc>
              <w:tc>
                <w:tcPr>
                  <w:tcW w:w="632" w:type="pct"/>
                  <w:tcBorders>
                    <w:tl2br w:val="nil"/>
                    <w:tr2bl w:val="nil"/>
                  </w:tcBorders>
                  <w:noWrap w:val="0"/>
                  <w:vAlign w:val="center"/>
                </w:tcPr>
                <w:p w14:paraId="481B047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943" w:type="pct"/>
                  <w:tcBorders>
                    <w:tl2br w:val="nil"/>
                    <w:tr2bl w:val="nil"/>
                  </w:tcBorders>
                  <w:noWrap w:val="0"/>
                  <w:vAlign w:val="center"/>
                </w:tcPr>
                <w:p w14:paraId="3BFD462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79</w:t>
                  </w:r>
                </w:p>
              </w:tc>
            </w:tr>
            <w:tr w14:paraId="1EB43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18C8D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A5D0A87">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7A6FAE7C">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670248A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16FA572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580" w:type="pct"/>
                  <w:tcBorders>
                    <w:tl2br w:val="nil"/>
                    <w:tr2bl w:val="nil"/>
                  </w:tcBorders>
                  <w:noWrap w:val="0"/>
                  <w:vAlign w:val="center"/>
                </w:tcPr>
                <w:p w14:paraId="548B057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w:t>
                  </w:r>
                </w:p>
              </w:tc>
              <w:tc>
                <w:tcPr>
                  <w:tcW w:w="532" w:type="pct"/>
                  <w:tcBorders>
                    <w:tl2br w:val="nil"/>
                    <w:tr2bl w:val="nil"/>
                  </w:tcBorders>
                  <w:noWrap w:val="0"/>
                  <w:vAlign w:val="center"/>
                </w:tcPr>
                <w:p w14:paraId="3C58849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632" w:type="pct"/>
                  <w:tcBorders>
                    <w:tl2br w:val="nil"/>
                    <w:tr2bl w:val="nil"/>
                  </w:tcBorders>
                  <w:noWrap w:val="0"/>
                  <w:vAlign w:val="center"/>
                </w:tcPr>
                <w:p w14:paraId="6C8C2140">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c>
                <w:tcPr>
                  <w:tcW w:w="943" w:type="pct"/>
                  <w:tcBorders>
                    <w:tl2br w:val="nil"/>
                    <w:tr2bl w:val="nil"/>
                  </w:tcBorders>
                  <w:noWrap w:val="0"/>
                  <w:vAlign w:val="center"/>
                </w:tcPr>
                <w:p w14:paraId="092387C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p>
              </w:tc>
            </w:tr>
            <w:tr w14:paraId="115E4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0DC5A6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599" w:type="pct"/>
                  <w:vMerge w:val="restart"/>
                  <w:tcBorders>
                    <w:tl2br w:val="nil"/>
                    <w:tr2bl w:val="nil"/>
                  </w:tcBorders>
                  <w:noWrap w:val="0"/>
                  <w:vAlign w:val="center"/>
                </w:tcPr>
                <w:p w14:paraId="6022028D">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空压机3</w:t>
                  </w:r>
                </w:p>
              </w:tc>
              <w:tc>
                <w:tcPr>
                  <w:tcW w:w="381" w:type="pct"/>
                  <w:vMerge w:val="restart"/>
                  <w:tcBorders>
                    <w:tl2br w:val="nil"/>
                    <w:tr2bl w:val="nil"/>
                  </w:tcBorders>
                  <w:noWrap w:val="0"/>
                  <w:vAlign w:val="center"/>
                </w:tcPr>
                <w:p w14:paraId="47717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70</w:t>
                  </w:r>
                </w:p>
              </w:tc>
              <w:tc>
                <w:tcPr>
                  <w:tcW w:w="540" w:type="pct"/>
                  <w:tcBorders>
                    <w:tl2br w:val="nil"/>
                    <w:tr2bl w:val="nil"/>
                  </w:tcBorders>
                  <w:noWrap w:val="0"/>
                  <w:vAlign w:val="center"/>
                </w:tcPr>
                <w:p w14:paraId="4D32F88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2EE4CF5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580" w:type="pct"/>
                  <w:tcBorders>
                    <w:tl2br w:val="nil"/>
                    <w:tr2bl w:val="nil"/>
                  </w:tcBorders>
                  <w:noWrap w:val="0"/>
                  <w:vAlign w:val="center"/>
                </w:tcPr>
                <w:p w14:paraId="26A7B270">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c>
                <w:tcPr>
                  <w:tcW w:w="532" w:type="pct"/>
                  <w:tcBorders>
                    <w:tl2br w:val="nil"/>
                    <w:tr2bl w:val="nil"/>
                  </w:tcBorders>
                  <w:noWrap w:val="0"/>
                  <w:vAlign w:val="center"/>
                </w:tcPr>
                <w:p w14:paraId="7DD741B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632" w:type="pct"/>
                  <w:tcBorders>
                    <w:tl2br w:val="nil"/>
                    <w:tr2bl w:val="nil"/>
                  </w:tcBorders>
                  <w:noWrap w:val="0"/>
                  <w:vAlign w:val="center"/>
                </w:tcPr>
                <w:p w14:paraId="6A74FA0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943" w:type="pct"/>
                  <w:tcBorders>
                    <w:tl2br w:val="nil"/>
                    <w:tr2bl w:val="nil"/>
                  </w:tcBorders>
                  <w:noWrap w:val="0"/>
                  <w:vAlign w:val="center"/>
                </w:tcPr>
                <w:p w14:paraId="764DC54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r>
            <w:tr w14:paraId="2C6CE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78F59AA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609AF3F">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251BAB0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6C7B26F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7664507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w:t>
                  </w:r>
                </w:p>
              </w:tc>
              <w:tc>
                <w:tcPr>
                  <w:tcW w:w="580" w:type="pct"/>
                  <w:tcBorders>
                    <w:tl2br w:val="nil"/>
                    <w:tr2bl w:val="nil"/>
                  </w:tcBorders>
                  <w:noWrap w:val="0"/>
                  <w:vAlign w:val="center"/>
                </w:tcPr>
                <w:p w14:paraId="723C6C1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532" w:type="pct"/>
                  <w:tcBorders>
                    <w:tl2br w:val="nil"/>
                    <w:tr2bl w:val="nil"/>
                  </w:tcBorders>
                  <w:noWrap w:val="0"/>
                  <w:vAlign w:val="center"/>
                </w:tcPr>
                <w:p w14:paraId="251529F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632" w:type="pct"/>
                  <w:tcBorders>
                    <w:tl2br w:val="nil"/>
                    <w:tr2bl w:val="nil"/>
                  </w:tcBorders>
                  <w:noWrap w:val="0"/>
                  <w:vAlign w:val="center"/>
                </w:tcPr>
                <w:p w14:paraId="5880418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943" w:type="pct"/>
                  <w:tcBorders>
                    <w:tl2br w:val="nil"/>
                    <w:tr2bl w:val="nil"/>
                  </w:tcBorders>
                  <w:noWrap w:val="0"/>
                  <w:vAlign w:val="center"/>
                </w:tcPr>
                <w:p w14:paraId="4625D10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w:t>
                  </w:r>
                </w:p>
              </w:tc>
            </w:tr>
            <w:tr w14:paraId="7C9F6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0C1173A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599" w:type="pct"/>
                  <w:vMerge w:val="restart"/>
                  <w:tcBorders>
                    <w:tl2br w:val="nil"/>
                    <w:tr2bl w:val="nil"/>
                  </w:tcBorders>
                  <w:noWrap w:val="0"/>
                  <w:vAlign w:val="center"/>
                </w:tcPr>
                <w:p w14:paraId="5A254660">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环保设备风机1</w:t>
                  </w:r>
                </w:p>
              </w:tc>
              <w:tc>
                <w:tcPr>
                  <w:tcW w:w="381" w:type="pct"/>
                  <w:vMerge w:val="restart"/>
                  <w:tcBorders>
                    <w:tl2br w:val="nil"/>
                    <w:tr2bl w:val="nil"/>
                  </w:tcBorders>
                  <w:noWrap w:val="0"/>
                  <w:vAlign w:val="center"/>
                </w:tcPr>
                <w:p w14:paraId="4E06C7A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60</w:t>
                  </w:r>
                </w:p>
              </w:tc>
              <w:tc>
                <w:tcPr>
                  <w:tcW w:w="540" w:type="pct"/>
                  <w:tcBorders>
                    <w:tl2br w:val="nil"/>
                    <w:tr2bl w:val="nil"/>
                  </w:tcBorders>
                  <w:noWrap w:val="0"/>
                  <w:vAlign w:val="center"/>
                </w:tcPr>
                <w:p w14:paraId="007E087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2789199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101</w:t>
                  </w:r>
                </w:p>
              </w:tc>
              <w:tc>
                <w:tcPr>
                  <w:tcW w:w="580" w:type="pct"/>
                  <w:tcBorders>
                    <w:tl2br w:val="nil"/>
                    <w:tr2bl w:val="nil"/>
                  </w:tcBorders>
                  <w:noWrap w:val="0"/>
                  <w:vAlign w:val="center"/>
                </w:tcPr>
                <w:p w14:paraId="53036F7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532" w:type="pct"/>
                  <w:tcBorders>
                    <w:tl2br w:val="nil"/>
                    <w:tr2bl w:val="nil"/>
                  </w:tcBorders>
                  <w:noWrap w:val="0"/>
                  <w:vAlign w:val="center"/>
                </w:tcPr>
                <w:p w14:paraId="22CDE29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632" w:type="pct"/>
                  <w:tcBorders>
                    <w:tl2br w:val="nil"/>
                    <w:tr2bl w:val="nil"/>
                  </w:tcBorders>
                  <w:noWrap w:val="0"/>
                  <w:vAlign w:val="center"/>
                </w:tcPr>
                <w:p w14:paraId="2780142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44</w:t>
                  </w:r>
                </w:p>
              </w:tc>
              <w:tc>
                <w:tcPr>
                  <w:tcW w:w="943" w:type="pct"/>
                  <w:tcBorders>
                    <w:tl2br w:val="nil"/>
                    <w:tr2bl w:val="nil"/>
                  </w:tcBorders>
                  <w:noWrap w:val="0"/>
                  <w:vAlign w:val="center"/>
                </w:tcPr>
                <w:p w14:paraId="3985E13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w:t>
                  </w:r>
                </w:p>
              </w:tc>
            </w:tr>
            <w:tr w14:paraId="41216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5AC5673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A419D5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4387586F">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6E1F118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75F739A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580" w:type="pct"/>
                  <w:tcBorders>
                    <w:tl2br w:val="nil"/>
                    <w:tr2bl w:val="nil"/>
                  </w:tcBorders>
                  <w:noWrap w:val="0"/>
                  <w:vAlign w:val="center"/>
                </w:tcPr>
                <w:p w14:paraId="62CCE6A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w:t>
                  </w:r>
                </w:p>
              </w:tc>
              <w:tc>
                <w:tcPr>
                  <w:tcW w:w="532" w:type="pct"/>
                  <w:tcBorders>
                    <w:tl2br w:val="nil"/>
                    <w:tr2bl w:val="nil"/>
                  </w:tcBorders>
                  <w:noWrap w:val="0"/>
                  <w:vAlign w:val="center"/>
                </w:tcPr>
                <w:p w14:paraId="635EE72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c>
                <w:tcPr>
                  <w:tcW w:w="632" w:type="pct"/>
                  <w:tcBorders>
                    <w:tl2br w:val="nil"/>
                    <w:tr2bl w:val="nil"/>
                  </w:tcBorders>
                  <w:noWrap w:val="0"/>
                  <w:vAlign w:val="center"/>
                </w:tcPr>
                <w:p w14:paraId="4DC4283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c>
                <w:tcPr>
                  <w:tcW w:w="943" w:type="pct"/>
                  <w:tcBorders>
                    <w:tl2br w:val="nil"/>
                    <w:tr2bl w:val="nil"/>
                  </w:tcBorders>
                  <w:noWrap w:val="0"/>
                  <w:vAlign w:val="center"/>
                </w:tcPr>
                <w:p w14:paraId="0319257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r>
            <w:tr w14:paraId="443C2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77085D2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599" w:type="pct"/>
                  <w:vMerge w:val="restart"/>
                  <w:tcBorders>
                    <w:tl2br w:val="nil"/>
                    <w:tr2bl w:val="nil"/>
                  </w:tcBorders>
                  <w:noWrap w:val="0"/>
                  <w:vAlign w:val="center"/>
                </w:tcPr>
                <w:p w14:paraId="2BE94BAF">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环保设备风机2</w:t>
                  </w:r>
                </w:p>
              </w:tc>
              <w:tc>
                <w:tcPr>
                  <w:tcW w:w="381" w:type="pct"/>
                  <w:vMerge w:val="restart"/>
                  <w:tcBorders>
                    <w:tl2br w:val="nil"/>
                    <w:tr2bl w:val="nil"/>
                  </w:tcBorders>
                  <w:noWrap w:val="0"/>
                  <w:vAlign w:val="center"/>
                </w:tcPr>
                <w:p w14:paraId="4CCB50D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540" w:type="pct"/>
                  <w:tcBorders>
                    <w:tl2br w:val="nil"/>
                    <w:tr2bl w:val="nil"/>
                  </w:tcBorders>
                  <w:noWrap w:val="0"/>
                  <w:vAlign w:val="center"/>
                </w:tcPr>
                <w:p w14:paraId="3F82961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481D796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580" w:type="pct"/>
                  <w:tcBorders>
                    <w:tl2br w:val="nil"/>
                    <w:tr2bl w:val="nil"/>
                  </w:tcBorders>
                  <w:noWrap w:val="0"/>
                  <w:vAlign w:val="center"/>
                </w:tcPr>
                <w:p w14:paraId="4C83809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118</w:t>
                  </w:r>
                </w:p>
              </w:tc>
              <w:tc>
                <w:tcPr>
                  <w:tcW w:w="532" w:type="pct"/>
                  <w:tcBorders>
                    <w:tl2br w:val="nil"/>
                    <w:tr2bl w:val="nil"/>
                  </w:tcBorders>
                  <w:noWrap w:val="0"/>
                  <w:vAlign w:val="center"/>
                </w:tcPr>
                <w:p w14:paraId="75EC37E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76</w:t>
                  </w:r>
                </w:p>
              </w:tc>
              <w:tc>
                <w:tcPr>
                  <w:tcW w:w="632" w:type="pct"/>
                  <w:tcBorders>
                    <w:tl2br w:val="nil"/>
                    <w:tr2bl w:val="nil"/>
                  </w:tcBorders>
                  <w:noWrap w:val="0"/>
                  <w:vAlign w:val="center"/>
                </w:tcPr>
                <w:p w14:paraId="462EE2E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w:t>
                  </w:r>
                </w:p>
              </w:tc>
              <w:tc>
                <w:tcPr>
                  <w:tcW w:w="943" w:type="pct"/>
                  <w:tcBorders>
                    <w:tl2br w:val="nil"/>
                    <w:tr2bl w:val="nil"/>
                  </w:tcBorders>
                  <w:noWrap w:val="0"/>
                  <w:vAlign w:val="center"/>
                </w:tcPr>
                <w:p w14:paraId="306EAD5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53</w:t>
                  </w:r>
                </w:p>
              </w:tc>
            </w:tr>
            <w:tr w14:paraId="6FF0A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096A00E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E066DC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41D88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53AD144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50A7895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580" w:type="pct"/>
                  <w:tcBorders>
                    <w:tl2br w:val="nil"/>
                    <w:tr2bl w:val="nil"/>
                  </w:tcBorders>
                  <w:noWrap w:val="0"/>
                  <w:vAlign w:val="center"/>
                </w:tcPr>
                <w:p w14:paraId="6A883B9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532" w:type="pct"/>
                  <w:tcBorders>
                    <w:tl2br w:val="nil"/>
                    <w:tr2bl w:val="nil"/>
                  </w:tcBorders>
                  <w:noWrap w:val="0"/>
                  <w:vAlign w:val="center"/>
                </w:tcPr>
                <w:p w14:paraId="487A747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632" w:type="pct"/>
                  <w:tcBorders>
                    <w:tl2br w:val="nil"/>
                    <w:tr2bl w:val="nil"/>
                  </w:tcBorders>
                  <w:noWrap w:val="0"/>
                  <w:vAlign w:val="center"/>
                </w:tcPr>
                <w:p w14:paraId="2851166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943" w:type="pct"/>
                  <w:tcBorders>
                    <w:tl2br w:val="nil"/>
                    <w:tr2bl w:val="nil"/>
                  </w:tcBorders>
                  <w:noWrap w:val="0"/>
                  <w:vAlign w:val="center"/>
                </w:tcPr>
                <w:p w14:paraId="27FF2BD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w:t>
                  </w:r>
                </w:p>
              </w:tc>
            </w:tr>
            <w:tr w14:paraId="29EC1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7C621E7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99" w:type="pct"/>
                  <w:vMerge w:val="restart"/>
                  <w:tcBorders>
                    <w:tl2br w:val="nil"/>
                    <w:tr2bl w:val="nil"/>
                  </w:tcBorders>
                  <w:noWrap w:val="0"/>
                  <w:vAlign w:val="center"/>
                </w:tcPr>
                <w:p w14:paraId="63627AF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环保设备风机3</w:t>
                  </w:r>
                </w:p>
              </w:tc>
              <w:tc>
                <w:tcPr>
                  <w:tcW w:w="381" w:type="pct"/>
                  <w:vMerge w:val="restart"/>
                  <w:tcBorders>
                    <w:tl2br w:val="nil"/>
                    <w:tr2bl w:val="nil"/>
                  </w:tcBorders>
                  <w:noWrap w:val="0"/>
                  <w:vAlign w:val="center"/>
                </w:tcPr>
                <w:p w14:paraId="21BE711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540" w:type="pct"/>
                  <w:tcBorders>
                    <w:tl2br w:val="nil"/>
                    <w:tr2bl w:val="nil"/>
                  </w:tcBorders>
                  <w:noWrap w:val="0"/>
                  <w:vAlign w:val="center"/>
                </w:tcPr>
                <w:p w14:paraId="4D12E60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773EA8C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c>
                <w:tcPr>
                  <w:tcW w:w="580" w:type="pct"/>
                  <w:tcBorders>
                    <w:tl2br w:val="nil"/>
                    <w:tr2bl w:val="nil"/>
                  </w:tcBorders>
                  <w:noWrap w:val="0"/>
                  <w:vAlign w:val="center"/>
                </w:tcPr>
                <w:p w14:paraId="62848A0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121</w:t>
                  </w:r>
                </w:p>
              </w:tc>
              <w:tc>
                <w:tcPr>
                  <w:tcW w:w="532" w:type="pct"/>
                  <w:tcBorders>
                    <w:tl2br w:val="nil"/>
                    <w:tr2bl w:val="nil"/>
                  </w:tcBorders>
                  <w:noWrap w:val="0"/>
                  <w:vAlign w:val="center"/>
                </w:tcPr>
                <w:p w14:paraId="48FCD29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632" w:type="pct"/>
                  <w:tcBorders>
                    <w:tl2br w:val="nil"/>
                    <w:tr2bl w:val="nil"/>
                  </w:tcBorders>
                  <w:noWrap w:val="0"/>
                  <w:vAlign w:val="center"/>
                </w:tcPr>
                <w:p w14:paraId="58B927B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943" w:type="pct"/>
                  <w:tcBorders>
                    <w:tl2br w:val="nil"/>
                    <w:tr2bl w:val="nil"/>
                  </w:tcBorders>
                  <w:noWrap w:val="0"/>
                  <w:vAlign w:val="center"/>
                </w:tcPr>
                <w:p w14:paraId="0C6857D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w:t>
                  </w:r>
                </w:p>
              </w:tc>
            </w:tr>
            <w:tr w14:paraId="7875C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4B204DC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7AF53E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72EC491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18D3A7E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4EF5B9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w:t>
                  </w:r>
                </w:p>
              </w:tc>
              <w:tc>
                <w:tcPr>
                  <w:tcW w:w="580" w:type="pct"/>
                  <w:tcBorders>
                    <w:tl2br w:val="nil"/>
                    <w:tr2bl w:val="nil"/>
                  </w:tcBorders>
                  <w:noWrap w:val="0"/>
                  <w:vAlign w:val="center"/>
                </w:tcPr>
                <w:p w14:paraId="6C0AB22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w:t>
                  </w:r>
                </w:p>
              </w:tc>
              <w:tc>
                <w:tcPr>
                  <w:tcW w:w="532" w:type="pct"/>
                  <w:tcBorders>
                    <w:tl2br w:val="nil"/>
                    <w:tr2bl w:val="nil"/>
                  </w:tcBorders>
                  <w:noWrap w:val="0"/>
                  <w:vAlign w:val="center"/>
                </w:tcPr>
                <w:p w14:paraId="3A6BF5E2">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w:t>
                  </w:r>
                </w:p>
              </w:tc>
              <w:tc>
                <w:tcPr>
                  <w:tcW w:w="632" w:type="pct"/>
                  <w:tcBorders>
                    <w:tl2br w:val="nil"/>
                    <w:tr2bl w:val="nil"/>
                  </w:tcBorders>
                  <w:noWrap w:val="0"/>
                  <w:vAlign w:val="center"/>
                </w:tcPr>
                <w:p w14:paraId="45C4807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943" w:type="pct"/>
                  <w:tcBorders>
                    <w:tl2br w:val="nil"/>
                    <w:tr2bl w:val="nil"/>
                  </w:tcBorders>
                  <w:noWrap w:val="0"/>
                  <w:vAlign w:val="center"/>
                </w:tcPr>
                <w:p w14:paraId="723720B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r>
            <w:tr w14:paraId="39164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48F0F98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599" w:type="pct"/>
                  <w:vMerge w:val="restart"/>
                  <w:tcBorders>
                    <w:tl2br w:val="nil"/>
                    <w:tr2bl w:val="nil"/>
                  </w:tcBorders>
                  <w:noWrap w:val="0"/>
                  <w:vAlign w:val="center"/>
                </w:tcPr>
                <w:p w14:paraId="7736CCA3">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热风炉风机</w:t>
                  </w:r>
                </w:p>
              </w:tc>
              <w:tc>
                <w:tcPr>
                  <w:tcW w:w="381" w:type="pct"/>
                  <w:vMerge w:val="restart"/>
                  <w:tcBorders>
                    <w:tl2br w:val="nil"/>
                    <w:tr2bl w:val="nil"/>
                  </w:tcBorders>
                  <w:noWrap w:val="0"/>
                  <w:vAlign w:val="center"/>
                </w:tcPr>
                <w:p w14:paraId="6352B97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540" w:type="pct"/>
                  <w:tcBorders>
                    <w:tl2br w:val="nil"/>
                    <w:tr2bl w:val="nil"/>
                  </w:tcBorders>
                  <w:noWrap w:val="0"/>
                  <w:vAlign w:val="center"/>
                </w:tcPr>
                <w:p w14:paraId="540E78D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1DDFAEE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580" w:type="pct"/>
                  <w:tcBorders>
                    <w:tl2br w:val="nil"/>
                    <w:tr2bl w:val="nil"/>
                  </w:tcBorders>
                  <w:noWrap w:val="0"/>
                  <w:vAlign w:val="center"/>
                </w:tcPr>
                <w:p w14:paraId="301D08A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114</w:t>
                  </w:r>
                </w:p>
              </w:tc>
              <w:tc>
                <w:tcPr>
                  <w:tcW w:w="532" w:type="pct"/>
                  <w:tcBorders>
                    <w:tl2br w:val="nil"/>
                    <w:tr2bl w:val="nil"/>
                  </w:tcBorders>
                  <w:noWrap w:val="0"/>
                  <w:vAlign w:val="center"/>
                </w:tcPr>
                <w:p w14:paraId="761097B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w:t>
                  </w:r>
                </w:p>
              </w:tc>
              <w:tc>
                <w:tcPr>
                  <w:tcW w:w="632" w:type="pct"/>
                  <w:tcBorders>
                    <w:tl2br w:val="nil"/>
                    <w:tr2bl w:val="nil"/>
                  </w:tcBorders>
                  <w:noWrap w:val="0"/>
                  <w:vAlign w:val="center"/>
                </w:tcPr>
                <w:p w14:paraId="2DC7BF6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943" w:type="pct"/>
                  <w:tcBorders>
                    <w:tl2br w:val="nil"/>
                    <w:tr2bl w:val="nil"/>
                  </w:tcBorders>
                  <w:noWrap w:val="0"/>
                  <w:vAlign w:val="center"/>
                </w:tcPr>
                <w:p w14:paraId="3FBD4BB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56</w:t>
                  </w:r>
                </w:p>
              </w:tc>
            </w:tr>
            <w:tr w14:paraId="30E2D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0074470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0E47419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A9509E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0D86E54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3BDEDBE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580" w:type="pct"/>
                  <w:tcBorders>
                    <w:tl2br w:val="nil"/>
                    <w:tr2bl w:val="nil"/>
                  </w:tcBorders>
                  <w:noWrap w:val="0"/>
                  <w:vAlign w:val="center"/>
                </w:tcPr>
                <w:p w14:paraId="1E0368B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532" w:type="pct"/>
                  <w:tcBorders>
                    <w:tl2br w:val="nil"/>
                    <w:tr2bl w:val="nil"/>
                  </w:tcBorders>
                  <w:noWrap w:val="0"/>
                  <w:vAlign w:val="center"/>
                </w:tcPr>
                <w:p w14:paraId="730E685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632" w:type="pct"/>
                  <w:tcBorders>
                    <w:tl2br w:val="nil"/>
                    <w:tr2bl w:val="nil"/>
                  </w:tcBorders>
                  <w:noWrap w:val="0"/>
                  <w:vAlign w:val="center"/>
                </w:tcPr>
                <w:p w14:paraId="2E13C9F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943" w:type="pct"/>
                  <w:tcBorders>
                    <w:tl2br w:val="nil"/>
                    <w:tr2bl w:val="nil"/>
                  </w:tcBorders>
                  <w:noWrap w:val="0"/>
                  <w:vAlign w:val="center"/>
                </w:tcPr>
                <w:p w14:paraId="64AFB03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r>
            <w:tr w14:paraId="523E3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659D7DA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599" w:type="pct"/>
                  <w:vMerge w:val="restart"/>
                  <w:tcBorders>
                    <w:tl2br w:val="nil"/>
                    <w:tr2bl w:val="nil"/>
                  </w:tcBorders>
                  <w:noWrap w:val="0"/>
                  <w:vAlign w:val="center"/>
                </w:tcPr>
                <w:p w14:paraId="2A2CD38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污水处理设施</w:t>
                  </w:r>
                </w:p>
              </w:tc>
              <w:tc>
                <w:tcPr>
                  <w:tcW w:w="381" w:type="pct"/>
                  <w:vMerge w:val="restart"/>
                  <w:tcBorders>
                    <w:tl2br w:val="nil"/>
                    <w:tr2bl w:val="nil"/>
                  </w:tcBorders>
                  <w:noWrap w:val="0"/>
                  <w:vAlign w:val="center"/>
                </w:tcPr>
                <w:p w14:paraId="43BA9102">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540" w:type="pct"/>
                  <w:tcBorders>
                    <w:tl2br w:val="nil"/>
                    <w:tr2bl w:val="nil"/>
                  </w:tcBorders>
                  <w:noWrap w:val="0"/>
                  <w:vAlign w:val="center"/>
                </w:tcPr>
                <w:p w14:paraId="74CD3AA5">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5EC4BCE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88</w:t>
                  </w:r>
                </w:p>
              </w:tc>
              <w:tc>
                <w:tcPr>
                  <w:tcW w:w="580" w:type="pct"/>
                  <w:tcBorders>
                    <w:tl2br w:val="nil"/>
                    <w:tr2bl w:val="nil"/>
                  </w:tcBorders>
                  <w:noWrap w:val="0"/>
                  <w:vAlign w:val="center"/>
                </w:tcPr>
                <w:p w14:paraId="4B04C87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56</w:t>
                  </w:r>
                </w:p>
              </w:tc>
              <w:tc>
                <w:tcPr>
                  <w:tcW w:w="532" w:type="pct"/>
                  <w:tcBorders>
                    <w:tl2br w:val="nil"/>
                    <w:tr2bl w:val="nil"/>
                  </w:tcBorders>
                  <w:noWrap w:val="0"/>
                  <w:vAlign w:val="center"/>
                </w:tcPr>
                <w:p w14:paraId="755CB531">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w:t>
                  </w:r>
                </w:p>
              </w:tc>
              <w:tc>
                <w:tcPr>
                  <w:tcW w:w="632" w:type="pct"/>
                  <w:tcBorders>
                    <w:tl2br w:val="nil"/>
                    <w:tr2bl w:val="nil"/>
                  </w:tcBorders>
                  <w:noWrap w:val="0"/>
                  <w:vAlign w:val="center"/>
                </w:tcPr>
                <w:p w14:paraId="0C24F05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w:t>
                  </w:r>
                </w:p>
              </w:tc>
              <w:tc>
                <w:tcPr>
                  <w:tcW w:w="943" w:type="pct"/>
                  <w:tcBorders>
                    <w:tl2br w:val="nil"/>
                    <w:tr2bl w:val="nil"/>
                  </w:tcBorders>
                  <w:noWrap w:val="0"/>
                  <w:vAlign w:val="center"/>
                </w:tcPr>
                <w:p w14:paraId="5E96F6C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r>
            <w:tr w14:paraId="5978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40FA18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31C3C8DA">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D10D1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0" w:type="pct"/>
                  <w:tcBorders>
                    <w:tl2br w:val="nil"/>
                    <w:tr2bl w:val="nil"/>
                  </w:tcBorders>
                  <w:noWrap w:val="0"/>
                  <w:vAlign w:val="center"/>
                </w:tcPr>
                <w:p w14:paraId="3A98EC3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291AB7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580" w:type="pct"/>
                  <w:tcBorders>
                    <w:tl2br w:val="nil"/>
                    <w:tr2bl w:val="nil"/>
                  </w:tcBorders>
                  <w:noWrap w:val="0"/>
                  <w:vAlign w:val="center"/>
                </w:tcPr>
                <w:p w14:paraId="0A53F1E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532" w:type="pct"/>
                  <w:tcBorders>
                    <w:tl2br w:val="nil"/>
                    <w:tr2bl w:val="nil"/>
                  </w:tcBorders>
                  <w:noWrap w:val="0"/>
                  <w:vAlign w:val="center"/>
                </w:tcPr>
                <w:p w14:paraId="023C144F">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31</w:t>
                  </w:r>
                </w:p>
              </w:tc>
              <w:tc>
                <w:tcPr>
                  <w:tcW w:w="632" w:type="pct"/>
                  <w:tcBorders>
                    <w:tl2br w:val="nil"/>
                    <w:tr2bl w:val="nil"/>
                  </w:tcBorders>
                  <w:noWrap w:val="0"/>
                  <w:vAlign w:val="center"/>
                </w:tcPr>
                <w:p w14:paraId="40FB776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943" w:type="pct"/>
                  <w:tcBorders>
                    <w:tl2br w:val="nil"/>
                    <w:tr2bl w:val="nil"/>
                  </w:tcBorders>
                  <w:noWrap w:val="0"/>
                  <w:vAlign w:val="center"/>
                </w:tcPr>
                <w:p w14:paraId="00F025A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r>
            <w:tr w14:paraId="1FA93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6F3278A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叠加</w:t>
                  </w: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12C7969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580" w:type="pct"/>
                  <w:tcBorders>
                    <w:tl2br w:val="nil"/>
                    <w:tr2bl w:val="nil"/>
                  </w:tcBorders>
                  <w:noWrap w:val="0"/>
                  <w:vAlign w:val="center"/>
                </w:tcPr>
                <w:p w14:paraId="4F782BB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532" w:type="pct"/>
                  <w:tcBorders>
                    <w:tl2br w:val="nil"/>
                    <w:tr2bl w:val="nil"/>
                  </w:tcBorders>
                  <w:noWrap w:val="0"/>
                  <w:vAlign w:val="center"/>
                </w:tcPr>
                <w:p w14:paraId="6823E15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632" w:type="pct"/>
                  <w:tcBorders>
                    <w:tl2br w:val="nil"/>
                    <w:tr2bl w:val="nil"/>
                  </w:tcBorders>
                  <w:noWrap w:val="0"/>
                  <w:vAlign w:val="center"/>
                </w:tcPr>
                <w:p w14:paraId="300585F0">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c>
                <w:tcPr>
                  <w:tcW w:w="943" w:type="pct"/>
                  <w:tcBorders>
                    <w:tl2br w:val="nil"/>
                    <w:tr2bl w:val="nil"/>
                  </w:tcBorders>
                  <w:noWrap w:val="0"/>
                  <w:vAlign w:val="center"/>
                </w:tcPr>
                <w:p w14:paraId="7F810E3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r>
            <w:tr w14:paraId="76458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4EC8CF9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背景值</w:t>
                  </w:r>
                </w:p>
              </w:tc>
              <w:tc>
                <w:tcPr>
                  <w:tcW w:w="538" w:type="pct"/>
                  <w:tcBorders>
                    <w:tl2br w:val="nil"/>
                    <w:tr2bl w:val="nil"/>
                  </w:tcBorders>
                  <w:noWrap w:val="0"/>
                  <w:vAlign w:val="center"/>
                </w:tcPr>
                <w:p w14:paraId="33007AD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580" w:type="pct"/>
                  <w:tcBorders>
                    <w:tl2br w:val="nil"/>
                    <w:tr2bl w:val="nil"/>
                  </w:tcBorders>
                  <w:noWrap w:val="0"/>
                  <w:vAlign w:val="center"/>
                </w:tcPr>
                <w:p w14:paraId="4C407EFE">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532" w:type="pct"/>
                  <w:tcBorders>
                    <w:tl2br w:val="nil"/>
                    <w:tr2bl w:val="nil"/>
                  </w:tcBorders>
                  <w:noWrap w:val="0"/>
                  <w:vAlign w:val="center"/>
                </w:tcPr>
                <w:p w14:paraId="0730A07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w:t>
                  </w:r>
                </w:p>
              </w:tc>
              <w:tc>
                <w:tcPr>
                  <w:tcW w:w="632" w:type="pct"/>
                  <w:tcBorders>
                    <w:tl2br w:val="nil"/>
                    <w:tr2bl w:val="nil"/>
                  </w:tcBorders>
                  <w:noWrap w:val="0"/>
                  <w:vAlign w:val="center"/>
                </w:tcPr>
                <w:p w14:paraId="4A1E05C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62</w:t>
                  </w:r>
                </w:p>
              </w:tc>
              <w:tc>
                <w:tcPr>
                  <w:tcW w:w="943" w:type="pct"/>
                  <w:tcBorders>
                    <w:tl2br w:val="nil"/>
                    <w:tr2bl w:val="nil"/>
                  </w:tcBorders>
                  <w:noWrap w:val="0"/>
                  <w:vAlign w:val="center"/>
                </w:tcPr>
                <w:p w14:paraId="3126C4A4">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r>
            <w:tr w14:paraId="62FCE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69AD6939">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总贡献值</w:t>
                  </w:r>
                </w:p>
              </w:tc>
              <w:tc>
                <w:tcPr>
                  <w:tcW w:w="538" w:type="pct"/>
                  <w:tcBorders>
                    <w:tl2br w:val="nil"/>
                    <w:tr2bl w:val="nil"/>
                  </w:tcBorders>
                  <w:noWrap w:val="0"/>
                  <w:vAlign w:val="center"/>
                </w:tcPr>
                <w:p w14:paraId="03F7716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580" w:type="pct"/>
                  <w:tcBorders>
                    <w:tl2br w:val="nil"/>
                    <w:tr2bl w:val="nil"/>
                  </w:tcBorders>
                  <w:noWrap w:val="0"/>
                  <w:vAlign w:val="center"/>
                </w:tcPr>
                <w:p w14:paraId="114B01B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60</w:t>
                  </w:r>
                </w:p>
              </w:tc>
              <w:tc>
                <w:tcPr>
                  <w:tcW w:w="532" w:type="pct"/>
                  <w:tcBorders>
                    <w:tl2br w:val="nil"/>
                    <w:tr2bl w:val="nil"/>
                  </w:tcBorders>
                  <w:noWrap w:val="0"/>
                  <w:vAlign w:val="center"/>
                </w:tcPr>
                <w:p w14:paraId="36D824F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64</w:t>
                  </w:r>
                </w:p>
              </w:tc>
              <w:tc>
                <w:tcPr>
                  <w:tcW w:w="632" w:type="pct"/>
                  <w:tcBorders>
                    <w:tl2br w:val="nil"/>
                    <w:tr2bl w:val="nil"/>
                  </w:tcBorders>
                  <w:noWrap w:val="0"/>
                  <w:vAlign w:val="center"/>
                </w:tcPr>
                <w:p w14:paraId="57A5B6B6">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62</w:t>
                  </w:r>
                </w:p>
              </w:tc>
              <w:tc>
                <w:tcPr>
                  <w:tcW w:w="943" w:type="pct"/>
                  <w:tcBorders>
                    <w:tl2br w:val="nil"/>
                    <w:tr2bl w:val="nil"/>
                  </w:tcBorders>
                  <w:noWrap w:val="0"/>
                  <w:vAlign w:val="center"/>
                </w:tcPr>
                <w:p w14:paraId="4563C2E3">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F117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1F0A0428">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预测值</w:t>
                  </w:r>
                </w:p>
              </w:tc>
              <w:tc>
                <w:tcPr>
                  <w:tcW w:w="538" w:type="pct"/>
                  <w:tcBorders>
                    <w:tl2br w:val="nil"/>
                    <w:tr2bl w:val="nil"/>
                  </w:tcBorders>
                  <w:noWrap w:val="0"/>
                  <w:vAlign w:val="center"/>
                </w:tcPr>
                <w:p w14:paraId="42035B2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80" w:type="pct"/>
                  <w:tcBorders>
                    <w:tl2br w:val="nil"/>
                    <w:tr2bl w:val="nil"/>
                  </w:tcBorders>
                  <w:noWrap w:val="0"/>
                  <w:vAlign w:val="center"/>
                </w:tcPr>
                <w:p w14:paraId="54316DEB">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532" w:type="pct"/>
                  <w:tcBorders>
                    <w:tl2br w:val="nil"/>
                    <w:tr2bl w:val="nil"/>
                  </w:tcBorders>
                  <w:noWrap w:val="0"/>
                  <w:vAlign w:val="center"/>
                </w:tcPr>
                <w:p w14:paraId="39C9EC9C">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632" w:type="pct"/>
                  <w:tcBorders>
                    <w:tl2br w:val="nil"/>
                    <w:tr2bl w:val="nil"/>
                  </w:tcBorders>
                  <w:noWrap w:val="0"/>
                  <w:vAlign w:val="center"/>
                </w:tcPr>
                <w:p w14:paraId="1B9604CA">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943" w:type="pct"/>
                  <w:tcBorders>
                    <w:tl2br w:val="nil"/>
                    <w:tr2bl w:val="nil"/>
                  </w:tcBorders>
                  <w:noWrap w:val="0"/>
                  <w:vAlign w:val="center"/>
                </w:tcPr>
                <w:p w14:paraId="1018C837">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zh-CN"/>
                    </w:rPr>
                  </w:pPr>
                  <w:r>
                    <w:rPr>
                      <w:rFonts w:hint="eastAsia" w:ascii="Times New Roman" w:hAnsi="Times New Roman" w:cs="Times New Roman"/>
                      <w:color w:val="auto"/>
                      <w:kern w:val="2"/>
                      <w:sz w:val="21"/>
                      <w:szCs w:val="21"/>
                      <w:highlight w:val="none"/>
                      <w:lang w:val="en-US" w:eastAsia="zh-CN" w:bidi="zh-CN"/>
                    </w:rPr>
                    <w:t>54</w:t>
                  </w:r>
                </w:p>
              </w:tc>
            </w:tr>
            <w:tr w14:paraId="578FC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2737BAED">
                  <w:pPr>
                    <w:pStyle w:val="125"/>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标准限值（昼间）</w:t>
                  </w:r>
                </w:p>
              </w:tc>
              <w:tc>
                <w:tcPr>
                  <w:tcW w:w="538" w:type="pct"/>
                  <w:tcBorders>
                    <w:tl2br w:val="nil"/>
                    <w:tr2bl w:val="nil"/>
                  </w:tcBorders>
                  <w:noWrap w:val="0"/>
                  <w:vAlign w:val="center"/>
                </w:tcPr>
                <w:p w14:paraId="5ED81D2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80" w:type="pct"/>
                  <w:tcBorders>
                    <w:tl2br w:val="nil"/>
                    <w:tr2bl w:val="nil"/>
                  </w:tcBorders>
                  <w:noWrap w:val="0"/>
                  <w:vAlign w:val="center"/>
                </w:tcPr>
                <w:p w14:paraId="12BD4E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r>
                    <w:rPr>
                      <w:rFonts w:hint="eastAsia" w:ascii="Times New Roman" w:hAnsi="Times New Roman" w:cs="Times New Roman"/>
                      <w:color w:val="auto"/>
                      <w:kern w:val="2"/>
                      <w:sz w:val="21"/>
                      <w:szCs w:val="21"/>
                      <w:lang w:val="en-US" w:eastAsia="zh-CN" w:bidi="ar-SA"/>
                    </w:rPr>
                    <w:t>5</w:t>
                  </w:r>
                </w:p>
              </w:tc>
              <w:tc>
                <w:tcPr>
                  <w:tcW w:w="532" w:type="pct"/>
                  <w:tcBorders>
                    <w:tl2br w:val="nil"/>
                    <w:tr2bl w:val="nil"/>
                  </w:tcBorders>
                  <w:noWrap w:val="0"/>
                  <w:vAlign w:val="center"/>
                </w:tcPr>
                <w:p w14:paraId="5C11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r>
                    <w:rPr>
                      <w:rFonts w:hint="eastAsia" w:ascii="Times New Roman" w:hAnsi="Times New Roman" w:cs="Times New Roman"/>
                      <w:color w:val="auto"/>
                      <w:kern w:val="2"/>
                      <w:sz w:val="21"/>
                      <w:szCs w:val="21"/>
                      <w:lang w:val="en-US" w:eastAsia="zh-CN" w:bidi="ar-SA"/>
                    </w:rPr>
                    <w:t>5</w:t>
                  </w:r>
                </w:p>
              </w:tc>
              <w:tc>
                <w:tcPr>
                  <w:tcW w:w="632" w:type="pct"/>
                  <w:tcBorders>
                    <w:tl2br w:val="nil"/>
                    <w:tr2bl w:val="nil"/>
                  </w:tcBorders>
                  <w:noWrap w:val="0"/>
                  <w:vAlign w:val="center"/>
                </w:tcPr>
                <w:p w14:paraId="31124EE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943" w:type="pct"/>
                  <w:tcBorders>
                    <w:tl2br w:val="nil"/>
                    <w:tr2bl w:val="nil"/>
                  </w:tcBorders>
                  <w:noWrap w:val="0"/>
                  <w:vAlign w:val="center"/>
                </w:tcPr>
                <w:p w14:paraId="547CD5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r>
          </w:tbl>
          <w:p w14:paraId="21BE2AA3">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经上文分析、预测，项目厂界</w:t>
            </w:r>
            <w:r>
              <w:rPr>
                <w:rFonts w:hint="eastAsia" w:ascii="Times New Roman" w:hAnsi="Times New Roman" w:cs="Times New Roman"/>
                <w:color w:val="auto"/>
                <w:sz w:val="24"/>
                <w:szCs w:val="24"/>
                <w:lang w:val="en-US" w:eastAsia="zh-CN"/>
              </w:rPr>
              <w:t>东、南、西侧</w:t>
            </w:r>
            <w:r>
              <w:rPr>
                <w:rFonts w:hint="default" w:ascii="Times New Roman" w:hAnsi="Times New Roman" w:cs="Times New Roman"/>
                <w:color w:val="auto"/>
                <w:sz w:val="24"/>
                <w:szCs w:val="24"/>
              </w:rPr>
              <w:t>昼间噪声贡献值均符合《工业企业厂界环境噪声排放标准》（GB12348—2008）</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北侧</w:t>
            </w:r>
            <w:r>
              <w:rPr>
                <w:rFonts w:hint="default" w:ascii="Times New Roman" w:hAnsi="Times New Roman" w:cs="Times New Roman"/>
                <w:color w:val="auto"/>
                <w:sz w:val="24"/>
                <w:szCs w:val="24"/>
              </w:rPr>
              <w:t>昼间噪声贡献值符合《工业企业厂界环境噪声排放标准》（GB12348—2008）</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北侧敏感点</w:t>
            </w:r>
            <w:r>
              <w:rPr>
                <w:rFonts w:hint="eastAsia" w:cs="Times New Roman"/>
                <w:color w:val="auto"/>
                <w:sz w:val="24"/>
                <w:szCs w:val="24"/>
                <w:lang w:val="en-US" w:eastAsia="zh-CN"/>
              </w:rPr>
              <w:t>五一村</w:t>
            </w:r>
            <w:r>
              <w:rPr>
                <w:rFonts w:hint="eastAsia" w:ascii="Times New Roman" w:hAnsi="Times New Roman" w:cs="Times New Roman"/>
                <w:color w:val="auto"/>
                <w:sz w:val="24"/>
                <w:szCs w:val="24"/>
                <w:lang w:val="en-US" w:eastAsia="zh-CN"/>
              </w:rPr>
              <w:t>预测值符合《声环境质量标准》（GB3096-2008）</w:t>
            </w:r>
            <w:r>
              <w:rPr>
                <w:rFonts w:hint="eastAsia" w:cs="Times New Roman"/>
                <w:color w:val="auto"/>
                <w:sz w:val="24"/>
                <w:szCs w:val="24"/>
                <w:lang w:val="en-US" w:eastAsia="zh-CN"/>
              </w:rPr>
              <w:t>2类限值要求</w:t>
            </w:r>
            <w:r>
              <w:rPr>
                <w:rFonts w:hint="default" w:ascii="Times New Roman" w:hAnsi="Times New Roman" w:cs="Times New Roman"/>
                <w:color w:val="auto"/>
                <w:sz w:val="24"/>
                <w:szCs w:val="24"/>
              </w:rPr>
              <w:t>。</w:t>
            </w:r>
          </w:p>
          <w:p w14:paraId="4478888A">
            <w:pPr>
              <w:adjustRightInd w:val="0"/>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5</w:t>
            </w:r>
            <w:r>
              <w:rPr>
                <w:rFonts w:hint="eastAsia"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监测计划</w:t>
            </w:r>
          </w:p>
          <w:p w14:paraId="7B8EAA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 xml:space="preserve">  </w:t>
            </w:r>
            <w:r>
              <w:rPr>
                <w:rFonts w:hint="default" w:ascii="Times New Roman" w:hAnsi="Times New Roman" w:cs="Times New Roman"/>
                <w:b/>
                <w:bCs/>
                <w:color w:val="auto"/>
                <w:sz w:val="21"/>
                <w:szCs w:val="21"/>
              </w:rPr>
              <w:t>项目噪声监测计划一览表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1861"/>
              <w:gridCol w:w="1224"/>
              <w:gridCol w:w="1477"/>
              <w:gridCol w:w="3597"/>
            </w:tblGrid>
            <w:tr w14:paraId="6DA36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0B99DF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50" w:type="pct"/>
                  <w:tcBorders>
                    <w:tl2br w:val="nil"/>
                    <w:tr2bl w:val="nil"/>
                  </w:tcBorders>
                  <w:noWrap w:val="0"/>
                  <w:vAlign w:val="center"/>
                </w:tcPr>
                <w:p w14:paraId="7408943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05" w:type="pct"/>
                  <w:tcBorders>
                    <w:tl2br w:val="nil"/>
                    <w:tr2bl w:val="nil"/>
                  </w:tcBorders>
                  <w:noWrap w:val="0"/>
                  <w:vAlign w:val="center"/>
                </w:tcPr>
                <w:p w14:paraId="54C32B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频次</w:t>
                  </w:r>
                </w:p>
              </w:tc>
              <w:tc>
                <w:tcPr>
                  <w:tcW w:w="2203" w:type="pct"/>
                  <w:tcBorders>
                    <w:tl2br w:val="nil"/>
                    <w:tr2bl w:val="nil"/>
                  </w:tcBorders>
                  <w:noWrap w:val="0"/>
                  <w:vAlign w:val="center"/>
                </w:tcPr>
                <w:p w14:paraId="4809B25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6EF48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1850100C">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厂界四周</w:t>
                  </w:r>
                </w:p>
              </w:tc>
              <w:tc>
                <w:tcPr>
                  <w:tcW w:w="750" w:type="pct"/>
                  <w:tcBorders>
                    <w:tl2br w:val="nil"/>
                    <w:tr2bl w:val="nil"/>
                  </w:tcBorders>
                  <w:noWrap w:val="0"/>
                  <w:vAlign w:val="center"/>
                </w:tcPr>
                <w:p w14:paraId="0F492E7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905" w:type="pct"/>
                  <w:tcBorders>
                    <w:tl2br w:val="nil"/>
                    <w:tr2bl w:val="nil"/>
                  </w:tcBorders>
                  <w:noWrap w:val="0"/>
                  <w:vAlign w:val="center"/>
                </w:tcPr>
                <w:p w14:paraId="1FEA51D2">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w:t>
                  </w:r>
                  <w:r>
                    <w:rPr>
                      <w:rFonts w:hint="default" w:ascii="Times New Roman" w:hAnsi="Times New Roman" w:cs="Times New Roman"/>
                      <w:bCs/>
                      <w:color w:val="auto"/>
                      <w:sz w:val="21"/>
                      <w:szCs w:val="21"/>
                      <w:lang w:val="en-US" w:eastAsia="zh-CN"/>
                    </w:rPr>
                    <w:t>一</w:t>
                  </w:r>
                  <w:r>
                    <w:rPr>
                      <w:rFonts w:hint="default" w:ascii="Times New Roman" w:hAnsi="Times New Roman" w:cs="Times New Roman"/>
                      <w:bCs/>
                      <w:color w:val="auto"/>
                      <w:sz w:val="21"/>
                      <w:szCs w:val="21"/>
                    </w:rPr>
                    <w:t>次</w:t>
                  </w:r>
                </w:p>
              </w:tc>
              <w:tc>
                <w:tcPr>
                  <w:tcW w:w="2203" w:type="pct"/>
                  <w:tcBorders>
                    <w:tl2br w:val="nil"/>
                    <w:tr2bl w:val="nil"/>
                  </w:tcBorders>
                  <w:noWrap w:val="0"/>
                  <w:vAlign w:val="center"/>
                </w:tcPr>
                <w:p w14:paraId="708BC13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《工业企业厂界环境噪声排放标准》（GB12348—2008）</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w:t>
                  </w:r>
                  <w:r>
                    <w:rPr>
                      <w:rFonts w:hint="eastAsia"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4类</w:t>
                  </w:r>
                  <w:r>
                    <w:rPr>
                      <w:rFonts w:hint="default" w:ascii="Times New Roman" w:hAnsi="Times New Roman" w:cs="Times New Roman"/>
                      <w:bCs/>
                      <w:color w:val="auto"/>
                      <w:sz w:val="21"/>
                      <w:szCs w:val="21"/>
                    </w:rPr>
                    <w:t>标准限值</w:t>
                  </w:r>
                </w:p>
              </w:tc>
            </w:tr>
          </w:tbl>
          <w:p w14:paraId="687CDDE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四、运营期固体废物环境影响和保护措施</w:t>
            </w:r>
          </w:p>
          <w:p w14:paraId="411CEEB9">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固体废物产生及处置情况</w:t>
            </w:r>
          </w:p>
          <w:p w14:paraId="6E84E5C8">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bookmarkStart w:id="4" w:name="_Hlk41381177"/>
            <w:r>
              <w:rPr>
                <w:rFonts w:hint="default" w:ascii="Times New Roman" w:hAnsi="Times New Roman" w:cs="Times New Roman"/>
                <w:color w:val="auto"/>
                <w:sz w:val="24"/>
                <w:szCs w:val="28"/>
              </w:rPr>
              <w:t>项目固体废弃物主要</w:t>
            </w:r>
            <w:r>
              <w:rPr>
                <w:rFonts w:hint="default" w:ascii="Times New Roman" w:hAnsi="Times New Roman" w:cs="Times New Roman"/>
                <w:color w:val="auto"/>
                <w:sz w:val="24"/>
                <w:szCs w:val="28"/>
                <w:lang w:eastAsia="zh-CN"/>
              </w:rPr>
              <w:t>分</w:t>
            </w:r>
            <w:r>
              <w:rPr>
                <w:rFonts w:hint="default" w:ascii="Times New Roman" w:hAnsi="Times New Roman" w:cs="Times New Roman"/>
                <w:color w:val="auto"/>
                <w:sz w:val="24"/>
                <w:szCs w:val="28"/>
              </w:rPr>
              <w:t>为</w:t>
            </w:r>
            <w:bookmarkEnd w:id="4"/>
            <w:r>
              <w:rPr>
                <w:rFonts w:hint="default" w:ascii="Times New Roman" w:hAnsi="Times New Roman" w:cs="Times New Roman"/>
                <w:color w:val="auto"/>
                <w:sz w:val="24"/>
                <w:szCs w:val="28"/>
              </w:rPr>
              <w:t>生活垃圾</w:t>
            </w:r>
            <w:r>
              <w:rPr>
                <w:rFonts w:hint="default" w:ascii="Times New Roman" w:hAnsi="Times New Roman" w:cs="Times New Roman"/>
                <w:color w:val="auto"/>
                <w:sz w:val="24"/>
                <w:szCs w:val="28"/>
                <w:lang w:eastAsia="zh-CN"/>
              </w:rPr>
              <w:t>、一般固废（</w:t>
            </w:r>
            <w:r>
              <w:rPr>
                <w:rFonts w:hint="eastAsia" w:ascii="Times New Roman" w:hAnsi="Times New Roman" w:cs="Times New Roman"/>
                <w:color w:val="auto"/>
                <w:sz w:val="24"/>
                <w:szCs w:val="28"/>
                <w:lang w:val="en-US" w:eastAsia="zh-CN"/>
              </w:rPr>
              <w:t>废金属屑、废边角料、</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）及危险废物（</w:t>
            </w:r>
            <w:r>
              <w:rPr>
                <w:rFonts w:hint="eastAsia" w:ascii="Times New Roman" w:hAnsi="Times New Roman" w:cs="Times New Roman"/>
                <w:color w:val="auto"/>
                <w:sz w:val="24"/>
                <w:szCs w:val="28"/>
                <w:lang w:val="en-US" w:eastAsia="zh-CN"/>
              </w:rPr>
              <w:t>废活性炭、污泥、</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、废油桶及含油抹布手套）</w:t>
            </w:r>
            <w:r>
              <w:rPr>
                <w:rFonts w:hint="default" w:ascii="Times New Roman" w:hAnsi="Times New Roman" w:cs="Times New Roman"/>
                <w:color w:val="auto"/>
                <w:sz w:val="24"/>
                <w:szCs w:val="28"/>
              </w:rPr>
              <w:t>。</w:t>
            </w:r>
          </w:p>
          <w:p w14:paraId="6FC4CFA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2"/>
              </w:rPr>
              <w:t>（</w:t>
            </w:r>
            <w:r>
              <w:rPr>
                <w:rFonts w:hint="eastAsia"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w:t>
            </w:r>
            <w:r>
              <w:rPr>
                <w:rFonts w:hint="default" w:ascii="Times New Roman" w:hAnsi="Times New Roman" w:cs="Times New Roman"/>
                <w:color w:val="auto"/>
                <w:sz w:val="24"/>
              </w:rPr>
              <w:t>一般工业固废</w:t>
            </w:r>
          </w:p>
          <w:p w14:paraId="776F33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2"/>
                <w:lang w:eastAsia="zh-CN"/>
              </w:rPr>
              <w:t>①废边角料、金属屑：项目</w:t>
            </w:r>
            <w:r>
              <w:rPr>
                <w:rFonts w:hint="eastAsia" w:ascii="Times New Roman" w:hAnsi="Times New Roman" w:cs="Times New Roman"/>
                <w:color w:val="auto"/>
                <w:sz w:val="24"/>
                <w:szCs w:val="22"/>
                <w:lang w:eastAsia="zh-CN"/>
              </w:rPr>
              <w:t>切割机等设备运行</w:t>
            </w:r>
            <w:r>
              <w:rPr>
                <w:rFonts w:hint="default" w:ascii="Times New Roman" w:hAnsi="Times New Roman" w:cs="Times New Roman"/>
                <w:color w:val="auto"/>
                <w:sz w:val="24"/>
                <w:szCs w:val="22"/>
                <w:lang w:eastAsia="zh-CN"/>
              </w:rPr>
              <w:t>会产生相应的废边角料及金属屑</w:t>
            </w:r>
            <w:r>
              <w:rPr>
                <w:rFonts w:hint="eastAsia" w:ascii="Times New Roman" w:hAnsi="Times New Roman" w:cs="Times New Roman"/>
                <w:color w:val="auto"/>
                <w:sz w:val="24"/>
                <w:szCs w:val="22"/>
                <w:lang w:eastAsia="zh-CN"/>
              </w:rPr>
              <w:t>。</w:t>
            </w:r>
            <w:r>
              <w:rPr>
                <w:rFonts w:hint="default" w:ascii="Times New Roman" w:hAnsi="Times New Roman" w:cs="Times New Roman"/>
                <w:color w:val="auto"/>
                <w:sz w:val="24"/>
                <w:szCs w:val="22"/>
                <w:lang w:eastAsia="zh-CN"/>
              </w:rPr>
              <w:t>类比同类项目</w:t>
            </w:r>
            <w:r>
              <w:rPr>
                <w:rFonts w:hint="default" w:ascii="Times New Roman" w:hAnsi="Times New Roman" w:cs="Times New Roman"/>
                <w:color w:val="auto"/>
                <w:sz w:val="24"/>
                <w:szCs w:val="22"/>
              </w:rPr>
              <w:t>，</w:t>
            </w:r>
            <w:r>
              <w:rPr>
                <w:rFonts w:hint="default" w:ascii="Times New Roman" w:hAnsi="Times New Roman" w:cs="Times New Roman"/>
                <w:color w:val="auto"/>
                <w:sz w:val="24"/>
                <w:szCs w:val="22"/>
                <w:lang w:eastAsia="zh-CN"/>
              </w:rPr>
              <w:t>废金属屑及废边角料</w:t>
            </w:r>
            <w:r>
              <w:rPr>
                <w:rFonts w:hint="default" w:ascii="Times New Roman" w:hAnsi="Times New Roman" w:cs="Times New Roman"/>
                <w:color w:val="auto"/>
                <w:sz w:val="24"/>
                <w:szCs w:val="28"/>
              </w:rPr>
              <w:t>产生量约</w:t>
            </w:r>
            <w:r>
              <w:rPr>
                <w:rFonts w:hint="default" w:ascii="Times New Roman" w:hAnsi="Times New Roman" w:cs="Times New Roman"/>
                <w:color w:val="auto"/>
                <w:sz w:val="24"/>
                <w:szCs w:val="28"/>
                <w:lang w:eastAsia="zh-CN"/>
              </w:rPr>
              <w:t>占加工量的</w:t>
            </w:r>
            <w:r>
              <w:rPr>
                <w:rFonts w:hint="default" w:ascii="Times New Roman" w:hAnsi="Times New Roman" w:cs="Times New Roman"/>
                <w:color w:val="auto"/>
                <w:sz w:val="24"/>
                <w:szCs w:val="28"/>
                <w:lang w:val="en-US" w:eastAsia="zh-CN"/>
              </w:rPr>
              <w:t>0.</w:t>
            </w:r>
            <w:r>
              <w:rPr>
                <w:rFonts w:hint="eastAsia" w:ascii="Times New Roman" w:hAnsi="Times New Roman" w:cs="Times New Roman"/>
                <w:color w:val="auto"/>
                <w:sz w:val="24"/>
                <w:szCs w:val="28"/>
                <w:lang w:val="en-US" w:eastAsia="zh-CN"/>
              </w:rPr>
              <w:t>1</w:t>
            </w:r>
            <w:r>
              <w:rPr>
                <w:rFonts w:hint="default" w:ascii="Times New Roman" w:hAnsi="Times New Roman" w:cs="Times New Roman"/>
                <w:color w:val="auto"/>
                <w:sz w:val="24"/>
                <w:szCs w:val="28"/>
                <w:lang w:val="en-US" w:eastAsia="zh-CN"/>
              </w:rPr>
              <w:t>%，经核算本项目废金属屑及废边角料产生量约为</w:t>
            </w:r>
            <w:r>
              <w:rPr>
                <w:rFonts w:hint="eastAsia" w:ascii="Times New Roman" w:hAnsi="Times New Roman" w:cs="Times New Roman"/>
                <w:color w:val="auto"/>
                <w:sz w:val="24"/>
                <w:szCs w:val="28"/>
                <w:lang w:val="en-US" w:eastAsia="zh-CN"/>
              </w:rPr>
              <w:t>0.802</w:t>
            </w:r>
            <w:r>
              <w:rPr>
                <w:rFonts w:hint="default" w:ascii="Times New Roman" w:hAnsi="Times New Roman" w:cs="Times New Roman"/>
                <w:color w:val="auto"/>
                <w:sz w:val="24"/>
                <w:szCs w:val="28"/>
                <w:lang w:val="en-US" w:eastAsia="zh-CN"/>
              </w:rPr>
              <w:t>t/a。</w:t>
            </w:r>
            <w:r>
              <w:rPr>
                <w:rFonts w:hint="eastAsia" w:ascii="Times New Roman" w:hAnsi="Times New Roman" w:cs="Times New Roman"/>
                <w:color w:val="auto"/>
                <w:sz w:val="24"/>
                <w:szCs w:val="28"/>
                <w:lang w:val="en-US" w:eastAsia="zh-CN"/>
              </w:rPr>
              <w:t>暂存一般固废暂存区后外售处理。</w:t>
            </w:r>
          </w:p>
          <w:p w14:paraId="209329BF">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②废钢丸</w:t>
            </w:r>
          </w:p>
          <w:p w14:paraId="2DA1E900">
            <w:pPr>
              <w:pStyle w:val="12"/>
              <w:snapToGrid/>
              <w:spacing w:before="0" w:after="0" w:line="360" w:lineRule="auto"/>
              <w:ind w:right="0"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项目在抛丸</w:t>
            </w:r>
            <w:r>
              <w:rPr>
                <w:rFonts w:hint="eastAsia" w:ascii="Times New Roman" w:hAnsi="Times New Roman" w:eastAsia="宋体" w:cs="Times New Roman"/>
                <w:color w:val="auto"/>
                <w:sz w:val="24"/>
                <w:szCs w:val="22"/>
                <w:lang w:val="en-US" w:eastAsia="zh-CN"/>
              </w:rPr>
              <w:t>工序使用辅料</w:t>
            </w:r>
            <w:r>
              <w:rPr>
                <w:rFonts w:hint="default" w:ascii="Times New Roman" w:hAnsi="Times New Roman" w:eastAsia="宋体" w:cs="Times New Roman"/>
                <w:color w:val="auto"/>
                <w:sz w:val="24"/>
                <w:szCs w:val="22"/>
                <w:lang w:val="en-US" w:eastAsia="zh-CN"/>
              </w:rPr>
              <w:t>钢丸</w:t>
            </w:r>
            <w:r>
              <w:rPr>
                <w:rFonts w:hint="eastAsia" w:ascii="Times New Roman" w:hAnsi="Times New Roman" w:eastAsia="宋体" w:cs="Times New Roman"/>
                <w:color w:val="auto"/>
                <w:sz w:val="24"/>
                <w:szCs w:val="22"/>
                <w:lang w:val="en-US" w:eastAsia="zh-CN"/>
              </w:rPr>
              <w:t>重复利用直至处理效果不佳后更换</w:t>
            </w:r>
            <w:r>
              <w:rPr>
                <w:rFonts w:hint="default" w:ascii="Times New Roman" w:hAnsi="Times New Roman" w:eastAsia="宋体" w:cs="Times New Roman"/>
                <w:color w:val="auto"/>
                <w:sz w:val="24"/>
                <w:szCs w:val="22"/>
                <w:lang w:val="en-US" w:eastAsia="zh-CN"/>
              </w:rPr>
              <w:t>，废钢丸产生量为</w:t>
            </w:r>
            <w:r>
              <w:rPr>
                <w:rFonts w:hint="eastAsia" w:ascii="Times New Roman" w:hAnsi="Times New Roman" w:eastAsia="宋体" w:cs="Times New Roman"/>
                <w:color w:val="auto"/>
                <w:sz w:val="24"/>
                <w:szCs w:val="22"/>
                <w:lang w:val="en-US" w:eastAsia="zh-CN"/>
              </w:rPr>
              <w:t>3.2</w:t>
            </w:r>
            <w:r>
              <w:rPr>
                <w:rFonts w:hint="default" w:ascii="Times New Roman" w:hAnsi="Times New Roman" w:eastAsia="宋体" w:cs="Times New Roman"/>
                <w:color w:val="auto"/>
                <w:sz w:val="24"/>
                <w:szCs w:val="22"/>
                <w:lang w:val="en-US" w:eastAsia="zh-CN"/>
              </w:rPr>
              <w:t>t/a（约</w:t>
            </w:r>
            <w:r>
              <w:rPr>
                <w:rFonts w:hint="eastAsia" w:ascii="Times New Roman" w:hAnsi="Times New Roman" w:eastAsia="宋体" w:cs="Times New Roman"/>
                <w:color w:val="auto"/>
                <w:sz w:val="24"/>
                <w:szCs w:val="22"/>
                <w:lang w:val="en-US" w:eastAsia="zh-CN"/>
              </w:rPr>
              <w:t>占</w:t>
            </w:r>
            <w:r>
              <w:rPr>
                <w:rFonts w:hint="default" w:ascii="Times New Roman" w:hAnsi="Times New Roman" w:eastAsia="宋体" w:cs="Times New Roman"/>
                <w:color w:val="auto"/>
                <w:sz w:val="24"/>
                <w:szCs w:val="22"/>
                <w:lang w:val="en-US" w:eastAsia="zh-CN"/>
              </w:rPr>
              <w:t>使用量的</w:t>
            </w:r>
            <w:r>
              <w:rPr>
                <w:rFonts w:hint="eastAsia" w:ascii="Times New Roman" w:hAnsi="Times New Roman" w:eastAsia="宋体" w:cs="Times New Roman"/>
                <w:color w:val="auto"/>
                <w:sz w:val="24"/>
                <w:szCs w:val="22"/>
                <w:lang w:val="en-US" w:eastAsia="zh-CN"/>
              </w:rPr>
              <w:t>4</w:t>
            </w:r>
            <w:r>
              <w:rPr>
                <w:rFonts w:hint="default" w:ascii="Times New Roman" w:hAnsi="Times New Roman" w:eastAsia="宋体" w:cs="Times New Roman"/>
                <w:color w:val="auto"/>
                <w:sz w:val="24"/>
                <w:szCs w:val="22"/>
                <w:lang w:val="en-US" w:eastAsia="zh-CN"/>
              </w:rPr>
              <w:t>0%，使用量为</w:t>
            </w:r>
            <w:r>
              <w:rPr>
                <w:rFonts w:hint="eastAsia" w:ascii="Times New Roman" w:hAnsi="Times New Roman" w:eastAsia="宋体" w:cs="Times New Roman"/>
                <w:color w:val="auto"/>
                <w:sz w:val="24"/>
                <w:szCs w:val="22"/>
                <w:lang w:val="en-US" w:eastAsia="zh-CN"/>
              </w:rPr>
              <w:t>8</w:t>
            </w:r>
            <w:r>
              <w:rPr>
                <w:rFonts w:hint="default" w:ascii="Times New Roman" w:hAnsi="Times New Roman" w:eastAsia="宋体" w:cs="Times New Roman"/>
                <w:color w:val="auto"/>
                <w:sz w:val="24"/>
                <w:szCs w:val="22"/>
                <w:lang w:val="en-US" w:eastAsia="zh-CN"/>
              </w:rPr>
              <w:t>t/a）。废钢丸暂存于一般固废暂存区（10㎡），外售相关单位综合利用。</w:t>
            </w:r>
          </w:p>
          <w:p w14:paraId="0F4F9050">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③</w:t>
            </w:r>
            <w:r>
              <w:rPr>
                <w:rFonts w:hint="eastAsia" w:ascii="Times New Roman" w:hAnsi="Times New Roman" w:cs="Times New Roman"/>
                <w:color w:val="auto"/>
                <w:sz w:val="24"/>
                <w:lang w:eastAsia="zh-CN"/>
              </w:rPr>
              <w:t>收尘灰：根据前文</w:t>
            </w:r>
            <w:r>
              <w:rPr>
                <w:rFonts w:hint="eastAsia" w:ascii="Times New Roman" w:hAnsi="Times New Roman" w:cs="Times New Roman"/>
                <w:color w:val="auto"/>
                <w:sz w:val="24"/>
                <w:lang w:val="en-US" w:eastAsia="zh-CN"/>
              </w:rPr>
              <w:t>废气源强</w:t>
            </w:r>
            <w:r>
              <w:rPr>
                <w:rFonts w:hint="eastAsia" w:ascii="Times New Roman" w:hAnsi="Times New Roman" w:cs="Times New Roman"/>
                <w:color w:val="auto"/>
                <w:sz w:val="24"/>
                <w:lang w:eastAsia="zh-CN"/>
              </w:rPr>
              <w:t>核算，项目废气处理过程产生的除尘灰共计</w:t>
            </w:r>
            <w:r>
              <w:rPr>
                <w:rFonts w:hint="eastAsia" w:ascii="Times New Roman" w:hAnsi="Times New Roman" w:cs="Times New Roman"/>
                <w:color w:val="auto"/>
                <w:sz w:val="24"/>
                <w:lang w:val="en-US" w:eastAsia="zh-CN"/>
              </w:rPr>
              <w:t>6.7t/a，定期收集后暂存一般固废暂存区外售处理。</w:t>
            </w:r>
          </w:p>
          <w:p w14:paraId="447CCA1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④废粉：</w:t>
            </w:r>
            <w:r>
              <w:rPr>
                <w:rFonts w:hint="eastAsia" w:ascii="Times New Roman" w:hAnsi="Times New Roman" w:cs="Times New Roman"/>
                <w:color w:val="auto"/>
                <w:sz w:val="24"/>
                <w:lang w:eastAsia="zh-CN"/>
              </w:rPr>
              <w:t>根据前文</w:t>
            </w:r>
            <w:r>
              <w:rPr>
                <w:rFonts w:hint="eastAsia" w:ascii="Times New Roman" w:hAnsi="Times New Roman" w:cs="Times New Roman"/>
                <w:color w:val="auto"/>
                <w:sz w:val="24"/>
                <w:lang w:val="en-US" w:eastAsia="zh-CN"/>
              </w:rPr>
              <w:t>废气源强</w:t>
            </w:r>
            <w:r>
              <w:rPr>
                <w:rFonts w:hint="eastAsia" w:ascii="Times New Roman" w:hAnsi="Times New Roman" w:cs="Times New Roman"/>
                <w:color w:val="auto"/>
                <w:sz w:val="24"/>
                <w:lang w:eastAsia="zh-CN"/>
              </w:rPr>
              <w:t>核算，</w:t>
            </w:r>
            <w:r>
              <w:rPr>
                <w:rFonts w:hint="eastAsia" w:ascii="Times New Roman" w:hAnsi="Times New Roman" w:cs="Times New Roman"/>
                <w:color w:val="auto"/>
                <w:sz w:val="24"/>
                <w:lang w:val="en-US" w:eastAsia="zh-CN"/>
              </w:rPr>
              <w:t>项目</w:t>
            </w:r>
            <w:r>
              <w:rPr>
                <w:rFonts w:hint="eastAsia" w:cs="Times New Roman"/>
                <w:color w:val="auto"/>
                <w:sz w:val="24"/>
                <w:lang w:val="en-US" w:eastAsia="zh-CN"/>
              </w:rPr>
              <w:t>喷粉</w:t>
            </w:r>
            <w:r>
              <w:rPr>
                <w:rFonts w:hint="eastAsia" w:ascii="Times New Roman" w:hAnsi="Times New Roman" w:cs="Times New Roman"/>
                <w:color w:val="auto"/>
                <w:sz w:val="24"/>
                <w:lang w:val="en-US" w:eastAsia="zh-CN"/>
              </w:rPr>
              <w:t>工序产生的废粉总量为0.12t/a，定期收集后暂存一般固废暂存区外售处理。</w:t>
            </w:r>
          </w:p>
          <w:p w14:paraId="77B1E6C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）危险废物</w:t>
            </w:r>
          </w:p>
          <w:p w14:paraId="14C541BC">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危险废物主要为</w:t>
            </w:r>
            <w:r>
              <w:rPr>
                <w:rFonts w:hint="eastAsia" w:ascii="Times New Roman" w:hAnsi="Times New Roman" w:cs="Times New Roman"/>
                <w:color w:val="auto"/>
                <w:sz w:val="24"/>
                <w:lang w:val="en-US" w:eastAsia="zh-CN"/>
              </w:rPr>
              <w:t>废活性炭、污泥、</w:t>
            </w:r>
            <w:r>
              <w:rPr>
                <w:rFonts w:hint="default" w:ascii="Times New Roman" w:hAnsi="Times New Roman" w:cs="Times New Roman"/>
                <w:color w:val="auto"/>
                <w:sz w:val="24"/>
                <w:lang w:eastAsia="zh-CN"/>
              </w:rPr>
              <w:t>废</w:t>
            </w:r>
            <w:r>
              <w:rPr>
                <w:rFonts w:hint="eastAsia" w:ascii="Times New Roman" w:hAnsi="Times New Roman" w:cs="Times New Roman"/>
                <w:color w:val="auto"/>
                <w:sz w:val="24"/>
                <w:lang w:val="en-US" w:eastAsia="zh-CN"/>
              </w:rPr>
              <w:t>液压油</w:t>
            </w:r>
            <w:r>
              <w:rPr>
                <w:rFonts w:hint="default" w:ascii="Times New Roman" w:hAnsi="Times New Roman" w:cs="Times New Roman"/>
                <w:color w:val="auto"/>
                <w:sz w:val="24"/>
                <w:lang w:eastAsia="zh-CN"/>
              </w:rPr>
              <w:t>、废油桶、废含油抹布、手套</w:t>
            </w:r>
            <w:r>
              <w:rPr>
                <w:rFonts w:hint="default" w:ascii="Times New Roman" w:hAnsi="Times New Roman" w:cs="Times New Roman"/>
                <w:color w:val="auto"/>
                <w:sz w:val="24"/>
              </w:rPr>
              <w:t>。</w:t>
            </w:r>
          </w:p>
          <w:p w14:paraId="6AD3A7E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1"/>
                <w:lang w:val="en-US" w:eastAsia="zh-CN"/>
              </w:rPr>
            </w:pPr>
            <w:r>
              <w:rPr>
                <w:rFonts w:hint="eastAsia" w:ascii="Times New Roman" w:hAnsi="Times New Roman" w:cs="Times New Roman"/>
                <w:color w:val="auto"/>
                <w:sz w:val="24"/>
                <w:lang w:val="en-US" w:eastAsia="zh-CN"/>
              </w:rPr>
              <w:t>①废活性炭：废活性炭（含水分+吸附污染物），年产生量共计为7.64t。其中废气处理活性炭量3.312t/a（含5%含水率+10%VOCs吸附量）；废水处理废活性炭量为4.33t/a（含10%含水率+8%COD及金属吸附量）。</w:t>
            </w:r>
            <w:r>
              <w:rPr>
                <w:rFonts w:hint="default" w:ascii="Times New Roman" w:hAnsi="Times New Roman" w:cs="Times New Roman"/>
                <w:color w:val="auto"/>
                <w:kern w:val="0"/>
                <w:sz w:val="24"/>
                <w:szCs w:val="21"/>
              </w:rPr>
              <w:t>经查阅《国家危险废物名录》（202</w:t>
            </w:r>
            <w:r>
              <w:rPr>
                <w:rFonts w:hint="eastAsia" w:ascii="Times New Roman" w:hAnsi="Times New Roman" w:cs="Times New Roman"/>
                <w:color w:val="auto"/>
                <w:kern w:val="0"/>
                <w:sz w:val="24"/>
                <w:szCs w:val="21"/>
                <w:lang w:val="en-US" w:eastAsia="zh-CN"/>
              </w:rPr>
              <w:t>5</w:t>
            </w:r>
            <w:r>
              <w:rPr>
                <w:rFonts w:hint="default" w:ascii="Times New Roman" w:hAnsi="Times New Roman" w:cs="Times New Roman"/>
                <w:color w:val="auto"/>
                <w:kern w:val="0"/>
                <w:sz w:val="24"/>
                <w:szCs w:val="21"/>
              </w:rPr>
              <w:t>年版），废活性炭废物代码为HW49 （900-0</w:t>
            </w:r>
            <w:r>
              <w:rPr>
                <w:rFonts w:hint="eastAsia" w:ascii="Times New Roman" w:hAnsi="Times New Roman" w:cs="Times New Roman"/>
                <w:color w:val="auto"/>
                <w:kern w:val="0"/>
                <w:sz w:val="24"/>
                <w:szCs w:val="21"/>
                <w:lang w:val="en-US" w:eastAsia="zh-CN"/>
              </w:rPr>
              <w:t>41</w:t>
            </w:r>
            <w:r>
              <w:rPr>
                <w:rFonts w:hint="default" w:ascii="Times New Roman" w:hAnsi="Times New Roman" w:cs="Times New Roman"/>
                <w:color w:val="auto"/>
                <w:kern w:val="0"/>
                <w:sz w:val="24"/>
                <w:szCs w:val="21"/>
              </w:rPr>
              <w:t>-49）</w:t>
            </w:r>
            <w:r>
              <w:rPr>
                <w:rFonts w:hint="eastAsia" w:ascii="Times New Roman" w:hAnsi="Times New Roman" w:cs="Times New Roman"/>
                <w:color w:val="auto"/>
                <w:kern w:val="0"/>
                <w:sz w:val="24"/>
                <w:szCs w:val="21"/>
                <w:lang w:eastAsia="zh-CN"/>
              </w:rPr>
              <w:t>，</w:t>
            </w:r>
            <w:r>
              <w:rPr>
                <w:rFonts w:hint="eastAsia" w:ascii="Times New Roman" w:hAnsi="Times New Roman" w:cs="Times New Roman"/>
                <w:color w:val="auto"/>
                <w:kern w:val="0"/>
                <w:sz w:val="24"/>
                <w:szCs w:val="21"/>
                <w:lang w:val="en-US" w:eastAsia="zh-CN"/>
              </w:rPr>
              <w:t>含有或沾染毒性、感染性危险废物的废弃包装物、容器、过滤吸附介质。</w:t>
            </w:r>
          </w:p>
          <w:p w14:paraId="5BB51A8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szCs w:val="22"/>
                <w:lang w:eastAsia="zh-CN"/>
              </w:rPr>
              <w:t>②</w:t>
            </w:r>
            <w:r>
              <w:rPr>
                <w:rFonts w:hint="eastAsia" w:ascii="Times New Roman" w:hAnsi="Times New Roman" w:cs="Times New Roman"/>
                <w:color w:val="auto"/>
                <w:sz w:val="24"/>
                <w:lang w:val="en-US" w:eastAsia="zh-CN"/>
              </w:rPr>
              <w:t>污泥：</w:t>
            </w:r>
            <w:r>
              <w:rPr>
                <w:rFonts w:hint="default" w:ascii="Times New Roman" w:hAnsi="Times New Roman" w:cs="Times New Roman"/>
                <w:b w:val="0"/>
                <w:bCs w:val="0"/>
                <w:color w:val="auto"/>
                <w:sz w:val="24"/>
                <w:szCs w:val="24"/>
                <w:lang w:val="en-US" w:eastAsia="zh-CN"/>
              </w:rPr>
              <w:t>污泥产生量按照水处理量的1‰计算，年处理生产废水量</w:t>
            </w:r>
            <w:r>
              <w:rPr>
                <w:rFonts w:hint="eastAsia" w:cs="Times New Roman"/>
                <w:b w:val="0"/>
                <w:bCs w:val="0"/>
                <w:color w:val="auto"/>
                <w:sz w:val="24"/>
                <w:szCs w:val="24"/>
                <w:lang w:val="en-US" w:eastAsia="zh-CN"/>
              </w:rPr>
              <w:t>462.36</w:t>
            </w:r>
            <w:r>
              <w:rPr>
                <w:rFonts w:hint="default" w:ascii="Times New Roman" w:hAnsi="Times New Roman" w:cs="Times New Roman"/>
                <w:b w:val="0"/>
                <w:bCs w:val="0"/>
                <w:color w:val="auto"/>
                <w:sz w:val="24"/>
                <w:szCs w:val="24"/>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，污泥产生量约为0.</w:t>
            </w:r>
            <w:r>
              <w:rPr>
                <w:rFonts w:hint="eastAsia" w:cs="Times New Roman"/>
                <w:b w:val="0"/>
                <w:bCs w:val="0"/>
                <w:color w:val="auto"/>
                <w:sz w:val="24"/>
                <w:szCs w:val="24"/>
                <w:lang w:val="en-US" w:eastAsia="zh-CN"/>
              </w:rPr>
              <w:t>46</w:t>
            </w:r>
            <w:r>
              <w:rPr>
                <w:rFonts w:hint="default" w:ascii="Times New Roman" w:hAnsi="Times New Roman" w:cs="Times New Roman"/>
                <w:b w:val="0"/>
                <w:bCs w:val="0"/>
                <w:color w:val="auto"/>
                <w:sz w:val="24"/>
                <w:szCs w:val="24"/>
                <w:lang w:val="en-US" w:eastAsia="zh-CN"/>
              </w:rPr>
              <w:t>t/a，</w:t>
            </w:r>
            <w:r>
              <w:rPr>
                <w:rFonts w:hint="default" w:ascii="Times New Roman" w:hAnsi="Times New Roman" w:cs="Times New Roman"/>
                <w:color w:val="auto"/>
                <w:sz w:val="24"/>
                <w:szCs w:val="24"/>
              </w:rPr>
              <w:t>依据《国家危险废物名录》（</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属于HW17 类危险废物，</w:t>
            </w:r>
            <w:r>
              <w:rPr>
                <w:rFonts w:hint="default" w:ascii="Times New Roman" w:hAnsi="Times New Roman" w:cs="Times New Roman"/>
                <w:color w:val="auto"/>
                <w:sz w:val="24"/>
                <w:szCs w:val="24"/>
              </w:rPr>
              <w:t>废物代码</w:t>
            </w:r>
            <w:r>
              <w:rPr>
                <w:rFonts w:hint="default" w:ascii="Times New Roman" w:hAnsi="Times New Roman" w:cs="Times New Roman"/>
                <w:color w:val="auto"/>
                <w:sz w:val="24"/>
                <w:szCs w:val="24"/>
                <w:lang w:eastAsia="zh-CN"/>
              </w:rPr>
              <w:t>（336-064-17</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lang w:val="en-US" w:eastAsia="zh-CN"/>
              </w:rPr>
              <w:t>。</w:t>
            </w:r>
          </w:p>
          <w:p w14:paraId="26AFAE0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ascii="Times New Roman" w:hAnsi="Times New Roman" w:cs="Times New Roman"/>
                <w:color w:val="auto"/>
                <w:sz w:val="24"/>
                <w:szCs w:val="22"/>
                <w:lang w:val="en-US" w:eastAsia="zh-CN"/>
              </w:rPr>
              <w:t>③</w:t>
            </w:r>
            <w:r>
              <w:rPr>
                <w:rFonts w:hint="default" w:ascii="Times New Roman" w:hAnsi="Times New Roman" w:cs="Times New Roman"/>
                <w:color w:val="auto"/>
                <w:sz w:val="24"/>
                <w:szCs w:val="22"/>
                <w:lang w:eastAsia="zh-CN"/>
              </w:rPr>
              <w:t>废</w:t>
            </w:r>
            <w:r>
              <w:rPr>
                <w:rFonts w:hint="eastAsia" w:ascii="Times New Roman" w:hAnsi="Times New Roman" w:cs="Times New Roman"/>
                <w:color w:val="auto"/>
                <w:sz w:val="24"/>
                <w:szCs w:val="22"/>
                <w:lang w:val="en-US" w:eastAsia="zh-CN"/>
              </w:rPr>
              <w:t>液压油</w:t>
            </w:r>
          </w:p>
          <w:p w14:paraId="5B28C02D">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对照《国家危险废物名录》（202</w:t>
            </w:r>
            <w:r>
              <w:rPr>
                <w:rFonts w:hint="eastAsia"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lang w:val="en-US" w:eastAsia="zh-CN"/>
              </w:rPr>
              <w:t>年版），危废代码为“HW08 废矿物油与含矿油油废物中900-218-08（液压设备维护、更换和拆解过程中产生的废液压油）”。</w:t>
            </w:r>
            <w:r>
              <w:rPr>
                <w:rFonts w:hint="default" w:ascii="Times New Roman" w:hAnsi="Times New Roman" w:eastAsia="宋体" w:cs="Times New Roman"/>
                <w:color w:val="auto"/>
                <w:sz w:val="24"/>
                <w:szCs w:val="22"/>
                <w:lang w:eastAsia="zh-CN"/>
              </w:rPr>
              <w:t>本项目</w:t>
            </w:r>
            <w:r>
              <w:rPr>
                <w:rFonts w:hint="eastAsia" w:ascii="Times New Roman" w:hAnsi="Times New Roman" w:eastAsia="宋体" w:cs="Times New Roman"/>
                <w:color w:val="auto"/>
                <w:sz w:val="24"/>
                <w:szCs w:val="22"/>
                <w:lang w:val="en-US" w:eastAsia="zh-CN"/>
              </w:rPr>
              <w:t>空压机运行需加注一定量的液压油</w:t>
            </w:r>
            <w:r>
              <w:rPr>
                <w:rFonts w:hint="default"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注入量约为16.5kg，每年维护保养时对剩余液压油进行清理，并重新注入。本项目新增3台空压机，故每年液压油消耗量为49.5kg/a。损耗约占60%，即每年清理的废液压油约为19.8kg/a。</w:t>
            </w:r>
            <w:r>
              <w:rPr>
                <w:rFonts w:hint="default" w:ascii="Times New Roman" w:hAnsi="Times New Roman" w:cs="Times New Roman"/>
                <w:color w:val="auto"/>
                <w:sz w:val="24"/>
                <w:szCs w:val="22"/>
                <w:lang w:val="en-US" w:eastAsia="zh-CN"/>
              </w:rPr>
              <w:t>暂存于厂房内危险废物暂存间，定期交由有相应资质的危险废物处置单位处置；</w:t>
            </w:r>
          </w:p>
          <w:p w14:paraId="2D1376C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ascii="Times New Roman" w:hAnsi="Times New Roman" w:cs="Times New Roman"/>
                <w:color w:val="auto"/>
                <w:sz w:val="24"/>
                <w:szCs w:val="22"/>
                <w:lang w:val="en-US" w:eastAsia="zh-CN"/>
              </w:rPr>
              <w:t>④</w:t>
            </w:r>
            <w:r>
              <w:rPr>
                <w:rFonts w:hint="default" w:ascii="Times New Roman" w:hAnsi="Times New Roman" w:cs="Times New Roman"/>
                <w:color w:val="auto"/>
                <w:sz w:val="24"/>
                <w:szCs w:val="22"/>
                <w:lang w:eastAsia="zh-CN"/>
              </w:rPr>
              <w:t>废油桶</w:t>
            </w:r>
          </w:p>
          <w:p w14:paraId="5BD6EBD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kern w:val="2"/>
                <w:sz w:val="24"/>
                <w:szCs w:val="22"/>
                <w:lang w:val="en-US" w:eastAsia="zh-CN" w:bidi="ar-SA"/>
              </w:rPr>
              <w:t>液压油</w:t>
            </w:r>
            <w:r>
              <w:rPr>
                <w:rFonts w:hint="default" w:ascii="Times New Roman" w:hAnsi="Times New Roman" w:eastAsia="宋体" w:cs="Times New Roman"/>
                <w:color w:val="auto"/>
                <w:kern w:val="2"/>
                <w:sz w:val="24"/>
                <w:szCs w:val="22"/>
                <w:lang w:val="en-US" w:eastAsia="zh-CN" w:bidi="ar-SA"/>
              </w:rPr>
              <w:t>每年共用</w:t>
            </w:r>
            <w:r>
              <w:rPr>
                <w:rFonts w:hint="eastAsia" w:ascii="Times New Roman" w:hAnsi="Times New Roman" w:eastAsia="宋体" w:cs="Times New Roman"/>
                <w:color w:val="auto"/>
                <w:kern w:val="2"/>
                <w:sz w:val="24"/>
                <w:szCs w:val="22"/>
                <w:lang w:val="en-US" w:eastAsia="zh-CN" w:bidi="ar-SA"/>
              </w:rPr>
              <w:t>4</w:t>
            </w:r>
            <w:r>
              <w:rPr>
                <w:rFonts w:hint="default" w:ascii="Times New Roman" w:hAnsi="Times New Roman" w:eastAsia="宋体" w:cs="Times New Roman"/>
                <w:color w:val="auto"/>
                <w:kern w:val="2"/>
                <w:sz w:val="24"/>
                <w:szCs w:val="22"/>
                <w:lang w:val="en-US" w:eastAsia="zh-CN" w:bidi="ar-SA"/>
              </w:rPr>
              <w:t>桶，单桶质量为0.3kg，故废</w:t>
            </w:r>
            <w:r>
              <w:rPr>
                <w:rFonts w:hint="eastAsia" w:ascii="Times New Roman" w:hAnsi="Times New Roman" w:eastAsia="宋体" w:cs="Times New Roman"/>
                <w:color w:val="auto"/>
                <w:kern w:val="2"/>
                <w:sz w:val="24"/>
                <w:szCs w:val="22"/>
                <w:lang w:val="en-US" w:eastAsia="zh-CN" w:bidi="ar-SA"/>
              </w:rPr>
              <w:t>液压</w:t>
            </w:r>
            <w:r>
              <w:rPr>
                <w:rFonts w:hint="default" w:ascii="Times New Roman" w:hAnsi="Times New Roman" w:eastAsia="宋体" w:cs="Times New Roman"/>
                <w:color w:val="auto"/>
                <w:kern w:val="2"/>
                <w:sz w:val="24"/>
                <w:szCs w:val="22"/>
                <w:lang w:val="en-US" w:eastAsia="zh-CN" w:bidi="ar-SA"/>
              </w:rPr>
              <w:t>油桶产生量为</w:t>
            </w:r>
            <w:r>
              <w:rPr>
                <w:rFonts w:hint="eastAsia" w:ascii="Times New Roman" w:hAnsi="Times New Roman" w:eastAsia="宋体" w:cs="Times New Roman"/>
                <w:color w:val="auto"/>
                <w:kern w:val="2"/>
                <w:sz w:val="24"/>
                <w:szCs w:val="22"/>
                <w:lang w:val="en-US" w:eastAsia="zh-CN" w:bidi="ar-SA"/>
              </w:rPr>
              <w:t>1.2</w:t>
            </w:r>
            <w:r>
              <w:rPr>
                <w:rFonts w:hint="default" w:ascii="Times New Roman" w:hAnsi="Times New Roman" w:eastAsia="宋体" w:cs="Times New Roman"/>
                <w:color w:val="auto"/>
                <w:kern w:val="2"/>
                <w:sz w:val="24"/>
                <w:szCs w:val="22"/>
                <w:lang w:val="en-US" w:eastAsia="zh-CN" w:bidi="ar-SA"/>
              </w:rPr>
              <w:t>kg/a，</w:t>
            </w:r>
            <w:r>
              <w:rPr>
                <w:rFonts w:hint="default" w:ascii="Times New Roman" w:hAnsi="Times New Roman" w:cs="Times New Roman"/>
                <w:color w:val="auto"/>
                <w:sz w:val="24"/>
                <w:szCs w:val="22"/>
                <w:lang w:val="en-US" w:eastAsia="zh-CN"/>
              </w:rPr>
              <w:t>暂存于厂房内危险废物暂存间，定期交由有相应资质的危险废物处置单位处置</w:t>
            </w:r>
            <w:r>
              <w:rPr>
                <w:rFonts w:hint="eastAsia" w:ascii="Times New Roman" w:hAnsi="Times New Roman" w:cs="Times New Roman"/>
                <w:color w:val="auto"/>
                <w:sz w:val="24"/>
                <w:szCs w:val="22"/>
                <w:lang w:val="en-US" w:eastAsia="zh-CN"/>
              </w:rPr>
              <w:t>，</w:t>
            </w:r>
            <w:r>
              <w:rPr>
                <w:rFonts w:hint="default" w:ascii="Times New Roman" w:hAnsi="Times New Roman" w:eastAsia="宋体" w:cs="Times New Roman"/>
                <w:color w:val="auto"/>
                <w:kern w:val="2"/>
                <w:sz w:val="24"/>
                <w:szCs w:val="22"/>
                <w:lang w:val="en-US" w:eastAsia="zh-CN" w:bidi="ar-SA"/>
              </w:rPr>
              <w:t>属于危险废物，对照《国家危险废物名录》（202</w:t>
            </w:r>
            <w:r>
              <w:rPr>
                <w:rFonts w:hint="eastAsia" w:ascii="Times New Roman" w:hAnsi="Times New Roman" w:eastAsia="宋体" w:cs="Times New Roman"/>
                <w:color w:val="auto"/>
                <w:kern w:val="2"/>
                <w:sz w:val="24"/>
                <w:szCs w:val="22"/>
                <w:lang w:val="en-US" w:eastAsia="zh-CN" w:bidi="ar-SA"/>
              </w:rPr>
              <w:t>5</w:t>
            </w:r>
            <w:r>
              <w:rPr>
                <w:rFonts w:hint="default" w:ascii="Times New Roman" w:hAnsi="Times New Roman" w:eastAsia="宋体" w:cs="Times New Roman"/>
                <w:color w:val="auto"/>
                <w:kern w:val="2"/>
                <w:sz w:val="24"/>
                <w:szCs w:val="22"/>
                <w:lang w:val="en-US" w:eastAsia="zh-CN" w:bidi="ar-SA"/>
              </w:rPr>
              <w:t>年版），危废代码为“HW49其他废物中900-041-49（含有或沾染毒性、感染性危险废物的废弃包装物、容器、过滤吸附介质）”。</w:t>
            </w:r>
          </w:p>
          <w:p w14:paraId="3E7AA89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eastAsia" w:ascii="Times New Roman" w:hAnsi="Times New Roman" w:cs="Times New Roman"/>
                <w:color w:val="auto"/>
                <w:sz w:val="24"/>
                <w:szCs w:val="22"/>
                <w:lang w:eastAsia="zh-CN"/>
              </w:rPr>
              <w:t>⑤</w:t>
            </w:r>
            <w:r>
              <w:rPr>
                <w:rFonts w:hint="default" w:ascii="Times New Roman" w:hAnsi="Times New Roman" w:cs="Times New Roman"/>
                <w:color w:val="auto"/>
                <w:sz w:val="24"/>
                <w:szCs w:val="22"/>
                <w:lang w:eastAsia="zh-CN"/>
              </w:rPr>
              <w:t>废含油抹布、手套</w:t>
            </w:r>
          </w:p>
          <w:p w14:paraId="44FD7CDE">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2"/>
                <w:lang w:eastAsia="zh-CN"/>
              </w:rPr>
              <w:t>企业在零件维修擦拭过程中会有部分沾染在抹布、手套上，废含油抹布、手套产生总量约为</w:t>
            </w:r>
            <w:r>
              <w:rPr>
                <w:rFonts w:hint="default" w:ascii="Times New Roman" w:hAnsi="Times New Roman" w:cs="Times New Roman"/>
                <w:color w:val="auto"/>
                <w:sz w:val="24"/>
                <w:szCs w:val="22"/>
                <w:lang w:val="en-US" w:eastAsia="zh-CN"/>
              </w:rPr>
              <w:t>0.00</w:t>
            </w:r>
            <w:r>
              <w:rPr>
                <w:rFonts w:hint="eastAsia" w:ascii="Times New Roman" w:hAnsi="Times New Roman" w:cs="Times New Roman"/>
                <w:color w:val="auto"/>
                <w:sz w:val="24"/>
                <w:szCs w:val="22"/>
                <w:lang w:val="en-US" w:eastAsia="zh-CN"/>
              </w:rPr>
              <w:t>02</w:t>
            </w:r>
            <w:r>
              <w:rPr>
                <w:rFonts w:hint="default" w:ascii="Times New Roman" w:hAnsi="Times New Roman" w:cs="Times New Roman"/>
                <w:color w:val="auto"/>
                <w:sz w:val="24"/>
                <w:szCs w:val="22"/>
                <w:lang w:val="en-US" w:eastAsia="zh-CN"/>
              </w:rPr>
              <w:t>t/a，属于危险废物，对照《国家危险废物名录》（202</w:t>
            </w:r>
            <w:r>
              <w:rPr>
                <w:rFonts w:hint="eastAsia" w:ascii="Times New Roman" w:hAnsi="Times New Roman" w:cs="Times New Roman"/>
                <w:color w:val="auto"/>
                <w:sz w:val="24"/>
                <w:szCs w:val="22"/>
                <w:lang w:val="en-US" w:eastAsia="zh-CN"/>
              </w:rPr>
              <w:t>5</w:t>
            </w:r>
            <w:r>
              <w:rPr>
                <w:rFonts w:hint="default" w:ascii="Times New Roman" w:hAnsi="Times New Roman" w:cs="Times New Roman"/>
                <w:color w:val="auto"/>
                <w:sz w:val="24"/>
                <w:szCs w:val="22"/>
                <w:lang w:val="en-US" w:eastAsia="zh-CN"/>
              </w:rPr>
              <w:t>年版），危废代码为“HW49其他废物中900-041-49（含有或沾染毒性、感染性危险废物的废弃包装物、容器、过滤吸附介质）”。废含油抹布、手套采用塑料桶收集，贮存于车间内危险废物暂存间，定期交由有相应资质的危险废物处置单位处置。</w:t>
            </w:r>
          </w:p>
          <w:p w14:paraId="5D83291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auto"/>
                <w:kern w:val="0"/>
                <w:sz w:val="24"/>
              </w:rPr>
            </w:pPr>
            <w:r>
              <w:rPr>
                <w:rFonts w:hint="default" w:ascii="Times New Roman" w:hAnsi="Times New Roman" w:cs="Times New Roman"/>
                <w:color w:val="auto"/>
                <w:sz w:val="24"/>
                <w:szCs w:val="22"/>
              </w:rPr>
              <w:t>本项目固体废物产生量与处理措施见表4-</w:t>
            </w:r>
            <w:r>
              <w:rPr>
                <w:rFonts w:hint="eastAsia" w:cs="Times New Roman"/>
                <w:color w:val="auto"/>
                <w:sz w:val="24"/>
                <w:szCs w:val="22"/>
                <w:lang w:val="en-US" w:eastAsia="zh-CN"/>
              </w:rPr>
              <w:t>11</w:t>
            </w:r>
            <w:r>
              <w:rPr>
                <w:rFonts w:hint="default" w:ascii="Times New Roman" w:hAnsi="Times New Roman" w:cs="Times New Roman"/>
                <w:color w:val="auto"/>
                <w:sz w:val="24"/>
                <w:szCs w:val="22"/>
              </w:rPr>
              <w:t>。</w:t>
            </w:r>
          </w:p>
          <w:p w14:paraId="6413FCB1">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11</w:t>
            </w:r>
            <w:r>
              <w:rPr>
                <w:rFonts w:hint="default" w:ascii="Times New Roman" w:hAnsi="Times New Roman" w:cs="Times New Roman"/>
                <w:b/>
                <w:color w:val="auto"/>
                <w:sz w:val="21"/>
                <w:szCs w:val="21"/>
              </w:rPr>
              <w:t xml:space="preserve">  项目固体废物产生情况及处理措施一览表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427"/>
              <w:gridCol w:w="637"/>
              <w:gridCol w:w="480"/>
              <w:gridCol w:w="480"/>
              <w:gridCol w:w="586"/>
              <w:gridCol w:w="1198"/>
              <w:gridCol w:w="1198"/>
              <w:gridCol w:w="689"/>
              <w:gridCol w:w="795"/>
              <w:gridCol w:w="798"/>
            </w:tblGrid>
            <w:tr w14:paraId="77AAD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742BF61B">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名称</w:t>
                  </w:r>
                </w:p>
              </w:tc>
              <w:tc>
                <w:tcPr>
                  <w:tcW w:w="390" w:type="pct"/>
                  <w:tcBorders>
                    <w:tl2br w:val="nil"/>
                    <w:tr2bl w:val="nil"/>
                  </w:tcBorders>
                  <w:noWrap w:val="0"/>
                  <w:vAlign w:val="center"/>
                </w:tcPr>
                <w:p w14:paraId="713EB7E8">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废边</w:t>
                  </w:r>
                </w:p>
                <w:p w14:paraId="06D88CA1">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rPr>
                    <w:t>角料</w:t>
                  </w:r>
                  <w:r>
                    <w:rPr>
                      <w:rFonts w:hint="default" w:ascii="Times New Roman" w:hAnsi="Times New Roman" w:cs="Times New Roman"/>
                      <w:b w:val="0"/>
                      <w:bCs/>
                      <w:color w:val="auto"/>
                      <w:sz w:val="21"/>
                      <w:szCs w:val="21"/>
                      <w:lang w:val="en-US" w:eastAsia="zh-CN"/>
                    </w:rPr>
                    <w:t>、金属屑</w:t>
                  </w:r>
                </w:p>
              </w:tc>
              <w:tc>
                <w:tcPr>
                  <w:tcW w:w="294" w:type="pct"/>
                  <w:tcBorders>
                    <w:tl2br w:val="nil"/>
                    <w:tr2bl w:val="nil"/>
                  </w:tcBorders>
                  <w:noWrap w:val="0"/>
                  <w:vAlign w:val="center"/>
                </w:tcPr>
                <w:p w14:paraId="3D6A5B7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废钢丸</w:t>
                  </w:r>
                </w:p>
              </w:tc>
              <w:tc>
                <w:tcPr>
                  <w:tcW w:w="294" w:type="pct"/>
                  <w:tcBorders>
                    <w:tl2br w:val="nil"/>
                    <w:tr2bl w:val="nil"/>
                  </w:tcBorders>
                  <w:noWrap w:val="0"/>
                  <w:vAlign w:val="center"/>
                </w:tcPr>
                <w:p w14:paraId="6E2CF234">
                  <w:pPr>
                    <w:pStyle w:val="174"/>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收尘灰</w:t>
                  </w:r>
                </w:p>
              </w:tc>
              <w:tc>
                <w:tcPr>
                  <w:tcW w:w="358" w:type="pct"/>
                  <w:tcBorders>
                    <w:tl2br w:val="nil"/>
                    <w:tr2bl w:val="nil"/>
                  </w:tcBorders>
                  <w:noWrap w:val="0"/>
                  <w:vAlign w:val="center"/>
                </w:tcPr>
                <w:p w14:paraId="1C40018D">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val="en-US" w:eastAsia="zh-CN"/>
                    </w:rPr>
                    <w:t>废粉</w:t>
                  </w:r>
                </w:p>
              </w:tc>
              <w:tc>
                <w:tcPr>
                  <w:tcW w:w="734" w:type="pct"/>
                  <w:tcBorders>
                    <w:tl2br w:val="nil"/>
                    <w:tr2bl w:val="nil"/>
                  </w:tcBorders>
                  <w:noWrap w:val="0"/>
                  <w:vAlign w:val="center"/>
                </w:tcPr>
                <w:p w14:paraId="311A988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val="en-US" w:eastAsia="zh-CN"/>
                    </w:rPr>
                    <w:t>污泥</w:t>
                  </w:r>
                </w:p>
              </w:tc>
              <w:tc>
                <w:tcPr>
                  <w:tcW w:w="734" w:type="pct"/>
                  <w:tcBorders>
                    <w:tl2br w:val="nil"/>
                    <w:tr2bl w:val="nil"/>
                  </w:tcBorders>
                  <w:noWrap w:val="0"/>
                  <w:vAlign w:val="center"/>
                </w:tcPr>
                <w:p w14:paraId="7741B8D1">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w:t>
                  </w:r>
                  <w:r>
                    <w:rPr>
                      <w:rFonts w:hint="eastAsia" w:ascii="Times New Roman" w:hAnsi="Times New Roman" w:cs="Times New Roman"/>
                      <w:b w:val="0"/>
                      <w:bCs/>
                      <w:color w:val="auto"/>
                      <w:sz w:val="21"/>
                      <w:szCs w:val="21"/>
                      <w:lang w:val="en-US" w:eastAsia="zh-CN"/>
                    </w:rPr>
                    <w:t>液压油</w:t>
                  </w:r>
                </w:p>
              </w:tc>
              <w:tc>
                <w:tcPr>
                  <w:tcW w:w="422" w:type="pct"/>
                  <w:tcBorders>
                    <w:tl2br w:val="nil"/>
                    <w:tr2bl w:val="nil"/>
                  </w:tcBorders>
                  <w:noWrap w:val="0"/>
                  <w:vAlign w:val="center"/>
                </w:tcPr>
                <w:p w14:paraId="2774EA74">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废活性炭</w:t>
                  </w:r>
                </w:p>
              </w:tc>
              <w:tc>
                <w:tcPr>
                  <w:tcW w:w="487" w:type="pct"/>
                  <w:tcBorders>
                    <w:tl2br w:val="nil"/>
                    <w:tr2bl w:val="nil"/>
                  </w:tcBorders>
                  <w:noWrap w:val="0"/>
                  <w:vAlign w:val="center"/>
                </w:tcPr>
                <w:p w14:paraId="481F4E2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废油桶</w:t>
                  </w:r>
                </w:p>
              </w:tc>
              <w:tc>
                <w:tcPr>
                  <w:tcW w:w="487" w:type="pct"/>
                  <w:tcBorders>
                    <w:tl2br w:val="nil"/>
                    <w:tr2bl w:val="nil"/>
                  </w:tcBorders>
                  <w:noWrap w:val="0"/>
                  <w:vAlign w:val="center"/>
                </w:tcPr>
                <w:p w14:paraId="2803A91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废含油抹布、手套</w:t>
                  </w:r>
                </w:p>
              </w:tc>
            </w:tr>
            <w:tr w14:paraId="4FCB1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03CD1B82">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产生环节</w:t>
                  </w:r>
                </w:p>
              </w:tc>
              <w:tc>
                <w:tcPr>
                  <w:tcW w:w="390" w:type="pct"/>
                  <w:tcBorders>
                    <w:tl2br w:val="nil"/>
                    <w:tr2bl w:val="nil"/>
                  </w:tcBorders>
                  <w:noWrap w:val="0"/>
                  <w:vAlign w:val="center"/>
                </w:tcPr>
                <w:p w14:paraId="340BCDE9">
                  <w:pPr>
                    <w:pStyle w:val="171"/>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切割</w:t>
                  </w:r>
                </w:p>
              </w:tc>
              <w:tc>
                <w:tcPr>
                  <w:tcW w:w="294" w:type="pct"/>
                  <w:tcBorders>
                    <w:tl2br w:val="nil"/>
                    <w:tr2bl w:val="nil"/>
                  </w:tcBorders>
                  <w:noWrap w:val="0"/>
                  <w:vAlign w:val="center"/>
                </w:tcPr>
                <w:p w14:paraId="39FE462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抛丸</w:t>
                  </w:r>
                </w:p>
              </w:tc>
              <w:tc>
                <w:tcPr>
                  <w:tcW w:w="294" w:type="pct"/>
                  <w:tcBorders>
                    <w:tl2br w:val="nil"/>
                    <w:tr2bl w:val="nil"/>
                  </w:tcBorders>
                  <w:noWrap w:val="0"/>
                  <w:vAlign w:val="center"/>
                </w:tcPr>
                <w:p w14:paraId="418B2364">
                  <w:pPr>
                    <w:pStyle w:val="174"/>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除尘</w:t>
                  </w:r>
                </w:p>
              </w:tc>
              <w:tc>
                <w:tcPr>
                  <w:tcW w:w="358" w:type="pct"/>
                  <w:tcBorders>
                    <w:tl2br w:val="nil"/>
                    <w:tr2bl w:val="nil"/>
                  </w:tcBorders>
                  <w:noWrap w:val="0"/>
                  <w:vAlign w:val="center"/>
                </w:tcPr>
                <w:p w14:paraId="6BE64CE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修磨</w:t>
                  </w:r>
                </w:p>
              </w:tc>
              <w:tc>
                <w:tcPr>
                  <w:tcW w:w="734" w:type="pct"/>
                  <w:tcBorders>
                    <w:tl2br w:val="nil"/>
                    <w:tr2bl w:val="nil"/>
                  </w:tcBorders>
                  <w:noWrap w:val="0"/>
                  <w:vAlign w:val="center"/>
                </w:tcPr>
                <w:p w14:paraId="19C05BD0">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污水处理</w:t>
                  </w:r>
                </w:p>
              </w:tc>
              <w:tc>
                <w:tcPr>
                  <w:tcW w:w="734" w:type="pct"/>
                  <w:tcBorders>
                    <w:tl2br w:val="nil"/>
                    <w:tr2bl w:val="nil"/>
                  </w:tcBorders>
                  <w:noWrap w:val="0"/>
                  <w:vAlign w:val="center"/>
                </w:tcPr>
                <w:p w14:paraId="6ECF2553">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设备维护</w:t>
                  </w:r>
                </w:p>
              </w:tc>
              <w:tc>
                <w:tcPr>
                  <w:tcW w:w="422" w:type="pct"/>
                  <w:tcBorders>
                    <w:tl2br w:val="nil"/>
                    <w:tr2bl w:val="nil"/>
                  </w:tcBorders>
                  <w:noWrap w:val="0"/>
                  <w:vAlign w:val="center"/>
                </w:tcPr>
                <w:p w14:paraId="59A2250B">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废水、废气处理</w:t>
                  </w:r>
                </w:p>
              </w:tc>
              <w:tc>
                <w:tcPr>
                  <w:tcW w:w="974" w:type="pct"/>
                  <w:gridSpan w:val="2"/>
                  <w:tcBorders>
                    <w:tl2br w:val="nil"/>
                    <w:tr2bl w:val="nil"/>
                  </w:tcBorders>
                  <w:noWrap w:val="0"/>
                  <w:vAlign w:val="center"/>
                </w:tcPr>
                <w:p w14:paraId="07FC6A9B">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空压机运行</w:t>
                  </w:r>
                </w:p>
              </w:tc>
            </w:tr>
            <w:tr w14:paraId="0ED9D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6788550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属性</w:t>
                  </w:r>
                </w:p>
              </w:tc>
              <w:tc>
                <w:tcPr>
                  <w:tcW w:w="390" w:type="pct"/>
                  <w:tcBorders>
                    <w:tl2br w:val="nil"/>
                    <w:tr2bl w:val="nil"/>
                  </w:tcBorders>
                  <w:noWrap w:val="0"/>
                  <w:vAlign w:val="center"/>
                </w:tcPr>
                <w:p w14:paraId="2F3D41C6">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eastAsia="zh-CN"/>
                    </w:rPr>
                  </w:pPr>
                </w:p>
              </w:tc>
              <w:tc>
                <w:tcPr>
                  <w:tcW w:w="946" w:type="pct"/>
                  <w:gridSpan w:val="3"/>
                  <w:tcBorders>
                    <w:tl2br w:val="nil"/>
                    <w:tr2bl w:val="nil"/>
                  </w:tcBorders>
                  <w:noWrap w:val="0"/>
                  <w:vAlign w:val="center"/>
                </w:tcPr>
                <w:p w14:paraId="56D5AF6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一般</w:t>
                  </w:r>
                </w:p>
                <w:p w14:paraId="0D761675">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 w:val="0"/>
                      <w:bCs w:val="0"/>
                      <w:color w:val="auto"/>
                      <w:sz w:val="21"/>
                      <w:szCs w:val="21"/>
                      <w:lang w:eastAsia="zh-CN"/>
                    </w:rPr>
                    <w:t>固废</w:t>
                  </w:r>
                </w:p>
              </w:tc>
              <w:tc>
                <w:tcPr>
                  <w:tcW w:w="2866" w:type="pct"/>
                  <w:gridSpan w:val="5"/>
                  <w:tcBorders>
                    <w:tl2br w:val="nil"/>
                    <w:tr2bl w:val="nil"/>
                  </w:tcBorders>
                  <w:noWrap w:val="0"/>
                  <w:vAlign w:val="center"/>
                </w:tcPr>
                <w:p w14:paraId="72928CC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w:t>
                  </w:r>
                </w:p>
              </w:tc>
            </w:tr>
            <w:tr w14:paraId="5462A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278FA6D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废物</w:t>
                  </w:r>
                  <w:r>
                    <w:rPr>
                      <w:rFonts w:hint="default" w:ascii="Times New Roman" w:hAnsi="Times New Roman" w:cs="Times New Roman"/>
                      <w:bCs/>
                      <w:color w:val="auto"/>
                      <w:sz w:val="21"/>
                      <w:szCs w:val="21"/>
                      <w:lang w:val="en-US"/>
                    </w:rPr>
                    <w:t>类别及</w:t>
                  </w:r>
                  <w:r>
                    <w:rPr>
                      <w:rFonts w:hint="default" w:ascii="Times New Roman" w:hAnsi="Times New Roman" w:cs="Times New Roman"/>
                      <w:bCs/>
                      <w:color w:val="auto"/>
                      <w:sz w:val="21"/>
                      <w:szCs w:val="21"/>
                    </w:rPr>
                    <w:t>代码</w:t>
                  </w:r>
                </w:p>
              </w:tc>
              <w:tc>
                <w:tcPr>
                  <w:tcW w:w="390" w:type="pct"/>
                  <w:tcBorders>
                    <w:tl2br w:val="nil"/>
                    <w:tr2bl w:val="nil"/>
                  </w:tcBorders>
                  <w:noWrap w:val="0"/>
                  <w:vAlign w:val="center"/>
                </w:tcPr>
                <w:p w14:paraId="1FF6A61D">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c>
                <w:tcPr>
                  <w:tcW w:w="294" w:type="pct"/>
                  <w:tcBorders>
                    <w:tl2br w:val="nil"/>
                    <w:tr2bl w:val="nil"/>
                  </w:tcBorders>
                  <w:noWrap w:val="0"/>
                  <w:vAlign w:val="center"/>
                </w:tcPr>
                <w:p w14:paraId="7DC75120">
                  <w:pPr>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c>
                <w:tcPr>
                  <w:tcW w:w="294" w:type="pct"/>
                  <w:tcBorders>
                    <w:tl2br w:val="nil"/>
                    <w:tr2bl w:val="nil"/>
                  </w:tcBorders>
                  <w:noWrap w:val="0"/>
                  <w:vAlign w:val="center"/>
                </w:tcPr>
                <w:p w14:paraId="6FEEF15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358" w:type="pct"/>
                  <w:tcBorders>
                    <w:tl2br w:val="nil"/>
                    <w:tr2bl w:val="nil"/>
                  </w:tcBorders>
                  <w:noWrap w:val="0"/>
                  <w:vAlign w:val="center"/>
                </w:tcPr>
                <w:p w14:paraId="1A4F5DF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34" w:type="pct"/>
                  <w:tcBorders>
                    <w:tl2br w:val="nil"/>
                    <w:tr2bl w:val="nil"/>
                  </w:tcBorders>
                  <w:noWrap w:val="0"/>
                  <w:vAlign w:val="center"/>
                </w:tcPr>
                <w:p w14:paraId="2A9CAF1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w:t>
                  </w:r>
                  <w:r>
                    <w:rPr>
                      <w:rFonts w:hint="eastAsia" w:ascii="Times New Roman" w:hAnsi="Times New Roman" w:eastAsia="宋体" w:cs="Times New Roman"/>
                      <w:bCs/>
                      <w:color w:val="auto"/>
                      <w:sz w:val="21"/>
                      <w:szCs w:val="21"/>
                      <w:lang w:val="en-US" w:eastAsia="zh-CN"/>
                    </w:rPr>
                    <w:t>17</w:t>
                  </w:r>
                </w:p>
                <w:p w14:paraId="04E20B3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1"/>
                      <w:szCs w:val="21"/>
                      <w:lang w:val="en-US" w:eastAsia="zh-CN"/>
                    </w:rPr>
                    <w:t>336-064-17</w:t>
                  </w:r>
                </w:p>
              </w:tc>
              <w:tc>
                <w:tcPr>
                  <w:tcW w:w="734" w:type="pct"/>
                  <w:tcBorders>
                    <w:tl2br w:val="nil"/>
                    <w:tr2bl w:val="nil"/>
                  </w:tcBorders>
                  <w:noWrap w:val="0"/>
                  <w:vAlign w:val="center"/>
                </w:tcPr>
                <w:p w14:paraId="6FCAB135">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rPr>
                    <w:t>HW0</w:t>
                  </w:r>
                  <w:r>
                    <w:rPr>
                      <w:rFonts w:hint="default" w:ascii="Times New Roman" w:hAnsi="Times New Roman" w:cs="Times New Roman"/>
                      <w:bCs/>
                      <w:color w:val="auto"/>
                      <w:sz w:val="21"/>
                      <w:szCs w:val="21"/>
                      <w:lang w:val="en-US" w:eastAsia="zh-CN"/>
                    </w:rPr>
                    <w:t>8</w:t>
                  </w:r>
                </w:p>
                <w:p w14:paraId="39C89F68">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1"/>
                      <w:szCs w:val="21"/>
                      <w:lang w:val="en-US" w:eastAsia="zh-CN"/>
                    </w:rPr>
                    <w:t>900-</w:t>
                  </w:r>
                  <w:r>
                    <w:rPr>
                      <w:rFonts w:hint="eastAsia" w:ascii="Times New Roman" w:hAnsi="Times New Roman" w:eastAsia="宋体" w:cs="Times New Roman"/>
                      <w:bCs/>
                      <w:color w:val="auto"/>
                      <w:sz w:val="21"/>
                      <w:szCs w:val="21"/>
                      <w:lang w:val="en-US" w:eastAsia="zh-CN"/>
                    </w:rPr>
                    <w:t>218</w:t>
                  </w:r>
                  <w:r>
                    <w:rPr>
                      <w:rFonts w:hint="default" w:ascii="Times New Roman" w:hAnsi="Times New Roman" w:eastAsia="宋体" w:cs="Times New Roman"/>
                      <w:bCs/>
                      <w:color w:val="auto"/>
                      <w:sz w:val="21"/>
                      <w:szCs w:val="21"/>
                      <w:lang w:val="en-US" w:eastAsia="zh-CN"/>
                    </w:rPr>
                    <w:t>-08</w:t>
                  </w:r>
                </w:p>
              </w:tc>
              <w:tc>
                <w:tcPr>
                  <w:tcW w:w="1397" w:type="pct"/>
                  <w:gridSpan w:val="3"/>
                  <w:tcBorders>
                    <w:tl2br w:val="nil"/>
                    <w:tr2bl w:val="nil"/>
                  </w:tcBorders>
                  <w:noWrap w:val="0"/>
                  <w:vAlign w:val="center"/>
                </w:tcPr>
                <w:p w14:paraId="7BA922E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HW49</w:t>
                  </w:r>
                </w:p>
                <w:p w14:paraId="3A54D07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900-041-49</w:t>
                  </w:r>
                </w:p>
              </w:tc>
            </w:tr>
            <w:tr w14:paraId="30E08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4FA10A1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物理性状</w:t>
                  </w:r>
                </w:p>
              </w:tc>
              <w:tc>
                <w:tcPr>
                  <w:tcW w:w="1337" w:type="pct"/>
                  <w:gridSpan w:val="4"/>
                  <w:tcBorders>
                    <w:tl2br w:val="nil"/>
                    <w:tr2bl w:val="nil"/>
                  </w:tcBorders>
                  <w:noWrap w:val="0"/>
                  <w:vAlign w:val="center"/>
                </w:tcPr>
                <w:p w14:paraId="6CEDF4E9">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固态</w:t>
                  </w:r>
                </w:p>
              </w:tc>
              <w:tc>
                <w:tcPr>
                  <w:tcW w:w="734" w:type="pct"/>
                  <w:tcBorders>
                    <w:tl2br w:val="nil"/>
                    <w:tr2bl w:val="nil"/>
                  </w:tcBorders>
                  <w:noWrap w:val="0"/>
                  <w:vAlign w:val="center"/>
                </w:tcPr>
                <w:p w14:paraId="2173BC2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固态</w:t>
                  </w:r>
                </w:p>
              </w:tc>
              <w:tc>
                <w:tcPr>
                  <w:tcW w:w="734" w:type="pct"/>
                  <w:tcBorders>
                    <w:tl2br w:val="nil"/>
                    <w:tr2bl w:val="nil"/>
                  </w:tcBorders>
                  <w:noWrap w:val="0"/>
                  <w:vAlign w:val="center"/>
                </w:tcPr>
                <w:p w14:paraId="0741D5D0">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液态</w:t>
                  </w:r>
                </w:p>
              </w:tc>
              <w:tc>
                <w:tcPr>
                  <w:tcW w:w="1397" w:type="pct"/>
                  <w:gridSpan w:val="3"/>
                  <w:tcBorders>
                    <w:tl2br w:val="nil"/>
                    <w:tr2bl w:val="nil"/>
                  </w:tcBorders>
                  <w:noWrap w:val="0"/>
                  <w:vAlign w:val="center"/>
                </w:tcPr>
                <w:p w14:paraId="320EF0AB">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固态</w:t>
                  </w:r>
                </w:p>
              </w:tc>
            </w:tr>
            <w:tr w14:paraId="301AA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2270FEA7">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环境危险特性</w:t>
                  </w:r>
                </w:p>
              </w:tc>
              <w:tc>
                <w:tcPr>
                  <w:tcW w:w="390" w:type="pct"/>
                  <w:tcBorders>
                    <w:tl2br w:val="nil"/>
                    <w:tr2bl w:val="nil"/>
                  </w:tcBorders>
                  <w:noWrap w:val="0"/>
                  <w:vAlign w:val="center"/>
                </w:tcPr>
                <w:p w14:paraId="50E5001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294" w:type="pct"/>
                  <w:tcBorders>
                    <w:tl2br w:val="nil"/>
                    <w:tr2bl w:val="nil"/>
                  </w:tcBorders>
                  <w:noWrap w:val="0"/>
                  <w:vAlign w:val="center"/>
                </w:tcPr>
                <w:p w14:paraId="77A44981">
                  <w:pPr>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294" w:type="pct"/>
                  <w:tcBorders>
                    <w:tl2br w:val="nil"/>
                    <w:tr2bl w:val="nil"/>
                  </w:tcBorders>
                  <w:noWrap w:val="0"/>
                  <w:vAlign w:val="center"/>
                </w:tcPr>
                <w:p w14:paraId="24AAE60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58" w:type="pct"/>
                  <w:tcBorders>
                    <w:tl2br w:val="nil"/>
                    <w:tr2bl w:val="nil"/>
                  </w:tcBorders>
                  <w:noWrap w:val="0"/>
                  <w:vAlign w:val="center"/>
                </w:tcPr>
                <w:p w14:paraId="21CE788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c>
                <w:tcPr>
                  <w:tcW w:w="1468" w:type="pct"/>
                  <w:gridSpan w:val="2"/>
                  <w:tcBorders>
                    <w:tl2br w:val="nil"/>
                    <w:tr2bl w:val="nil"/>
                  </w:tcBorders>
                  <w:noWrap w:val="0"/>
                  <w:vAlign w:val="center"/>
                </w:tcPr>
                <w:p w14:paraId="6CCA2F0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T/In（毒性/感染性）</w:t>
                  </w:r>
                </w:p>
              </w:tc>
              <w:tc>
                <w:tcPr>
                  <w:tcW w:w="1397" w:type="pct"/>
                  <w:gridSpan w:val="3"/>
                  <w:tcBorders>
                    <w:tl2br w:val="nil"/>
                    <w:tr2bl w:val="nil"/>
                  </w:tcBorders>
                  <w:noWrap w:val="0"/>
                  <w:vAlign w:val="center"/>
                </w:tcPr>
                <w:p w14:paraId="40073D8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T/In（毒性/感染性）</w:t>
                  </w:r>
                </w:p>
              </w:tc>
            </w:tr>
            <w:tr w14:paraId="4FFC0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15B80DD0">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产生量（t/a）</w:t>
                  </w:r>
                </w:p>
              </w:tc>
              <w:tc>
                <w:tcPr>
                  <w:tcW w:w="390" w:type="pct"/>
                  <w:tcBorders>
                    <w:tl2br w:val="nil"/>
                    <w:tr2bl w:val="nil"/>
                  </w:tcBorders>
                  <w:noWrap w:val="0"/>
                  <w:vAlign w:val="center"/>
                </w:tcPr>
                <w:p w14:paraId="5494C9EB">
                  <w:pPr>
                    <w:pStyle w:val="174"/>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p w14:paraId="0F217472">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802</w:t>
                  </w:r>
                </w:p>
              </w:tc>
              <w:tc>
                <w:tcPr>
                  <w:tcW w:w="294" w:type="pct"/>
                  <w:tcBorders>
                    <w:tl2br w:val="nil"/>
                    <w:tr2bl w:val="nil"/>
                  </w:tcBorders>
                  <w:noWrap w:val="0"/>
                  <w:vAlign w:val="center"/>
                </w:tcPr>
                <w:p w14:paraId="23EAB98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3.2</w:t>
                  </w:r>
                </w:p>
              </w:tc>
              <w:tc>
                <w:tcPr>
                  <w:tcW w:w="294" w:type="pct"/>
                  <w:tcBorders>
                    <w:tl2br w:val="nil"/>
                    <w:tr2bl w:val="nil"/>
                  </w:tcBorders>
                  <w:noWrap w:val="0"/>
                  <w:vAlign w:val="center"/>
                </w:tcPr>
                <w:p w14:paraId="32C6CBE9">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6.7</w:t>
                  </w:r>
                </w:p>
              </w:tc>
              <w:tc>
                <w:tcPr>
                  <w:tcW w:w="358" w:type="pct"/>
                  <w:tcBorders>
                    <w:tl2br w:val="nil"/>
                    <w:tr2bl w:val="nil"/>
                  </w:tcBorders>
                  <w:noWrap w:val="0"/>
                  <w:vAlign w:val="center"/>
                </w:tcPr>
                <w:p w14:paraId="4CD5827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0.12</w:t>
                  </w:r>
                </w:p>
              </w:tc>
              <w:tc>
                <w:tcPr>
                  <w:tcW w:w="734" w:type="pct"/>
                  <w:tcBorders>
                    <w:tl2br w:val="nil"/>
                    <w:tr2bl w:val="nil"/>
                  </w:tcBorders>
                  <w:noWrap w:val="0"/>
                  <w:vAlign w:val="center"/>
                </w:tcPr>
                <w:p w14:paraId="3E51E4C3">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46</w:t>
                  </w:r>
                </w:p>
              </w:tc>
              <w:tc>
                <w:tcPr>
                  <w:tcW w:w="734" w:type="pct"/>
                  <w:tcBorders>
                    <w:tl2br w:val="nil"/>
                    <w:tr2bl w:val="nil"/>
                  </w:tcBorders>
                  <w:noWrap w:val="0"/>
                  <w:vAlign w:val="center"/>
                </w:tcPr>
                <w:p w14:paraId="3986590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w:t>
                  </w:r>
                </w:p>
              </w:tc>
              <w:tc>
                <w:tcPr>
                  <w:tcW w:w="422" w:type="pct"/>
                  <w:tcBorders>
                    <w:tl2br w:val="nil"/>
                    <w:tr2bl w:val="nil"/>
                  </w:tcBorders>
                  <w:noWrap w:val="0"/>
                  <w:vAlign w:val="center"/>
                </w:tcPr>
                <w:p w14:paraId="3EA78401">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7.64</w:t>
                  </w:r>
                </w:p>
              </w:tc>
              <w:tc>
                <w:tcPr>
                  <w:tcW w:w="487" w:type="pct"/>
                  <w:tcBorders>
                    <w:tl2br w:val="nil"/>
                    <w:tr2bl w:val="nil"/>
                  </w:tcBorders>
                  <w:noWrap w:val="0"/>
                  <w:vAlign w:val="center"/>
                </w:tcPr>
                <w:p w14:paraId="30ECC09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0.0012</w:t>
                  </w:r>
                </w:p>
              </w:tc>
              <w:tc>
                <w:tcPr>
                  <w:tcW w:w="487" w:type="pct"/>
                  <w:tcBorders>
                    <w:tl2br w:val="nil"/>
                    <w:tr2bl w:val="nil"/>
                  </w:tcBorders>
                  <w:noWrap w:val="0"/>
                  <w:vAlign w:val="center"/>
                </w:tcPr>
                <w:p w14:paraId="102FB662">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02</w:t>
                  </w:r>
                </w:p>
              </w:tc>
            </w:tr>
            <w:tr w14:paraId="1E1A3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006F8E83">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贮存方式</w:t>
                  </w:r>
                </w:p>
              </w:tc>
              <w:tc>
                <w:tcPr>
                  <w:tcW w:w="390" w:type="pct"/>
                  <w:tcBorders>
                    <w:tl2br w:val="nil"/>
                    <w:tr2bl w:val="nil"/>
                  </w:tcBorders>
                  <w:noWrap w:val="0"/>
                  <w:vAlign w:val="center"/>
                </w:tcPr>
                <w:p w14:paraId="5888B13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托架+托盘</w:t>
                  </w:r>
                </w:p>
              </w:tc>
              <w:tc>
                <w:tcPr>
                  <w:tcW w:w="294" w:type="pct"/>
                  <w:tcBorders>
                    <w:tl2br w:val="nil"/>
                    <w:tr2bl w:val="nil"/>
                  </w:tcBorders>
                  <w:noWrap w:val="0"/>
                  <w:vAlign w:val="center"/>
                </w:tcPr>
                <w:p w14:paraId="5C521823">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94" w:type="pct"/>
                  <w:tcBorders>
                    <w:tl2br w:val="nil"/>
                    <w:tr2bl w:val="nil"/>
                  </w:tcBorders>
                  <w:noWrap w:val="0"/>
                  <w:vAlign w:val="center"/>
                </w:tcPr>
                <w:p w14:paraId="01592024">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358" w:type="pct"/>
                  <w:tcBorders>
                    <w:tl2br w:val="nil"/>
                    <w:tr2bl w:val="nil"/>
                  </w:tcBorders>
                  <w:noWrap w:val="0"/>
                  <w:vAlign w:val="center"/>
                </w:tcPr>
                <w:p w14:paraId="2AA8006B">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1468" w:type="pct"/>
                  <w:gridSpan w:val="2"/>
                  <w:tcBorders>
                    <w:tl2br w:val="nil"/>
                    <w:tr2bl w:val="nil"/>
                  </w:tcBorders>
                  <w:noWrap w:val="0"/>
                  <w:vAlign w:val="center"/>
                </w:tcPr>
                <w:p w14:paraId="3081B5C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桶装</w:t>
                  </w:r>
                </w:p>
              </w:tc>
              <w:tc>
                <w:tcPr>
                  <w:tcW w:w="422" w:type="pct"/>
                  <w:tcBorders>
                    <w:tl2br w:val="nil"/>
                    <w:tr2bl w:val="nil"/>
                  </w:tcBorders>
                  <w:noWrap w:val="0"/>
                  <w:vAlign w:val="center"/>
                </w:tcPr>
                <w:p w14:paraId="5D1331B1">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托盘</w:t>
                  </w:r>
                </w:p>
              </w:tc>
              <w:tc>
                <w:tcPr>
                  <w:tcW w:w="487" w:type="pct"/>
                  <w:tcBorders>
                    <w:tl2br w:val="nil"/>
                    <w:tr2bl w:val="nil"/>
                  </w:tcBorders>
                  <w:noWrap w:val="0"/>
                  <w:vAlign w:val="center"/>
                </w:tcPr>
                <w:p w14:paraId="794C408D">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托盘</w:t>
                  </w:r>
                </w:p>
              </w:tc>
              <w:tc>
                <w:tcPr>
                  <w:tcW w:w="487" w:type="pct"/>
                  <w:tcBorders>
                    <w:tl2br w:val="nil"/>
                    <w:tr2bl w:val="nil"/>
                  </w:tcBorders>
                  <w:noWrap w:val="0"/>
                  <w:vAlign w:val="center"/>
                </w:tcPr>
                <w:p w14:paraId="717FEFE0">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桶装</w:t>
                  </w:r>
                </w:p>
              </w:tc>
            </w:tr>
            <w:tr w14:paraId="36B7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restart"/>
                  <w:tcBorders>
                    <w:tl2br w:val="nil"/>
                    <w:tr2bl w:val="nil"/>
                  </w:tcBorders>
                  <w:noWrap w:val="0"/>
                  <w:vAlign w:val="center"/>
                </w:tcPr>
                <w:p w14:paraId="411AB34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利用处置方式和去向</w:t>
                  </w:r>
                  <w:r>
                    <w:rPr>
                      <w:rFonts w:hint="default" w:ascii="Times New Roman" w:hAnsi="Times New Roman" w:cs="Times New Roman"/>
                      <w:bCs/>
                      <w:color w:val="auto"/>
                      <w:sz w:val="21"/>
                      <w:szCs w:val="21"/>
                    </w:rPr>
                    <w:t>（t/a）</w:t>
                  </w:r>
                </w:p>
              </w:tc>
              <w:tc>
                <w:tcPr>
                  <w:tcW w:w="262" w:type="pct"/>
                  <w:tcBorders>
                    <w:tl2br w:val="nil"/>
                    <w:tr2bl w:val="nil"/>
                  </w:tcBorders>
                  <w:noWrap w:val="0"/>
                  <w:vAlign w:val="center"/>
                </w:tcPr>
                <w:p w14:paraId="2256704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自行贮存量</w:t>
                  </w:r>
                </w:p>
              </w:tc>
              <w:tc>
                <w:tcPr>
                  <w:tcW w:w="390" w:type="pct"/>
                  <w:tcBorders>
                    <w:tl2br w:val="nil"/>
                    <w:tr2bl w:val="nil"/>
                  </w:tcBorders>
                  <w:noWrap w:val="0"/>
                  <w:vAlign w:val="center"/>
                </w:tcPr>
                <w:p w14:paraId="7EF6BF19">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94" w:type="pct"/>
                  <w:tcBorders>
                    <w:tl2br w:val="nil"/>
                    <w:tr2bl w:val="nil"/>
                  </w:tcBorders>
                  <w:noWrap w:val="0"/>
                  <w:vAlign w:val="center"/>
                </w:tcPr>
                <w:p w14:paraId="04D36121">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4" w:type="pct"/>
                  <w:tcBorders>
                    <w:tl2br w:val="nil"/>
                    <w:tr2bl w:val="nil"/>
                  </w:tcBorders>
                  <w:noWrap w:val="0"/>
                  <w:vAlign w:val="center"/>
                </w:tcPr>
                <w:p w14:paraId="052F2BE7">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58" w:type="pct"/>
                  <w:tcBorders>
                    <w:tl2br w:val="nil"/>
                    <w:tr2bl w:val="nil"/>
                  </w:tcBorders>
                  <w:noWrap w:val="0"/>
                  <w:vAlign w:val="center"/>
                </w:tcPr>
                <w:p w14:paraId="6D743A3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23849355">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6982FE6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22" w:type="pct"/>
                  <w:tcBorders>
                    <w:tl2br w:val="nil"/>
                    <w:tr2bl w:val="nil"/>
                  </w:tcBorders>
                  <w:noWrap w:val="0"/>
                  <w:vAlign w:val="center"/>
                </w:tcPr>
                <w:p w14:paraId="3278AA14">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115E7901">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6B6EFE4C">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9EA1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tcBorders>
                    <w:tl2br w:val="nil"/>
                    <w:tr2bl w:val="nil"/>
                  </w:tcBorders>
                  <w:noWrap w:val="0"/>
                  <w:vAlign w:val="center"/>
                </w:tcPr>
                <w:p w14:paraId="011F16C7">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62" w:type="pct"/>
                  <w:tcBorders>
                    <w:tl2br w:val="nil"/>
                    <w:tr2bl w:val="nil"/>
                  </w:tcBorders>
                  <w:noWrap w:val="0"/>
                  <w:vAlign w:val="center"/>
                </w:tcPr>
                <w:p w14:paraId="6600CE5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自行利用量</w:t>
                  </w:r>
                </w:p>
              </w:tc>
              <w:tc>
                <w:tcPr>
                  <w:tcW w:w="390" w:type="pct"/>
                  <w:tcBorders>
                    <w:tl2br w:val="nil"/>
                    <w:tr2bl w:val="nil"/>
                  </w:tcBorders>
                  <w:noWrap w:val="0"/>
                  <w:vAlign w:val="center"/>
                </w:tcPr>
                <w:p w14:paraId="3710342F">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94" w:type="pct"/>
                  <w:tcBorders>
                    <w:tl2br w:val="nil"/>
                    <w:tr2bl w:val="nil"/>
                  </w:tcBorders>
                  <w:noWrap w:val="0"/>
                  <w:vAlign w:val="center"/>
                </w:tcPr>
                <w:p w14:paraId="4126287A">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4" w:type="pct"/>
                  <w:tcBorders>
                    <w:tl2br w:val="nil"/>
                    <w:tr2bl w:val="nil"/>
                  </w:tcBorders>
                  <w:noWrap w:val="0"/>
                  <w:vAlign w:val="center"/>
                </w:tcPr>
                <w:p w14:paraId="52DDE3D7">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58" w:type="pct"/>
                  <w:tcBorders>
                    <w:tl2br w:val="nil"/>
                    <w:tr2bl w:val="nil"/>
                  </w:tcBorders>
                  <w:noWrap w:val="0"/>
                  <w:vAlign w:val="center"/>
                </w:tcPr>
                <w:p w14:paraId="75E7566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0DE2718C">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06595ED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22" w:type="pct"/>
                  <w:tcBorders>
                    <w:tl2br w:val="nil"/>
                    <w:tr2bl w:val="nil"/>
                  </w:tcBorders>
                  <w:noWrap w:val="0"/>
                  <w:vAlign w:val="center"/>
                </w:tcPr>
                <w:p w14:paraId="553DCFE3">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22799FFA">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24D4B986">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8732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tcBorders>
                    <w:tl2br w:val="nil"/>
                    <w:tr2bl w:val="nil"/>
                  </w:tcBorders>
                  <w:noWrap w:val="0"/>
                  <w:vAlign w:val="center"/>
                </w:tcPr>
                <w:p w14:paraId="1F4F1215">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62" w:type="pct"/>
                  <w:tcBorders>
                    <w:tl2br w:val="nil"/>
                    <w:tr2bl w:val="nil"/>
                  </w:tcBorders>
                  <w:noWrap w:val="0"/>
                  <w:vAlign w:val="center"/>
                </w:tcPr>
                <w:p w14:paraId="058ED1A2">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自行处置量</w:t>
                  </w:r>
                </w:p>
              </w:tc>
              <w:tc>
                <w:tcPr>
                  <w:tcW w:w="390" w:type="pct"/>
                  <w:tcBorders>
                    <w:tl2br w:val="nil"/>
                    <w:tr2bl w:val="nil"/>
                  </w:tcBorders>
                  <w:noWrap w:val="0"/>
                  <w:vAlign w:val="center"/>
                </w:tcPr>
                <w:p w14:paraId="06F7516A">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94" w:type="pct"/>
                  <w:tcBorders>
                    <w:tl2br w:val="nil"/>
                    <w:tr2bl w:val="nil"/>
                  </w:tcBorders>
                  <w:noWrap w:val="0"/>
                  <w:vAlign w:val="center"/>
                </w:tcPr>
                <w:p w14:paraId="5CDB000B">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4" w:type="pct"/>
                  <w:tcBorders>
                    <w:tl2br w:val="nil"/>
                    <w:tr2bl w:val="nil"/>
                  </w:tcBorders>
                  <w:noWrap w:val="0"/>
                  <w:vAlign w:val="center"/>
                </w:tcPr>
                <w:p w14:paraId="6FD6964A">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358" w:type="pct"/>
                  <w:tcBorders>
                    <w:tl2br w:val="nil"/>
                    <w:tr2bl w:val="nil"/>
                  </w:tcBorders>
                  <w:noWrap w:val="0"/>
                  <w:vAlign w:val="center"/>
                </w:tcPr>
                <w:p w14:paraId="730C2F3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41ADF4FA">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5F29AB4B">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22" w:type="pct"/>
                  <w:tcBorders>
                    <w:tl2br w:val="nil"/>
                    <w:tr2bl w:val="nil"/>
                  </w:tcBorders>
                  <w:noWrap w:val="0"/>
                  <w:vAlign w:val="center"/>
                </w:tcPr>
                <w:p w14:paraId="24447D5F">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49321CC5">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03ABB103">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51CF4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tcBorders>
                    <w:tl2br w:val="nil"/>
                    <w:tr2bl w:val="nil"/>
                  </w:tcBorders>
                  <w:noWrap w:val="0"/>
                  <w:vAlign w:val="center"/>
                </w:tcPr>
                <w:p w14:paraId="095F5A19">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62" w:type="pct"/>
                  <w:tcBorders>
                    <w:tl2br w:val="nil"/>
                    <w:tr2bl w:val="nil"/>
                  </w:tcBorders>
                  <w:noWrap w:val="0"/>
                  <w:vAlign w:val="center"/>
                </w:tcPr>
                <w:p w14:paraId="01AC4C58">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委托利用量</w:t>
                  </w:r>
                </w:p>
              </w:tc>
              <w:tc>
                <w:tcPr>
                  <w:tcW w:w="390" w:type="pct"/>
                  <w:tcBorders>
                    <w:tl2br w:val="nil"/>
                    <w:tr2bl w:val="nil"/>
                  </w:tcBorders>
                  <w:noWrap w:val="0"/>
                  <w:vAlign w:val="center"/>
                </w:tcPr>
                <w:p w14:paraId="16F7F6E7">
                  <w:pPr>
                    <w:pStyle w:val="174"/>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p w14:paraId="1500079F">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802</w:t>
                  </w:r>
                </w:p>
              </w:tc>
              <w:tc>
                <w:tcPr>
                  <w:tcW w:w="294" w:type="pct"/>
                  <w:tcBorders>
                    <w:tl2br w:val="nil"/>
                    <w:tr2bl w:val="nil"/>
                  </w:tcBorders>
                  <w:noWrap w:val="0"/>
                  <w:vAlign w:val="center"/>
                </w:tcPr>
                <w:p w14:paraId="6B4C5CF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3.2</w:t>
                  </w:r>
                </w:p>
              </w:tc>
              <w:tc>
                <w:tcPr>
                  <w:tcW w:w="294" w:type="pct"/>
                  <w:tcBorders>
                    <w:tl2br w:val="nil"/>
                    <w:tr2bl w:val="nil"/>
                  </w:tcBorders>
                  <w:noWrap w:val="0"/>
                  <w:vAlign w:val="center"/>
                </w:tcPr>
                <w:p w14:paraId="5D449F68">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6.7</w:t>
                  </w:r>
                </w:p>
              </w:tc>
              <w:tc>
                <w:tcPr>
                  <w:tcW w:w="358" w:type="pct"/>
                  <w:tcBorders>
                    <w:tl2br w:val="nil"/>
                    <w:tr2bl w:val="nil"/>
                  </w:tcBorders>
                  <w:noWrap w:val="0"/>
                  <w:vAlign w:val="center"/>
                </w:tcPr>
                <w:p w14:paraId="3F359268">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060546E1">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4EB3AF11">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22" w:type="pct"/>
                  <w:tcBorders>
                    <w:tl2br w:val="nil"/>
                    <w:tr2bl w:val="nil"/>
                  </w:tcBorders>
                  <w:noWrap w:val="0"/>
                  <w:vAlign w:val="center"/>
                </w:tcPr>
                <w:p w14:paraId="49C5EDDD">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4FBFABC3">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55C442F2">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3DD15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tcBorders>
                    <w:tl2br w:val="nil"/>
                    <w:tr2bl w:val="nil"/>
                  </w:tcBorders>
                  <w:noWrap w:val="0"/>
                  <w:vAlign w:val="center"/>
                </w:tcPr>
                <w:p w14:paraId="0ECBF2C4">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62" w:type="pct"/>
                  <w:tcBorders>
                    <w:tl2br w:val="nil"/>
                    <w:tr2bl w:val="nil"/>
                  </w:tcBorders>
                  <w:noWrap w:val="0"/>
                  <w:vAlign w:val="center"/>
                </w:tcPr>
                <w:p w14:paraId="30E6C8C0">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委托处置量</w:t>
                  </w:r>
                </w:p>
              </w:tc>
              <w:tc>
                <w:tcPr>
                  <w:tcW w:w="390" w:type="pct"/>
                  <w:tcBorders>
                    <w:tl2br w:val="nil"/>
                    <w:tr2bl w:val="nil"/>
                  </w:tcBorders>
                  <w:noWrap w:val="0"/>
                  <w:vAlign w:val="center"/>
                </w:tcPr>
                <w:p w14:paraId="3F80E712">
                  <w:pPr>
                    <w:pStyle w:val="174"/>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94" w:type="pct"/>
                  <w:tcBorders>
                    <w:tl2br w:val="nil"/>
                    <w:tr2bl w:val="nil"/>
                  </w:tcBorders>
                  <w:noWrap w:val="0"/>
                  <w:vAlign w:val="center"/>
                </w:tcPr>
                <w:p w14:paraId="6EB1E112">
                  <w:pPr>
                    <w:pStyle w:val="174"/>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94" w:type="pct"/>
                  <w:tcBorders>
                    <w:tl2br w:val="nil"/>
                    <w:tr2bl w:val="nil"/>
                  </w:tcBorders>
                  <w:noWrap w:val="0"/>
                  <w:vAlign w:val="center"/>
                </w:tcPr>
                <w:p w14:paraId="666485D3">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358" w:type="pct"/>
                  <w:tcBorders>
                    <w:tl2br w:val="nil"/>
                    <w:tr2bl w:val="nil"/>
                  </w:tcBorders>
                  <w:noWrap w:val="0"/>
                  <w:vAlign w:val="center"/>
                </w:tcPr>
                <w:p w14:paraId="5693AA89">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734" w:type="pct"/>
                  <w:tcBorders>
                    <w:tl2br w:val="nil"/>
                    <w:tr2bl w:val="nil"/>
                  </w:tcBorders>
                  <w:noWrap w:val="0"/>
                  <w:vAlign w:val="center"/>
                </w:tcPr>
                <w:p w14:paraId="457F2A6D">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r>
                    <w:rPr>
                      <w:rFonts w:hint="eastAsia" w:cs="Times New Roman"/>
                      <w:b w:val="0"/>
                      <w:bCs/>
                      <w:color w:val="auto"/>
                      <w:sz w:val="21"/>
                      <w:szCs w:val="21"/>
                      <w:lang w:val="en-US" w:eastAsia="zh-CN"/>
                    </w:rPr>
                    <w:t>46</w:t>
                  </w:r>
                </w:p>
              </w:tc>
              <w:tc>
                <w:tcPr>
                  <w:tcW w:w="734" w:type="pct"/>
                  <w:tcBorders>
                    <w:tl2br w:val="nil"/>
                    <w:tr2bl w:val="nil"/>
                  </w:tcBorders>
                  <w:noWrap w:val="0"/>
                  <w:vAlign w:val="center"/>
                </w:tcPr>
                <w:p w14:paraId="59864683">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0.02</w:t>
                  </w:r>
                </w:p>
              </w:tc>
              <w:tc>
                <w:tcPr>
                  <w:tcW w:w="422" w:type="pct"/>
                  <w:tcBorders>
                    <w:tl2br w:val="nil"/>
                    <w:tr2bl w:val="nil"/>
                  </w:tcBorders>
                  <w:noWrap w:val="0"/>
                  <w:vAlign w:val="center"/>
                </w:tcPr>
                <w:p w14:paraId="5053157C">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7.64</w:t>
                  </w:r>
                </w:p>
              </w:tc>
              <w:tc>
                <w:tcPr>
                  <w:tcW w:w="487" w:type="pct"/>
                  <w:tcBorders>
                    <w:tl2br w:val="nil"/>
                    <w:tr2bl w:val="nil"/>
                  </w:tcBorders>
                  <w:noWrap w:val="0"/>
                  <w:vAlign w:val="center"/>
                </w:tcPr>
                <w:p w14:paraId="6583E5D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0.0012</w:t>
                  </w:r>
                </w:p>
              </w:tc>
              <w:tc>
                <w:tcPr>
                  <w:tcW w:w="487" w:type="pct"/>
                  <w:tcBorders>
                    <w:tl2br w:val="nil"/>
                    <w:tr2bl w:val="nil"/>
                  </w:tcBorders>
                  <w:noWrap w:val="0"/>
                  <w:vAlign w:val="center"/>
                </w:tcPr>
                <w:p w14:paraId="32A6FB28">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02</w:t>
                  </w:r>
                </w:p>
              </w:tc>
            </w:tr>
            <w:tr w14:paraId="3C35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pct"/>
                  <w:vMerge w:val="continue"/>
                  <w:tcBorders>
                    <w:tl2br w:val="nil"/>
                    <w:tr2bl w:val="nil"/>
                  </w:tcBorders>
                  <w:noWrap w:val="0"/>
                  <w:vAlign w:val="center"/>
                </w:tcPr>
                <w:p w14:paraId="52F13B6A">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262" w:type="pct"/>
                  <w:tcBorders>
                    <w:tl2br w:val="nil"/>
                    <w:tr2bl w:val="nil"/>
                  </w:tcBorders>
                  <w:noWrap w:val="0"/>
                  <w:vAlign w:val="center"/>
                </w:tcPr>
                <w:p w14:paraId="1FA84D97">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排放量</w:t>
                  </w:r>
                </w:p>
              </w:tc>
              <w:tc>
                <w:tcPr>
                  <w:tcW w:w="390" w:type="pct"/>
                  <w:tcBorders>
                    <w:tl2br w:val="nil"/>
                    <w:tr2bl w:val="nil"/>
                  </w:tcBorders>
                  <w:noWrap w:val="0"/>
                  <w:vAlign w:val="center"/>
                </w:tcPr>
                <w:p w14:paraId="76C8BF8C">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c>
                <w:tcPr>
                  <w:tcW w:w="294" w:type="pct"/>
                  <w:tcBorders>
                    <w:tl2br w:val="nil"/>
                    <w:tr2bl w:val="nil"/>
                  </w:tcBorders>
                  <w:noWrap w:val="0"/>
                  <w:vAlign w:val="center"/>
                </w:tcPr>
                <w:p w14:paraId="2CF400FD">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294" w:type="pct"/>
                  <w:tcBorders>
                    <w:tl2br w:val="nil"/>
                    <w:tr2bl w:val="nil"/>
                  </w:tcBorders>
                  <w:noWrap w:val="0"/>
                  <w:vAlign w:val="center"/>
                </w:tcPr>
                <w:p w14:paraId="58E0DFD2">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358" w:type="pct"/>
                  <w:tcBorders>
                    <w:tl2br w:val="nil"/>
                    <w:tr2bl w:val="nil"/>
                  </w:tcBorders>
                  <w:noWrap w:val="0"/>
                  <w:vAlign w:val="center"/>
                </w:tcPr>
                <w:p w14:paraId="636733E1">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734" w:type="pct"/>
                  <w:tcBorders>
                    <w:tl2br w:val="nil"/>
                    <w:tr2bl w:val="nil"/>
                  </w:tcBorders>
                  <w:noWrap w:val="0"/>
                  <w:vAlign w:val="center"/>
                </w:tcPr>
                <w:p w14:paraId="4C537E6C">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734" w:type="pct"/>
                  <w:tcBorders>
                    <w:tl2br w:val="nil"/>
                    <w:tr2bl w:val="nil"/>
                  </w:tcBorders>
                  <w:noWrap w:val="0"/>
                  <w:vAlign w:val="center"/>
                </w:tcPr>
                <w:p w14:paraId="47B70B90">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22" w:type="pct"/>
                  <w:tcBorders>
                    <w:tl2br w:val="nil"/>
                    <w:tr2bl w:val="nil"/>
                  </w:tcBorders>
                  <w:noWrap w:val="0"/>
                  <w:vAlign w:val="center"/>
                </w:tcPr>
                <w:p w14:paraId="5C2A2A5C">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427A23A2">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c>
                <w:tcPr>
                  <w:tcW w:w="487" w:type="pct"/>
                  <w:tcBorders>
                    <w:tl2br w:val="nil"/>
                    <w:tr2bl w:val="nil"/>
                  </w:tcBorders>
                  <w:noWrap w:val="0"/>
                  <w:vAlign w:val="center"/>
                </w:tcPr>
                <w:p w14:paraId="5ACD8B4E">
                  <w:pPr>
                    <w:pStyle w:val="174"/>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p>
              </w:tc>
            </w:tr>
            <w:tr w14:paraId="27737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gridSpan w:val="2"/>
                  <w:tcBorders>
                    <w:tl2br w:val="nil"/>
                    <w:tr2bl w:val="nil"/>
                  </w:tcBorders>
                  <w:noWrap w:val="0"/>
                  <w:vAlign w:val="center"/>
                </w:tcPr>
                <w:p w14:paraId="50DD8C15">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委托单位名称</w:t>
                  </w:r>
                </w:p>
              </w:tc>
              <w:tc>
                <w:tcPr>
                  <w:tcW w:w="1337" w:type="pct"/>
                  <w:gridSpan w:val="4"/>
                  <w:tcBorders>
                    <w:tl2br w:val="nil"/>
                    <w:tr2bl w:val="nil"/>
                  </w:tcBorders>
                  <w:noWrap w:val="0"/>
                  <w:vAlign w:val="center"/>
                </w:tcPr>
                <w:p w14:paraId="6EFF352D">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外售</w:t>
                  </w:r>
                </w:p>
              </w:tc>
              <w:tc>
                <w:tcPr>
                  <w:tcW w:w="2866" w:type="pct"/>
                  <w:gridSpan w:val="5"/>
                  <w:tcBorders>
                    <w:tl2br w:val="nil"/>
                    <w:tr2bl w:val="nil"/>
                  </w:tcBorders>
                  <w:noWrap w:val="0"/>
                  <w:vAlign w:val="center"/>
                </w:tcPr>
                <w:p w14:paraId="7C18A376">
                  <w:pPr>
                    <w:pStyle w:val="174"/>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危险废物暂存危废间</w:t>
                  </w:r>
                  <w:r>
                    <w:rPr>
                      <w:rFonts w:hint="eastAsia" w:ascii="Times New Roman" w:hAnsi="Times New Roman" w:cs="Times New Roman"/>
                      <w:b w:val="0"/>
                      <w:bCs/>
                      <w:color w:val="auto"/>
                      <w:sz w:val="21"/>
                      <w:szCs w:val="21"/>
                      <w:lang w:val="en-US" w:eastAsia="zh-CN"/>
                    </w:rPr>
                    <w:t>交由</w:t>
                  </w:r>
                  <w:r>
                    <w:rPr>
                      <w:rFonts w:hint="default" w:ascii="Times New Roman" w:hAnsi="Times New Roman" w:cs="Times New Roman"/>
                      <w:b w:val="0"/>
                      <w:bCs/>
                      <w:color w:val="auto"/>
                      <w:sz w:val="21"/>
                      <w:szCs w:val="21"/>
                      <w:lang w:val="en-US"/>
                    </w:rPr>
                    <w:t>危废处理资质单位处理</w:t>
                  </w:r>
                </w:p>
              </w:tc>
            </w:tr>
          </w:tbl>
          <w:p w14:paraId="0464E31C">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固体废物环境影响分析</w:t>
            </w:r>
          </w:p>
          <w:p w14:paraId="010EA0FF">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项目固体废弃物主要为</w:t>
            </w:r>
            <w:r>
              <w:rPr>
                <w:rFonts w:hint="default" w:ascii="Times New Roman" w:hAnsi="Times New Roman" w:cs="Times New Roman"/>
                <w:color w:val="auto"/>
                <w:sz w:val="24"/>
                <w:szCs w:val="28"/>
                <w:lang w:eastAsia="zh-CN"/>
              </w:rPr>
              <w:t>一般固废（</w:t>
            </w:r>
            <w:r>
              <w:rPr>
                <w:rFonts w:hint="default" w:ascii="Times New Roman" w:hAnsi="Times New Roman" w:cs="Times New Roman"/>
                <w:color w:val="auto"/>
                <w:sz w:val="24"/>
                <w:szCs w:val="28"/>
              </w:rPr>
              <w:t>废边角料金属屑</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、危险废物</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污泥、</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、废油桶、废含油抹布、手套）</w:t>
            </w:r>
            <w:r>
              <w:rPr>
                <w:rFonts w:hint="default" w:ascii="Times New Roman" w:hAnsi="Times New Roman" w:cs="Times New Roman"/>
                <w:color w:val="auto"/>
                <w:sz w:val="24"/>
                <w:szCs w:val="28"/>
              </w:rPr>
              <w:t>。</w:t>
            </w:r>
          </w:p>
          <w:p w14:paraId="6BEF9BF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lang w:eastAsia="zh-CN" w:bidi="ar"/>
              </w:rPr>
              <w:t>一般固废</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废边角料、金属屑</w:t>
            </w:r>
            <w:r>
              <w:rPr>
                <w:rFonts w:hint="eastAsia" w:ascii="Times New Roman" w:hAnsi="Times New Roman" w:cs="Times New Roman"/>
                <w:color w:val="auto"/>
                <w:sz w:val="24"/>
                <w:szCs w:val="28"/>
                <w:lang w:eastAsia="zh-CN"/>
              </w:rPr>
              <w:t>、废钢丸、</w:t>
            </w:r>
            <w:r>
              <w:rPr>
                <w:rFonts w:hint="eastAsia" w:ascii="Times New Roman" w:hAnsi="Times New Roman" w:cs="Times New Roman"/>
                <w:color w:val="auto"/>
                <w:sz w:val="24"/>
                <w:szCs w:val="28"/>
                <w:lang w:val="en-US" w:eastAsia="zh-CN"/>
              </w:rPr>
              <w:t>收尘灰、废粉</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eastAsia="zh-CN"/>
              </w:rPr>
              <w:t>暂存一般固废暂存区后定期外售物资回收单位综合利用；</w:t>
            </w:r>
            <w:r>
              <w:rPr>
                <w:rFonts w:hint="default" w:ascii="Times New Roman" w:hAnsi="Times New Roman" w:cs="Times New Roman"/>
                <w:color w:val="auto"/>
                <w:sz w:val="24"/>
                <w:lang w:bidi="ar"/>
              </w:rPr>
              <w:t>危险废物</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污泥、</w:t>
            </w:r>
            <w:r>
              <w:rPr>
                <w:rFonts w:hint="default" w:ascii="Times New Roman" w:hAnsi="Times New Roman" w:cs="Times New Roman"/>
                <w:color w:val="auto"/>
                <w:sz w:val="24"/>
                <w:szCs w:val="28"/>
                <w:lang w:eastAsia="zh-CN"/>
              </w:rPr>
              <w:t>废</w:t>
            </w:r>
            <w:r>
              <w:rPr>
                <w:rFonts w:hint="eastAsia"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、废油桶、废含油抹布、手套）</w:t>
            </w:r>
            <w:r>
              <w:rPr>
                <w:rFonts w:hint="default" w:ascii="Times New Roman" w:hAnsi="Times New Roman" w:cs="Times New Roman"/>
                <w:color w:val="auto"/>
                <w:sz w:val="24"/>
                <w:lang w:bidi="ar"/>
              </w:rPr>
              <w:t>暂存于</w:t>
            </w:r>
            <w:r>
              <w:rPr>
                <w:rFonts w:hint="default" w:ascii="Times New Roman" w:hAnsi="Times New Roman" w:cs="Times New Roman"/>
                <w:bCs/>
                <w:color w:val="auto"/>
                <w:sz w:val="24"/>
                <w:lang w:bidi="ar"/>
              </w:rPr>
              <w:t>危废暂存间，定期交由</w:t>
            </w:r>
            <w:r>
              <w:rPr>
                <w:rFonts w:hint="eastAsia" w:ascii="Times New Roman" w:hAnsi="Times New Roman" w:cs="Times New Roman"/>
                <w:bCs/>
                <w:color w:val="auto"/>
                <w:sz w:val="24"/>
                <w:lang w:eastAsia="zh-CN" w:bidi="ar"/>
              </w:rPr>
              <w:t>宝鸡明瑞昕盛环保科技有限公司</w:t>
            </w:r>
            <w:r>
              <w:rPr>
                <w:rFonts w:hint="default" w:ascii="Times New Roman" w:hAnsi="Times New Roman" w:cs="Times New Roman"/>
                <w:bCs/>
                <w:color w:val="auto"/>
                <w:sz w:val="24"/>
                <w:lang w:eastAsia="zh-CN" w:bidi="ar"/>
              </w:rPr>
              <w:t>清运</w:t>
            </w:r>
            <w:r>
              <w:rPr>
                <w:rFonts w:hint="default" w:ascii="Times New Roman" w:hAnsi="Times New Roman" w:cs="Times New Roman"/>
                <w:bCs/>
                <w:color w:val="auto"/>
                <w:sz w:val="24"/>
                <w:lang w:bidi="ar"/>
              </w:rPr>
              <w:t>处理</w:t>
            </w:r>
            <w:r>
              <w:rPr>
                <w:rFonts w:hint="eastAsia" w:cs="Times New Roman"/>
                <w:bCs/>
                <w:color w:val="auto"/>
                <w:sz w:val="24"/>
                <w:lang w:eastAsia="zh-CN" w:bidi="ar"/>
              </w:rPr>
              <w:t>，</w:t>
            </w:r>
            <w:r>
              <w:rPr>
                <w:rFonts w:hint="eastAsia" w:cs="Times New Roman"/>
                <w:bCs/>
                <w:color w:val="auto"/>
                <w:sz w:val="24"/>
                <w:lang w:val="en-US" w:eastAsia="zh-CN" w:bidi="ar"/>
              </w:rPr>
              <w:t>及时与资质单位签订危废处置补充协议，将本次新增危险废物纳入处置范围内</w:t>
            </w:r>
            <w:r>
              <w:rPr>
                <w:rFonts w:hint="default" w:ascii="Times New Roman" w:hAnsi="Times New Roman" w:eastAsia="宋体" w:cs="Times New Roman"/>
                <w:color w:val="auto"/>
                <w:sz w:val="24"/>
                <w:szCs w:val="22"/>
                <w:lang w:eastAsia="zh-CN"/>
              </w:rPr>
              <w:t>。</w:t>
            </w:r>
          </w:p>
          <w:p w14:paraId="26EADAFD">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固体废物暂存可依托性分析</w:t>
            </w:r>
          </w:p>
          <w:p w14:paraId="0CC0D38D">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本项目一般固废及危险废物均依托原有项目一般固废暂存区和危废暂存间。</w:t>
            </w:r>
          </w:p>
          <w:p w14:paraId="44608725">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①一般固废暂存区可依托性分析</w:t>
            </w:r>
          </w:p>
          <w:p w14:paraId="444AF24C">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原有项目一般固废暂存区位于厂房内，占地面积</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eastAsia="zh-CN"/>
              </w:rPr>
              <w:t>地面已水泥硬化，并张贴了一般固废的标识、标签，最大储存量可达</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lang w:val="en-US" w:eastAsia="zh-CN"/>
              </w:rPr>
              <w:t>t/次，原有项目一般固废产生量</w:t>
            </w:r>
            <w:r>
              <w:rPr>
                <w:rFonts w:hint="eastAsia" w:ascii="Times New Roman" w:hAnsi="Times New Roman" w:eastAsia="宋体" w:cs="Times New Roman"/>
                <w:color w:val="auto"/>
                <w:sz w:val="24"/>
                <w:lang w:val="en-US" w:eastAsia="zh-CN"/>
              </w:rPr>
              <w:t>约</w:t>
            </w:r>
            <w:r>
              <w:rPr>
                <w:rFonts w:hint="default" w:ascii="Times New Roman" w:hAnsi="Times New Roman" w:eastAsia="宋体" w:cs="Times New Roman"/>
                <w:color w:val="auto"/>
                <w:sz w:val="24"/>
                <w:lang w:val="en-US" w:eastAsia="zh-CN"/>
              </w:rPr>
              <w:t>为</w:t>
            </w:r>
            <w:r>
              <w:rPr>
                <w:rFonts w:hint="eastAsia" w:ascii="Times New Roman" w:hAnsi="Times New Roman" w:eastAsia="宋体" w:cs="Times New Roman"/>
                <w:color w:val="auto"/>
                <w:sz w:val="24"/>
                <w:lang w:val="en-US" w:eastAsia="zh-CN"/>
              </w:rPr>
              <w:t>4.1</w:t>
            </w:r>
            <w:r>
              <w:rPr>
                <w:rFonts w:hint="default" w:ascii="Times New Roman" w:hAnsi="Times New Roman" w:eastAsia="宋体" w:cs="Times New Roman"/>
                <w:color w:val="auto"/>
                <w:sz w:val="24"/>
                <w:lang w:val="en-US" w:eastAsia="zh-CN"/>
              </w:rPr>
              <w:t>t/a，本次新增一般固废量约为</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lang w:val="en-US" w:eastAsia="zh-CN"/>
              </w:rPr>
              <w:t>t/a，一般固废均会</w:t>
            </w:r>
            <w:r>
              <w:rPr>
                <w:rFonts w:hint="eastAsia" w:ascii="Times New Roman" w:hAnsi="Times New Roman" w:eastAsia="宋体" w:cs="Times New Roman"/>
                <w:color w:val="auto"/>
                <w:sz w:val="24"/>
                <w:lang w:val="en-US" w:eastAsia="zh-CN"/>
              </w:rPr>
              <w:t>及时</w:t>
            </w:r>
            <w:r>
              <w:rPr>
                <w:rFonts w:hint="default" w:ascii="Times New Roman" w:hAnsi="Times New Roman" w:eastAsia="宋体" w:cs="Times New Roman"/>
                <w:color w:val="auto"/>
                <w:sz w:val="24"/>
                <w:lang w:val="en-US" w:eastAsia="zh-CN"/>
              </w:rPr>
              <w:t>清运处置，且产生频次及时间不同，故原有一般固废暂存区可满足扩建后整体项目产生的一般固废暂存量，可依托；</w:t>
            </w:r>
          </w:p>
          <w:p w14:paraId="1B145B5C">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②危废暂存间可依托性分析</w:t>
            </w:r>
          </w:p>
          <w:p w14:paraId="657DAF9E">
            <w:pPr>
              <w:keepNext/>
              <w:keepLines/>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kern w:val="0"/>
                <w:sz w:val="24"/>
                <w:lang w:eastAsia="zh-CN"/>
              </w:rPr>
            </w:pPr>
            <w:r>
              <w:rPr>
                <w:rFonts w:hint="eastAsia" w:ascii="Times New Roman" w:hAnsi="Times New Roman" w:cs="Times New Roman"/>
                <w:b/>
                <w:bCs/>
                <w:color w:val="auto"/>
                <w:kern w:val="0"/>
                <w:sz w:val="24"/>
                <w:lang w:val="en-US" w:eastAsia="zh-CN"/>
              </w:rPr>
              <w:t>危废间收集建设可依托性：</w:t>
            </w:r>
            <w:r>
              <w:rPr>
                <w:rFonts w:hint="eastAsia" w:ascii="Times New Roman" w:hAnsi="Times New Roman" w:eastAsia="宋体" w:cs="Times New Roman"/>
                <w:color w:val="auto"/>
                <w:kern w:val="0"/>
                <w:sz w:val="24"/>
                <w:lang w:val="en-US" w:eastAsia="zh-CN"/>
              </w:rPr>
              <w:t>原有危废间</w:t>
            </w:r>
            <w:r>
              <w:rPr>
                <w:rFonts w:hint="default" w:ascii="Times New Roman" w:hAnsi="Times New Roman" w:eastAsia="宋体" w:cs="Times New Roman"/>
                <w:color w:val="auto"/>
                <w:kern w:val="0"/>
                <w:sz w:val="24"/>
                <w:lang w:val="en-US" w:eastAsia="zh-CN"/>
              </w:rPr>
              <w:t>危废的收</w:t>
            </w:r>
            <w:r>
              <w:rPr>
                <w:rFonts w:hint="default" w:ascii="Times New Roman" w:hAnsi="Times New Roman" w:cs="Times New Roman"/>
                <w:color w:val="auto"/>
                <w:kern w:val="0"/>
                <w:sz w:val="24"/>
                <w:lang w:val="en-US" w:eastAsia="zh-CN"/>
              </w:rPr>
              <w:t>集、贮存</w:t>
            </w:r>
            <w:r>
              <w:rPr>
                <w:rFonts w:hint="eastAsia" w:ascii="Times New Roman" w:hAnsi="Times New Roman" w:cs="Times New Roman"/>
                <w:color w:val="auto"/>
                <w:kern w:val="0"/>
                <w:sz w:val="24"/>
                <w:lang w:val="en-US" w:eastAsia="zh-CN"/>
              </w:rPr>
              <w:t>要求严格</w:t>
            </w:r>
            <w:r>
              <w:rPr>
                <w:rFonts w:hint="default" w:ascii="Times New Roman" w:hAnsi="Times New Roman" w:cs="Times New Roman"/>
                <w:color w:val="auto"/>
                <w:kern w:val="0"/>
                <w:sz w:val="24"/>
                <w:lang w:val="en-US" w:eastAsia="zh-CN"/>
              </w:rPr>
              <w:t>按《</w:t>
            </w:r>
            <w:r>
              <w:rPr>
                <w:rFonts w:hint="eastAsia" w:ascii="Times New Roman" w:hAnsi="Times New Roman" w:cs="Times New Roman"/>
                <w:color w:val="auto"/>
                <w:kern w:val="0"/>
                <w:sz w:val="24"/>
                <w:lang w:val="en-US" w:eastAsia="zh-CN"/>
              </w:rPr>
              <w:t>危险废物收集 贮存 运输技术规范</w:t>
            </w:r>
            <w:r>
              <w:rPr>
                <w:rFonts w:hint="default" w:ascii="Times New Roman" w:hAnsi="Times New Roman" w:cs="Times New Roman"/>
                <w:color w:val="auto"/>
                <w:kern w:val="0"/>
                <w:sz w:val="24"/>
                <w:lang w:val="en-US" w:eastAsia="zh-CN"/>
              </w:rPr>
              <w:t>》（HJ2025-2012）及《危险废物贮存污染控制标准》（GB18597-20</w:t>
            </w:r>
            <w:r>
              <w:rPr>
                <w:rFonts w:hint="eastAsia" w:ascii="Times New Roman" w:hAnsi="Times New Roman" w:cs="Times New Roman"/>
                <w:color w:val="auto"/>
                <w:kern w:val="0"/>
                <w:sz w:val="24"/>
                <w:lang w:val="en-US" w:eastAsia="zh-CN"/>
              </w:rPr>
              <w:t>23</w:t>
            </w:r>
            <w:r>
              <w:rPr>
                <w:rFonts w:hint="default" w:ascii="Times New Roman" w:hAnsi="Times New Roman" w:cs="Times New Roman"/>
                <w:color w:val="auto"/>
                <w:kern w:val="0"/>
                <w:sz w:val="24"/>
                <w:lang w:val="en-US" w:eastAsia="zh-CN"/>
              </w:rPr>
              <w:t>）及修改单中相关规定</w:t>
            </w:r>
            <w:r>
              <w:rPr>
                <w:rFonts w:hint="eastAsia" w:ascii="Times New Roman" w:hAnsi="Times New Roman" w:cs="Times New Roman"/>
                <w:color w:val="auto"/>
                <w:kern w:val="0"/>
                <w:sz w:val="24"/>
                <w:lang w:val="en-US" w:eastAsia="zh-CN"/>
              </w:rPr>
              <w:t>整改</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sz w:val="24"/>
                <w:lang w:val="en-US" w:eastAsia="zh-CN"/>
              </w:rPr>
              <w:t>地面水泥硬化并涂防渗漆</w:t>
            </w:r>
            <w:r>
              <w:rPr>
                <w:rFonts w:hint="default" w:ascii="Times New Roman" w:hAnsi="Times New Roman" w:eastAsia="宋体" w:cs="Times New Roman"/>
                <w:color w:val="auto"/>
                <w:sz w:val="24"/>
                <w:lang w:eastAsia="zh-CN"/>
              </w:rPr>
              <w:t>（等效黏土防渗层Mb≥6m，K≤1×10</w:t>
            </w:r>
            <w:r>
              <w:rPr>
                <w:rFonts w:hint="default" w:ascii="Times New Roman" w:hAnsi="Times New Roman" w:eastAsia="宋体" w:cs="Times New Roman"/>
                <w:color w:val="auto"/>
                <w:sz w:val="24"/>
                <w:vertAlign w:val="superscript"/>
                <w:lang w:eastAsia="zh-CN"/>
              </w:rPr>
              <w:t>-7</w:t>
            </w:r>
            <w:r>
              <w:rPr>
                <w:rFonts w:hint="default" w:ascii="Times New Roman" w:hAnsi="Times New Roman" w:eastAsia="宋体" w:cs="Times New Roman"/>
                <w:color w:val="auto"/>
                <w:sz w:val="24"/>
                <w:lang w:eastAsia="zh-CN"/>
              </w:rPr>
              <w:t>cm/s）</w:t>
            </w:r>
            <w:r>
              <w:rPr>
                <w:rFonts w:hint="default" w:ascii="Times New Roman" w:hAnsi="Times New Roman" w:eastAsia="宋体" w:cs="Times New Roman"/>
                <w:color w:val="auto"/>
                <w:sz w:val="24"/>
                <w:lang w:val="en-US" w:eastAsia="zh-CN"/>
              </w:rPr>
              <w:t>，盛装容器底部均设置防渗托盘，</w:t>
            </w:r>
            <w:r>
              <w:rPr>
                <w:rFonts w:hint="eastAsia" w:ascii="Times New Roman" w:hAnsi="Times New Roman" w:eastAsia="宋体" w:cs="Times New Roman"/>
                <w:color w:val="auto"/>
                <w:sz w:val="24"/>
                <w:lang w:val="en-US" w:eastAsia="zh-CN"/>
              </w:rPr>
              <w:t>进行危废台账实时记录，需</w:t>
            </w:r>
            <w:r>
              <w:rPr>
                <w:rFonts w:hint="eastAsia" w:ascii="Times New Roman" w:hAnsi="Times New Roman" w:cs="Times New Roman"/>
                <w:color w:val="auto"/>
                <w:kern w:val="0"/>
                <w:sz w:val="24"/>
                <w:lang w:val="en-US" w:eastAsia="zh-CN"/>
              </w:rPr>
              <w:t>补充</w:t>
            </w:r>
            <w:r>
              <w:rPr>
                <w:rFonts w:hint="default" w:ascii="Times New Roman" w:hAnsi="Times New Roman" w:eastAsia="宋体" w:cs="Times New Roman"/>
                <w:color w:val="auto"/>
                <w:sz w:val="24"/>
                <w:lang w:val="en-US" w:eastAsia="zh-CN"/>
              </w:rPr>
              <w:t>张贴危废标识、标签和管理制度，</w:t>
            </w:r>
            <w:r>
              <w:rPr>
                <w:rFonts w:hint="eastAsia" w:ascii="Times New Roman" w:hAnsi="Times New Roman" w:eastAsia="宋体" w:cs="Times New Roman"/>
                <w:color w:val="auto"/>
                <w:sz w:val="24"/>
                <w:lang w:val="en-US" w:eastAsia="zh-CN"/>
              </w:rPr>
              <w:t>并</w:t>
            </w:r>
            <w:r>
              <w:rPr>
                <w:rFonts w:hint="default" w:ascii="Times New Roman" w:hAnsi="Times New Roman" w:eastAsia="宋体" w:cs="Times New Roman"/>
                <w:color w:val="auto"/>
                <w:sz w:val="24"/>
                <w:lang w:val="en-US" w:eastAsia="zh-CN"/>
              </w:rPr>
              <w:t>对</w:t>
            </w:r>
            <w:r>
              <w:rPr>
                <w:rFonts w:hint="default" w:ascii="Times New Roman" w:hAnsi="Times New Roman" w:cs="Times New Roman"/>
                <w:color w:val="auto"/>
                <w:kern w:val="0"/>
                <w:sz w:val="24"/>
                <w:lang w:val="en-US" w:eastAsia="zh-CN"/>
              </w:rPr>
              <w:t>危废处理协议进行内容补充</w:t>
            </w:r>
            <w:r>
              <w:rPr>
                <w:rFonts w:hint="eastAsia" w:ascii="Times New Roman" w:hAnsi="Times New Roman" w:cs="Times New Roman"/>
                <w:color w:val="auto"/>
                <w:kern w:val="0"/>
                <w:sz w:val="24"/>
                <w:lang w:val="en-US" w:eastAsia="zh-CN"/>
              </w:rPr>
              <w:t>后可依托，</w:t>
            </w:r>
          </w:p>
          <w:p w14:paraId="34138646">
            <w:pPr>
              <w:keepNext/>
              <w:keepLines/>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rPr>
            </w:pPr>
            <w:r>
              <w:rPr>
                <w:rFonts w:hint="eastAsia" w:ascii="Times New Roman" w:hAnsi="Times New Roman" w:eastAsia="宋体" w:cs="Times New Roman"/>
                <w:b/>
                <w:bCs/>
                <w:color w:val="auto"/>
                <w:sz w:val="24"/>
                <w:lang w:val="en-US" w:eastAsia="zh-CN"/>
              </w:rPr>
              <w:t>危废间容量可依托性：</w:t>
            </w:r>
            <w:r>
              <w:rPr>
                <w:rFonts w:hint="default" w:ascii="Times New Roman" w:hAnsi="Times New Roman" w:cs="Times New Roman"/>
                <w:color w:val="auto"/>
                <w:kern w:val="0"/>
                <w:sz w:val="24"/>
                <w:lang w:eastAsia="zh-CN"/>
              </w:rPr>
              <w:t>原有项目危废暂存间占地面积</w:t>
            </w:r>
            <w:r>
              <w:rPr>
                <w:rFonts w:hint="eastAsia" w:ascii="Times New Roman" w:hAnsi="Times New Roman" w:cs="Times New Roman"/>
                <w:color w:val="auto"/>
                <w:kern w:val="0"/>
                <w:sz w:val="24"/>
                <w:lang w:val="en-US" w:eastAsia="zh-CN"/>
              </w:rPr>
              <w:t>12</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sz w:val="24"/>
                <w:lang w:val="en-US" w:eastAsia="zh-CN"/>
              </w:rPr>
              <w:t>最大储存量可达</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t/次，原有项目危废产生量</w:t>
            </w:r>
            <w:r>
              <w:rPr>
                <w:rFonts w:hint="eastAsia" w:ascii="Times New Roman" w:hAnsi="Times New Roman" w:eastAsia="宋体" w:cs="Times New Roman"/>
                <w:color w:val="auto"/>
                <w:sz w:val="24"/>
                <w:lang w:val="en-US" w:eastAsia="zh-CN"/>
              </w:rPr>
              <w:t>约</w:t>
            </w:r>
            <w:r>
              <w:rPr>
                <w:rFonts w:hint="default" w:ascii="Times New Roman" w:hAnsi="Times New Roman" w:eastAsia="宋体" w:cs="Times New Roman"/>
                <w:color w:val="auto"/>
                <w:sz w:val="24"/>
                <w:lang w:val="en-US" w:eastAsia="zh-CN"/>
              </w:rPr>
              <w:t>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t/a，本次新增危废产生量为</w:t>
            </w:r>
            <w:r>
              <w:rPr>
                <w:rFonts w:hint="eastAsia" w:cs="Times New Roman"/>
                <w:color w:val="auto"/>
                <w:sz w:val="24"/>
                <w:lang w:val="en-US" w:eastAsia="zh-CN"/>
              </w:rPr>
              <w:t>8.02</w:t>
            </w:r>
            <w:r>
              <w:rPr>
                <w:rFonts w:hint="default" w:ascii="Times New Roman" w:hAnsi="Times New Roman" w:eastAsia="宋体" w:cs="Times New Roman"/>
                <w:color w:val="auto"/>
                <w:sz w:val="24"/>
                <w:lang w:val="en-US" w:eastAsia="zh-CN"/>
              </w:rPr>
              <w:t>t/a，危废均会定期清运处置，且产生频次及时间不同，故原有项目危废暂存间可满足</w:t>
            </w:r>
            <w:r>
              <w:rPr>
                <w:rFonts w:hint="eastAsia" w:cs="Times New Roman"/>
                <w:color w:val="auto"/>
                <w:sz w:val="24"/>
                <w:lang w:val="en-US" w:eastAsia="zh-CN"/>
              </w:rPr>
              <w:t>建成</w:t>
            </w:r>
            <w:r>
              <w:rPr>
                <w:rFonts w:hint="default" w:ascii="Times New Roman" w:hAnsi="Times New Roman" w:eastAsia="宋体" w:cs="Times New Roman"/>
                <w:color w:val="auto"/>
                <w:sz w:val="24"/>
                <w:lang w:val="en-US" w:eastAsia="zh-CN"/>
              </w:rPr>
              <w:t>后整体项目产生的危废暂存量，可依托。</w:t>
            </w:r>
          </w:p>
          <w:p w14:paraId="114B5D56">
            <w:pPr>
              <w:keepNext/>
              <w:keepLines/>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本次新增污染物种类需</w:t>
            </w:r>
            <w:r>
              <w:rPr>
                <w:rFonts w:hint="eastAsia" w:cs="Times New Roman"/>
                <w:color w:val="auto"/>
                <w:sz w:val="24"/>
                <w:lang w:val="en-US" w:eastAsia="zh-CN"/>
              </w:rPr>
              <w:t>在</w:t>
            </w:r>
            <w:r>
              <w:rPr>
                <w:rFonts w:hint="default" w:ascii="Times New Roman" w:hAnsi="Times New Roman" w:cs="Times New Roman"/>
                <w:color w:val="auto"/>
                <w:kern w:val="0"/>
                <w:sz w:val="24"/>
                <w:lang w:val="en-US" w:eastAsia="zh-CN"/>
              </w:rPr>
              <w:t>本项目运行后应根据排污许可证的相关要求进行排污申报、提交转移计划、做好台账记录、执行联单制度等要求。</w:t>
            </w:r>
            <w:r>
              <w:rPr>
                <w:rFonts w:hint="default" w:ascii="Times New Roman" w:hAnsi="Times New Roman" w:eastAsia="宋体" w:cs="Times New Roman"/>
                <w:color w:val="auto"/>
                <w:sz w:val="24"/>
                <w:lang w:eastAsia="zh-CN"/>
              </w:rPr>
              <w:t>做好本项目产生的危废记录、及时检查危废间内包装容积及贮存设施是否老化、标识标牌是否清晰完整，发现破损，应及时采取措施清理更换。</w:t>
            </w:r>
          </w:p>
          <w:p w14:paraId="23C2A10D">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color w:val="auto"/>
                <w:sz w:val="24"/>
              </w:rPr>
              <w:t>项目为避免不相容的危险废物接触、混合</w:t>
            </w:r>
            <w:r>
              <w:rPr>
                <w:rFonts w:hint="eastAsia"/>
                <w:color w:val="auto"/>
                <w:sz w:val="24"/>
              </w:rPr>
              <w:t>，</w:t>
            </w:r>
            <w:r>
              <w:rPr>
                <w:color w:val="auto"/>
                <w:sz w:val="24"/>
              </w:rPr>
              <w:t>均根据危险废物的类别、数量、形态、物理化学性质和污染防治等要求进行分区存放。</w:t>
            </w:r>
          </w:p>
          <w:p w14:paraId="4C85AB06">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因此，本项目产生的固废去向明确，处置合理，有效地防止了固体废弃物的逸散和对环境的二次污染，因此对周围环境影响很小。</w:t>
            </w:r>
          </w:p>
          <w:p w14:paraId="361AC98A">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五、地下水环境影响分析</w:t>
            </w:r>
          </w:p>
          <w:p w14:paraId="6466893E">
            <w:pPr>
              <w:spacing w:line="360" w:lineRule="auto"/>
              <w:ind w:firstLine="480" w:firstLineChars="200"/>
              <w:rPr>
                <w:color w:val="auto"/>
                <w:sz w:val="24"/>
              </w:rPr>
            </w:pPr>
            <w:r>
              <w:rPr>
                <w:color w:val="auto"/>
                <w:sz w:val="24"/>
              </w:rPr>
              <w:t>根据工程分析，本项目无生产废水排放。本项目均在生产车间内进行，车间按照标准化厂房建设，具备防渗功能。项目产生的危险废物暂存于危险废物贮存设施内，贮存设施内严格按照相关规范进行重点防渗防腐处理。本项目无地下水污染源，故不进行地下水环境影响分析。</w:t>
            </w:r>
          </w:p>
          <w:p w14:paraId="4A2A546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六、土壤环境影响分析</w:t>
            </w:r>
          </w:p>
          <w:p w14:paraId="4CFA1670">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color w:val="auto"/>
                <w:sz w:val="24"/>
              </w:rPr>
            </w:pPr>
            <w:r>
              <w:rPr>
                <w:color w:val="auto"/>
                <w:sz w:val="24"/>
              </w:rPr>
              <w:t>根据工程分析，项目建成后厂区生产车间、运输路面、危险废物贮存设施等地面均进行硬化，且生产过程中产生的非甲烷总烃经处理后排放量较小，经自然沉降对土壤发生污染的可能性极小。综合分析，本项目无土壤污染途径，本次评价不对土壤环境进行评价。</w:t>
            </w:r>
          </w:p>
          <w:p w14:paraId="29D321DD">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七、环境风险</w:t>
            </w:r>
          </w:p>
          <w:p w14:paraId="0ABE00A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（1）危险物质和风险等级评判</w:t>
            </w:r>
          </w:p>
          <w:p w14:paraId="7D85E91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依据《建设项目环境风险评价技术导则》（HJ169-2018）要求，结合《企业突发环境事件风险分级方法HJ941-2018》附录A第四部分，本项目生产、使用、储存过程中涉及易燃液态物质润滑油</w:t>
            </w:r>
            <w:r>
              <w:rPr>
                <w:rFonts w:hint="eastAsia" w:ascii="Times New Roman" w:hAnsi="Times New Roman" w:eastAsia="宋体" w:cs="Times New Roman"/>
                <w:color w:val="auto"/>
                <w:sz w:val="24"/>
                <w:lang w:val="en-US" w:eastAsia="zh-CN"/>
              </w:rPr>
              <w:t>（废）、液压油（废）</w:t>
            </w:r>
            <w:r>
              <w:rPr>
                <w:rFonts w:hint="default" w:ascii="Times New Roman" w:hAnsi="Times New Roman" w:eastAsia="宋体" w:cs="Times New Roman"/>
                <w:color w:val="auto"/>
                <w:sz w:val="24"/>
                <w:lang w:val="en-US" w:eastAsia="zh-CN"/>
              </w:rPr>
              <w:t>，主要对全厂仓库及危废暂存间危险废物最大储存量进行风险分析，具体危险特性及分布情况见下表：</w:t>
            </w:r>
          </w:p>
          <w:p w14:paraId="7B7F7AE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lang w:val="de-DE" w:eastAsia="zh-CN"/>
              </w:rPr>
            </w:pPr>
            <w:r>
              <w:rPr>
                <w:rFonts w:hint="default" w:ascii="Times New Roman" w:hAnsi="Times New Roman" w:eastAsia="宋体" w:cs="Times New Roman"/>
                <w:b/>
                <w:bCs/>
                <w:color w:val="auto"/>
                <w:sz w:val="21"/>
                <w:szCs w:val="21"/>
                <w:lang w:val="de-DE" w:eastAsia="zh-CN"/>
              </w:rPr>
              <w:t>表4-</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de-DE" w:eastAsia="zh-CN"/>
              </w:rPr>
              <w:t xml:space="preserve">  主要危险物质年用量及存储量一览表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5"/>
              <w:gridCol w:w="460"/>
              <w:gridCol w:w="1038"/>
              <w:gridCol w:w="926"/>
              <w:gridCol w:w="1126"/>
              <w:gridCol w:w="1335"/>
              <w:gridCol w:w="851"/>
              <w:gridCol w:w="1660"/>
            </w:tblGrid>
            <w:tr w14:paraId="5699B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3" w:type="pct"/>
                  <w:noWrap w:val="0"/>
                  <w:vAlign w:val="center"/>
                </w:tcPr>
                <w:p w14:paraId="71667E1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282" w:type="pct"/>
                  <w:noWrap w:val="0"/>
                  <w:vAlign w:val="center"/>
                </w:tcPr>
                <w:p w14:paraId="53C7E2CC">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形态</w:t>
                  </w:r>
                </w:p>
              </w:tc>
              <w:tc>
                <w:tcPr>
                  <w:tcW w:w="637" w:type="pct"/>
                  <w:noWrap w:val="0"/>
                  <w:vAlign w:val="center"/>
                </w:tcPr>
                <w:p w14:paraId="7E9DC71F">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性 质</w:t>
                  </w:r>
                </w:p>
              </w:tc>
              <w:tc>
                <w:tcPr>
                  <w:tcW w:w="568" w:type="pct"/>
                  <w:noWrap w:val="0"/>
                  <w:vAlign w:val="center"/>
                </w:tcPr>
                <w:p w14:paraId="57B055D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CAS号</w:t>
                  </w:r>
                </w:p>
              </w:tc>
              <w:tc>
                <w:tcPr>
                  <w:tcW w:w="691" w:type="pct"/>
                  <w:noWrap w:val="0"/>
                  <w:vAlign w:val="center"/>
                </w:tcPr>
                <w:p w14:paraId="64B54EF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分布位置</w:t>
                  </w:r>
                </w:p>
              </w:tc>
              <w:tc>
                <w:tcPr>
                  <w:tcW w:w="819" w:type="pct"/>
                  <w:noWrap w:val="0"/>
                  <w:vAlign w:val="center"/>
                </w:tcPr>
                <w:p w14:paraId="7711E86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最大储存量</w:t>
                  </w:r>
                  <w:r>
                    <w:rPr>
                      <w:rFonts w:hint="default" w:ascii="Times New Roman" w:hAnsi="Times New Roman" w:eastAsia="宋体" w:cs="Times New Roman"/>
                      <w:b/>
                      <w:bCs/>
                      <w:color w:val="auto"/>
                      <w:szCs w:val="21"/>
                    </w:rPr>
                    <w:t>（t）</w:t>
                  </w:r>
                </w:p>
              </w:tc>
              <w:tc>
                <w:tcPr>
                  <w:tcW w:w="522" w:type="pct"/>
                  <w:noWrap w:val="0"/>
                  <w:vAlign w:val="center"/>
                </w:tcPr>
                <w:p w14:paraId="502A730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临界量（t）</w:t>
                  </w:r>
                </w:p>
              </w:tc>
              <w:tc>
                <w:tcPr>
                  <w:tcW w:w="1014" w:type="pct"/>
                  <w:noWrap w:val="0"/>
                  <w:vAlign w:val="center"/>
                </w:tcPr>
                <w:p w14:paraId="294DE782">
                  <w:pPr>
                    <w:keepNext/>
                    <w:keepLines/>
                    <w:pageBreakBefore w:val="0"/>
                    <w:widowControl/>
                    <w:kinsoku/>
                    <w:wordWrap/>
                    <w:overflowPunct/>
                    <w:topLinePunct w:val="0"/>
                    <w:autoSpaceDE/>
                    <w:autoSpaceDN/>
                    <w:bidi w:val="0"/>
                    <w:adjustRightInd/>
                    <w:snapToGrid/>
                    <w:spacing w:beforeAutospacing="0" w:afterAutospacing="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eastAsia="zh-CN"/>
                    </w:rPr>
                    <w:t>危险物质</w:t>
                  </w:r>
                  <w:r>
                    <w:rPr>
                      <w:rFonts w:hint="default" w:ascii="Times New Roman" w:hAnsi="Times New Roman" w:eastAsia="宋体" w:cs="Times New Roman"/>
                      <w:b/>
                      <w:bCs/>
                      <w:color w:val="auto"/>
                      <w:szCs w:val="21"/>
                      <w:lang w:val="en-US" w:eastAsia="zh-CN"/>
                    </w:rPr>
                    <w:t>Q值</w:t>
                  </w:r>
                </w:p>
              </w:tc>
            </w:tr>
            <w:tr w14:paraId="0C021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3" w:type="pct"/>
                  <w:noWrap w:val="0"/>
                  <w:vAlign w:val="center"/>
                </w:tcPr>
                <w:p w14:paraId="674D9BD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矿物油</w:t>
                  </w:r>
                </w:p>
              </w:tc>
              <w:tc>
                <w:tcPr>
                  <w:tcW w:w="282" w:type="pct"/>
                  <w:noWrap w:val="0"/>
                  <w:vAlign w:val="center"/>
                </w:tcPr>
                <w:p w14:paraId="3276BB9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液态</w:t>
                  </w:r>
                </w:p>
              </w:tc>
              <w:tc>
                <w:tcPr>
                  <w:tcW w:w="637" w:type="pct"/>
                  <w:noWrap w:val="0"/>
                  <w:vAlign w:val="center"/>
                </w:tcPr>
                <w:p w14:paraId="28B5442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易燃</w:t>
                  </w:r>
                </w:p>
                <w:p w14:paraId="52E5F5F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w:t>
                  </w:r>
                </w:p>
              </w:tc>
              <w:tc>
                <w:tcPr>
                  <w:tcW w:w="568" w:type="pct"/>
                  <w:noWrap w:val="0"/>
                  <w:vAlign w:val="center"/>
                </w:tcPr>
                <w:p w14:paraId="03BCF51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91" w:type="pct"/>
                  <w:noWrap w:val="0"/>
                  <w:vAlign w:val="center"/>
                </w:tcPr>
                <w:p w14:paraId="49E21DE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仓库</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eastAsia="zh-CN"/>
                    </w:rPr>
                    <w:t>危废暂存间</w:t>
                  </w:r>
                </w:p>
              </w:tc>
              <w:tc>
                <w:tcPr>
                  <w:tcW w:w="819" w:type="pct"/>
                  <w:noWrap w:val="0"/>
                  <w:vAlign w:val="center"/>
                </w:tcPr>
                <w:p w14:paraId="293E071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0.12</w:t>
                  </w:r>
                </w:p>
              </w:tc>
              <w:tc>
                <w:tcPr>
                  <w:tcW w:w="522" w:type="pct"/>
                  <w:noWrap w:val="0"/>
                  <w:vAlign w:val="center"/>
                </w:tcPr>
                <w:p w14:paraId="7A5206E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c>
                <w:tcPr>
                  <w:tcW w:w="1014" w:type="pct"/>
                  <w:noWrap w:val="0"/>
                  <w:vAlign w:val="center"/>
                </w:tcPr>
                <w:p w14:paraId="64FC141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0.000048</w:t>
                  </w:r>
                </w:p>
              </w:tc>
            </w:tr>
            <w:tr w14:paraId="06B6A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440C0DC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Q=0.</w:t>
                  </w:r>
                  <w:r>
                    <w:rPr>
                      <w:rFonts w:hint="eastAsia" w:ascii="Times New Roman" w:hAnsi="Times New Roman" w:eastAsia="宋体" w:cs="Times New Roman"/>
                      <w:b w:val="0"/>
                      <w:bCs w:val="0"/>
                      <w:color w:val="auto"/>
                      <w:szCs w:val="21"/>
                      <w:lang w:val="en-US" w:eastAsia="zh-CN"/>
                    </w:rPr>
                    <w:t>000048</w:t>
                  </w:r>
                </w:p>
              </w:tc>
            </w:tr>
          </w:tbl>
          <w:p w14:paraId="63D6CE3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由《建设项目环境风险评价技术导则》（</w:t>
            </w:r>
            <w:r>
              <w:rPr>
                <w:rFonts w:hint="eastAsia" w:ascii="Times New Roman" w:hAnsi="Times New Roman" w:eastAsia="宋体" w:cs="Times New Roman"/>
                <w:color w:val="auto"/>
                <w:sz w:val="24"/>
                <w:lang w:val="en-US" w:eastAsia="zh-CN"/>
              </w:rPr>
              <w:t>HJ 169-2018</w:t>
            </w:r>
            <w:r>
              <w:rPr>
                <w:rFonts w:hint="default" w:ascii="Times New Roman" w:hAnsi="Times New Roman" w:eastAsia="宋体" w:cs="Times New Roman"/>
                <w:color w:val="auto"/>
                <w:sz w:val="24"/>
                <w:lang w:val="en-US" w:eastAsia="zh-CN"/>
              </w:rPr>
              <w:t>）附录C可知，Q值=</w:t>
            </w:r>
            <w:r>
              <w:rPr>
                <w:rFonts w:hint="eastAsia" w:ascii="Times New Roman" w:hAnsi="Times New Roman" w:eastAsia="宋体" w:cs="Times New Roman"/>
                <w:color w:val="auto"/>
                <w:sz w:val="24"/>
                <w:lang w:val="en-US" w:eastAsia="zh-CN"/>
              </w:rPr>
              <w:t>0.000048</w:t>
            </w:r>
            <w:r>
              <w:rPr>
                <w:rFonts w:hint="default" w:ascii="Times New Roman" w:hAnsi="Times New Roman" w:eastAsia="宋体" w:cs="Times New Roman"/>
                <w:color w:val="auto"/>
                <w:sz w:val="24"/>
                <w:lang w:val="en-US" w:eastAsia="zh-CN"/>
              </w:rPr>
              <w:t>＜1。根据《建设项目环境风险评价技术导则》</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HJ169-2018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中项目风险等级判别表可知，评价等级为简单分析。</w:t>
            </w:r>
          </w:p>
          <w:p w14:paraId="26F05F6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（2）环境影响途径</w:t>
            </w:r>
          </w:p>
          <w:p w14:paraId="0EF1A5A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本项目投入的风险物料为生产使用的</w:t>
            </w:r>
            <w:r>
              <w:rPr>
                <w:rFonts w:hint="eastAsia" w:ascii="Times New Roman" w:hAnsi="Times New Roman" w:eastAsia="宋体" w:cs="Times New Roman"/>
                <w:color w:val="auto"/>
                <w:sz w:val="24"/>
                <w:lang w:val="en-US" w:eastAsia="zh-CN"/>
              </w:rPr>
              <w:t>矿物油</w:t>
            </w:r>
            <w:r>
              <w:rPr>
                <w:rFonts w:hint="default" w:ascii="Times New Roman" w:hAnsi="Times New Roman" w:eastAsia="宋体" w:cs="Times New Roman"/>
                <w:color w:val="auto"/>
                <w:sz w:val="24"/>
                <w:lang w:val="en-US" w:eastAsia="zh-CN"/>
              </w:rPr>
              <w:t>。</w:t>
            </w:r>
          </w:p>
          <w:p w14:paraId="6D25C3A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color w:val="auto"/>
                <w:sz w:val="24"/>
                <w:lang w:val="en-US" w:eastAsia="zh-CN"/>
              </w:rPr>
              <w:t>（3）风险防范措施</w:t>
            </w:r>
          </w:p>
          <w:p w14:paraId="33771636">
            <w:pPr>
              <w:spacing w:line="360" w:lineRule="auto"/>
              <w:ind w:firstLine="480" w:firstLineChars="200"/>
              <w:rPr>
                <w:color w:val="auto"/>
                <w:sz w:val="24"/>
              </w:rPr>
            </w:pPr>
            <w:r>
              <w:rPr>
                <w:color w:val="auto"/>
                <w:sz w:val="24"/>
              </w:rPr>
              <w:t>1）防范措施</w:t>
            </w:r>
          </w:p>
          <w:p w14:paraId="62FB2793">
            <w:pPr>
              <w:spacing w:line="360" w:lineRule="auto"/>
              <w:ind w:firstLine="480" w:firstLineChars="200"/>
              <w:rPr>
                <w:color w:val="auto"/>
                <w:sz w:val="24"/>
              </w:rPr>
            </w:pPr>
            <w:r>
              <w:rPr>
                <w:color w:val="auto"/>
                <w:sz w:val="24"/>
              </w:rPr>
              <w:t>①厂区布置及建筑安全防范措施。</w:t>
            </w:r>
          </w:p>
          <w:p w14:paraId="23B9CC21">
            <w:pPr>
              <w:spacing w:line="360" w:lineRule="auto"/>
              <w:ind w:firstLine="480" w:firstLineChars="200"/>
              <w:rPr>
                <w:color w:val="auto"/>
                <w:sz w:val="24"/>
              </w:rPr>
            </w:pPr>
            <w:r>
              <w:rPr>
                <w:color w:val="auto"/>
                <w:sz w:val="24"/>
              </w:rPr>
              <w:t>油类物质存在发生泄漏的风险，主要原因是操作失误和管理不到位造成的。防止油类物质出现泄漏，造成污染，以免发生爆炸、火灾等。</w:t>
            </w:r>
          </w:p>
          <w:p w14:paraId="18F1E59D">
            <w:pPr>
              <w:spacing w:line="360" w:lineRule="auto"/>
              <w:ind w:firstLine="480" w:firstLineChars="200"/>
              <w:rPr>
                <w:color w:val="auto"/>
                <w:sz w:val="24"/>
              </w:rPr>
            </w:pPr>
            <w:r>
              <w:rPr>
                <w:color w:val="auto"/>
                <w:sz w:val="24"/>
              </w:rPr>
              <w:t>②贮运安全防范措施。</w:t>
            </w:r>
          </w:p>
          <w:p w14:paraId="7EBF84BB">
            <w:pPr>
              <w:spacing w:line="360" w:lineRule="auto"/>
              <w:ind w:firstLine="480" w:firstLineChars="200"/>
              <w:rPr>
                <w:color w:val="auto"/>
                <w:sz w:val="24"/>
              </w:rPr>
            </w:pPr>
            <w:r>
              <w:rPr>
                <w:color w:val="auto"/>
                <w:sz w:val="24"/>
              </w:rPr>
              <w:t>物质贮存过程：</w:t>
            </w:r>
          </w:p>
          <w:p w14:paraId="33E38024">
            <w:pPr>
              <w:spacing w:line="360" w:lineRule="auto"/>
              <w:ind w:firstLine="480" w:firstLineChars="200"/>
              <w:rPr>
                <w:color w:val="auto"/>
                <w:sz w:val="24"/>
              </w:rPr>
            </w:pPr>
            <w:r>
              <w:rPr>
                <w:color w:val="auto"/>
                <w:sz w:val="24"/>
              </w:rPr>
              <w:t>A.油类物质储存场所四周应设置围栏或非实体围墙，围栏或非实体围墙采用不燃烧材料；</w:t>
            </w:r>
          </w:p>
          <w:p w14:paraId="4C64AD9D">
            <w:pPr>
              <w:spacing w:line="360" w:lineRule="auto"/>
              <w:ind w:firstLine="480" w:firstLineChars="200"/>
              <w:rPr>
                <w:color w:val="auto"/>
                <w:sz w:val="24"/>
              </w:rPr>
            </w:pPr>
            <w:r>
              <w:rPr>
                <w:color w:val="auto"/>
                <w:sz w:val="24"/>
              </w:rPr>
              <w:t>B.油类物质储存场所应设置警示牌与警示语，安全告示牌，提醒人们注意，避免碰撞或者携带火种等；</w:t>
            </w:r>
          </w:p>
          <w:p w14:paraId="66E2DAEF">
            <w:pPr>
              <w:spacing w:line="360" w:lineRule="auto"/>
              <w:ind w:firstLine="480" w:firstLineChars="200"/>
              <w:rPr>
                <w:color w:val="auto"/>
                <w:sz w:val="24"/>
              </w:rPr>
            </w:pPr>
            <w:r>
              <w:rPr>
                <w:color w:val="auto"/>
                <w:sz w:val="24"/>
              </w:rPr>
              <w:t>C.原料储存区及危废暂存区设立专人管理，严禁携带火柴、打火机等火种进入油类物质储存区，严禁吸烟，加强对其人员的安全培训与教育等；</w:t>
            </w:r>
          </w:p>
          <w:p w14:paraId="165D20F3">
            <w:pPr>
              <w:spacing w:line="360" w:lineRule="auto"/>
              <w:ind w:firstLine="480" w:firstLineChars="200"/>
              <w:rPr>
                <w:color w:val="auto"/>
                <w:sz w:val="24"/>
              </w:rPr>
            </w:pPr>
            <w:r>
              <w:rPr>
                <w:color w:val="auto"/>
                <w:sz w:val="24"/>
              </w:rPr>
              <w:t>D.加强对油类物质的管理和检修。定期对原料储存区及危废暂存区的油类物质进行检查，发现轻微泄漏事故或怀疑有泄漏时，应立即进行维修；</w:t>
            </w:r>
          </w:p>
          <w:p w14:paraId="4F1E4066">
            <w:pPr>
              <w:pStyle w:val="165"/>
              <w:widowControl w:val="0"/>
              <w:tabs>
                <w:tab w:val="left" w:pos="1318"/>
              </w:tabs>
              <w:ind w:firstLine="480" w:firstLineChars="200"/>
              <w:jc w:val="both"/>
              <w:rPr>
                <w:rFonts w:ascii="Times New Roman" w:hAnsi="Times New Roman"/>
                <w:color w:val="auto"/>
                <w:sz w:val="24"/>
                <w:szCs w:val="24"/>
              </w:rPr>
            </w:pPr>
            <w:r>
              <w:rPr>
                <w:rFonts w:ascii="Times New Roman" w:hAnsi="Times New Roman"/>
                <w:color w:val="auto"/>
                <w:sz w:val="24"/>
                <w:szCs w:val="24"/>
              </w:rPr>
              <w:t>2）环境风险应急</w:t>
            </w:r>
          </w:p>
          <w:p w14:paraId="2FEE67F6">
            <w:pPr>
              <w:spacing w:line="360" w:lineRule="auto"/>
              <w:ind w:firstLine="480" w:firstLineChars="200"/>
              <w:rPr>
                <w:color w:val="auto"/>
                <w:sz w:val="24"/>
              </w:rPr>
            </w:pPr>
            <w:r>
              <w:rPr>
                <w:color w:val="auto"/>
                <w:sz w:val="24"/>
              </w:rPr>
              <w:t>环境风险应急预案是以“安全第一，预防为主”的方针，坚持专门机关和群众相结合的原则，实行安全岗位责任制，有效地防止和减少一般性安全事故，杜绝</w:t>
            </w:r>
            <w:r>
              <w:rPr>
                <w:rFonts w:hint="eastAsia"/>
                <w:color w:val="auto"/>
                <w:sz w:val="24"/>
                <w:lang w:eastAsia="zh-CN"/>
              </w:rPr>
              <w:t>重特大</w:t>
            </w:r>
            <w:r>
              <w:rPr>
                <w:color w:val="auto"/>
                <w:sz w:val="24"/>
              </w:rPr>
              <w:t>事故，保障人民群众生命和财产安全的指导思想，迅速有效地组织事故施救工作，防止事故扩大，最大限度地减少人员伤亡，做好统一调度与指挥为原则。制定环境应急监测方案；制定人员紧急撤离、疏散</w:t>
            </w:r>
            <w:r>
              <w:rPr>
                <w:rFonts w:hint="eastAsia"/>
                <w:color w:val="auto"/>
                <w:sz w:val="24"/>
              </w:rPr>
              <w:t>、</w:t>
            </w:r>
            <w:r>
              <w:rPr>
                <w:color w:val="auto"/>
                <w:sz w:val="24"/>
              </w:rPr>
              <w:t>应急剂量控制、撤离组织计划；事故应急救援关闭程序与恢复措施；加强应急演习和应急技术培训；加强公众教育和信息；加强企业的环境突发事件应急救援预案的编制。</w:t>
            </w:r>
          </w:p>
          <w:p w14:paraId="7B97C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color w:val="auto"/>
                <w:sz w:val="24"/>
              </w:rPr>
            </w:pPr>
            <w:r>
              <w:rPr>
                <w:color w:val="auto"/>
                <w:sz w:val="24"/>
              </w:rPr>
              <w:t>项目在采取上述防范措施后，环境风险水平可接受。</w:t>
            </w:r>
          </w:p>
          <w:p w14:paraId="23AB9312">
            <w:pPr>
              <w:adjustRightInd w:val="0"/>
              <w:snapToGrid w:val="0"/>
              <w:spacing w:line="360" w:lineRule="auto"/>
              <w:rPr>
                <w:rFonts w:hint="eastAsia"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八、</w:t>
            </w:r>
            <w:r>
              <w:rPr>
                <w:rFonts w:hint="eastAsia" w:ascii="Times New Roman" w:hAnsi="Times New Roman" w:eastAsia="宋体" w:cs="Times New Roman"/>
                <w:b/>
                <w:bCs/>
                <w:color w:val="auto"/>
                <w:sz w:val="28"/>
                <w:szCs w:val="28"/>
                <w:lang w:val="en-US" w:eastAsia="zh-CN"/>
              </w:rPr>
              <w:t>依托工程可行性分析</w:t>
            </w:r>
          </w:p>
          <w:p w14:paraId="7B17D8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1</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生产车间：</w:t>
            </w:r>
            <w:r>
              <w:rPr>
                <w:rFonts w:hint="eastAsia" w:ascii="Times New Roman" w:hAnsi="Times New Roman" w:eastAsia="宋体" w:cs="Times New Roman"/>
                <w:b w:val="0"/>
                <w:bCs/>
                <w:color w:val="auto"/>
                <w:kern w:val="0"/>
                <w:sz w:val="24"/>
                <w:szCs w:val="24"/>
                <w:lang w:val="en-US" w:eastAsia="zh-CN"/>
              </w:rPr>
              <w:t>本项目新增生产设备主要为切割设备、焊接设备、抛丸设备及喷塑整套生产线，设备数量较少，且均在车间内预留位置进行布设，不占用其他位置，可依托；</w:t>
            </w:r>
          </w:p>
          <w:p w14:paraId="6B4668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2</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生产设备：</w:t>
            </w:r>
            <w:r>
              <w:rPr>
                <w:rFonts w:hint="eastAsia" w:ascii="Times New Roman" w:hAnsi="Times New Roman" w:eastAsia="宋体" w:cs="Times New Roman"/>
                <w:b w:val="0"/>
                <w:bCs/>
                <w:color w:val="auto"/>
                <w:kern w:val="0"/>
                <w:sz w:val="24"/>
                <w:szCs w:val="24"/>
                <w:lang w:val="en-US" w:eastAsia="zh-CN"/>
              </w:rPr>
              <w:t>本项目建成产能不变，主要提高工件品质，每天仅昼间运行，未达到满负荷运行。本项目</w:t>
            </w:r>
            <w:r>
              <w:rPr>
                <w:rFonts w:hint="eastAsia" w:cs="Times New Roman"/>
                <w:b w:val="0"/>
                <w:bCs/>
                <w:color w:val="auto"/>
                <w:kern w:val="0"/>
                <w:sz w:val="24"/>
                <w:szCs w:val="24"/>
                <w:lang w:val="en-US" w:eastAsia="zh-CN"/>
              </w:rPr>
              <w:t>运行</w:t>
            </w:r>
            <w:r>
              <w:rPr>
                <w:rFonts w:hint="eastAsia" w:ascii="Times New Roman" w:hAnsi="Times New Roman" w:eastAsia="宋体" w:cs="Times New Roman"/>
                <w:b w:val="0"/>
                <w:bCs/>
                <w:color w:val="auto"/>
                <w:kern w:val="0"/>
                <w:sz w:val="24"/>
                <w:szCs w:val="24"/>
                <w:lang w:val="en-US" w:eastAsia="zh-CN"/>
              </w:rPr>
              <w:t>后可有效利用设备设施及提高员工工作效率，可依托；</w:t>
            </w:r>
          </w:p>
          <w:p w14:paraId="25C14E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3</w:t>
            </w:r>
            <w:r>
              <w:rPr>
                <w:rFonts w:hint="eastAsia" w:cs="Times New Roman"/>
                <w:b/>
                <w:bCs w:val="0"/>
                <w:color w:val="auto"/>
                <w:kern w:val="0"/>
                <w:sz w:val="24"/>
                <w:szCs w:val="24"/>
                <w:lang w:val="en-US" w:eastAsia="zh-CN"/>
              </w:rPr>
              <w:t>.</w:t>
            </w:r>
            <w:r>
              <w:rPr>
                <w:rFonts w:hint="eastAsia" w:ascii="Times New Roman" w:hAnsi="Times New Roman" w:eastAsia="宋体" w:cs="Times New Roman"/>
                <w:b/>
                <w:bCs w:val="0"/>
                <w:color w:val="auto"/>
                <w:kern w:val="0"/>
                <w:sz w:val="24"/>
                <w:szCs w:val="24"/>
                <w:lang w:val="en-US" w:eastAsia="zh-CN"/>
              </w:rPr>
              <w:t>原料区、成品区：</w:t>
            </w:r>
            <w:r>
              <w:rPr>
                <w:rFonts w:hint="eastAsia" w:ascii="Times New Roman" w:hAnsi="Times New Roman" w:eastAsia="宋体" w:cs="Times New Roman"/>
                <w:b w:val="0"/>
                <w:bCs/>
                <w:color w:val="auto"/>
                <w:kern w:val="0"/>
                <w:sz w:val="24"/>
                <w:szCs w:val="24"/>
                <w:lang w:val="en-US" w:eastAsia="zh-CN"/>
              </w:rPr>
              <w:t>项目原料按需购买，成品及时转运，不会造成满负荷储存，可依托。</w:t>
            </w:r>
          </w:p>
          <w:p w14:paraId="1BC33773">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九、</w:t>
            </w:r>
            <w:r>
              <w:rPr>
                <w:rFonts w:hint="default" w:ascii="Times New Roman" w:hAnsi="Times New Roman" w:eastAsia="宋体" w:cs="Times New Roman"/>
                <w:b/>
                <w:bCs/>
                <w:color w:val="auto"/>
                <w:sz w:val="28"/>
                <w:szCs w:val="28"/>
                <w:lang w:val="en-US" w:eastAsia="zh-CN"/>
              </w:rPr>
              <w:t>环保投资</w:t>
            </w:r>
          </w:p>
          <w:p w14:paraId="0E5FB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default" w:ascii="Times New Roman" w:hAnsi="Times New Roman" w:eastAsia="宋体" w:cs="Times New Roman"/>
                <w:b w:val="0"/>
                <w:bCs/>
                <w:color w:val="auto"/>
                <w:kern w:val="0"/>
                <w:sz w:val="24"/>
                <w:szCs w:val="24"/>
                <w:lang w:eastAsia="zh-CN"/>
              </w:rPr>
              <w:t>该项目环保投资</w:t>
            </w:r>
            <w:r>
              <w:rPr>
                <w:rFonts w:hint="eastAsia" w:ascii="Times New Roman" w:hAnsi="Times New Roman" w:eastAsia="宋体" w:cs="Times New Roman"/>
                <w:b w:val="0"/>
                <w:bCs/>
                <w:color w:val="auto"/>
                <w:kern w:val="0"/>
                <w:sz w:val="24"/>
                <w:szCs w:val="24"/>
                <w:lang w:val="en-US" w:eastAsia="zh-CN"/>
              </w:rPr>
              <w:t>27</w:t>
            </w:r>
            <w:r>
              <w:rPr>
                <w:rFonts w:hint="default" w:ascii="Times New Roman" w:hAnsi="Times New Roman" w:eastAsia="宋体" w:cs="Times New Roman"/>
                <w:b w:val="0"/>
                <w:bCs/>
                <w:color w:val="auto"/>
                <w:kern w:val="0"/>
                <w:sz w:val="24"/>
                <w:szCs w:val="24"/>
                <w:lang w:val="en-US" w:eastAsia="zh-CN"/>
              </w:rPr>
              <w:t>万元，</w:t>
            </w:r>
            <w:r>
              <w:rPr>
                <w:rFonts w:hint="eastAsia" w:ascii="Times New Roman" w:hAnsi="Times New Roman" w:eastAsia="宋体" w:cs="Times New Roman"/>
                <w:b w:val="0"/>
                <w:bCs/>
                <w:color w:val="auto"/>
                <w:kern w:val="0"/>
                <w:sz w:val="24"/>
                <w:szCs w:val="24"/>
                <w:lang w:val="en-US" w:eastAsia="zh-CN"/>
              </w:rPr>
              <w:t>占</w:t>
            </w:r>
            <w:r>
              <w:rPr>
                <w:rFonts w:hint="default" w:ascii="Times New Roman" w:hAnsi="Times New Roman" w:eastAsia="宋体" w:cs="Times New Roman"/>
                <w:b w:val="0"/>
                <w:bCs/>
                <w:color w:val="auto"/>
                <w:kern w:val="0"/>
                <w:sz w:val="24"/>
                <w:szCs w:val="24"/>
                <w:lang w:val="en-US" w:eastAsia="zh-CN"/>
              </w:rPr>
              <w:t>项目总投资</w:t>
            </w:r>
            <w:r>
              <w:rPr>
                <w:rFonts w:hint="eastAsia" w:ascii="Times New Roman" w:hAnsi="Times New Roman" w:eastAsia="宋体" w:cs="Times New Roman"/>
                <w:b w:val="0"/>
                <w:bCs/>
                <w:color w:val="auto"/>
                <w:kern w:val="0"/>
                <w:sz w:val="24"/>
                <w:szCs w:val="24"/>
                <w:lang w:val="en-US" w:eastAsia="zh-CN"/>
              </w:rPr>
              <w:t>80</w:t>
            </w:r>
            <w:r>
              <w:rPr>
                <w:rFonts w:hint="default" w:ascii="Times New Roman" w:hAnsi="Times New Roman" w:eastAsia="宋体" w:cs="Times New Roman"/>
                <w:b w:val="0"/>
                <w:bCs/>
                <w:color w:val="auto"/>
                <w:kern w:val="0"/>
                <w:sz w:val="24"/>
                <w:szCs w:val="24"/>
                <w:lang w:val="en-US" w:eastAsia="zh-CN"/>
              </w:rPr>
              <w:t>万元的</w:t>
            </w:r>
            <w:r>
              <w:rPr>
                <w:rFonts w:hint="eastAsia" w:ascii="Times New Roman" w:hAnsi="Times New Roman" w:eastAsia="宋体" w:cs="Times New Roman"/>
                <w:b w:val="0"/>
                <w:bCs/>
                <w:color w:val="auto"/>
                <w:kern w:val="0"/>
                <w:sz w:val="24"/>
                <w:szCs w:val="24"/>
                <w:lang w:val="en-US" w:eastAsia="zh-CN"/>
              </w:rPr>
              <w:t>33.75</w:t>
            </w:r>
            <w:r>
              <w:rPr>
                <w:rFonts w:hint="default" w:ascii="Times New Roman" w:hAnsi="Times New Roman" w:eastAsia="宋体" w:cs="Times New Roman"/>
                <w:b w:val="0"/>
                <w:bCs/>
                <w:color w:val="auto"/>
                <w:kern w:val="0"/>
                <w:sz w:val="24"/>
                <w:szCs w:val="24"/>
                <w:lang w:val="en-US" w:eastAsia="zh-CN"/>
              </w:rPr>
              <w:t>%，具体见下表：</w:t>
            </w:r>
          </w:p>
          <w:p w14:paraId="70F51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0"/>
                <w:sz w:val="24"/>
                <w:szCs w:val="24"/>
                <w:vertAlign w:val="baseline"/>
                <w:lang w:val="en-US" w:eastAsia="zh-CN"/>
              </w:rPr>
            </w:pPr>
            <w:r>
              <w:rPr>
                <w:rFonts w:hint="default" w:ascii="Times New Roman" w:hAnsi="Times New Roman" w:eastAsia="宋体" w:cs="Times New Roman"/>
                <w:b/>
                <w:bCs w:val="0"/>
                <w:color w:val="auto"/>
                <w:kern w:val="0"/>
                <w:sz w:val="21"/>
                <w:szCs w:val="21"/>
                <w:lang w:val="en-US" w:eastAsia="zh-CN"/>
              </w:rPr>
              <w:t>表4-1</w:t>
            </w:r>
            <w:r>
              <w:rPr>
                <w:rFonts w:hint="eastAsia" w:cs="Times New Roman"/>
                <w:b/>
                <w:bCs w:val="0"/>
                <w:color w:val="auto"/>
                <w:kern w:val="0"/>
                <w:sz w:val="21"/>
                <w:szCs w:val="21"/>
                <w:lang w:val="en-US" w:eastAsia="zh-CN"/>
              </w:rPr>
              <w:t>3</w:t>
            </w:r>
            <w:r>
              <w:rPr>
                <w:rFonts w:hint="default" w:ascii="Times New Roman" w:hAnsi="Times New Roman" w:eastAsia="宋体" w:cs="Times New Roman"/>
                <w:b/>
                <w:bCs w:val="0"/>
                <w:color w:val="auto"/>
                <w:kern w:val="0"/>
                <w:sz w:val="21"/>
                <w:szCs w:val="21"/>
                <w:lang w:val="en-US" w:eastAsia="zh-CN"/>
              </w:rPr>
              <w:t xml:space="preserve"> 建设项目环保设施投资一览表</w:t>
            </w:r>
          </w:p>
          <w:tbl>
            <w:tblPr>
              <w:tblStyle w:val="31"/>
              <w:tblW w:w="8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811"/>
              <w:gridCol w:w="1000"/>
              <w:gridCol w:w="1003"/>
              <w:gridCol w:w="2649"/>
              <w:gridCol w:w="706"/>
              <w:gridCol w:w="1359"/>
            </w:tblGrid>
            <w:tr w14:paraId="41809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9" w:type="pct"/>
                  <w:gridSpan w:val="4"/>
                  <w:tcBorders>
                    <w:tl2br w:val="nil"/>
                    <w:tr2bl w:val="nil"/>
                  </w:tcBorders>
                  <w:noWrap w:val="0"/>
                  <w:vAlign w:val="center"/>
                </w:tcPr>
                <w:p w14:paraId="20EBB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名称</w:t>
                  </w:r>
                </w:p>
              </w:tc>
              <w:tc>
                <w:tcPr>
                  <w:tcW w:w="1624" w:type="pct"/>
                  <w:tcBorders>
                    <w:tl2br w:val="nil"/>
                    <w:tr2bl w:val="nil"/>
                  </w:tcBorders>
                  <w:noWrap w:val="0"/>
                  <w:vAlign w:val="center"/>
                </w:tcPr>
                <w:p w14:paraId="367AD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环保设施</w:t>
                  </w:r>
                </w:p>
              </w:tc>
              <w:tc>
                <w:tcPr>
                  <w:tcW w:w="432" w:type="pct"/>
                  <w:tcBorders>
                    <w:tl2br w:val="nil"/>
                    <w:tr2bl w:val="nil"/>
                  </w:tcBorders>
                  <w:noWrap w:val="0"/>
                  <w:vAlign w:val="center"/>
                </w:tcPr>
                <w:p w14:paraId="47A04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数量</w:t>
                  </w:r>
                </w:p>
              </w:tc>
              <w:tc>
                <w:tcPr>
                  <w:tcW w:w="833" w:type="pct"/>
                  <w:tcBorders>
                    <w:tl2br w:val="nil"/>
                    <w:tr2bl w:val="nil"/>
                  </w:tcBorders>
                  <w:noWrap w:val="0"/>
                  <w:vAlign w:val="center"/>
                </w:tcPr>
                <w:p w14:paraId="260E7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投资（万元）</w:t>
                  </w:r>
                </w:p>
              </w:tc>
            </w:tr>
            <w:tr w14:paraId="01CE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noWrap w:val="0"/>
                  <w:vAlign w:val="center"/>
                </w:tcPr>
                <w:p w14:paraId="3B2BE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运营期</w:t>
                  </w:r>
                </w:p>
              </w:tc>
              <w:tc>
                <w:tcPr>
                  <w:tcW w:w="497" w:type="pct"/>
                  <w:vMerge w:val="restart"/>
                  <w:tcBorders>
                    <w:tl2br w:val="nil"/>
                    <w:tr2bl w:val="nil"/>
                  </w:tcBorders>
                  <w:noWrap w:val="0"/>
                  <w:vAlign w:val="center"/>
                </w:tcPr>
                <w:p w14:paraId="61457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废气</w:t>
                  </w:r>
                </w:p>
              </w:tc>
              <w:tc>
                <w:tcPr>
                  <w:tcW w:w="613" w:type="pct"/>
                  <w:tcBorders>
                    <w:tl2br w:val="nil"/>
                    <w:tr2bl w:val="nil"/>
                  </w:tcBorders>
                  <w:noWrap w:val="0"/>
                  <w:vAlign w:val="center"/>
                </w:tcPr>
                <w:p w14:paraId="0FDC01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切割、焊接、抛丸</w:t>
                  </w:r>
                </w:p>
              </w:tc>
              <w:tc>
                <w:tcPr>
                  <w:tcW w:w="614" w:type="pct"/>
                  <w:tcBorders>
                    <w:tl2br w:val="nil"/>
                    <w:tr2bl w:val="nil"/>
                  </w:tcBorders>
                  <w:noWrap w:val="0"/>
                  <w:vAlign w:val="center"/>
                </w:tcPr>
                <w:p w14:paraId="0D223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w:t>
                  </w:r>
                </w:p>
              </w:tc>
              <w:tc>
                <w:tcPr>
                  <w:tcW w:w="1624" w:type="pct"/>
                  <w:tcBorders>
                    <w:tl2br w:val="nil"/>
                    <w:tr2bl w:val="nil"/>
                  </w:tcBorders>
                  <w:noWrap w:val="0"/>
                  <w:vAlign w:val="center"/>
                </w:tcPr>
                <w:p w14:paraId="79D14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焊接房、密闭管道、滤筒除尘器（TA001）、15米排气筒（DA001）</w:t>
                  </w:r>
                </w:p>
              </w:tc>
              <w:tc>
                <w:tcPr>
                  <w:tcW w:w="432" w:type="pct"/>
                  <w:tcBorders>
                    <w:tl2br w:val="nil"/>
                    <w:tr2bl w:val="nil"/>
                  </w:tcBorders>
                  <w:noWrap w:val="0"/>
                  <w:vAlign w:val="center"/>
                </w:tcPr>
                <w:p w14:paraId="5CF1F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w:t>
                  </w:r>
                  <w:r>
                    <w:rPr>
                      <w:rFonts w:hint="eastAsia" w:ascii="Times New Roman" w:hAnsi="Times New Roman" w:eastAsia="宋体" w:cs="Times New Roman"/>
                      <w:b w:val="0"/>
                      <w:bCs/>
                      <w:color w:val="auto"/>
                      <w:kern w:val="0"/>
                      <w:sz w:val="21"/>
                      <w:szCs w:val="21"/>
                      <w:vertAlign w:val="baseline"/>
                      <w:lang w:val="en-US" w:eastAsia="zh-CN"/>
                    </w:rPr>
                    <w:t>套</w:t>
                  </w:r>
                </w:p>
              </w:tc>
              <w:tc>
                <w:tcPr>
                  <w:tcW w:w="833" w:type="pct"/>
                  <w:tcBorders>
                    <w:tl2br w:val="nil"/>
                    <w:tr2bl w:val="nil"/>
                  </w:tcBorders>
                  <w:noWrap w:val="0"/>
                  <w:vAlign w:val="center"/>
                </w:tcPr>
                <w:p w14:paraId="175A0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8</w:t>
                  </w:r>
                </w:p>
              </w:tc>
            </w:tr>
            <w:tr w14:paraId="1D0ED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0F601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97" w:type="pct"/>
                  <w:vMerge w:val="continue"/>
                  <w:tcBorders>
                    <w:tl2br w:val="nil"/>
                    <w:tr2bl w:val="nil"/>
                  </w:tcBorders>
                  <w:noWrap w:val="0"/>
                  <w:vAlign w:val="center"/>
                </w:tcPr>
                <w:p w14:paraId="5387E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13" w:type="pct"/>
                  <w:tcBorders>
                    <w:tl2br w:val="nil"/>
                    <w:tr2bl w:val="nil"/>
                  </w:tcBorders>
                  <w:noWrap w:val="0"/>
                  <w:vAlign w:val="center"/>
                </w:tcPr>
                <w:p w14:paraId="6DB47EF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喷粉</w:t>
                  </w:r>
                  <w:r>
                    <w:rPr>
                      <w:rFonts w:hint="eastAsia" w:ascii="Times New Roman" w:hAnsi="Times New Roman" w:eastAsia="宋体" w:cs="Times New Roman"/>
                      <w:b w:val="0"/>
                      <w:bCs/>
                      <w:color w:val="auto"/>
                      <w:kern w:val="0"/>
                      <w:sz w:val="21"/>
                      <w:szCs w:val="21"/>
                      <w:vertAlign w:val="baseline"/>
                      <w:lang w:val="en-US" w:eastAsia="zh-CN"/>
                    </w:rPr>
                    <w:t>废气</w:t>
                  </w:r>
                </w:p>
              </w:tc>
              <w:tc>
                <w:tcPr>
                  <w:tcW w:w="614" w:type="pct"/>
                  <w:tcBorders>
                    <w:tl2br w:val="nil"/>
                    <w:tr2bl w:val="nil"/>
                  </w:tcBorders>
                  <w:noWrap w:val="0"/>
                  <w:vAlign w:val="center"/>
                </w:tcPr>
                <w:p w14:paraId="31652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大旋风除尘器</w:t>
                  </w:r>
                </w:p>
              </w:tc>
              <w:tc>
                <w:tcPr>
                  <w:tcW w:w="1624" w:type="pct"/>
                  <w:tcBorders>
                    <w:tl2br w:val="nil"/>
                    <w:tr2bl w:val="nil"/>
                  </w:tcBorders>
                  <w:noWrap w:val="0"/>
                  <w:vAlign w:val="center"/>
                </w:tcPr>
                <w:p w14:paraId="4A0F3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密闭喷房+管道+大旋风除尘器</w:t>
                  </w:r>
                </w:p>
              </w:tc>
              <w:tc>
                <w:tcPr>
                  <w:tcW w:w="432" w:type="pct"/>
                  <w:tcBorders>
                    <w:tl2br w:val="nil"/>
                    <w:tr2bl w:val="nil"/>
                  </w:tcBorders>
                  <w:noWrap w:val="0"/>
                  <w:vAlign w:val="center"/>
                </w:tcPr>
                <w:p w14:paraId="4C0FED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33" w:type="pct"/>
                  <w:tcBorders>
                    <w:tl2br w:val="nil"/>
                    <w:tr2bl w:val="nil"/>
                  </w:tcBorders>
                  <w:noWrap w:val="0"/>
                  <w:vAlign w:val="center"/>
                </w:tcPr>
                <w:p w14:paraId="74E03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w:t>
                  </w:r>
                </w:p>
              </w:tc>
            </w:tr>
            <w:tr w14:paraId="0629B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7B629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97" w:type="pct"/>
                  <w:vMerge w:val="continue"/>
                  <w:tcBorders>
                    <w:tl2br w:val="nil"/>
                    <w:tr2bl w:val="nil"/>
                  </w:tcBorders>
                  <w:noWrap w:val="0"/>
                  <w:vAlign w:val="center"/>
                </w:tcPr>
                <w:p w14:paraId="55344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13" w:type="pct"/>
                  <w:tcBorders>
                    <w:tl2br w:val="nil"/>
                    <w:tr2bl w:val="nil"/>
                  </w:tcBorders>
                  <w:noWrap w:val="0"/>
                  <w:vAlign w:val="center"/>
                </w:tcPr>
                <w:p w14:paraId="2CD99D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固化废气</w:t>
                  </w:r>
                </w:p>
              </w:tc>
              <w:tc>
                <w:tcPr>
                  <w:tcW w:w="614" w:type="pct"/>
                  <w:tcBorders>
                    <w:tl2br w:val="nil"/>
                    <w:tr2bl w:val="nil"/>
                  </w:tcBorders>
                  <w:noWrap w:val="0"/>
                  <w:vAlign w:val="center"/>
                </w:tcPr>
                <w:p w14:paraId="7E32E8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非甲烷总烃</w:t>
                  </w:r>
                </w:p>
              </w:tc>
              <w:tc>
                <w:tcPr>
                  <w:tcW w:w="1624" w:type="pct"/>
                  <w:tcBorders>
                    <w:tl2br w:val="nil"/>
                    <w:tr2bl w:val="nil"/>
                  </w:tcBorders>
                  <w:noWrap w:val="0"/>
                  <w:vAlign w:val="center"/>
                </w:tcPr>
                <w:p w14:paraId="067AD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密闭管道+二级活性炭</w:t>
                  </w:r>
                </w:p>
              </w:tc>
              <w:tc>
                <w:tcPr>
                  <w:tcW w:w="432" w:type="pct"/>
                  <w:tcBorders>
                    <w:tl2br w:val="nil"/>
                    <w:tr2bl w:val="nil"/>
                  </w:tcBorders>
                  <w:noWrap w:val="0"/>
                  <w:vAlign w:val="center"/>
                </w:tcPr>
                <w:p w14:paraId="4F771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33" w:type="pct"/>
                  <w:tcBorders>
                    <w:tl2br w:val="nil"/>
                    <w:tr2bl w:val="nil"/>
                  </w:tcBorders>
                  <w:noWrap w:val="0"/>
                  <w:vAlign w:val="center"/>
                </w:tcPr>
                <w:p w14:paraId="3E831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3</w:t>
                  </w:r>
                </w:p>
              </w:tc>
            </w:tr>
            <w:tr w14:paraId="3AF0E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26EA3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97" w:type="pct"/>
                  <w:vMerge w:val="continue"/>
                  <w:tcBorders>
                    <w:tl2br w:val="nil"/>
                    <w:tr2bl w:val="nil"/>
                  </w:tcBorders>
                  <w:noWrap w:val="0"/>
                  <w:vAlign w:val="center"/>
                </w:tcPr>
                <w:p w14:paraId="7C7DFC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613" w:type="pct"/>
                  <w:tcBorders>
                    <w:tl2br w:val="nil"/>
                    <w:tr2bl w:val="nil"/>
                  </w:tcBorders>
                  <w:noWrap w:val="0"/>
                  <w:vAlign w:val="center"/>
                </w:tcPr>
                <w:p w14:paraId="1D85E3E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天然气燃烧废气</w:t>
                  </w:r>
                </w:p>
              </w:tc>
              <w:tc>
                <w:tcPr>
                  <w:tcW w:w="614" w:type="pct"/>
                  <w:tcBorders>
                    <w:tl2br w:val="nil"/>
                    <w:tr2bl w:val="nil"/>
                  </w:tcBorders>
                  <w:noWrap w:val="0"/>
                  <w:vAlign w:val="center"/>
                </w:tcPr>
                <w:p w14:paraId="5841B6E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颗粒物、二氧化硫、氮氧化物</w:t>
                  </w:r>
                </w:p>
              </w:tc>
              <w:tc>
                <w:tcPr>
                  <w:tcW w:w="1624" w:type="pct"/>
                  <w:tcBorders>
                    <w:tl2br w:val="nil"/>
                    <w:tr2bl w:val="nil"/>
                  </w:tcBorders>
                  <w:noWrap w:val="0"/>
                  <w:vAlign w:val="center"/>
                </w:tcPr>
                <w:p w14:paraId="10A12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低氮燃烧器</w:t>
                  </w:r>
                </w:p>
              </w:tc>
              <w:tc>
                <w:tcPr>
                  <w:tcW w:w="432" w:type="pct"/>
                  <w:tcBorders>
                    <w:tl2br w:val="nil"/>
                    <w:tr2bl w:val="nil"/>
                  </w:tcBorders>
                  <w:noWrap w:val="0"/>
                  <w:vAlign w:val="center"/>
                </w:tcPr>
                <w:p w14:paraId="4FEF94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1个</w:t>
                  </w:r>
                </w:p>
              </w:tc>
              <w:tc>
                <w:tcPr>
                  <w:tcW w:w="833" w:type="pct"/>
                  <w:tcBorders>
                    <w:tl2br w:val="nil"/>
                    <w:tr2bl w:val="nil"/>
                  </w:tcBorders>
                  <w:noWrap w:val="0"/>
                  <w:vAlign w:val="center"/>
                </w:tcPr>
                <w:p w14:paraId="5E8D3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3</w:t>
                  </w:r>
                </w:p>
              </w:tc>
            </w:tr>
            <w:tr w14:paraId="3008D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29C04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97" w:type="pct"/>
                  <w:tcBorders>
                    <w:tl2br w:val="nil"/>
                    <w:tr2bl w:val="nil"/>
                  </w:tcBorders>
                  <w:noWrap w:val="0"/>
                  <w:vAlign w:val="center"/>
                </w:tcPr>
                <w:p w14:paraId="11A9A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废水</w:t>
                  </w:r>
                </w:p>
              </w:tc>
              <w:tc>
                <w:tcPr>
                  <w:tcW w:w="613" w:type="pct"/>
                  <w:tcBorders>
                    <w:tl2br w:val="nil"/>
                    <w:tr2bl w:val="nil"/>
                  </w:tcBorders>
                  <w:noWrap w:val="0"/>
                  <w:vAlign w:val="center"/>
                </w:tcPr>
                <w:p w14:paraId="32FB3AA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清洗废水</w:t>
                  </w:r>
                </w:p>
              </w:tc>
              <w:tc>
                <w:tcPr>
                  <w:tcW w:w="614" w:type="pct"/>
                  <w:tcBorders>
                    <w:tl2br w:val="nil"/>
                    <w:tr2bl w:val="nil"/>
                  </w:tcBorders>
                  <w:noWrap w:val="0"/>
                  <w:vAlign w:val="center"/>
                </w:tcPr>
                <w:p w14:paraId="4241C72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COD、油类物质、SS、LAS等</w:t>
                  </w:r>
                </w:p>
              </w:tc>
              <w:tc>
                <w:tcPr>
                  <w:tcW w:w="1624" w:type="pct"/>
                  <w:tcBorders>
                    <w:tl2br w:val="nil"/>
                    <w:tr2bl w:val="nil"/>
                  </w:tcBorders>
                  <w:noWrap w:val="0"/>
                  <w:vAlign w:val="center"/>
                </w:tcPr>
                <w:p w14:paraId="61250D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污水处理设施</w:t>
                  </w:r>
                </w:p>
              </w:tc>
              <w:tc>
                <w:tcPr>
                  <w:tcW w:w="432" w:type="pct"/>
                  <w:tcBorders>
                    <w:tl2br w:val="nil"/>
                    <w:tr2bl w:val="nil"/>
                  </w:tcBorders>
                  <w:noWrap w:val="0"/>
                  <w:vAlign w:val="center"/>
                </w:tcPr>
                <w:p w14:paraId="287DF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1套</w:t>
                  </w:r>
                </w:p>
              </w:tc>
              <w:tc>
                <w:tcPr>
                  <w:tcW w:w="833" w:type="pct"/>
                  <w:tcBorders>
                    <w:tl2br w:val="nil"/>
                    <w:tr2bl w:val="nil"/>
                  </w:tcBorders>
                  <w:noWrap w:val="0"/>
                  <w:vAlign w:val="center"/>
                </w:tcPr>
                <w:p w14:paraId="6DD42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10</w:t>
                  </w:r>
                </w:p>
              </w:tc>
            </w:tr>
            <w:tr w14:paraId="136FA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12EF0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97" w:type="pct"/>
                  <w:tcBorders>
                    <w:tl2br w:val="nil"/>
                    <w:tr2bl w:val="nil"/>
                  </w:tcBorders>
                  <w:noWrap w:val="0"/>
                  <w:vAlign w:val="center"/>
                </w:tcPr>
                <w:p w14:paraId="416E0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噪声</w:t>
                  </w:r>
                </w:p>
              </w:tc>
              <w:tc>
                <w:tcPr>
                  <w:tcW w:w="1227" w:type="pct"/>
                  <w:gridSpan w:val="2"/>
                  <w:tcBorders>
                    <w:tl2br w:val="nil"/>
                    <w:tr2bl w:val="nil"/>
                  </w:tcBorders>
                  <w:noWrap w:val="0"/>
                  <w:vAlign w:val="center"/>
                </w:tcPr>
                <w:p w14:paraId="7F7CE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设备噪声</w:t>
                  </w:r>
                </w:p>
              </w:tc>
              <w:tc>
                <w:tcPr>
                  <w:tcW w:w="1624" w:type="pct"/>
                  <w:tcBorders>
                    <w:tl2br w:val="nil"/>
                    <w:tr2bl w:val="nil"/>
                  </w:tcBorders>
                  <w:noWrap w:val="0"/>
                  <w:vAlign w:val="center"/>
                </w:tcPr>
                <w:p w14:paraId="5DBB1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隔声</w:t>
                  </w:r>
                  <w:r>
                    <w:rPr>
                      <w:rFonts w:hint="eastAsia" w:ascii="Times New Roman" w:hAnsi="Times New Roman" w:eastAsia="宋体" w:cs="Times New Roman"/>
                      <w:b w:val="0"/>
                      <w:bCs/>
                      <w:color w:val="auto"/>
                      <w:kern w:val="0"/>
                      <w:sz w:val="21"/>
                      <w:szCs w:val="21"/>
                      <w:vertAlign w:val="baseline"/>
                      <w:lang w:val="en-US" w:eastAsia="zh-CN"/>
                    </w:rPr>
                    <w:t>罩、软连接</w:t>
                  </w:r>
                </w:p>
              </w:tc>
              <w:tc>
                <w:tcPr>
                  <w:tcW w:w="432" w:type="pct"/>
                  <w:tcBorders>
                    <w:tl2br w:val="nil"/>
                    <w:tr2bl w:val="nil"/>
                  </w:tcBorders>
                  <w:noWrap w:val="0"/>
                  <w:vAlign w:val="center"/>
                </w:tcPr>
                <w:p w14:paraId="18BC9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1套</w:t>
                  </w:r>
                </w:p>
              </w:tc>
              <w:tc>
                <w:tcPr>
                  <w:tcW w:w="833" w:type="pct"/>
                  <w:tcBorders>
                    <w:tl2br w:val="nil"/>
                    <w:tr2bl w:val="nil"/>
                  </w:tcBorders>
                  <w:noWrap w:val="0"/>
                  <w:vAlign w:val="center"/>
                </w:tcPr>
                <w:p w14:paraId="3E578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1</w:t>
                  </w:r>
                </w:p>
              </w:tc>
            </w:tr>
            <w:tr w14:paraId="790D8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noWrap w:val="0"/>
                  <w:vAlign w:val="center"/>
                </w:tcPr>
                <w:p w14:paraId="3796E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3782" w:type="pct"/>
                  <w:gridSpan w:val="5"/>
                  <w:tcBorders>
                    <w:tl2br w:val="nil"/>
                    <w:tr2bl w:val="nil"/>
                  </w:tcBorders>
                  <w:noWrap w:val="0"/>
                  <w:vAlign w:val="center"/>
                </w:tcPr>
                <w:p w14:paraId="28AC6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合计</w:t>
                  </w:r>
                </w:p>
              </w:tc>
              <w:tc>
                <w:tcPr>
                  <w:tcW w:w="833" w:type="pct"/>
                  <w:tcBorders>
                    <w:tl2br w:val="nil"/>
                    <w:tr2bl w:val="nil"/>
                  </w:tcBorders>
                  <w:noWrap w:val="0"/>
                  <w:vAlign w:val="center"/>
                </w:tcPr>
                <w:p w14:paraId="65324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27</w:t>
                  </w:r>
                </w:p>
              </w:tc>
            </w:tr>
          </w:tbl>
          <w:p w14:paraId="3D5964B3">
            <w:pPr>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p>
        </w:tc>
      </w:tr>
    </w:tbl>
    <w:p w14:paraId="2E1EAC0D">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E424CD4">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5" w:name="_Hlk54167917"/>
      <w:r>
        <w:rPr>
          <w:rFonts w:hint="default" w:ascii="Times New Roman" w:hAnsi="Times New Roman" w:eastAsia="黑体" w:cs="Times New Roman"/>
          <w:snapToGrid w:val="0"/>
          <w:color w:val="auto"/>
          <w:sz w:val="30"/>
          <w:szCs w:val="30"/>
        </w:rPr>
        <w:t>环境保护措施监督检查清单</w:t>
      </w:r>
      <w:bookmarkEnd w:id="5"/>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2"/>
        <w:gridCol w:w="866"/>
        <w:gridCol w:w="1373"/>
        <w:gridCol w:w="2446"/>
        <w:gridCol w:w="2690"/>
      </w:tblGrid>
      <w:tr w14:paraId="5D0B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tcBorders>
              <w:tl2br w:val="single" w:color="auto" w:sz="4" w:space="0"/>
            </w:tcBorders>
            <w:noWrap w:val="0"/>
            <w:vAlign w:val="top"/>
          </w:tcPr>
          <w:p w14:paraId="068EB1F7">
            <w:pPr>
              <w:adjustRightInd w:val="0"/>
              <w:snapToGrid w:val="0"/>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669A41F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258" w:type="dxa"/>
            <w:gridSpan w:val="2"/>
            <w:noWrap w:val="0"/>
            <w:vAlign w:val="center"/>
          </w:tcPr>
          <w:p w14:paraId="7FA6AFEC">
            <w:pPr>
              <w:adjustRightInd w:val="0"/>
              <w:snapToGrid w:val="0"/>
              <w:jc w:val="both"/>
              <w:rPr>
                <w:rFonts w:hint="default" w:ascii="Times New Roman" w:hAnsi="Times New Roman" w:cs="Times New Roman"/>
                <w:color w:val="auto"/>
                <w:szCs w:val="21"/>
              </w:rPr>
            </w:pPr>
            <w:r>
              <w:rPr>
                <w:rFonts w:hint="default" w:ascii="Times New Roman" w:hAnsi="Times New Roman" w:cs="Times New Roman"/>
                <w:color w:val="auto"/>
                <w:szCs w:val="21"/>
              </w:rPr>
              <w:t>排放口</w:t>
            </w:r>
          </w:p>
          <w:p w14:paraId="1377FC97">
            <w:pPr>
              <w:adjustRightInd w:val="0"/>
              <w:snapToGrid w:val="0"/>
              <w:jc w:val="both"/>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编号、名称</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373" w:type="dxa"/>
            <w:noWrap w:val="0"/>
            <w:vAlign w:val="center"/>
          </w:tcPr>
          <w:p w14:paraId="2142F4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446" w:type="dxa"/>
            <w:noWrap w:val="0"/>
            <w:vAlign w:val="center"/>
          </w:tcPr>
          <w:p w14:paraId="16B646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690" w:type="dxa"/>
            <w:noWrap w:val="0"/>
            <w:vAlign w:val="center"/>
          </w:tcPr>
          <w:p w14:paraId="5EC810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10CDD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7DBA325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大气环境</w:t>
            </w:r>
          </w:p>
        </w:tc>
        <w:tc>
          <w:tcPr>
            <w:tcW w:w="392" w:type="dxa"/>
            <w:vMerge w:val="restart"/>
            <w:noWrap w:val="0"/>
            <w:vAlign w:val="center"/>
          </w:tcPr>
          <w:p w14:paraId="40D83712">
            <w:pPr>
              <w:pStyle w:val="94"/>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eastAsia" w:cs="Times New Roman"/>
                <w:b w:val="0"/>
                <w:bCs w:val="0"/>
                <w:color w:val="auto"/>
                <w:szCs w:val="21"/>
                <w:lang w:val="en-US" w:eastAsia="zh-CN"/>
              </w:rPr>
              <w:t>有组织废气</w:t>
            </w:r>
          </w:p>
        </w:tc>
        <w:tc>
          <w:tcPr>
            <w:tcW w:w="866" w:type="dxa"/>
            <w:noWrap w:val="0"/>
            <w:vAlign w:val="center"/>
          </w:tcPr>
          <w:p w14:paraId="6CA21C4B">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DA001</w:t>
            </w:r>
          </w:p>
        </w:tc>
        <w:tc>
          <w:tcPr>
            <w:tcW w:w="1373" w:type="dxa"/>
            <w:noWrap w:val="0"/>
            <w:vAlign w:val="center"/>
          </w:tcPr>
          <w:p w14:paraId="43651ED7">
            <w:pPr>
              <w:pStyle w:val="94"/>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颗粒物</w:t>
            </w:r>
          </w:p>
        </w:tc>
        <w:tc>
          <w:tcPr>
            <w:tcW w:w="2446" w:type="dxa"/>
            <w:noWrap w:val="0"/>
            <w:vAlign w:val="center"/>
          </w:tcPr>
          <w:p w14:paraId="2BFA95EB">
            <w:pPr>
              <w:pStyle w:val="94"/>
              <w:adjustRightInd w:val="0"/>
              <w:snapToGrid w:val="0"/>
              <w:contextualSpacing/>
              <w:rPr>
                <w:rFonts w:hint="eastAsia"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抛丸废气</w:t>
            </w:r>
            <w:r>
              <w:rPr>
                <w:rFonts w:hint="eastAsia" w:cs="Times New Roman"/>
                <w:b w:val="0"/>
                <w:bCs w:val="0"/>
                <w:color w:val="auto"/>
                <w:szCs w:val="21"/>
                <w:lang w:val="en-US" w:eastAsia="zh-CN"/>
              </w:rPr>
              <w:t>经自带的袋式除尘器预处理后与切割、焊接工序产生的废气统一进入滤筒除尘器（</w:t>
            </w:r>
            <w:r>
              <w:rPr>
                <w:rFonts w:hint="eastAsia" w:ascii="Times New Roman" w:hAnsi="Times New Roman" w:cs="Times New Roman"/>
                <w:b w:val="0"/>
                <w:bCs w:val="0"/>
                <w:color w:val="auto"/>
                <w:szCs w:val="21"/>
                <w:lang w:val="en-US" w:eastAsia="zh-CN"/>
              </w:rPr>
              <w:t>TA001</w:t>
            </w:r>
            <w:r>
              <w:rPr>
                <w:rFonts w:hint="eastAsia" w:cs="Times New Roman"/>
                <w:b w:val="0"/>
                <w:bCs w:val="0"/>
                <w:color w:val="auto"/>
                <w:szCs w:val="21"/>
                <w:lang w:val="en-US" w:eastAsia="zh-CN"/>
              </w:rPr>
              <w:t>）处理后由一根15米排气筒（DA001）高空排放；焊接设密闭焊接房。</w:t>
            </w:r>
          </w:p>
        </w:tc>
        <w:tc>
          <w:tcPr>
            <w:tcW w:w="2690" w:type="dxa"/>
            <w:noWrap w:val="0"/>
            <w:vAlign w:val="center"/>
          </w:tcPr>
          <w:p w14:paraId="02D2338F">
            <w:pPr>
              <w:pStyle w:val="94"/>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）表2相应标准</w:t>
            </w:r>
            <w:r>
              <w:rPr>
                <w:rFonts w:hint="eastAsia" w:cs="Times New Roman"/>
                <w:b w:val="0"/>
                <w:bCs w:val="0"/>
                <w:color w:val="auto"/>
                <w:szCs w:val="21"/>
                <w:lang w:val="en-US" w:eastAsia="zh-CN"/>
              </w:rPr>
              <w:t>限值</w:t>
            </w:r>
          </w:p>
        </w:tc>
      </w:tr>
      <w:tr w14:paraId="5815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4184424">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5018DA32">
            <w:pPr>
              <w:pStyle w:val="94"/>
              <w:adjustRightInd w:val="0"/>
              <w:snapToGrid w:val="0"/>
              <w:contextualSpacing/>
              <w:rPr>
                <w:rFonts w:hint="default" w:ascii="Times New Roman" w:hAnsi="Times New Roman" w:cs="Times New Roman"/>
                <w:b w:val="0"/>
                <w:bCs w:val="0"/>
                <w:color w:val="auto"/>
                <w:szCs w:val="21"/>
                <w:lang w:val="en-US" w:eastAsia="zh-CN"/>
              </w:rPr>
            </w:pPr>
          </w:p>
        </w:tc>
        <w:tc>
          <w:tcPr>
            <w:tcW w:w="866" w:type="dxa"/>
            <w:vMerge w:val="restart"/>
            <w:noWrap w:val="0"/>
            <w:vAlign w:val="center"/>
          </w:tcPr>
          <w:p w14:paraId="6478E31C">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DA002</w:t>
            </w:r>
          </w:p>
        </w:tc>
        <w:tc>
          <w:tcPr>
            <w:tcW w:w="1373" w:type="dxa"/>
            <w:noWrap w:val="0"/>
            <w:vAlign w:val="center"/>
          </w:tcPr>
          <w:p w14:paraId="176A49AE">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非甲烷总烃</w:t>
            </w:r>
          </w:p>
        </w:tc>
        <w:tc>
          <w:tcPr>
            <w:tcW w:w="2446" w:type="dxa"/>
            <w:noWrap w:val="0"/>
            <w:vAlign w:val="center"/>
          </w:tcPr>
          <w:p w14:paraId="52CD4D99">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固化廊道进出口设集气口，固化废气经收集进入二级活性炭（TA002）吸附处理，由1根15米排气筒（DA002）高空排放。</w:t>
            </w:r>
          </w:p>
        </w:tc>
        <w:tc>
          <w:tcPr>
            <w:tcW w:w="2690" w:type="dxa"/>
            <w:noWrap w:val="0"/>
            <w:vAlign w:val="center"/>
          </w:tcPr>
          <w:p w14:paraId="475E8ECF">
            <w:pPr>
              <w:pStyle w:val="94"/>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（排放浓度为50</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，同时需满足《重污染天气重点行业应急减排措施制定技术指南》（环办大气函</w:t>
            </w:r>
            <w:r>
              <w:rPr>
                <w:rFonts w:hint="eastAsia" w:cs="Times New Roman"/>
                <w:b w:val="0"/>
                <w:bCs/>
                <w:color w:val="auto"/>
                <w:sz w:val="21"/>
                <w:szCs w:val="21"/>
                <w:lang w:val="en-US" w:eastAsia="zh-CN"/>
              </w:rPr>
              <w:t>〔2020〕</w:t>
            </w:r>
            <w:r>
              <w:rPr>
                <w:rFonts w:hint="default" w:ascii="Times New Roman" w:hAnsi="Times New Roman" w:cs="Times New Roman"/>
                <w:b w:val="0"/>
                <w:bCs/>
                <w:color w:val="auto"/>
                <w:sz w:val="21"/>
                <w:szCs w:val="21"/>
                <w:lang w:val="en-US" w:eastAsia="zh-CN"/>
              </w:rPr>
              <w:t>（340）号）中工业涂装A级企业“排放限值”要求</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20mg/m</w:t>
            </w:r>
            <w:r>
              <w:rPr>
                <w:rFonts w:hint="default" w:ascii="Times New Roman" w:hAnsi="Times New Roman" w:cs="Times New Roman"/>
                <w:b w:val="0"/>
                <w:bCs/>
                <w:color w:val="auto"/>
                <w:sz w:val="21"/>
                <w:szCs w:val="21"/>
                <w:vertAlign w:val="superscript"/>
                <w:lang w:val="en-US" w:eastAsia="zh-CN"/>
              </w:rPr>
              <w:t>3</w:t>
            </w:r>
            <w:r>
              <w:rPr>
                <w:rFonts w:hint="default" w:ascii="Times New Roman" w:hAnsi="Times New Roman" w:cs="Times New Roman"/>
                <w:b w:val="0"/>
                <w:bCs/>
                <w:color w:val="auto"/>
                <w:sz w:val="21"/>
                <w:szCs w:val="21"/>
                <w:lang w:val="en-US" w:eastAsia="zh-CN"/>
              </w:rPr>
              <w:t>—30mg/m</w:t>
            </w:r>
            <w:r>
              <w:rPr>
                <w:rFonts w:hint="default" w:ascii="Times New Roman" w:hAnsi="Times New Roman"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w:t>
            </w:r>
          </w:p>
        </w:tc>
      </w:tr>
      <w:tr w14:paraId="465BF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54106098">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44BDFA7E">
            <w:pPr>
              <w:pStyle w:val="94"/>
              <w:adjustRightInd w:val="0"/>
              <w:snapToGrid w:val="0"/>
              <w:contextualSpacing/>
              <w:rPr>
                <w:rFonts w:hint="default" w:ascii="Times New Roman" w:hAnsi="Times New Roman" w:cs="Times New Roman"/>
                <w:b w:val="0"/>
                <w:bCs w:val="0"/>
                <w:color w:val="auto"/>
                <w:szCs w:val="21"/>
                <w:lang w:val="en-US" w:eastAsia="zh-CN"/>
              </w:rPr>
            </w:pPr>
          </w:p>
        </w:tc>
        <w:tc>
          <w:tcPr>
            <w:tcW w:w="866" w:type="dxa"/>
            <w:vMerge w:val="continue"/>
            <w:noWrap w:val="0"/>
            <w:vAlign w:val="center"/>
          </w:tcPr>
          <w:p w14:paraId="7544A5DD">
            <w:pPr>
              <w:pStyle w:val="94"/>
              <w:adjustRightInd w:val="0"/>
              <w:snapToGrid w:val="0"/>
              <w:contextualSpacing/>
              <w:rPr>
                <w:rFonts w:hint="default" w:ascii="Times New Roman" w:hAnsi="Times New Roman" w:cs="Times New Roman"/>
                <w:b w:val="0"/>
                <w:bCs w:val="0"/>
                <w:color w:val="auto"/>
                <w:szCs w:val="21"/>
                <w:lang w:val="en-US" w:eastAsia="zh-CN"/>
              </w:rPr>
            </w:pPr>
          </w:p>
        </w:tc>
        <w:tc>
          <w:tcPr>
            <w:tcW w:w="1373" w:type="dxa"/>
            <w:noWrap w:val="0"/>
            <w:vAlign w:val="center"/>
          </w:tcPr>
          <w:p w14:paraId="1BC0214E">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颗粒物、二氧化硫、氮氧化物、林格曼黑度</w:t>
            </w:r>
          </w:p>
        </w:tc>
        <w:tc>
          <w:tcPr>
            <w:tcW w:w="2446" w:type="dxa"/>
            <w:noWrap w:val="0"/>
            <w:vAlign w:val="center"/>
          </w:tcPr>
          <w:p w14:paraId="624A3C94">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天然气燃烧废气经低氮燃烧器处理后与固化废气经同一根15米排气筒（DA002）高空排放。</w:t>
            </w:r>
          </w:p>
        </w:tc>
        <w:tc>
          <w:tcPr>
            <w:tcW w:w="2690" w:type="dxa"/>
            <w:noWrap w:val="0"/>
            <w:vAlign w:val="center"/>
          </w:tcPr>
          <w:p w14:paraId="178F93A0">
            <w:pPr>
              <w:pStyle w:val="94"/>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《工业炉窑大气污染综合治理方案》（环大气</w:t>
            </w:r>
            <w:r>
              <w:rPr>
                <w:rFonts w:hint="eastAsia" w:cs="Times New Roman"/>
                <w:b w:val="0"/>
                <w:bCs w:val="0"/>
                <w:color w:val="auto"/>
                <w:szCs w:val="21"/>
                <w:lang w:val="en-US" w:eastAsia="zh-CN"/>
              </w:rPr>
              <w:t>〔2019〕56号</w:t>
            </w:r>
            <w:r>
              <w:rPr>
                <w:rFonts w:hint="default" w:ascii="Times New Roman" w:hAnsi="Times New Roman" w:cs="Times New Roman"/>
                <w:b w:val="0"/>
                <w:bCs w:val="0"/>
                <w:color w:val="auto"/>
                <w:szCs w:val="21"/>
                <w:lang w:val="en-US" w:eastAsia="zh-CN"/>
              </w:rPr>
              <w:t>）中相应管控要求（颗粒物排放浓度为30mg/m3，SO2排放浓度为200mg/m3，NOx排放浓度为300mg/m）</w:t>
            </w:r>
            <w:r>
              <w:rPr>
                <w:rFonts w:hint="eastAsia" w:cs="Times New Roman"/>
                <w:b w:val="0"/>
                <w:bCs w:val="0"/>
                <w:color w:val="auto"/>
                <w:szCs w:val="21"/>
                <w:lang w:val="en-US" w:eastAsia="zh-CN"/>
              </w:rPr>
              <w:t>，林格曼黑度满足《工业窑炉大气污染物排放标准（GB9078-1996）表2二级排放标准限值要求（林格曼黑度≤1）</w:t>
            </w:r>
          </w:p>
        </w:tc>
      </w:tr>
      <w:tr w14:paraId="5EFC6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BB34125">
            <w:pPr>
              <w:adjustRightInd w:val="0"/>
              <w:snapToGrid w:val="0"/>
              <w:jc w:val="center"/>
              <w:rPr>
                <w:rFonts w:hint="default" w:ascii="Times New Roman" w:hAnsi="Times New Roman" w:cs="Times New Roman"/>
                <w:color w:val="auto"/>
                <w:szCs w:val="21"/>
                <w:lang w:eastAsia="zh-CN"/>
              </w:rPr>
            </w:pPr>
          </w:p>
        </w:tc>
        <w:tc>
          <w:tcPr>
            <w:tcW w:w="392" w:type="dxa"/>
            <w:vMerge w:val="restart"/>
            <w:noWrap w:val="0"/>
            <w:vAlign w:val="center"/>
          </w:tcPr>
          <w:p w14:paraId="3F35D81C">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无组织废气</w:t>
            </w:r>
          </w:p>
        </w:tc>
        <w:tc>
          <w:tcPr>
            <w:tcW w:w="866" w:type="dxa"/>
            <w:noWrap w:val="0"/>
            <w:vAlign w:val="center"/>
          </w:tcPr>
          <w:p w14:paraId="5D3F918F">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喷粉</w:t>
            </w:r>
          </w:p>
          <w:p w14:paraId="338C44A2">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废气</w:t>
            </w:r>
          </w:p>
        </w:tc>
        <w:tc>
          <w:tcPr>
            <w:tcW w:w="1373" w:type="dxa"/>
            <w:noWrap w:val="0"/>
            <w:vAlign w:val="center"/>
          </w:tcPr>
          <w:p w14:paraId="63DF6D32">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noWrap w:val="0"/>
            <w:vAlign w:val="center"/>
          </w:tcPr>
          <w:p w14:paraId="2027590C">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喷粉废气设密闭喷房收集，设下吸式捕集系统，将未被工件吸附的过量粉末吸入旋风除尘器，经分离器分离后再送至供粉箱进行喷涂，未收集的粉尘无组织排放</w:t>
            </w:r>
          </w:p>
        </w:tc>
        <w:tc>
          <w:tcPr>
            <w:tcW w:w="2690" w:type="dxa"/>
            <w:noWrap w:val="0"/>
            <w:vAlign w:val="center"/>
          </w:tcPr>
          <w:p w14:paraId="3FC36E74">
            <w:pPr>
              <w:pStyle w:val="94"/>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）表2相应标准</w:t>
            </w:r>
            <w:r>
              <w:rPr>
                <w:rFonts w:hint="eastAsia" w:cs="Times New Roman"/>
                <w:b w:val="0"/>
                <w:bCs w:val="0"/>
                <w:color w:val="auto"/>
                <w:szCs w:val="21"/>
                <w:lang w:val="en-US" w:eastAsia="zh-CN"/>
              </w:rPr>
              <w:t>限值</w:t>
            </w:r>
          </w:p>
        </w:tc>
      </w:tr>
      <w:tr w14:paraId="393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067E77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66A9E1CD">
            <w:pPr>
              <w:pStyle w:val="94"/>
              <w:adjustRightInd w:val="0"/>
              <w:snapToGrid w:val="0"/>
              <w:contextualSpacing/>
              <w:rPr>
                <w:rFonts w:hint="eastAsia" w:cs="Times New Roman"/>
                <w:b w:val="0"/>
                <w:bCs w:val="0"/>
                <w:color w:val="auto"/>
                <w:szCs w:val="21"/>
                <w:lang w:val="en-US" w:eastAsia="zh-CN"/>
              </w:rPr>
            </w:pPr>
          </w:p>
        </w:tc>
        <w:tc>
          <w:tcPr>
            <w:tcW w:w="866" w:type="dxa"/>
            <w:noWrap w:val="0"/>
            <w:vAlign w:val="center"/>
          </w:tcPr>
          <w:p w14:paraId="7870AF0C">
            <w:pPr>
              <w:pStyle w:val="94"/>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焊接废气、切割</w:t>
            </w:r>
          </w:p>
        </w:tc>
        <w:tc>
          <w:tcPr>
            <w:tcW w:w="1373" w:type="dxa"/>
            <w:noWrap w:val="0"/>
            <w:vAlign w:val="center"/>
          </w:tcPr>
          <w:p w14:paraId="7BA5F2F0">
            <w:pPr>
              <w:pStyle w:val="94"/>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noWrap w:val="0"/>
            <w:vAlign w:val="center"/>
          </w:tcPr>
          <w:p w14:paraId="02C21C70">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焊接、切割工序未被收集的废气无组织排放</w:t>
            </w:r>
          </w:p>
        </w:tc>
        <w:tc>
          <w:tcPr>
            <w:tcW w:w="2690" w:type="dxa"/>
            <w:noWrap w:val="0"/>
            <w:vAlign w:val="center"/>
          </w:tcPr>
          <w:p w14:paraId="22F41987">
            <w:pPr>
              <w:pStyle w:val="94"/>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《大气污染物</w:t>
            </w:r>
            <w:r>
              <w:rPr>
                <w:rFonts w:hint="eastAsia" w:ascii="Times New Roman" w:hAnsi="Times New Roman" w:cs="Times New Roman"/>
                <w:b w:val="0"/>
                <w:bCs w:val="0"/>
                <w:color w:val="auto"/>
                <w:szCs w:val="21"/>
                <w:lang w:val="en-US" w:eastAsia="zh-CN"/>
              </w:rPr>
              <w:t>综合</w:t>
            </w:r>
            <w:r>
              <w:rPr>
                <w:rFonts w:hint="default" w:ascii="Times New Roman" w:hAnsi="Times New Roman" w:cs="Times New Roman"/>
                <w:b w:val="0"/>
                <w:bCs w:val="0"/>
                <w:color w:val="auto"/>
                <w:szCs w:val="21"/>
                <w:lang w:val="en-US" w:eastAsia="zh-CN"/>
              </w:rPr>
              <w:t>排放标准》（GB</w:t>
            </w:r>
            <w:r>
              <w:rPr>
                <w:rFonts w:hint="eastAsia" w:ascii="Times New Roman" w:hAnsi="Times New Roman" w:cs="Times New Roman"/>
                <w:b w:val="0"/>
                <w:bCs w:val="0"/>
                <w:color w:val="auto"/>
                <w:szCs w:val="21"/>
                <w:lang w:val="en-US" w:eastAsia="zh-CN"/>
              </w:rPr>
              <w:t>16297</w:t>
            </w:r>
            <w:r>
              <w:rPr>
                <w:rFonts w:hint="default" w:ascii="Times New Roman" w:hAnsi="Times New Roman" w:cs="Times New Roman"/>
                <w:b w:val="0"/>
                <w:bCs w:val="0"/>
                <w:color w:val="auto"/>
                <w:szCs w:val="21"/>
                <w:lang w:val="en-US" w:eastAsia="zh-CN"/>
              </w:rPr>
              <w:t>-</w:t>
            </w:r>
            <w:r>
              <w:rPr>
                <w:rFonts w:hint="eastAsia" w:ascii="Times New Roman" w:hAnsi="Times New Roman" w:cs="Times New Roman"/>
                <w:b w:val="0"/>
                <w:bCs w:val="0"/>
                <w:color w:val="auto"/>
                <w:szCs w:val="21"/>
                <w:lang w:val="en-US" w:eastAsia="zh-CN"/>
              </w:rPr>
              <w:t>1996</w:t>
            </w:r>
            <w:r>
              <w:rPr>
                <w:rFonts w:hint="default" w:ascii="Times New Roman" w:hAnsi="Times New Roman" w:cs="Times New Roman"/>
                <w:b w:val="0"/>
                <w:bCs w:val="0"/>
                <w:color w:val="auto"/>
                <w:szCs w:val="21"/>
                <w:lang w:val="en-US" w:eastAsia="zh-CN"/>
              </w:rPr>
              <w:t>）</w:t>
            </w:r>
          </w:p>
        </w:tc>
      </w:tr>
      <w:tr w14:paraId="045CA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3FF3AC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37E4CF3D">
            <w:pPr>
              <w:pStyle w:val="94"/>
              <w:adjustRightInd w:val="0"/>
              <w:snapToGrid w:val="0"/>
              <w:contextualSpacing/>
              <w:rPr>
                <w:rFonts w:hint="eastAsia" w:cs="Times New Roman"/>
                <w:b w:val="0"/>
                <w:bCs w:val="0"/>
                <w:color w:val="auto"/>
                <w:szCs w:val="21"/>
                <w:lang w:val="en-US" w:eastAsia="zh-CN"/>
              </w:rPr>
            </w:pPr>
          </w:p>
        </w:tc>
        <w:tc>
          <w:tcPr>
            <w:tcW w:w="866" w:type="dxa"/>
            <w:noWrap w:val="0"/>
            <w:vAlign w:val="center"/>
          </w:tcPr>
          <w:p w14:paraId="0550C8F0">
            <w:pPr>
              <w:pStyle w:val="94"/>
              <w:adjustRightInd w:val="0"/>
              <w:snapToGrid w:val="0"/>
              <w:contextualSpacing/>
              <w:rPr>
                <w:rFonts w:hint="eastAsia" w:cs="Times New Roman"/>
                <w:b w:val="0"/>
                <w:bCs w:val="0"/>
                <w:color w:val="auto"/>
                <w:szCs w:val="21"/>
                <w:lang w:val="en-US" w:eastAsia="zh-CN"/>
              </w:rPr>
            </w:pPr>
            <w:r>
              <w:rPr>
                <w:rFonts w:hint="eastAsia" w:cs="Times New Roman"/>
                <w:b w:val="0"/>
                <w:bCs w:val="0"/>
                <w:color w:val="auto"/>
                <w:szCs w:val="21"/>
                <w:lang w:val="en-US" w:eastAsia="zh-CN"/>
              </w:rPr>
              <w:t>固化</w:t>
            </w:r>
          </w:p>
          <w:p w14:paraId="098142EB">
            <w:pPr>
              <w:pStyle w:val="94"/>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废气</w:t>
            </w:r>
          </w:p>
        </w:tc>
        <w:tc>
          <w:tcPr>
            <w:tcW w:w="1373" w:type="dxa"/>
            <w:noWrap w:val="0"/>
            <w:vAlign w:val="center"/>
          </w:tcPr>
          <w:p w14:paraId="141FD871">
            <w:pPr>
              <w:pStyle w:val="94"/>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非甲烷总烃</w:t>
            </w:r>
          </w:p>
        </w:tc>
        <w:tc>
          <w:tcPr>
            <w:tcW w:w="2446" w:type="dxa"/>
            <w:noWrap w:val="0"/>
            <w:vAlign w:val="center"/>
          </w:tcPr>
          <w:p w14:paraId="56238DB7">
            <w:pPr>
              <w:pStyle w:val="94"/>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固化未被收集的废气无组织排放</w:t>
            </w:r>
          </w:p>
        </w:tc>
        <w:tc>
          <w:tcPr>
            <w:tcW w:w="2690" w:type="dxa"/>
            <w:noWrap w:val="0"/>
            <w:vAlign w:val="center"/>
          </w:tcPr>
          <w:p w14:paraId="365FA994">
            <w:pPr>
              <w:pStyle w:val="94"/>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color w:val="auto"/>
                <w:sz w:val="21"/>
                <w:szCs w:val="21"/>
                <w:lang w:val="en-US" w:eastAsia="zh-CN"/>
              </w:rPr>
              <w:t>厂界：</w:t>
            </w:r>
            <w:r>
              <w:rPr>
                <w:rFonts w:hint="default" w:ascii="Times New Roman" w:hAnsi="Times New Roman" w:cs="Times New Roman"/>
                <w:b w:val="0"/>
                <w:bCs/>
                <w:color w:val="auto"/>
                <w:sz w:val="21"/>
                <w:szCs w:val="21"/>
                <w:lang w:val="en-US" w:eastAsia="zh-CN"/>
              </w:rPr>
              <w:t>《挥发性有机物排放控制标准》（DB61/T1061-2017）</w:t>
            </w:r>
            <w:r>
              <w:rPr>
                <w:rFonts w:hint="eastAsia" w:cs="Times New Roman"/>
                <w:b w:val="0"/>
                <w:bCs/>
                <w:color w:val="auto"/>
                <w:sz w:val="21"/>
                <w:szCs w:val="21"/>
                <w:lang w:val="en-US" w:eastAsia="zh-CN"/>
              </w:rPr>
              <w:t>（</w:t>
            </w:r>
            <w:r>
              <w:rPr>
                <w:rFonts w:hint="eastAsia" w:ascii="Times New Roman" w:hAnsi="Times New Roman" w:eastAsia="宋体" w:cs="Times New Roman"/>
                <w:color w:val="auto"/>
                <w:sz w:val="21"/>
                <w:szCs w:val="21"/>
                <w:lang w:val="en-US" w:eastAsia="zh-CN"/>
              </w:rPr>
              <w:t>排放浓度为</w:t>
            </w:r>
            <w:r>
              <w:rPr>
                <w:rFonts w:hint="eastAsia" w:cs="Times New Roman"/>
                <w:b w:val="0"/>
                <w:bCs/>
                <w:color w:val="auto"/>
                <w:sz w:val="21"/>
                <w:szCs w:val="21"/>
                <w:lang w:val="en-US" w:eastAsia="zh-CN"/>
              </w:rPr>
              <w:t>3mg/m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）；厂内：</w:t>
            </w: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eastAsia"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、任意一次浓度值不超过20mg/</w:t>
            </w:r>
            <w:r>
              <w:rPr>
                <w:rFonts w:hint="eastAsia" w:ascii="Times New Roman" w:hAnsi="Times New Roman" w:eastAsia="宋体" w:cs="Times New Roman"/>
                <w:color w:val="auto"/>
                <w:szCs w:val="21"/>
                <w:lang w:val="en-US" w:eastAsia="zh-CN"/>
              </w:rPr>
              <w:t>m³</w:t>
            </w:r>
            <w:r>
              <w:rPr>
                <w:rFonts w:hint="default" w:ascii="Times New Roman" w:hAnsi="Times New Roman" w:eastAsia="宋体" w:cs="Times New Roman"/>
                <w:color w:val="auto"/>
                <w:szCs w:val="21"/>
                <w:lang w:val="en-US" w:eastAsia="zh-CN"/>
              </w:rPr>
              <w:t>。）</w:t>
            </w:r>
          </w:p>
        </w:tc>
      </w:tr>
      <w:tr w14:paraId="4593D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6BBEC12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地表水环境</w:t>
            </w:r>
          </w:p>
        </w:tc>
        <w:tc>
          <w:tcPr>
            <w:tcW w:w="1258" w:type="dxa"/>
            <w:gridSpan w:val="2"/>
            <w:noWrap w:val="0"/>
            <w:vAlign w:val="center"/>
          </w:tcPr>
          <w:p w14:paraId="188467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清洗废水</w:t>
            </w:r>
          </w:p>
        </w:tc>
        <w:tc>
          <w:tcPr>
            <w:tcW w:w="3819" w:type="dxa"/>
            <w:gridSpan w:val="2"/>
            <w:noWrap w:val="0"/>
            <w:vAlign w:val="center"/>
          </w:tcPr>
          <w:p w14:paraId="05B735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经一体化污水处理设施处理后循环使用，不外排</w:t>
            </w:r>
          </w:p>
        </w:tc>
        <w:tc>
          <w:tcPr>
            <w:tcW w:w="2690" w:type="dxa"/>
            <w:noWrap w:val="0"/>
            <w:vAlign w:val="center"/>
          </w:tcPr>
          <w:p w14:paraId="1F155D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水质</w:t>
            </w:r>
            <w:r>
              <w:rPr>
                <w:rFonts w:hint="eastAsia" w:cs="Times New Roman"/>
                <w:color w:val="auto"/>
                <w:kern w:val="2"/>
                <w:sz w:val="21"/>
                <w:szCs w:val="21"/>
                <w:lang w:val="en-US" w:eastAsia="zh-CN" w:bidi="ar-SA"/>
              </w:rPr>
              <w:t>需满足</w:t>
            </w:r>
            <w:r>
              <w:rPr>
                <w:rFonts w:hint="eastAsia" w:ascii="Times New Roman" w:hAnsi="Times New Roman" w:eastAsia="宋体" w:cs="Times New Roman"/>
                <w:color w:val="auto"/>
                <w:kern w:val="2"/>
                <w:sz w:val="21"/>
                <w:szCs w:val="21"/>
                <w:lang w:val="en-US" w:eastAsia="zh-CN" w:bidi="ar-SA"/>
              </w:rPr>
              <w:t>《城市污水再生利用 工业用水水质》（GB/T 19923-2005）表1中洗涤用水水质标准限值</w:t>
            </w:r>
          </w:p>
        </w:tc>
      </w:tr>
      <w:tr w14:paraId="2540B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357CEA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258" w:type="dxa"/>
            <w:gridSpan w:val="2"/>
            <w:noWrap w:val="0"/>
            <w:vAlign w:val="center"/>
          </w:tcPr>
          <w:p w14:paraId="658D88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抛丸机</w:t>
            </w:r>
          </w:p>
        </w:tc>
        <w:tc>
          <w:tcPr>
            <w:tcW w:w="3819" w:type="dxa"/>
            <w:gridSpan w:val="2"/>
            <w:vMerge w:val="restart"/>
            <w:noWrap w:val="0"/>
            <w:vAlign w:val="center"/>
          </w:tcPr>
          <w:p w14:paraId="77065A1F">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厂房墙体隔声</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加强设备润滑、</w:t>
            </w:r>
            <w:r>
              <w:rPr>
                <w:rFonts w:hint="default" w:ascii="Times New Roman" w:hAnsi="Times New Roman" w:cs="Times New Roman"/>
                <w:color w:val="auto"/>
                <w:szCs w:val="21"/>
              </w:rPr>
              <w:t>距离衰减等</w:t>
            </w:r>
            <w:r>
              <w:rPr>
                <w:rFonts w:hint="eastAsia" w:cs="Times New Roman"/>
                <w:color w:val="auto"/>
                <w:szCs w:val="21"/>
                <w:lang w:eastAsia="zh-CN"/>
              </w:rPr>
              <w:t>，</w:t>
            </w:r>
            <w:r>
              <w:rPr>
                <w:rFonts w:hint="eastAsia" w:cs="Times New Roman"/>
                <w:color w:val="auto"/>
                <w:szCs w:val="21"/>
                <w:lang w:val="en-US" w:eastAsia="zh-CN"/>
              </w:rPr>
              <w:t>风机设隔声罩</w:t>
            </w:r>
          </w:p>
        </w:tc>
        <w:tc>
          <w:tcPr>
            <w:tcW w:w="2690" w:type="dxa"/>
            <w:vMerge w:val="restart"/>
            <w:noWrap w:val="0"/>
            <w:vAlign w:val="center"/>
          </w:tcPr>
          <w:p w14:paraId="50C7E143">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rPr>
              <w:t>《工业企业厂界环境噪声排放标准》（GB12348-2008）</w:t>
            </w:r>
            <w:r>
              <w:rPr>
                <w:rFonts w:hint="eastAsia" w:cs="Times New Roman"/>
                <w:color w:val="auto"/>
                <w:lang w:val="en-US" w:eastAsia="zh-CN"/>
              </w:rPr>
              <w:t>3</w:t>
            </w:r>
            <w:r>
              <w:rPr>
                <w:rFonts w:hint="default" w:ascii="Times New Roman" w:hAnsi="Times New Roman" w:cs="Times New Roman"/>
                <w:color w:val="auto"/>
              </w:rPr>
              <w:t>类标准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4类</w:t>
            </w:r>
            <w:r>
              <w:rPr>
                <w:rFonts w:hint="default" w:ascii="Times New Roman" w:hAnsi="Times New Roman" w:cs="Times New Roman"/>
                <w:color w:val="auto"/>
                <w:lang w:eastAsia="zh-CN"/>
              </w:rPr>
              <w:t>；</w:t>
            </w:r>
          </w:p>
        </w:tc>
      </w:tr>
      <w:tr w14:paraId="2E668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66BFF1C">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75B6A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静电喷塑机</w:t>
            </w:r>
          </w:p>
        </w:tc>
        <w:tc>
          <w:tcPr>
            <w:tcW w:w="3819" w:type="dxa"/>
            <w:gridSpan w:val="2"/>
            <w:vMerge w:val="continue"/>
            <w:noWrap w:val="0"/>
            <w:vAlign w:val="center"/>
          </w:tcPr>
          <w:p w14:paraId="617B4DEE">
            <w:pPr>
              <w:adjustRightInd w:val="0"/>
              <w:snapToGrid w:val="0"/>
              <w:jc w:val="center"/>
              <w:rPr>
                <w:rFonts w:hint="default" w:ascii="Times New Roman" w:hAnsi="Times New Roman" w:cs="Times New Roman"/>
                <w:color w:val="auto"/>
              </w:rPr>
            </w:pPr>
          </w:p>
        </w:tc>
        <w:tc>
          <w:tcPr>
            <w:tcW w:w="2690" w:type="dxa"/>
            <w:vMerge w:val="continue"/>
            <w:noWrap w:val="0"/>
            <w:vAlign w:val="center"/>
          </w:tcPr>
          <w:p w14:paraId="68E191A8">
            <w:pPr>
              <w:adjustRightInd w:val="0"/>
              <w:snapToGrid w:val="0"/>
              <w:jc w:val="center"/>
              <w:rPr>
                <w:rFonts w:hint="default" w:ascii="Times New Roman" w:hAnsi="Times New Roman" w:cs="Times New Roman"/>
                <w:color w:val="auto"/>
              </w:rPr>
            </w:pPr>
          </w:p>
        </w:tc>
      </w:tr>
      <w:tr w14:paraId="223C1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D4E0AE6">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E53D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空压机</w:t>
            </w:r>
          </w:p>
        </w:tc>
        <w:tc>
          <w:tcPr>
            <w:tcW w:w="3819" w:type="dxa"/>
            <w:gridSpan w:val="2"/>
            <w:vMerge w:val="continue"/>
            <w:noWrap w:val="0"/>
            <w:vAlign w:val="center"/>
          </w:tcPr>
          <w:p w14:paraId="42235097">
            <w:pPr>
              <w:adjustRightInd w:val="0"/>
              <w:snapToGrid w:val="0"/>
              <w:jc w:val="center"/>
              <w:rPr>
                <w:rFonts w:hint="default" w:ascii="Times New Roman" w:hAnsi="Times New Roman" w:cs="Times New Roman"/>
                <w:color w:val="auto"/>
              </w:rPr>
            </w:pPr>
          </w:p>
        </w:tc>
        <w:tc>
          <w:tcPr>
            <w:tcW w:w="2690" w:type="dxa"/>
            <w:vMerge w:val="continue"/>
            <w:noWrap w:val="0"/>
            <w:vAlign w:val="center"/>
          </w:tcPr>
          <w:p w14:paraId="76D56A7B">
            <w:pPr>
              <w:adjustRightInd w:val="0"/>
              <w:snapToGrid w:val="0"/>
              <w:jc w:val="center"/>
              <w:rPr>
                <w:rFonts w:hint="default" w:ascii="Times New Roman" w:hAnsi="Times New Roman" w:cs="Times New Roman"/>
                <w:color w:val="auto"/>
              </w:rPr>
            </w:pPr>
          </w:p>
        </w:tc>
      </w:tr>
      <w:tr w14:paraId="46E9D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033BC40">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C369E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风机</w:t>
            </w:r>
          </w:p>
        </w:tc>
        <w:tc>
          <w:tcPr>
            <w:tcW w:w="3819" w:type="dxa"/>
            <w:gridSpan w:val="2"/>
            <w:vMerge w:val="continue"/>
            <w:noWrap w:val="0"/>
            <w:vAlign w:val="center"/>
          </w:tcPr>
          <w:p w14:paraId="02D1BFA6">
            <w:pPr>
              <w:adjustRightInd w:val="0"/>
              <w:snapToGrid w:val="0"/>
              <w:jc w:val="center"/>
              <w:rPr>
                <w:rFonts w:hint="default" w:ascii="Times New Roman" w:hAnsi="Times New Roman" w:eastAsia="宋体" w:cs="Times New Roman"/>
                <w:color w:val="auto"/>
                <w:lang w:eastAsia="zh-CN"/>
              </w:rPr>
            </w:pPr>
          </w:p>
        </w:tc>
        <w:tc>
          <w:tcPr>
            <w:tcW w:w="2690" w:type="dxa"/>
            <w:vMerge w:val="continue"/>
            <w:noWrap w:val="0"/>
            <w:vAlign w:val="center"/>
          </w:tcPr>
          <w:p w14:paraId="7BBC423B">
            <w:pPr>
              <w:adjustRightInd w:val="0"/>
              <w:snapToGrid w:val="0"/>
              <w:jc w:val="center"/>
              <w:rPr>
                <w:rFonts w:hint="default" w:ascii="Times New Roman" w:hAnsi="Times New Roman" w:cs="Times New Roman"/>
                <w:color w:val="auto"/>
              </w:rPr>
            </w:pPr>
          </w:p>
        </w:tc>
      </w:tr>
      <w:tr w14:paraId="62756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313F275">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B15C4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污水处理设施</w:t>
            </w:r>
          </w:p>
        </w:tc>
        <w:tc>
          <w:tcPr>
            <w:tcW w:w="3819" w:type="dxa"/>
            <w:gridSpan w:val="2"/>
            <w:vMerge w:val="continue"/>
            <w:noWrap w:val="0"/>
            <w:vAlign w:val="center"/>
          </w:tcPr>
          <w:p w14:paraId="296598F0">
            <w:pPr>
              <w:adjustRightInd w:val="0"/>
              <w:snapToGrid w:val="0"/>
              <w:jc w:val="center"/>
              <w:rPr>
                <w:rFonts w:hint="default" w:ascii="Times New Roman" w:hAnsi="Times New Roman" w:cs="Times New Roman"/>
                <w:color w:val="auto"/>
                <w:lang w:eastAsia="zh-CN"/>
              </w:rPr>
            </w:pPr>
          </w:p>
        </w:tc>
        <w:tc>
          <w:tcPr>
            <w:tcW w:w="2690" w:type="dxa"/>
            <w:vMerge w:val="continue"/>
            <w:noWrap w:val="0"/>
            <w:vAlign w:val="center"/>
          </w:tcPr>
          <w:p w14:paraId="339B1A4E">
            <w:pPr>
              <w:adjustRightInd w:val="0"/>
              <w:snapToGrid w:val="0"/>
              <w:jc w:val="center"/>
              <w:rPr>
                <w:rFonts w:hint="default" w:ascii="Times New Roman" w:hAnsi="Times New Roman" w:cs="Times New Roman"/>
                <w:color w:val="auto"/>
              </w:rPr>
            </w:pPr>
          </w:p>
        </w:tc>
      </w:tr>
      <w:tr w14:paraId="79290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064246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258" w:type="dxa"/>
            <w:gridSpan w:val="2"/>
            <w:noWrap w:val="0"/>
            <w:vAlign w:val="center"/>
          </w:tcPr>
          <w:p w14:paraId="27C0B0B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废边角料、金属屑</w:t>
            </w:r>
          </w:p>
        </w:tc>
        <w:tc>
          <w:tcPr>
            <w:tcW w:w="6509" w:type="dxa"/>
            <w:gridSpan w:val="3"/>
            <w:noWrap w:val="0"/>
            <w:vAlign w:val="center"/>
          </w:tcPr>
          <w:p w14:paraId="2EC6890B">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暂存于一般固废暂存区后外售物资回收单位综合利用</w:t>
            </w:r>
            <w:r>
              <w:rPr>
                <w:rFonts w:hint="default" w:ascii="Times New Roman" w:hAnsi="Times New Roman" w:eastAsia="宋体" w:cs="Times New Roman"/>
                <w:color w:val="auto"/>
                <w:szCs w:val="21"/>
              </w:rPr>
              <w:t>；</w:t>
            </w:r>
          </w:p>
        </w:tc>
      </w:tr>
      <w:tr w14:paraId="0B19C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374A2E4">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3B5488A3">
            <w:pPr>
              <w:adjustRightInd w:val="0"/>
              <w:snapToGrid w:val="0"/>
              <w:jc w:val="center"/>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废钢丸</w:t>
            </w:r>
          </w:p>
        </w:tc>
        <w:tc>
          <w:tcPr>
            <w:tcW w:w="6509" w:type="dxa"/>
            <w:gridSpan w:val="3"/>
            <w:vMerge w:val="restart"/>
            <w:noWrap w:val="0"/>
            <w:vAlign w:val="center"/>
          </w:tcPr>
          <w:p w14:paraId="432F5D6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暂存一般固废暂区（</w:t>
            </w:r>
            <w:r>
              <w:rPr>
                <w:rFonts w:hint="eastAsia" w:cs="Times New Roman"/>
                <w:color w:val="auto"/>
                <w:szCs w:val="21"/>
                <w:lang w:val="en-US" w:eastAsia="zh-CN"/>
              </w:rPr>
              <w:t>2</w:t>
            </w:r>
            <w:r>
              <w:rPr>
                <w:rFonts w:hint="eastAsia" w:ascii="Times New Roman" w:hAnsi="Times New Roman" w:eastAsia="宋体" w:cs="Times New Roman"/>
                <w:color w:val="auto"/>
                <w:szCs w:val="21"/>
                <w:lang w:val="en-US" w:eastAsia="zh-CN"/>
              </w:rPr>
              <w:t>0㎡）后外售相关物资回收部门综合利用</w:t>
            </w:r>
          </w:p>
        </w:tc>
      </w:tr>
      <w:tr w14:paraId="3C85E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7848D74">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3C5628AB">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收尘灰</w:t>
            </w:r>
          </w:p>
        </w:tc>
        <w:tc>
          <w:tcPr>
            <w:tcW w:w="6509" w:type="dxa"/>
            <w:gridSpan w:val="3"/>
            <w:vMerge w:val="continue"/>
            <w:noWrap w:val="0"/>
            <w:vAlign w:val="center"/>
          </w:tcPr>
          <w:p w14:paraId="0F4F74D6">
            <w:pPr>
              <w:adjustRightInd w:val="0"/>
              <w:snapToGrid w:val="0"/>
              <w:jc w:val="center"/>
              <w:rPr>
                <w:rFonts w:hint="default" w:ascii="Times New Roman" w:hAnsi="Times New Roman" w:eastAsia="宋体" w:cs="Times New Roman"/>
                <w:color w:val="auto"/>
                <w:szCs w:val="21"/>
                <w:lang w:val="en-US" w:eastAsia="zh-CN"/>
              </w:rPr>
            </w:pPr>
          </w:p>
        </w:tc>
      </w:tr>
      <w:tr w14:paraId="65CFE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C0451C7">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66EFFEE">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废粉</w:t>
            </w:r>
          </w:p>
        </w:tc>
        <w:tc>
          <w:tcPr>
            <w:tcW w:w="6509" w:type="dxa"/>
            <w:gridSpan w:val="3"/>
            <w:vMerge w:val="continue"/>
            <w:noWrap w:val="0"/>
            <w:vAlign w:val="center"/>
          </w:tcPr>
          <w:p w14:paraId="29873F57">
            <w:pPr>
              <w:adjustRightInd w:val="0"/>
              <w:snapToGrid w:val="0"/>
              <w:jc w:val="center"/>
              <w:rPr>
                <w:rFonts w:hint="default" w:ascii="Times New Roman" w:hAnsi="Times New Roman" w:eastAsia="宋体" w:cs="Times New Roman"/>
                <w:color w:val="auto"/>
                <w:szCs w:val="21"/>
                <w:lang w:val="en-US" w:eastAsia="zh-CN"/>
              </w:rPr>
            </w:pPr>
          </w:p>
        </w:tc>
      </w:tr>
      <w:tr w14:paraId="55E05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053E766E">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49CD6DE">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w:t>
            </w:r>
            <w:r>
              <w:rPr>
                <w:rFonts w:hint="eastAsia" w:cs="Times New Roman"/>
                <w:color w:val="auto"/>
                <w:szCs w:val="21"/>
                <w:lang w:val="en-US" w:eastAsia="zh-CN"/>
              </w:rPr>
              <w:t>液压油</w:t>
            </w:r>
          </w:p>
        </w:tc>
        <w:tc>
          <w:tcPr>
            <w:tcW w:w="6509" w:type="dxa"/>
            <w:gridSpan w:val="3"/>
            <w:vMerge w:val="restart"/>
            <w:noWrap w:val="0"/>
            <w:vAlign w:val="center"/>
          </w:tcPr>
          <w:p w14:paraId="2C371CC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收集至危废暂存间</w:t>
            </w:r>
            <w:r>
              <w:rPr>
                <w:rFonts w:hint="eastAsia" w:ascii="Times New Roman" w:hAnsi="Times New Roman" w:cs="Times New Roman"/>
                <w:color w:val="auto"/>
                <w:szCs w:val="21"/>
                <w:lang w:eastAsia="zh-CN"/>
              </w:rPr>
              <w:t>（</w:t>
            </w:r>
            <w:r>
              <w:rPr>
                <w:rFonts w:hint="eastAsia" w:cs="Times New Roman"/>
                <w:color w:val="auto"/>
                <w:szCs w:val="21"/>
                <w:lang w:val="en-US" w:eastAsia="zh-CN"/>
              </w:rPr>
              <w:t>12</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lang w:eastAsia="zh-CN"/>
              </w:rPr>
              <w:t>分类存放后交资质单位清运处置</w:t>
            </w:r>
          </w:p>
        </w:tc>
      </w:tr>
      <w:tr w14:paraId="5722E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1A637E64">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0D9CFF06">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废含油抹布手套</w:t>
            </w:r>
          </w:p>
        </w:tc>
        <w:tc>
          <w:tcPr>
            <w:tcW w:w="6509" w:type="dxa"/>
            <w:gridSpan w:val="3"/>
            <w:vMerge w:val="continue"/>
            <w:noWrap w:val="0"/>
            <w:vAlign w:val="center"/>
          </w:tcPr>
          <w:p w14:paraId="467C6FB3">
            <w:pPr>
              <w:adjustRightInd w:val="0"/>
              <w:snapToGrid w:val="0"/>
              <w:jc w:val="center"/>
              <w:rPr>
                <w:rFonts w:hint="default" w:ascii="Times New Roman" w:hAnsi="Times New Roman" w:cs="Times New Roman"/>
                <w:color w:val="auto"/>
                <w:szCs w:val="21"/>
              </w:rPr>
            </w:pPr>
          </w:p>
        </w:tc>
      </w:tr>
      <w:tr w14:paraId="7C63D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C5C1052">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5FC46D22">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废油桶</w:t>
            </w:r>
          </w:p>
        </w:tc>
        <w:tc>
          <w:tcPr>
            <w:tcW w:w="6509" w:type="dxa"/>
            <w:gridSpan w:val="3"/>
            <w:vMerge w:val="continue"/>
            <w:noWrap w:val="0"/>
            <w:vAlign w:val="center"/>
          </w:tcPr>
          <w:p w14:paraId="21F6C749">
            <w:pPr>
              <w:adjustRightInd w:val="0"/>
              <w:snapToGrid w:val="0"/>
              <w:jc w:val="center"/>
              <w:rPr>
                <w:rFonts w:hint="default" w:ascii="Times New Roman" w:hAnsi="Times New Roman" w:cs="Times New Roman"/>
                <w:color w:val="auto"/>
                <w:szCs w:val="21"/>
              </w:rPr>
            </w:pPr>
          </w:p>
        </w:tc>
      </w:tr>
      <w:tr w14:paraId="15735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3D9598D2">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27BD801">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w:t>
            </w:r>
            <w:r>
              <w:rPr>
                <w:rFonts w:hint="eastAsia" w:cs="Times New Roman"/>
                <w:color w:val="auto"/>
                <w:szCs w:val="21"/>
                <w:lang w:val="en-US" w:eastAsia="zh-CN"/>
              </w:rPr>
              <w:t>活性炭</w:t>
            </w:r>
          </w:p>
        </w:tc>
        <w:tc>
          <w:tcPr>
            <w:tcW w:w="6509" w:type="dxa"/>
            <w:gridSpan w:val="3"/>
            <w:vMerge w:val="continue"/>
            <w:noWrap w:val="0"/>
            <w:vAlign w:val="center"/>
          </w:tcPr>
          <w:p w14:paraId="27CC329A">
            <w:pPr>
              <w:adjustRightInd w:val="0"/>
              <w:snapToGrid w:val="0"/>
              <w:jc w:val="center"/>
              <w:rPr>
                <w:rFonts w:hint="default" w:ascii="Times New Roman" w:hAnsi="Times New Roman" w:eastAsia="宋体" w:cs="Times New Roman"/>
                <w:color w:val="auto"/>
                <w:szCs w:val="21"/>
                <w:lang w:eastAsia="zh-CN"/>
              </w:rPr>
            </w:pPr>
          </w:p>
        </w:tc>
      </w:tr>
      <w:tr w14:paraId="2C009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EB5EBAA">
            <w:pPr>
              <w:adjustRightInd w:val="0"/>
              <w:snapToGrid w:val="0"/>
              <w:jc w:val="center"/>
              <w:rPr>
                <w:rFonts w:hint="default" w:ascii="Times New Roman" w:hAnsi="Times New Roman" w:cs="Times New Roman"/>
                <w:color w:val="auto"/>
                <w:szCs w:val="21"/>
              </w:rPr>
            </w:pPr>
          </w:p>
        </w:tc>
        <w:tc>
          <w:tcPr>
            <w:tcW w:w="1258" w:type="dxa"/>
            <w:gridSpan w:val="2"/>
            <w:noWrap w:val="0"/>
            <w:vAlign w:val="center"/>
          </w:tcPr>
          <w:p w14:paraId="2A6E9511">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污泥</w:t>
            </w:r>
          </w:p>
        </w:tc>
        <w:tc>
          <w:tcPr>
            <w:tcW w:w="6509" w:type="dxa"/>
            <w:gridSpan w:val="3"/>
            <w:vMerge w:val="continue"/>
            <w:noWrap w:val="0"/>
            <w:vAlign w:val="center"/>
          </w:tcPr>
          <w:p w14:paraId="6343B7A4">
            <w:pPr>
              <w:adjustRightInd w:val="0"/>
              <w:snapToGrid w:val="0"/>
              <w:jc w:val="center"/>
              <w:rPr>
                <w:rFonts w:hint="default" w:ascii="Times New Roman" w:hAnsi="Times New Roman" w:eastAsia="宋体" w:cs="Times New Roman"/>
                <w:color w:val="auto"/>
                <w:szCs w:val="21"/>
                <w:lang w:eastAsia="zh-CN"/>
              </w:rPr>
            </w:pPr>
          </w:p>
        </w:tc>
      </w:tr>
      <w:tr w14:paraId="5C9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10E9C0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7" w:type="dxa"/>
            <w:gridSpan w:val="5"/>
            <w:noWrap w:val="0"/>
            <w:vAlign w:val="center"/>
          </w:tcPr>
          <w:p w14:paraId="5E7AE32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对危险废物暂存间、</w:t>
            </w:r>
            <w:r>
              <w:rPr>
                <w:rFonts w:hint="default" w:ascii="Times New Roman" w:hAnsi="Times New Roman" w:cs="Times New Roman"/>
                <w:color w:val="auto"/>
                <w:szCs w:val="21"/>
                <w:lang w:eastAsia="zh-CN"/>
              </w:rPr>
              <w:t>仓库</w:t>
            </w:r>
            <w:r>
              <w:rPr>
                <w:rFonts w:hint="default" w:ascii="Times New Roman" w:hAnsi="Times New Roman" w:cs="Times New Roman"/>
                <w:color w:val="auto"/>
                <w:szCs w:val="21"/>
              </w:rPr>
              <w:t>等</w:t>
            </w:r>
            <w:r>
              <w:rPr>
                <w:rFonts w:hint="default" w:ascii="Times New Roman" w:hAnsi="Times New Roman" w:cs="Times New Roman"/>
                <w:color w:val="auto"/>
                <w:szCs w:val="21"/>
                <w:lang w:eastAsia="zh-CN"/>
              </w:rPr>
              <w:t>区域</w:t>
            </w:r>
            <w:r>
              <w:rPr>
                <w:rFonts w:hint="default" w:ascii="Times New Roman" w:hAnsi="Times New Roman" w:cs="Times New Roman"/>
                <w:color w:val="auto"/>
                <w:szCs w:val="21"/>
              </w:rPr>
              <w:t>均采取重点防腐防渗措施；定期维护设备；加强固体废物管理，及时清运，委托处置</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避免大量堆积</w:t>
            </w:r>
          </w:p>
        </w:tc>
      </w:tr>
      <w:tr w14:paraId="68323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17594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7" w:type="dxa"/>
            <w:gridSpan w:val="5"/>
            <w:noWrap w:val="0"/>
            <w:vAlign w:val="center"/>
          </w:tcPr>
          <w:p w14:paraId="13F6932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w:t>
            </w:r>
          </w:p>
        </w:tc>
      </w:tr>
      <w:tr w14:paraId="7D0F4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2223AD83">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0001E657">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7" w:type="dxa"/>
            <w:gridSpan w:val="5"/>
            <w:noWrap w:val="0"/>
            <w:vAlign w:val="center"/>
          </w:tcPr>
          <w:p w14:paraId="447C11F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对</w:t>
            </w:r>
            <w:r>
              <w:rPr>
                <w:rFonts w:hint="eastAsia" w:ascii="Times New Roman" w:hAnsi="Times New Roman" w:cs="Times New Roman"/>
                <w:color w:val="auto"/>
                <w:szCs w:val="21"/>
                <w:lang w:eastAsia="zh-CN"/>
              </w:rPr>
              <w:t>矿物油、氧气瓶</w:t>
            </w:r>
            <w:r>
              <w:rPr>
                <w:rFonts w:hint="default" w:ascii="Times New Roman" w:hAnsi="Times New Roman" w:cs="Times New Roman"/>
                <w:color w:val="auto"/>
                <w:szCs w:val="21"/>
              </w:rPr>
              <w:t>通过加强管理，安全操作并在贮存、运输、消防设施、</w:t>
            </w:r>
            <w:r>
              <w:rPr>
                <w:rFonts w:hint="eastAsia" w:ascii="Times New Roman" w:hAnsi="Times New Roman" w:cs="Times New Roman"/>
                <w:color w:val="auto"/>
                <w:szCs w:val="21"/>
                <w:lang w:eastAsia="zh-CN"/>
              </w:rPr>
              <w:t>泄漏</w:t>
            </w:r>
            <w:r>
              <w:rPr>
                <w:rFonts w:hint="default" w:ascii="Times New Roman" w:hAnsi="Times New Roman" w:cs="Times New Roman"/>
                <w:color w:val="auto"/>
                <w:szCs w:val="21"/>
              </w:rPr>
              <w:t>后的处置措施和环境风险应急等方面采取相应措施</w:t>
            </w:r>
          </w:p>
        </w:tc>
      </w:tr>
      <w:tr w14:paraId="4909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5498B552">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51787E89">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7" w:type="dxa"/>
            <w:gridSpan w:val="5"/>
            <w:noWrap w:val="0"/>
            <w:vAlign w:val="center"/>
          </w:tcPr>
          <w:p w14:paraId="1D56F48B">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w:t>
            </w:r>
          </w:p>
          <w:p w14:paraId="556F998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本项目的污染物排放水平与厂区环境管理水平密切相关，因此在采取环境保护工程措施和生态保护措施的同时，必须加强环境管理。 </w:t>
            </w:r>
          </w:p>
          <w:p w14:paraId="7F8B75F2">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rPr>
              <w:t xml:space="preserve">按照自行监测方案开展自行监测。 </w:t>
            </w:r>
          </w:p>
          <w:p w14:paraId="0ED4C498">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（2）</w:t>
            </w:r>
            <w:r>
              <w:rPr>
                <w:rFonts w:hint="default" w:ascii="Times New Roman" w:hAnsi="Times New Roman" w:cs="Times New Roman"/>
                <w:color w:val="auto"/>
                <w:sz w:val="21"/>
                <w:szCs w:val="21"/>
              </w:rPr>
              <w:t xml:space="preserve">定期检查各设备运行情况，杜绝事故发生。 </w:t>
            </w:r>
          </w:p>
          <w:p w14:paraId="7845AE0A">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rPr>
              <w:t>做好环境管理台账记录，主要内容包括加工信息、原辅材料使用情况、污染防治设施运行记录、监测数据等。</w:t>
            </w:r>
          </w:p>
          <w:p w14:paraId="13F73A6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rPr>
              <w:t>定期在国家排污许可证管理信息平台填报信息，编制排污许可证执行报告，及时报送有核发权的环境保护主管部门并公开。</w:t>
            </w:r>
          </w:p>
          <w:p w14:paraId="6A9DE8D6">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根据《排污单位污染物排放口监测点位设置技术规范》（HJ1405-2024）中对废气排放口监测点位、工作平台等要求进行建设。</w:t>
            </w:r>
          </w:p>
          <w:p w14:paraId="6C60C57A">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2.环境保护图形标志</w:t>
            </w:r>
          </w:p>
          <w:p w14:paraId="2ABAFB7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按照《危险废物识别标志设置技术规范》（HJ1276—2022）及《环境保护图形标志 固体废物贮存（处置）场》（GB15562.2—1995）（2023修改单）对现有危废贮存库各种标志进行规范设置。</w:t>
            </w:r>
          </w:p>
          <w:p w14:paraId="6DA584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 xml:space="preserve">  环境保护图形符号一览表</w:t>
            </w:r>
          </w:p>
          <w:tbl>
            <w:tblPr>
              <w:tblStyle w:val="30"/>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865"/>
              <w:gridCol w:w="2982"/>
            </w:tblGrid>
            <w:tr w14:paraId="2CA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pct"/>
                  <w:noWrap w:val="0"/>
                  <w:vAlign w:val="center"/>
                </w:tcPr>
                <w:p w14:paraId="07F421B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图形标志</w:t>
                  </w:r>
                </w:p>
              </w:tc>
              <w:tc>
                <w:tcPr>
                  <w:tcW w:w="1900" w:type="pct"/>
                  <w:noWrap w:val="0"/>
                  <w:vAlign w:val="center"/>
                </w:tcPr>
                <w:p w14:paraId="6558137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图形代表意义</w:t>
                  </w:r>
                </w:p>
              </w:tc>
              <w:tc>
                <w:tcPr>
                  <w:tcW w:w="1978" w:type="pct"/>
                  <w:noWrap w:val="0"/>
                  <w:vAlign w:val="center"/>
                </w:tcPr>
                <w:p w14:paraId="1D670D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符号简介</w:t>
                  </w:r>
                </w:p>
              </w:tc>
            </w:tr>
            <w:tr w14:paraId="72C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20" w:type="pct"/>
                  <w:shd w:val="clear" w:color="auto" w:fill="auto"/>
                  <w:noWrap w:val="0"/>
                  <w:vAlign w:val="center"/>
                </w:tcPr>
                <w:p w14:paraId="67CE7566">
                  <w:pPr>
                    <w:pStyle w:val="125"/>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zh-CN" w:bidi="ar-SA"/>
                    </w:rPr>
                  </w:pPr>
                  <w:r>
                    <w:rPr>
                      <w:rFonts w:hint="default" w:ascii="Times New Roman" w:hAnsi="Times New Roman" w:cs="Times New Roman" w:eastAsiaTheme="minorEastAsia"/>
                      <w:color w:val="auto"/>
                      <w:sz w:val="24"/>
                      <w:szCs w:val="24"/>
                    </w:rPr>
                    <w:drawing>
                      <wp:anchor distT="0" distB="0" distL="0" distR="0" simplePos="0" relativeHeight="251661312" behindDoc="1" locked="0" layoutInCell="1" allowOverlap="1">
                        <wp:simplePos x="0" y="0"/>
                        <wp:positionH relativeFrom="column">
                          <wp:posOffset>74930</wp:posOffset>
                        </wp:positionH>
                        <wp:positionV relativeFrom="paragraph">
                          <wp:posOffset>18415</wp:posOffset>
                        </wp:positionV>
                        <wp:extent cx="744220" cy="755650"/>
                        <wp:effectExtent l="0" t="0" r="17780" b="6350"/>
                        <wp:wrapNone/>
                        <wp:docPr id="132"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a:picLocks noChangeAspect="1"/>
                                </pic:cNvPicPr>
                              </pic:nvPicPr>
                              <pic:blipFill>
                                <a:blip r:embed="rId16" cstate="print"/>
                                <a:stretch>
                                  <a:fillRect/>
                                </a:stretch>
                              </pic:blipFill>
                              <pic:spPr>
                                <a:xfrm>
                                  <a:off x="0" y="0"/>
                                  <a:ext cx="744220" cy="755650"/>
                                </a:xfrm>
                                <a:prstGeom prst="rect">
                                  <a:avLst/>
                                </a:prstGeom>
                              </pic:spPr>
                            </pic:pic>
                          </a:graphicData>
                        </a:graphic>
                      </wp:anchor>
                    </w:drawing>
                  </w:r>
                </w:p>
              </w:tc>
              <w:tc>
                <w:tcPr>
                  <w:tcW w:w="1900" w:type="pct"/>
                  <w:shd w:val="clear" w:color="auto" w:fill="auto"/>
                  <w:noWrap w:val="0"/>
                  <w:vAlign w:val="center"/>
                </w:tcPr>
                <w:p w14:paraId="4D1234D5">
                  <w:pPr>
                    <w:pStyle w:val="125"/>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标志名称：废气排放口国标代码：GB15562.1-1995</w:t>
                  </w:r>
                </w:p>
              </w:tc>
              <w:tc>
                <w:tcPr>
                  <w:tcW w:w="1978" w:type="pct"/>
                  <w:shd w:val="clear" w:color="auto" w:fill="auto"/>
                  <w:noWrap w:val="0"/>
                  <w:vAlign w:val="center"/>
                </w:tcPr>
                <w:p w14:paraId="264B3867">
                  <w:pPr>
                    <w:pStyle w:val="125"/>
                    <w:pageBreakBefore w:val="0"/>
                    <w:kinsoku/>
                    <w:wordWrap/>
                    <w:overflowPunct/>
                    <w:topLinePunct w:val="0"/>
                    <w:autoSpaceDE/>
                    <w:autoSpaceDN/>
                    <w:bidi w:val="0"/>
                    <w:adjustRightInd/>
                    <w:snapToGrid/>
                    <w:spacing w:line="240" w:lineRule="auto"/>
                    <w:ind w:right="34" w:rightChars="0"/>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提示图形符号废气排放口表示废气向大气环境排放</w:t>
                  </w:r>
                </w:p>
              </w:tc>
            </w:tr>
            <w:tr w14:paraId="66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120" w:type="pct"/>
                  <w:noWrap w:val="0"/>
                  <w:vAlign w:val="center"/>
                </w:tcPr>
                <w:p w14:paraId="438C3FF7">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drawing>
                      <wp:anchor distT="0" distB="0" distL="114300" distR="114300" simplePos="0" relativeHeight="251659264" behindDoc="0" locked="0" layoutInCell="1" allowOverlap="1">
                        <wp:simplePos x="0" y="0"/>
                        <wp:positionH relativeFrom="column">
                          <wp:posOffset>66040</wp:posOffset>
                        </wp:positionH>
                        <wp:positionV relativeFrom="paragraph">
                          <wp:posOffset>19685</wp:posOffset>
                        </wp:positionV>
                        <wp:extent cx="706120" cy="558800"/>
                        <wp:effectExtent l="0" t="0" r="17780" b="12700"/>
                        <wp:wrapNone/>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17"/>
                                <a:stretch>
                                  <a:fillRect/>
                                </a:stretch>
                              </pic:blipFill>
                              <pic:spPr>
                                <a:xfrm>
                                  <a:off x="0" y="0"/>
                                  <a:ext cx="706120" cy="558800"/>
                                </a:xfrm>
                                <a:prstGeom prst="rect">
                                  <a:avLst/>
                                </a:prstGeom>
                                <a:noFill/>
                                <a:ln>
                                  <a:noFill/>
                                </a:ln>
                              </pic:spPr>
                            </pic:pic>
                          </a:graphicData>
                        </a:graphic>
                      </wp:anchor>
                    </w:drawing>
                  </w:r>
                </w:p>
              </w:tc>
              <w:tc>
                <w:tcPr>
                  <w:tcW w:w="1900" w:type="pct"/>
                  <w:noWrap w:val="0"/>
                  <w:vAlign w:val="center"/>
                </w:tcPr>
                <w:p w14:paraId="064B7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标志名称：噪声排放源</w:t>
                  </w:r>
                </w:p>
                <w:p w14:paraId="4C0FB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国标代码：GB15562.1-1995</w:t>
                  </w:r>
                </w:p>
              </w:tc>
              <w:tc>
                <w:tcPr>
                  <w:tcW w:w="1978" w:type="pct"/>
                  <w:noWrap w:val="0"/>
                  <w:vAlign w:val="center"/>
                </w:tcPr>
                <w:p w14:paraId="089E4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提示图形符号噪声排放源标识噪声向外环境排放</w:t>
                  </w:r>
                </w:p>
              </w:tc>
            </w:tr>
            <w:tr w14:paraId="1A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20" w:type="pct"/>
                  <w:shd w:val="clear" w:color="auto" w:fill="auto"/>
                  <w:noWrap w:val="0"/>
                  <w:vAlign w:val="center"/>
                </w:tcPr>
                <w:p w14:paraId="07B0A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p w14:paraId="7B3DE9E0">
                  <w:pPr>
                    <w:pStyle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56515</wp:posOffset>
                        </wp:positionH>
                        <wp:positionV relativeFrom="paragraph">
                          <wp:posOffset>8255</wp:posOffset>
                        </wp:positionV>
                        <wp:extent cx="744855" cy="526415"/>
                        <wp:effectExtent l="0" t="0" r="17145" b="6985"/>
                        <wp:wrapNone/>
                        <wp:docPr id="9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7"/>
                                <pic:cNvPicPr>
                                  <a:picLocks noChangeAspect="1"/>
                                </pic:cNvPicPr>
                              </pic:nvPicPr>
                              <pic:blipFill>
                                <a:blip r:embed="rId18"/>
                                <a:stretch>
                                  <a:fillRect/>
                                </a:stretch>
                              </pic:blipFill>
                              <pic:spPr>
                                <a:xfrm>
                                  <a:off x="0" y="0"/>
                                  <a:ext cx="744855" cy="526415"/>
                                </a:xfrm>
                                <a:prstGeom prst="rect">
                                  <a:avLst/>
                                </a:prstGeom>
                                <a:noFill/>
                                <a:ln>
                                  <a:noFill/>
                                </a:ln>
                              </pic:spPr>
                            </pic:pic>
                          </a:graphicData>
                        </a:graphic>
                      </wp:anchor>
                    </w:drawing>
                  </w:r>
                </w:p>
                <w:p w14:paraId="2F25AB3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900" w:type="pct"/>
                  <w:shd w:val="clear" w:color="auto" w:fill="auto"/>
                  <w:noWrap w:val="0"/>
                  <w:vAlign w:val="center"/>
                </w:tcPr>
                <w:p w14:paraId="4C88D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标志名称：固体废物提示</w:t>
                  </w:r>
                </w:p>
                <w:p w14:paraId="26A0A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国标代码：GB15562.1-1995</w:t>
                  </w:r>
                </w:p>
              </w:tc>
              <w:tc>
                <w:tcPr>
                  <w:tcW w:w="1978" w:type="pct"/>
                  <w:shd w:val="clear" w:color="auto" w:fill="auto"/>
                  <w:noWrap w:val="0"/>
                  <w:vAlign w:val="center"/>
                </w:tcPr>
                <w:p w14:paraId="3DE7E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固体废物提示</w:t>
                  </w:r>
                </w:p>
              </w:tc>
            </w:tr>
            <w:tr w14:paraId="4CB7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noWrap w:val="0"/>
                  <w:vAlign w:val="center"/>
                </w:tcPr>
                <w:p w14:paraId="00FE9A4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rPr>
                    <w:drawing>
                      <wp:inline distT="0" distB="0" distL="114300" distR="114300">
                        <wp:extent cx="873125" cy="544195"/>
                        <wp:effectExtent l="0" t="0" r="3175" b="825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19"/>
                                <a:stretch>
                                  <a:fillRect/>
                                </a:stretch>
                              </pic:blipFill>
                              <pic:spPr>
                                <a:xfrm>
                                  <a:off x="0" y="0"/>
                                  <a:ext cx="873125" cy="544195"/>
                                </a:xfrm>
                                <a:prstGeom prst="rect">
                                  <a:avLst/>
                                </a:prstGeom>
                                <a:noFill/>
                                <a:ln>
                                  <a:noFill/>
                                </a:ln>
                              </pic:spPr>
                            </pic:pic>
                          </a:graphicData>
                        </a:graphic>
                      </wp:inline>
                    </w:drawing>
                  </w:r>
                </w:p>
              </w:tc>
              <w:tc>
                <w:tcPr>
                  <w:tcW w:w="1900" w:type="pct"/>
                  <w:noWrap w:val="0"/>
                  <w:vAlign w:val="center"/>
                </w:tcPr>
                <w:p w14:paraId="4A4668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标志名称：危险废物</w:t>
                  </w:r>
                </w:p>
                <w:p w14:paraId="1836DE1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国标代码：</w:t>
                  </w:r>
                  <w:r>
                    <w:rPr>
                      <w:rFonts w:hint="default" w:ascii="Times New Roman" w:hAnsi="Times New Roman" w:eastAsia="宋体" w:cs="Times New Roman"/>
                      <w:color w:val="auto"/>
                      <w:sz w:val="21"/>
                      <w:szCs w:val="21"/>
                      <w:lang w:val="en-US" w:eastAsia="zh-CN"/>
                    </w:rPr>
                    <w:t>《危险废物识别标志设置技术规范》（HJ1276-2022）</w:t>
                  </w:r>
                </w:p>
              </w:tc>
              <w:tc>
                <w:tcPr>
                  <w:tcW w:w="1978" w:type="pct"/>
                  <w:noWrap w:val="0"/>
                  <w:vAlign w:val="center"/>
                </w:tcPr>
                <w:p w14:paraId="62781308">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表示危险废物贮存、处置场</w:t>
                  </w:r>
                </w:p>
              </w:tc>
            </w:tr>
          </w:tbl>
          <w:p w14:paraId="127C403E">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3.例行监测计划</w:t>
            </w:r>
          </w:p>
          <w:p w14:paraId="1919FED5">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监测工作可委托有资质单位完成，具体监测计划详见表4-</w:t>
            </w:r>
            <w:r>
              <w:rPr>
                <w:rFonts w:hint="eastAsia" w:ascii="Times New Roman" w:hAnsi="Times New Roman" w:cs="Times New Roman"/>
                <w:b w:val="0"/>
                <w:bCs w:val="0"/>
                <w:color w:val="auto"/>
                <w:sz w:val="21"/>
                <w:szCs w:val="21"/>
                <w:highlight w:val="none"/>
                <w:lang w:val="en-US" w:eastAsia="zh-CN"/>
              </w:rPr>
              <w:t>6</w:t>
            </w:r>
            <w:r>
              <w:rPr>
                <w:rFonts w:hint="default" w:ascii="Times New Roman" w:hAnsi="Times New Roman" w:cs="Times New Roman"/>
                <w:b w:val="0"/>
                <w:bCs w:val="0"/>
                <w:color w:val="auto"/>
                <w:sz w:val="21"/>
                <w:szCs w:val="21"/>
                <w:highlight w:val="none"/>
                <w:lang w:val="en-US" w:eastAsia="zh-CN"/>
              </w:rPr>
              <w:t>、4-</w:t>
            </w:r>
            <w:r>
              <w:rPr>
                <w:rFonts w:hint="eastAsia" w:ascii="Times New Roman" w:hAnsi="Times New Roman" w:cs="Times New Roman"/>
                <w:b w:val="0"/>
                <w:bCs w:val="0"/>
                <w:color w:val="auto"/>
                <w:sz w:val="21"/>
                <w:szCs w:val="21"/>
                <w:highlight w:val="none"/>
                <w:lang w:val="en-US" w:eastAsia="zh-CN"/>
              </w:rPr>
              <w:t>9</w:t>
            </w:r>
            <w:r>
              <w:rPr>
                <w:rFonts w:hint="default" w:ascii="Times New Roman" w:hAnsi="Times New Roman" w:cs="Times New Roman"/>
                <w:b w:val="0"/>
                <w:bCs w:val="0"/>
                <w:color w:val="auto"/>
                <w:sz w:val="21"/>
                <w:szCs w:val="21"/>
                <w:highlight w:val="none"/>
                <w:lang w:val="en-US" w:eastAsia="zh-CN"/>
              </w:rPr>
              <w:t>。</w:t>
            </w:r>
          </w:p>
          <w:p w14:paraId="193A9D10">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4.填报排污许可证</w:t>
            </w:r>
          </w:p>
          <w:p w14:paraId="63573CD0">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建设单位在验收投产前需取得排污许可证，按照《固定污染源排污许可分类管理名录》（2019年版）的要求，在全国排污许可证管理平台填报。</w:t>
            </w:r>
          </w:p>
          <w:p w14:paraId="1F0C6DD7">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5.编制突发环境事件应急预案</w:t>
            </w:r>
          </w:p>
          <w:p w14:paraId="311C5A02">
            <w:pPr>
              <w:adjustRightInd w:val="0"/>
              <w:snapToGrid w:val="0"/>
              <w:spacing w:line="360" w:lineRule="auto"/>
              <w:ind w:firstLine="420" w:firstLineChars="20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建设单位在验收投产前需编制突发环境事件应急预案，并报宝鸡市生态环境局</w:t>
            </w:r>
            <w:r>
              <w:rPr>
                <w:rFonts w:hint="eastAsia" w:ascii="Times New Roman" w:hAnsi="Times New Roman" w:cs="Times New Roman"/>
                <w:color w:val="auto"/>
                <w:sz w:val="21"/>
                <w:szCs w:val="21"/>
                <w:highlight w:val="none"/>
                <w:lang w:val="en-US" w:eastAsia="zh-CN"/>
              </w:rPr>
              <w:t>陈仓</w:t>
            </w:r>
            <w:r>
              <w:rPr>
                <w:rFonts w:hint="default" w:ascii="Times New Roman" w:hAnsi="Times New Roman" w:cs="Times New Roman"/>
                <w:color w:val="auto"/>
                <w:sz w:val="21"/>
                <w:szCs w:val="21"/>
                <w:highlight w:val="none"/>
                <w:lang w:val="en-US" w:eastAsia="zh-CN"/>
              </w:rPr>
              <w:t>分局进行备案。</w:t>
            </w:r>
          </w:p>
          <w:p w14:paraId="64B8D00A">
            <w:pPr>
              <w:adjustRightInd w:val="0"/>
              <w:snapToGrid w:val="0"/>
              <w:spacing w:line="360" w:lineRule="auto"/>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b/>
                <w:bCs/>
                <w:color w:val="auto"/>
                <w:sz w:val="21"/>
                <w:szCs w:val="21"/>
                <w:highlight w:val="none"/>
                <w:lang w:val="en-US" w:eastAsia="zh-CN"/>
              </w:rPr>
              <w:t>6.竣工验收</w:t>
            </w:r>
          </w:p>
          <w:p w14:paraId="6BAE4820">
            <w:pPr>
              <w:adjustRightInd w:val="0"/>
              <w:snapToGrid w:val="0"/>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w:t>
            </w:r>
            <w:r>
              <w:rPr>
                <w:rFonts w:hint="default" w:ascii="Times New Roman" w:hAnsi="Times New Roman" w:cs="Times New Roman"/>
                <w:color w:val="auto"/>
                <w:sz w:val="21"/>
                <w:szCs w:val="21"/>
              </w:rPr>
              <w:t>据《建设项目竣工环境保护验收暂行办法》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国环规环评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，建设单位自行验收。验收合格后，方可投入生产或使用。</w:t>
            </w:r>
          </w:p>
          <w:p w14:paraId="4A0572D4">
            <w:pPr>
              <w:adjustRightInd w:val="0"/>
              <w:snapToGrid w:val="0"/>
              <w:spacing w:line="360" w:lineRule="auto"/>
              <w:jc w:val="left"/>
              <w:rPr>
                <w:rFonts w:hint="default" w:ascii="Times New Roman" w:hAnsi="Times New Roman" w:cs="Times New Roman"/>
                <w:color w:val="auto"/>
                <w:szCs w:val="21"/>
              </w:rPr>
            </w:pPr>
          </w:p>
        </w:tc>
      </w:tr>
    </w:tbl>
    <w:p w14:paraId="4FAB1BE2">
      <w:pPr>
        <w:pStyle w:val="25"/>
        <w:jc w:val="center"/>
        <w:outlineLvl w:val="0"/>
        <w:rPr>
          <w:rFonts w:hint="default" w:ascii="Times New Roman" w:hAnsi="Times New Roman" w:eastAsia="黑体" w:cs="Times New Roman"/>
          <w:snapToGrid w:val="0"/>
          <w:color w:val="auto"/>
          <w:sz w:val="30"/>
          <w:szCs w:val="30"/>
        </w:rPr>
        <w:sectPr>
          <w:pgSz w:w="11906" w:h="16838"/>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06CA13C8">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00C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7AE97DF0">
            <w:pPr>
              <w:widowControl/>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从环境影响的角度分析，项目建设环境影响是可行的。</w:t>
            </w:r>
          </w:p>
          <w:p w14:paraId="41728975">
            <w:pPr>
              <w:pStyle w:val="25"/>
              <w:jc w:val="center"/>
              <w:outlineLvl w:val="0"/>
              <w:rPr>
                <w:rFonts w:hint="default" w:ascii="Times New Roman" w:hAnsi="Times New Roman" w:eastAsia="黑体" w:cs="Times New Roman"/>
                <w:snapToGrid w:val="0"/>
                <w:color w:val="auto"/>
                <w:sz w:val="30"/>
                <w:szCs w:val="30"/>
              </w:rPr>
            </w:pPr>
          </w:p>
        </w:tc>
      </w:tr>
    </w:tbl>
    <w:p w14:paraId="6617C05D">
      <w:pPr>
        <w:pStyle w:val="25"/>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1A26A1">
      <w:pPr>
        <w:pStyle w:val="25"/>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0"/>
        <w:tblpPr w:leftFromText="180" w:rightFromText="180" w:vertAnchor="text" w:tblpXSpec="center" w:tblpY="1"/>
        <w:tblOverlap w:val="never"/>
        <w:tblW w:w="13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807"/>
        <w:gridCol w:w="1422"/>
        <w:gridCol w:w="1123"/>
        <w:gridCol w:w="1663"/>
        <w:gridCol w:w="1524"/>
        <w:gridCol w:w="1722"/>
        <w:gridCol w:w="1593"/>
        <w:gridCol w:w="1128"/>
      </w:tblGrid>
      <w:tr w14:paraId="373E6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tcBorders>
              <w:tl2br w:val="single" w:color="auto" w:sz="4" w:space="0"/>
            </w:tcBorders>
            <w:noWrap w:val="0"/>
            <w:tcMar>
              <w:left w:w="28" w:type="dxa"/>
              <w:right w:w="28" w:type="dxa"/>
            </w:tcMar>
            <w:vAlign w:val="center"/>
          </w:tcPr>
          <w:p w14:paraId="56CFD3F5">
            <w:pPr>
              <w:pStyle w:val="70"/>
              <w:spacing w:beforeLines="0" w:afterLines="0" w:line="240" w:lineRule="auto"/>
              <w:jc w:val="righ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项目</w:t>
            </w:r>
          </w:p>
          <w:p w14:paraId="229AE684">
            <w:pPr>
              <w:pStyle w:val="70"/>
              <w:spacing w:beforeLines="0" w:afterLines="0"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分类</w:t>
            </w:r>
          </w:p>
        </w:tc>
        <w:tc>
          <w:tcPr>
            <w:tcW w:w="1807" w:type="dxa"/>
            <w:noWrap w:val="0"/>
            <w:tcMar>
              <w:left w:w="28" w:type="dxa"/>
              <w:right w:w="28" w:type="dxa"/>
            </w:tcMar>
            <w:vAlign w:val="center"/>
          </w:tcPr>
          <w:p w14:paraId="470E3C0F">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污染物名称</w:t>
            </w:r>
          </w:p>
        </w:tc>
        <w:tc>
          <w:tcPr>
            <w:tcW w:w="1422" w:type="dxa"/>
            <w:noWrap w:val="0"/>
            <w:tcMar>
              <w:left w:w="28" w:type="dxa"/>
              <w:right w:w="28" w:type="dxa"/>
            </w:tcMar>
            <w:vAlign w:val="center"/>
          </w:tcPr>
          <w:p w14:paraId="2B7163B8">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2868C2C">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cs="Times New Roman"/>
                <w:snapToGrid w:val="0"/>
                <w:color w:val="auto"/>
                <w:spacing w:val="-6"/>
                <w:kern w:val="21"/>
                <w:szCs w:val="21"/>
              </w:rPr>
              <w:fldChar w:fldCharType="end"/>
            </w:r>
          </w:p>
        </w:tc>
        <w:tc>
          <w:tcPr>
            <w:tcW w:w="1123" w:type="dxa"/>
            <w:noWrap w:val="0"/>
            <w:tcMar>
              <w:left w:w="28" w:type="dxa"/>
              <w:right w:w="28" w:type="dxa"/>
            </w:tcMar>
            <w:vAlign w:val="center"/>
          </w:tcPr>
          <w:p w14:paraId="22C619E8">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06FDE9E">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许可排放量</w:t>
            </w:r>
          </w:p>
          <w:p w14:paraId="399DC579">
            <w:pPr>
              <w:pStyle w:val="70"/>
              <w:spacing w:beforeLines="0" w:afterLines="0"/>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2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cs="Times New Roman"/>
                <w:snapToGrid w:val="0"/>
                <w:color w:val="auto"/>
                <w:spacing w:val="-6"/>
                <w:kern w:val="21"/>
                <w:szCs w:val="21"/>
              </w:rPr>
              <w:fldChar w:fldCharType="end"/>
            </w:r>
          </w:p>
        </w:tc>
        <w:tc>
          <w:tcPr>
            <w:tcW w:w="1663" w:type="dxa"/>
            <w:noWrap w:val="0"/>
            <w:tcMar>
              <w:left w:w="28" w:type="dxa"/>
              <w:right w:w="28" w:type="dxa"/>
            </w:tcMar>
            <w:vAlign w:val="center"/>
          </w:tcPr>
          <w:p w14:paraId="18F0460B">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在建工程</w:t>
            </w:r>
          </w:p>
          <w:p w14:paraId="71CB6673">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cs="Times New Roman"/>
                <w:snapToGrid w:val="0"/>
                <w:color w:val="auto"/>
                <w:spacing w:val="-6"/>
                <w:kern w:val="21"/>
                <w:szCs w:val="21"/>
              </w:rPr>
              <w:fldChar w:fldCharType="end"/>
            </w:r>
          </w:p>
        </w:tc>
        <w:tc>
          <w:tcPr>
            <w:tcW w:w="1524" w:type="dxa"/>
            <w:noWrap w:val="0"/>
            <w:tcMar>
              <w:left w:w="28" w:type="dxa"/>
              <w:right w:w="28" w:type="dxa"/>
            </w:tcMar>
            <w:vAlign w:val="center"/>
          </w:tcPr>
          <w:p w14:paraId="547EE059">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本项目</w:t>
            </w:r>
          </w:p>
          <w:p w14:paraId="490E0C8A">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cs="Times New Roman"/>
                <w:snapToGrid w:val="0"/>
                <w:color w:val="auto"/>
                <w:spacing w:val="-6"/>
                <w:kern w:val="21"/>
                <w:szCs w:val="21"/>
              </w:rPr>
              <w:fldChar w:fldCharType="end"/>
            </w:r>
          </w:p>
        </w:tc>
        <w:tc>
          <w:tcPr>
            <w:tcW w:w="1722" w:type="dxa"/>
            <w:noWrap w:val="0"/>
            <w:tcMar>
              <w:left w:w="28" w:type="dxa"/>
              <w:right w:w="28" w:type="dxa"/>
            </w:tcMar>
            <w:vAlign w:val="center"/>
          </w:tcPr>
          <w:p w14:paraId="2815B58A">
            <w:pPr>
              <w:pStyle w:val="70"/>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以新带老削减量</w:t>
            </w:r>
          </w:p>
          <w:p w14:paraId="1F6D4D35">
            <w:pPr>
              <w:pStyle w:val="70"/>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（新建项目不填）</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cs="Times New Roman"/>
                <w:snapToGrid w:val="0"/>
                <w:color w:val="auto"/>
                <w:spacing w:val="-16"/>
                <w:kern w:val="21"/>
                <w:szCs w:val="21"/>
              </w:rPr>
              <w:fldChar w:fldCharType="end"/>
            </w:r>
          </w:p>
        </w:tc>
        <w:tc>
          <w:tcPr>
            <w:tcW w:w="1593" w:type="dxa"/>
            <w:noWrap w:val="0"/>
            <w:tcMar>
              <w:left w:w="28" w:type="dxa"/>
              <w:right w:w="28" w:type="dxa"/>
            </w:tcMar>
            <w:vAlign w:val="center"/>
          </w:tcPr>
          <w:p w14:paraId="71645838">
            <w:pPr>
              <w:pStyle w:val="70"/>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本项目建成后</w:t>
            </w:r>
          </w:p>
          <w:p w14:paraId="2820C863">
            <w:pPr>
              <w:pStyle w:val="70"/>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全厂排放量（固体废物产生量）</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cs="Times New Roman"/>
                <w:snapToGrid w:val="0"/>
                <w:color w:val="auto"/>
                <w:spacing w:val="-16"/>
                <w:kern w:val="21"/>
                <w:szCs w:val="21"/>
              </w:rPr>
              <w:fldChar w:fldCharType="end"/>
            </w:r>
          </w:p>
        </w:tc>
        <w:tc>
          <w:tcPr>
            <w:tcW w:w="1128" w:type="dxa"/>
            <w:noWrap w:val="0"/>
            <w:tcMar>
              <w:left w:w="28" w:type="dxa"/>
              <w:right w:w="28" w:type="dxa"/>
            </w:tcMar>
            <w:vAlign w:val="center"/>
          </w:tcPr>
          <w:p w14:paraId="077C316C">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变化量</w:t>
            </w:r>
          </w:p>
          <w:p w14:paraId="2A9C88B6">
            <w:pPr>
              <w:pStyle w:val="70"/>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cs="Times New Roman"/>
                <w:snapToGrid w:val="0"/>
                <w:color w:val="auto"/>
                <w:spacing w:val="-6"/>
                <w:kern w:val="21"/>
                <w:szCs w:val="21"/>
              </w:rPr>
              <w:fldChar w:fldCharType="end"/>
            </w:r>
          </w:p>
        </w:tc>
      </w:tr>
      <w:tr w14:paraId="02F04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413525D3">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807" w:type="dxa"/>
            <w:noWrap w:val="0"/>
            <w:vAlign w:val="center"/>
          </w:tcPr>
          <w:p w14:paraId="0187E33E">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422" w:type="dxa"/>
            <w:noWrap w:val="0"/>
            <w:vAlign w:val="center"/>
          </w:tcPr>
          <w:p w14:paraId="6C8FC2A9">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0.09</w:t>
            </w:r>
          </w:p>
        </w:tc>
        <w:tc>
          <w:tcPr>
            <w:tcW w:w="1123" w:type="dxa"/>
            <w:noWrap w:val="0"/>
            <w:vAlign w:val="center"/>
          </w:tcPr>
          <w:p w14:paraId="594E7F2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4602B50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6233A83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0.218</w:t>
            </w:r>
          </w:p>
        </w:tc>
        <w:tc>
          <w:tcPr>
            <w:tcW w:w="1722" w:type="dxa"/>
            <w:noWrap w:val="0"/>
            <w:vAlign w:val="center"/>
          </w:tcPr>
          <w:p w14:paraId="0FEEF3EB">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B5191C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0.</w:t>
            </w:r>
            <w:r>
              <w:rPr>
                <w:rFonts w:hint="eastAsia" w:cs="Times New Roman"/>
                <w:snapToGrid w:val="0"/>
                <w:color w:val="auto"/>
                <w:kern w:val="21"/>
                <w:szCs w:val="21"/>
                <w:lang w:val="en-US" w:eastAsia="zh-CN"/>
              </w:rPr>
              <w:t>308</w:t>
            </w:r>
          </w:p>
        </w:tc>
        <w:tc>
          <w:tcPr>
            <w:tcW w:w="1128" w:type="dxa"/>
            <w:noWrap w:val="0"/>
            <w:vAlign w:val="center"/>
          </w:tcPr>
          <w:p w14:paraId="7A607E3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r>
              <w:rPr>
                <w:rFonts w:hint="eastAsia" w:cs="Times New Roman"/>
                <w:snapToGrid w:val="0"/>
                <w:color w:val="auto"/>
                <w:kern w:val="21"/>
                <w:szCs w:val="21"/>
                <w:lang w:val="en-US" w:eastAsia="zh-CN"/>
              </w:rPr>
              <w:t>0.218</w:t>
            </w:r>
          </w:p>
        </w:tc>
      </w:tr>
      <w:tr w14:paraId="4F2BD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97D3EA5">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4A867A49">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二氧化硫</w:t>
            </w:r>
          </w:p>
        </w:tc>
        <w:tc>
          <w:tcPr>
            <w:tcW w:w="1422" w:type="dxa"/>
            <w:noWrap w:val="0"/>
            <w:vAlign w:val="center"/>
          </w:tcPr>
          <w:p w14:paraId="12BCEA62">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5CA0980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5CC87C2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0796779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w:t>
            </w:r>
          </w:p>
        </w:tc>
        <w:tc>
          <w:tcPr>
            <w:tcW w:w="1722" w:type="dxa"/>
            <w:noWrap w:val="0"/>
            <w:vAlign w:val="center"/>
          </w:tcPr>
          <w:p w14:paraId="1901591D">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AD83C09">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w:t>
            </w:r>
          </w:p>
        </w:tc>
        <w:tc>
          <w:tcPr>
            <w:tcW w:w="1128" w:type="dxa"/>
            <w:noWrap w:val="0"/>
            <w:vAlign w:val="center"/>
          </w:tcPr>
          <w:p w14:paraId="2F83348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+0.0024</w:t>
            </w:r>
          </w:p>
        </w:tc>
      </w:tr>
      <w:tr w14:paraId="049B7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BB601C6">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6809E91">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氮氧化物</w:t>
            </w:r>
          </w:p>
        </w:tc>
        <w:tc>
          <w:tcPr>
            <w:tcW w:w="1422" w:type="dxa"/>
            <w:noWrap w:val="0"/>
            <w:vAlign w:val="center"/>
          </w:tcPr>
          <w:p w14:paraId="47AEAA24">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759152D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744FB42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3DFE60F">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w:t>
            </w:r>
          </w:p>
        </w:tc>
        <w:tc>
          <w:tcPr>
            <w:tcW w:w="1722" w:type="dxa"/>
            <w:noWrap w:val="0"/>
            <w:vAlign w:val="center"/>
          </w:tcPr>
          <w:p w14:paraId="27883251">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D52262C">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w:t>
            </w:r>
          </w:p>
        </w:tc>
        <w:tc>
          <w:tcPr>
            <w:tcW w:w="1128" w:type="dxa"/>
            <w:noWrap w:val="0"/>
            <w:vAlign w:val="center"/>
          </w:tcPr>
          <w:p w14:paraId="7FC8C43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+0.112</w:t>
            </w:r>
          </w:p>
        </w:tc>
      </w:tr>
      <w:tr w14:paraId="17951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52AEC6F">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0763D27D">
            <w:pPr>
              <w:pStyle w:val="70"/>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非甲烷总烃</w:t>
            </w:r>
          </w:p>
        </w:tc>
        <w:tc>
          <w:tcPr>
            <w:tcW w:w="1422" w:type="dxa"/>
            <w:noWrap w:val="0"/>
            <w:vAlign w:val="center"/>
          </w:tcPr>
          <w:p w14:paraId="718E1929">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0494A9B0">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73C9FC6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CA7931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w:t>
            </w:r>
          </w:p>
        </w:tc>
        <w:tc>
          <w:tcPr>
            <w:tcW w:w="1722" w:type="dxa"/>
            <w:noWrap w:val="0"/>
            <w:vAlign w:val="center"/>
          </w:tcPr>
          <w:p w14:paraId="136FD852">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241E8206">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w:t>
            </w:r>
          </w:p>
        </w:tc>
        <w:tc>
          <w:tcPr>
            <w:tcW w:w="1128" w:type="dxa"/>
            <w:noWrap w:val="0"/>
            <w:vAlign w:val="center"/>
          </w:tcPr>
          <w:p w14:paraId="7E9ABC3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+0.22</w:t>
            </w:r>
          </w:p>
        </w:tc>
      </w:tr>
      <w:tr w14:paraId="727F9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2FE14C55">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807" w:type="dxa"/>
            <w:noWrap w:val="0"/>
            <w:vAlign w:val="center"/>
          </w:tcPr>
          <w:p w14:paraId="2686C09F">
            <w:pPr>
              <w:pStyle w:val="7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废水量</w:t>
            </w:r>
          </w:p>
        </w:tc>
        <w:tc>
          <w:tcPr>
            <w:tcW w:w="1422" w:type="dxa"/>
            <w:noWrap w:val="0"/>
            <w:vAlign w:val="center"/>
          </w:tcPr>
          <w:p w14:paraId="6C1519D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3B39DF1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58E27D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00789A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722" w:type="dxa"/>
            <w:noWrap w:val="0"/>
            <w:vAlign w:val="center"/>
          </w:tcPr>
          <w:p w14:paraId="3299E53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23047F6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8" w:type="dxa"/>
            <w:noWrap w:val="0"/>
            <w:vAlign w:val="center"/>
          </w:tcPr>
          <w:p w14:paraId="1FB2F1BC">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ascii="Times New Roman" w:hAnsi="Times New Roman" w:eastAsia="宋体" w:cs="Times New Roman"/>
                <w:snapToGrid w:val="0"/>
                <w:color w:val="auto"/>
                <w:kern w:val="21"/>
                <w:szCs w:val="21"/>
                <w:lang w:val="en-US" w:eastAsia="zh-CN"/>
              </w:rPr>
              <w:t>0</w:t>
            </w:r>
          </w:p>
        </w:tc>
      </w:tr>
      <w:tr w14:paraId="772B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5C0D36AC">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1BC53F30">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807" w:type="dxa"/>
            <w:noWrap w:val="0"/>
            <w:vAlign w:val="center"/>
          </w:tcPr>
          <w:p w14:paraId="03B9A977">
            <w:pPr>
              <w:pStyle w:val="7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废金属屑</w:t>
            </w:r>
            <w:r>
              <w:rPr>
                <w:rFonts w:hint="default" w:ascii="Times New Roman" w:hAnsi="Times New Roman" w:cs="Times New Roman"/>
                <w:snapToGrid w:val="0"/>
                <w:color w:val="auto"/>
                <w:kern w:val="21"/>
                <w:szCs w:val="21"/>
                <w:lang w:eastAsia="zh-CN"/>
              </w:rPr>
              <w:t>、边角料</w:t>
            </w:r>
          </w:p>
        </w:tc>
        <w:tc>
          <w:tcPr>
            <w:tcW w:w="1422" w:type="dxa"/>
            <w:noWrap w:val="0"/>
            <w:vAlign w:val="center"/>
          </w:tcPr>
          <w:p w14:paraId="317DBE2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 xml:space="preserve"> 4</w:t>
            </w:r>
          </w:p>
        </w:tc>
        <w:tc>
          <w:tcPr>
            <w:tcW w:w="1123" w:type="dxa"/>
            <w:noWrap w:val="0"/>
            <w:vAlign w:val="center"/>
          </w:tcPr>
          <w:p w14:paraId="47A90496">
            <w:pPr>
              <w:spacing w:beforeLines="0" w:afterLines="0" w:line="240" w:lineRule="auto"/>
              <w:jc w:val="center"/>
              <w:rPr>
                <w:rFonts w:hint="eastAsia"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626CEE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43BCA3F">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0.802</w:t>
            </w:r>
          </w:p>
        </w:tc>
        <w:tc>
          <w:tcPr>
            <w:tcW w:w="1722" w:type="dxa"/>
            <w:noWrap w:val="0"/>
            <w:vAlign w:val="center"/>
          </w:tcPr>
          <w:p w14:paraId="1ECF092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92B977E">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4.802</w:t>
            </w:r>
          </w:p>
        </w:tc>
        <w:tc>
          <w:tcPr>
            <w:tcW w:w="1128" w:type="dxa"/>
            <w:noWrap w:val="0"/>
            <w:vAlign w:val="center"/>
          </w:tcPr>
          <w:p w14:paraId="10F687D2">
            <w:pPr>
              <w:pStyle w:val="70"/>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0.802</w:t>
            </w:r>
          </w:p>
        </w:tc>
      </w:tr>
      <w:tr w14:paraId="56328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CA0490C">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54B09F1A">
            <w:pPr>
              <w:pStyle w:val="7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废钢丸</w:t>
            </w:r>
          </w:p>
        </w:tc>
        <w:tc>
          <w:tcPr>
            <w:tcW w:w="1422" w:type="dxa"/>
            <w:noWrap w:val="0"/>
            <w:vAlign w:val="center"/>
          </w:tcPr>
          <w:p w14:paraId="7B5E5BBE">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7DAEEFF1">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0159E00D">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1E2B9D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3.2</w:t>
            </w:r>
          </w:p>
        </w:tc>
        <w:tc>
          <w:tcPr>
            <w:tcW w:w="1722" w:type="dxa"/>
            <w:noWrap w:val="0"/>
            <w:vAlign w:val="center"/>
          </w:tcPr>
          <w:p w14:paraId="3E918ACE">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6EAE873A">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3.2</w:t>
            </w:r>
          </w:p>
        </w:tc>
        <w:tc>
          <w:tcPr>
            <w:tcW w:w="1128" w:type="dxa"/>
            <w:noWrap w:val="0"/>
            <w:vAlign w:val="center"/>
          </w:tcPr>
          <w:p w14:paraId="40872909">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3.2</w:t>
            </w:r>
          </w:p>
        </w:tc>
      </w:tr>
      <w:tr w14:paraId="060A4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81CCB40">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5A85A3AD">
            <w:pPr>
              <w:pStyle w:val="70"/>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hAnsi="Times New Roman" w:cs="Times New Roman"/>
                <w:snapToGrid w:val="0"/>
                <w:color w:val="auto"/>
                <w:kern w:val="21"/>
                <w:szCs w:val="21"/>
                <w:lang w:eastAsia="zh-CN"/>
              </w:rPr>
              <w:t>废砂轮片</w:t>
            </w:r>
          </w:p>
        </w:tc>
        <w:tc>
          <w:tcPr>
            <w:tcW w:w="1422" w:type="dxa"/>
            <w:noWrap w:val="0"/>
            <w:vAlign w:val="center"/>
          </w:tcPr>
          <w:p w14:paraId="64A095C1">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0.035</w:t>
            </w:r>
          </w:p>
        </w:tc>
        <w:tc>
          <w:tcPr>
            <w:tcW w:w="1123" w:type="dxa"/>
            <w:noWrap w:val="0"/>
            <w:vAlign w:val="center"/>
          </w:tcPr>
          <w:p w14:paraId="79E452FF">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B7D94E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E31C589">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722" w:type="dxa"/>
            <w:noWrap w:val="0"/>
            <w:vAlign w:val="center"/>
          </w:tcPr>
          <w:p w14:paraId="4C1265C9">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AD8D3F3">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0.035</w:t>
            </w:r>
          </w:p>
        </w:tc>
        <w:tc>
          <w:tcPr>
            <w:tcW w:w="1128" w:type="dxa"/>
            <w:noWrap w:val="0"/>
            <w:vAlign w:val="center"/>
          </w:tcPr>
          <w:p w14:paraId="6B62E361">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r>
      <w:tr w14:paraId="6D4EE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11FF3B6">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3FE74B6">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eastAsia="zh-CN"/>
              </w:rPr>
              <w:t>收尘灰</w:t>
            </w:r>
          </w:p>
        </w:tc>
        <w:tc>
          <w:tcPr>
            <w:tcW w:w="1422" w:type="dxa"/>
            <w:noWrap w:val="0"/>
            <w:vAlign w:val="center"/>
          </w:tcPr>
          <w:p w14:paraId="3BFA51B0">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1.67</w:t>
            </w:r>
          </w:p>
        </w:tc>
        <w:tc>
          <w:tcPr>
            <w:tcW w:w="1123" w:type="dxa"/>
            <w:noWrap w:val="0"/>
            <w:vAlign w:val="center"/>
          </w:tcPr>
          <w:p w14:paraId="5FF18F10">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3391CD7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ED45A49">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6.7</w:t>
            </w:r>
          </w:p>
        </w:tc>
        <w:tc>
          <w:tcPr>
            <w:tcW w:w="1722" w:type="dxa"/>
            <w:noWrap w:val="0"/>
            <w:vAlign w:val="center"/>
          </w:tcPr>
          <w:p w14:paraId="5EE9B915">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5ED0C85">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8.37</w:t>
            </w:r>
          </w:p>
        </w:tc>
        <w:tc>
          <w:tcPr>
            <w:tcW w:w="1128" w:type="dxa"/>
            <w:noWrap w:val="0"/>
            <w:vAlign w:val="center"/>
          </w:tcPr>
          <w:p w14:paraId="50F6A863">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6.7</w:t>
            </w:r>
          </w:p>
        </w:tc>
      </w:tr>
      <w:tr w14:paraId="47DB2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36F48D6">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3EE81FF8">
            <w:pPr>
              <w:pStyle w:val="70"/>
              <w:spacing w:beforeLines="0" w:afterLines="0" w:line="240" w:lineRule="auto"/>
              <w:rPr>
                <w:rFonts w:hint="eastAsia" w:ascii="Times New Roman" w:hAnsi="Times New Roman" w:cs="Times New Roman"/>
                <w:snapToGrid w:val="0"/>
                <w:color w:val="auto"/>
                <w:kern w:val="21"/>
                <w:szCs w:val="21"/>
                <w:lang w:eastAsia="zh-CN"/>
              </w:rPr>
            </w:pPr>
            <w:r>
              <w:rPr>
                <w:rFonts w:hint="eastAsia" w:ascii="Times New Roman" w:cs="Times New Roman"/>
                <w:snapToGrid w:val="0"/>
                <w:color w:val="auto"/>
                <w:kern w:val="21"/>
                <w:szCs w:val="21"/>
                <w:lang w:val="en-US" w:eastAsia="zh-CN"/>
              </w:rPr>
              <w:t>废粉</w:t>
            </w:r>
          </w:p>
        </w:tc>
        <w:tc>
          <w:tcPr>
            <w:tcW w:w="1422" w:type="dxa"/>
            <w:noWrap w:val="0"/>
            <w:vAlign w:val="center"/>
          </w:tcPr>
          <w:p w14:paraId="5DD6CF4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59B0B08B">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891CC9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3733FCB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0.12</w:t>
            </w:r>
          </w:p>
        </w:tc>
        <w:tc>
          <w:tcPr>
            <w:tcW w:w="1722" w:type="dxa"/>
            <w:noWrap w:val="0"/>
            <w:vAlign w:val="center"/>
          </w:tcPr>
          <w:p w14:paraId="2D70899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6DCCBA5B">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0.12</w:t>
            </w:r>
          </w:p>
        </w:tc>
        <w:tc>
          <w:tcPr>
            <w:tcW w:w="1128" w:type="dxa"/>
            <w:noWrap w:val="0"/>
            <w:vAlign w:val="center"/>
          </w:tcPr>
          <w:p w14:paraId="05064E0B">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w:t>
            </w:r>
            <w:r>
              <w:rPr>
                <w:rFonts w:hint="eastAsia" w:ascii="Times New Roman" w:cs="Times New Roman"/>
                <w:snapToGrid w:val="0"/>
                <w:color w:val="auto"/>
                <w:kern w:val="21"/>
                <w:szCs w:val="21"/>
                <w:lang w:val="en-US" w:eastAsia="zh-CN"/>
              </w:rPr>
              <w:t>.12</w:t>
            </w:r>
          </w:p>
        </w:tc>
      </w:tr>
      <w:tr w14:paraId="6CFF7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0D8B8F42">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807" w:type="dxa"/>
            <w:noWrap w:val="0"/>
            <w:vAlign w:val="center"/>
          </w:tcPr>
          <w:p w14:paraId="757D93D5">
            <w:pPr>
              <w:pStyle w:val="7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废润滑油</w:t>
            </w:r>
          </w:p>
        </w:tc>
        <w:tc>
          <w:tcPr>
            <w:tcW w:w="1422" w:type="dxa"/>
            <w:noWrap w:val="0"/>
            <w:vAlign w:val="center"/>
          </w:tcPr>
          <w:p w14:paraId="3977AA94">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0.018</w:t>
            </w:r>
          </w:p>
        </w:tc>
        <w:tc>
          <w:tcPr>
            <w:tcW w:w="1123" w:type="dxa"/>
            <w:noWrap w:val="0"/>
            <w:vAlign w:val="center"/>
          </w:tcPr>
          <w:p w14:paraId="225C759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34D4B48">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DF3E2F5">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722" w:type="dxa"/>
            <w:noWrap w:val="0"/>
            <w:vAlign w:val="center"/>
          </w:tcPr>
          <w:p w14:paraId="46C23B39">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F1F7372">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0.018</w:t>
            </w:r>
          </w:p>
        </w:tc>
        <w:tc>
          <w:tcPr>
            <w:tcW w:w="1128" w:type="dxa"/>
            <w:noWrap w:val="0"/>
            <w:vAlign w:val="center"/>
          </w:tcPr>
          <w:p w14:paraId="19935181">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r>
      <w:tr w14:paraId="70320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4E151BB8">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036AB4A">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废液压油</w:t>
            </w:r>
          </w:p>
        </w:tc>
        <w:tc>
          <w:tcPr>
            <w:tcW w:w="1422" w:type="dxa"/>
            <w:noWrap w:val="0"/>
            <w:vAlign w:val="center"/>
          </w:tcPr>
          <w:p w14:paraId="565C4633">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0.008</w:t>
            </w:r>
          </w:p>
        </w:tc>
        <w:tc>
          <w:tcPr>
            <w:tcW w:w="1123" w:type="dxa"/>
            <w:noWrap w:val="0"/>
            <w:vAlign w:val="center"/>
          </w:tcPr>
          <w:p w14:paraId="69DB968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1C9B3D81">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01BEFD4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w:t>
            </w:r>
          </w:p>
        </w:tc>
        <w:tc>
          <w:tcPr>
            <w:tcW w:w="1722" w:type="dxa"/>
            <w:noWrap w:val="0"/>
            <w:vAlign w:val="center"/>
          </w:tcPr>
          <w:p w14:paraId="48CD30A3">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5BB3C0C">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0.028</w:t>
            </w:r>
          </w:p>
        </w:tc>
        <w:tc>
          <w:tcPr>
            <w:tcW w:w="1128" w:type="dxa"/>
            <w:noWrap w:val="0"/>
            <w:vAlign w:val="center"/>
          </w:tcPr>
          <w:p w14:paraId="1972E1D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+0.02</w:t>
            </w:r>
          </w:p>
        </w:tc>
      </w:tr>
      <w:tr w14:paraId="4E1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AE40172">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B71B2EB">
            <w:pPr>
              <w:pStyle w:val="7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w:t>
            </w:r>
            <w:r>
              <w:rPr>
                <w:rFonts w:hint="default" w:ascii="Times New Roman" w:hAnsi="Times New Roman" w:cs="Times New Roman"/>
                <w:snapToGrid w:val="0"/>
                <w:color w:val="auto"/>
                <w:kern w:val="21"/>
                <w:szCs w:val="21"/>
                <w:lang w:eastAsia="zh-CN"/>
              </w:rPr>
              <w:t>切削液</w:t>
            </w:r>
          </w:p>
        </w:tc>
        <w:tc>
          <w:tcPr>
            <w:tcW w:w="1422" w:type="dxa"/>
            <w:noWrap w:val="0"/>
            <w:vAlign w:val="center"/>
          </w:tcPr>
          <w:p w14:paraId="24D0552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0.002</w:t>
            </w:r>
          </w:p>
        </w:tc>
        <w:tc>
          <w:tcPr>
            <w:tcW w:w="1123" w:type="dxa"/>
            <w:noWrap w:val="0"/>
            <w:vAlign w:val="center"/>
          </w:tcPr>
          <w:p w14:paraId="072347D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A7BA01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3F94DD76">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722" w:type="dxa"/>
            <w:noWrap w:val="0"/>
            <w:vAlign w:val="center"/>
          </w:tcPr>
          <w:p w14:paraId="49B1452D">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1CBE7E0">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0.002</w:t>
            </w:r>
          </w:p>
        </w:tc>
        <w:tc>
          <w:tcPr>
            <w:tcW w:w="1128" w:type="dxa"/>
            <w:noWrap w:val="0"/>
            <w:vAlign w:val="center"/>
          </w:tcPr>
          <w:p w14:paraId="02DABD08">
            <w:pPr>
              <w:pStyle w:val="70"/>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cs="Times New Roman"/>
                <w:snapToGrid w:val="0"/>
                <w:color w:val="auto"/>
                <w:kern w:val="21"/>
                <w:szCs w:val="21"/>
                <w:lang w:val="en-US" w:eastAsia="zh-CN"/>
              </w:rPr>
              <w:t>0</w:t>
            </w:r>
          </w:p>
        </w:tc>
      </w:tr>
      <w:tr w14:paraId="692F1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13E1A32C">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8D6EEC5">
            <w:pPr>
              <w:pStyle w:val="7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废油桶</w:t>
            </w:r>
          </w:p>
        </w:tc>
        <w:tc>
          <w:tcPr>
            <w:tcW w:w="1422" w:type="dxa"/>
            <w:noWrap w:val="0"/>
            <w:vAlign w:val="center"/>
          </w:tcPr>
          <w:p w14:paraId="55AC604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0.0006</w:t>
            </w:r>
          </w:p>
        </w:tc>
        <w:tc>
          <w:tcPr>
            <w:tcW w:w="1123" w:type="dxa"/>
            <w:noWrap w:val="0"/>
            <w:vAlign w:val="center"/>
          </w:tcPr>
          <w:p w14:paraId="72A3791B">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718E154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CBF59CE">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0.0012</w:t>
            </w:r>
          </w:p>
        </w:tc>
        <w:tc>
          <w:tcPr>
            <w:tcW w:w="1722" w:type="dxa"/>
            <w:noWrap w:val="0"/>
            <w:vAlign w:val="center"/>
          </w:tcPr>
          <w:p w14:paraId="243AB5B5">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B169E0D">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0.0018</w:t>
            </w:r>
          </w:p>
        </w:tc>
        <w:tc>
          <w:tcPr>
            <w:tcW w:w="1128" w:type="dxa"/>
            <w:noWrap w:val="0"/>
            <w:vAlign w:val="center"/>
          </w:tcPr>
          <w:p w14:paraId="285AD051">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+0.0012</w:t>
            </w:r>
          </w:p>
        </w:tc>
      </w:tr>
      <w:tr w14:paraId="4D1A2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F39E42B">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B33AE47">
            <w:pPr>
              <w:pStyle w:val="7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废切削液桶</w:t>
            </w:r>
          </w:p>
        </w:tc>
        <w:tc>
          <w:tcPr>
            <w:tcW w:w="1422" w:type="dxa"/>
            <w:noWrap w:val="0"/>
            <w:vAlign w:val="center"/>
          </w:tcPr>
          <w:p w14:paraId="6F6123A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0.002</w:t>
            </w:r>
          </w:p>
        </w:tc>
        <w:tc>
          <w:tcPr>
            <w:tcW w:w="1123" w:type="dxa"/>
            <w:noWrap w:val="0"/>
            <w:vAlign w:val="center"/>
          </w:tcPr>
          <w:p w14:paraId="38C8061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1836815E">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328BA6A">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c>
          <w:tcPr>
            <w:tcW w:w="1722" w:type="dxa"/>
            <w:noWrap w:val="0"/>
            <w:vAlign w:val="center"/>
          </w:tcPr>
          <w:p w14:paraId="7345AE1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77E0A50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0.002</w:t>
            </w:r>
          </w:p>
        </w:tc>
        <w:tc>
          <w:tcPr>
            <w:tcW w:w="1128" w:type="dxa"/>
            <w:noWrap w:val="0"/>
            <w:vAlign w:val="center"/>
          </w:tcPr>
          <w:p w14:paraId="0D1E50C6">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w:t>
            </w:r>
          </w:p>
        </w:tc>
      </w:tr>
      <w:tr w14:paraId="7F02D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C63C335">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41B355E4">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废含油抹布手套</w:t>
            </w:r>
          </w:p>
        </w:tc>
        <w:tc>
          <w:tcPr>
            <w:tcW w:w="1422" w:type="dxa"/>
            <w:noWrap w:val="0"/>
            <w:vAlign w:val="center"/>
          </w:tcPr>
          <w:p w14:paraId="21D4365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0.001</w:t>
            </w:r>
          </w:p>
        </w:tc>
        <w:tc>
          <w:tcPr>
            <w:tcW w:w="1123" w:type="dxa"/>
            <w:noWrap w:val="0"/>
            <w:vAlign w:val="center"/>
          </w:tcPr>
          <w:p w14:paraId="4F994DE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00103AC">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1CB132E2">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0.0002</w:t>
            </w:r>
          </w:p>
        </w:tc>
        <w:tc>
          <w:tcPr>
            <w:tcW w:w="1722" w:type="dxa"/>
            <w:noWrap w:val="0"/>
            <w:vAlign w:val="center"/>
          </w:tcPr>
          <w:p w14:paraId="592DAB4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FC00710">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0.001</w:t>
            </w:r>
            <w:r>
              <w:rPr>
                <w:rFonts w:hint="eastAsia" w:ascii="Times New Roman" w:hAnsi="Times New Roman" w:cs="Times New Roman"/>
                <w:snapToGrid w:val="0"/>
                <w:color w:val="auto"/>
                <w:kern w:val="21"/>
                <w:szCs w:val="21"/>
                <w:lang w:val="en-US" w:eastAsia="zh-CN"/>
              </w:rPr>
              <w:t>2</w:t>
            </w:r>
          </w:p>
        </w:tc>
        <w:tc>
          <w:tcPr>
            <w:tcW w:w="1128" w:type="dxa"/>
            <w:noWrap w:val="0"/>
            <w:vAlign w:val="center"/>
          </w:tcPr>
          <w:p w14:paraId="5B50009C">
            <w:pPr>
              <w:pStyle w:val="70"/>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+0.00</w:t>
            </w:r>
            <w:r>
              <w:rPr>
                <w:rFonts w:hint="eastAsia" w:ascii="Times New Roman" w:hAnsi="Times New Roman" w:cs="Times New Roman"/>
                <w:snapToGrid w:val="0"/>
                <w:color w:val="auto"/>
                <w:kern w:val="21"/>
                <w:szCs w:val="21"/>
                <w:lang w:val="en-US" w:eastAsia="zh-CN"/>
              </w:rPr>
              <w:t>02</w:t>
            </w:r>
          </w:p>
        </w:tc>
      </w:tr>
      <w:tr w14:paraId="10274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57BB90F">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260AD2D">
            <w:pPr>
              <w:pStyle w:val="70"/>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污泥</w:t>
            </w:r>
          </w:p>
        </w:tc>
        <w:tc>
          <w:tcPr>
            <w:tcW w:w="1422" w:type="dxa"/>
            <w:noWrap w:val="0"/>
            <w:vAlign w:val="center"/>
          </w:tcPr>
          <w:p w14:paraId="597F213A">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3E923CED">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5582F7B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2E42E4FB">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0.46</w:t>
            </w:r>
          </w:p>
        </w:tc>
        <w:tc>
          <w:tcPr>
            <w:tcW w:w="1722" w:type="dxa"/>
            <w:noWrap w:val="0"/>
            <w:vAlign w:val="center"/>
          </w:tcPr>
          <w:p w14:paraId="17F9C306">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FB8174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0.46</w:t>
            </w:r>
          </w:p>
        </w:tc>
        <w:tc>
          <w:tcPr>
            <w:tcW w:w="1128" w:type="dxa"/>
            <w:noWrap w:val="0"/>
            <w:vAlign w:val="center"/>
          </w:tcPr>
          <w:p w14:paraId="6194D621">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+0.46</w:t>
            </w:r>
          </w:p>
        </w:tc>
      </w:tr>
      <w:tr w14:paraId="629DA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19A72C6E">
            <w:pPr>
              <w:pStyle w:val="70"/>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7082A7EF">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废活性炭</w:t>
            </w:r>
          </w:p>
        </w:tc>
        <w:tc>
          <w:tcPr>
            <w:tcW w:w="1422" w:type="dxa"/>
            <w:noWrap w:val="0"/>
            <w:vAlign w:val="center"/>
          </w:tcPr>
          <w:p w14:paraId="71B9BACF">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123" w:type="dxa"/>
            <w:noWrap w:val="0"/>
            <w:vAlign w:val="center"/>
          </w:tcPr>
          <w:p w14:paraId="4EAD14B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546B9BA7">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24" w:type="dxa"/>
            <w:noWrap w:val="0"/>
            <w:vAlign w:val="center"/>
          </w:tcPr>
          <w:p w14:paraId="22FC6B68">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p>
        </w:tc>
        <w:tc>
          <w:tcPr>
            <w:tcW w:w="1722" w:type="dxa"/>
            <w:noWrap w:val="0"/>
            <w:vAlign w:val="center"/>
          </w:tcPr>
          <w:p w14:paraId="29AD4ECF">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5655A1B7">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p>
        </w:tc>
        <w:tc>
          <w:tcPr>
            <w:tcW w:w="1128" w:type="dxa"/>
            <w:noWrap w:val="0"/>
            <w:vAlign w:val="center"/>
          </w:tcPr>
          <w:p w14:paraId="266CB119">
            <w:pPr>
              <w:pStyle w:val="7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+7.64</w:t>
            </w:r>
          </w:p>
        </w:tc>
      </w:tr>
      <w:tr w14:paraId="1AC03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gridSpan w:val="2"/>
            <w:noWrap w:val="0"/>
            <w:vAlign w:val="center"/>
          </w:tcPr>
          <w:p w14:paraId="43E03AA8">
            <w:pPr>
              <w:pStyle w:val="7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生活垃圾</w:t>
            </w:r>
          </w:p>
        </w:tc>
        <w:tc>
          <w:tcPr>
            <w:tcW w:w="1422" w:type="dxa"/>
            <w:noWrap w:val="0"/>
            <w:vAlign w:val="center"/>
          </w:tcPr>
          <w:p w14:paraId="19A4CEC7">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5.4</w:t>
            </w:r>
          </w:p>
        </w:tc>
        <w:tc>
          <w:tcPr>
            <w:tcW w:w="1123" w:type="dxa"/>
            <w:noWrap w:val="0"/>
            <w:vAlign w:val="center"/>
          </w:tcPr>
          <w:p w14:paraId="5DDEFEE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663" w:type="dxa"/>
            <w:noWrap w:val="0"/>
            <w:vAlign w:val="center"/>
          </w:tcPr>
          <w:p w14:paraId="29AC7E0E">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05029BE3">
            <w:pPr>
              <w:pStyle w:val="7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22" w:type="dxa"/>
            <w:noWrap w:val="0"/>
            <w:vAlign w:val="center"/>
          </w:tcPr>
          <w:p w14:paraId="61868BDC">
            <w:pPr>
              <w:pStyle w:val="70"/>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93" w:type="dxa"/>
            <w:noWrap w:val="0"/>
            <w:vAlign w:val="center"/>
          </w:tcPr>
          <w:p w14:paraId="335E4A89">
            <w:pPr>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128" w:type="dxa"/>
            <w:noWrap w:val="0"/>
            <w:vAlign w:val="center"/>
          </w:tcPr>
          <w:p w14:paraId="48D81BB4">
            <w:pPr>
              <w:pStyle w:val="70"/>
              <w:spacing w:beforeLines="0" w:afterLines="0" w:line="240" w:lineRule="auto"/>
              <w:rPr>
                <w:rFonts w:hint="default" w:ascii="Times New Roman" w:hAnsi="Times New Roman" w:cs="Times New Roman"/>
                <w:snapToGrid w:val="0"/>
                <w:color w:val="auto"/>
                <w:kern w:val="21"/>
                <w:szCs w:val="21"/>
                <w:lang w:val="en-US"/>
              </w:rPr>
            </w:pPr>
            <w:r>
              <w:rPr>
                <w:rFonts w:hint="eastAsia" w:ascii="Times New Roman" w:hAnsi="Times New Roman" w:cs="Times New Roman"/>
                <w:snapToGrid w:val="0"/>
                <w:color w:val="auto"/>
                <w:kern w:val="21"/>
                <w:szCs w:val="21"/>
                <w:lang w:val="en-US" w:eastAsia="zh-CN"/>
              </w:rPr>
              <w:t>0</w:t>
            </w:r>
          </w:p>
        </w:tc>
      </w:tr>
    </w:tbl>
    <w:p w14:paraId="6C2D5F68">
      <w:pPr>
        <w:pStyle w:val="70"/>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5358C1DE">
      <w:pPr>
        <w:rPr>
          <w:rFonts w:hint="default"/>
          <w:color w:val="auto"/>
          <w:lang w:val="en-US" w:eastAsia="zh-CN"/>
        </w:rPr>
      </w:pPr>
    </w:p>
    <w:p w14:paraId="655D5040">
      <w:pPr>
        <w:keepNext/>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lang w:val="en-US" w:eastAsia="zh-CN"/>
        </w:rPr>
        <w:t>项目环保绩效管理分析</w:t>
      </w:r>
    </w:p>
    <w:p w14:paraId="13CBF97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位于宝鸡市陈仓区东关街道科技工业园区内，产品为电子元器件配件，根据陕西省生态环境厅文件陕环环评函〔2023〕76号文件，《关于进一步加强关中地区涉气重点行业环评管理的通知》的有关要求，项目生产工序涉及喷涂，故按照《重污染天气重点行业应急减排措施制定技术指南》中表39-1 工业涂装绩效分级指标中A级企业提出相应要求，具体分析如下：</w:t>
      </w:r>
    </w:p>
    <w:p w14:paraId="77175DC5">
      <w:pPr>
        <w:keepNext/>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 xml:space="preserve">  项目环保绩效管理篇章分析表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62"/>
        <w:gridCol w:w="5487"/>
        <w:gridCol w:w="5603"/>
      </w:tblGrid>
      <w:tr w14:paraId="32ED9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264CB383">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指标要求</w:t>
            </w:r>
          </w:p>
        </w:tc>
        <w:tc>
          <w:tcPr>
            <w:tcW w:w="2009" w:type="pct"/>
            <w:tcBorders>
              <w:tl2br w:val="nil"/>
              <w:tr2bl w:val="nil"/>
            </w:tcBorders>
            <w:noWrap w:val="0"/>
            <w:vAlign w:val="center"/>
          </w:tcPr>
          <w:p w14:paraId="031F2C30">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A级企业</w:t>
            </w:r>
          </w:p>
        </w:tc>
        <w:tc>
          <w:tcPr>
            <w:tcW w:w="2051" w:type="pct"/>
            <w:tcBorders>
              <w:tl2br w:val="nil"/>
              <w:tr2bl w:val="nil"/>
            </w:tcBorders>
            <w:noWrap w:val="0"/>
            <w:vAlign w:val="center"/>
          </w:tcPr>
          <w:p w14:paraId="173311B6">
            <w:pPr>
              <w:pStyle w:val="4"/>
              <w:keepNext/>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本项目建设情况</w:t>
            </w:r>
          </w:p>
        </w:tc>
      </w:tr>
      <w:tr w14:paraId="391E6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69BF5C45">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原辅材料</w:t>
            </w:r>
          </w:p>
        </w:tc>
        <w:tc>
          <w:tcPr>
            <w:tcW w:w="2009" w:type="pct"/>
            <w:tcBorders>
              <w:tl2br w:val="nil"/>
              <w:tr2bl w:val="nil"/>
            </w:tcBorders>
            <w:noWrap w:val="0"/>
            <w:vAlign w:val="center"/>
          </w:tcPr>
          <w:p w14:paraId="5EA87C5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1.使用粉末涂料；</w:t>
            </w:r>
          </w:p>
          <w:p w14:paraId="39616D8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2.使用符合《低挥发性有机化合物含量涂料产品技术要求》（GB/T38597-2020规定的低VOCS含量涂料产品）</w:t>
            </w:r>
          </w:p>
        </w:tc>
        <w:tc>
          <w:tcPr>
            <w:tcW w:w="2051" w:type="pct"/>
            <w:tcBorders>
              <w:tl2br w:val="nil"/>
              <w:tr2bl w:val="nil"/>
            </w:tcBorders>
            <w:noWrap w:val="0"/>
            <w:vAlign w:val="center"/>
          </w:tcPr>
          <w:p w14:paraId="7F66884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1.本项目使用的涂料为粉末涂料；2.本项目使用的涂料经检测报告可知，VOC</w:t>
            </w:r>
            <w:r>
              <w:rPr>
                <w:rFonts w:hint="eastAsia" w:ascii="Times New Roman" w:hAnsi="Times New Roman" w:eastAsia="宋体" w:cs="Times New Roman"/>
                <w:b w:val="0"/>
                <w:bCs w:val="0"/>
                <w:color w:val="auto"/>
                <w:kern w:val="2"/>
                <w:sz w:val="21"/>
                <w:szCs w:val="21"/>
                <w:highlight w:val="none"/>
                <w:vertAlign w:val="subscript"/>
                <w:lang w:val="en-US" w:eastAsia="zh-CN" w:bidi="ar-SA"/>
              </w:rPr>
              <w:t>S</w:t>
            </w:r>
            <w:r>
              <w:rPr>
                <w:rFonts w:hint="eastAsia" w:ascii="Times New Roman" w:hAnsi="Times New Roman" w:eastAsia="宋体" w:cs="Times New Roman"/>
                <w:b w:val="0"/>
                <w:bCs w:val="0"/>
                <w:color w:val="auto"/>
                <w:kern w:val="2"/>
                <w:sz w:val="21"/>
                <w:szCs w:val="21"/>
                <w:highlight w:val="none"/>
                <w:vertAlign w:val="baseline"/>
                <w:lang w:val="en-US" w:eastAsia="zh-CN" w:bidi="ar-SA"/>
              </w:rPr>
              <w:t>检测结果为未检出，符合GB/T38597-2020规定的低VOC</w:t>
            </w:r>
            <w:r>
              <w:rPr>
                <w:rFonts w:hint="eastAsia" w:ascii="Times New Roman" w:hAnsi="Times New Roman" w:eastAsia="宋体" w:cs="Times New Roman"/>
                <w:b w:val="0"/>
                <w:bCs w:val="0"/>
                <w:color w:val="auto"/>
                <w:kern w:val="2"/>
                <w:sz w:val="21"/>
                <w:szCs w:val="21"/>
                <w:highlight w:val="none"/>
                <w:vertAlign w:val="subscript"/>
                <w:lang w:val="en-US" w:eastAsia="zh-CN" w:bidi="ar-SA"/>
              </w:rPr>
              <w:t>S</w:t>
            </w:r>
            <w:r>
              <w:rPr>
                <w:rFonts w:hint="eastAsia" w:ascii="Times New Roman" w:hAnsi="Times New Roman" w:eastAsia="宋体" w:cs="Times New Roman"/>
                <w:b w:val="0"/>
                <w:bCs w:val="0"/>
                <w:color w:val="auto"/>
                <w:kern w:val="2"/>
                <w:sz w:val="21"/>
                <w:szCs w:val="21"/>
                <w:highlight w:val="none"/>
                <w:vertAlign w:val="baseline"/>
                <w:lang w:val="en-US" w:eastAsia="zh-CN" w:bidi="ar-SA"/>
              </w:rPr>
              <w:t>含量涂料产品，具体见附件。</w:t>
            </w:r>
          </w:p>
        </w:tc>
      </w:tr>
      <w:tr w14:paraId="55BCC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47CC4C9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无组织排放</w:t>
            </w:r>
          </w:p>
        </w:tc>
        <w:tc>
          <w:tcPr>
            <w:tcW w:w="2009" w:type="pct"/>
            <w:tcBorders>
              <w:tl2br w:val="nil"/>
              <w:tr2bl w:val="nil"/>
            </w:tcBorders>
            <w:noWrap w:val="0"/>
            <w:vAlign w:val="center"/>
          </w:tcPr>
          <w:p w14:paraId="2BC6BFC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1.满足《挥发性有机物无组织排放控制标准》（GB37822-2019）特别控制要求；</w:t>
            </w:r>
          </w:p>
          <w:p w14:paraId="0A58627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2.VOCS物料存储于密闭容器或包装袋中，盛装VOCS物料的容器或包装袋存放于密闭负压的储库、料仓内；</w:t>
            </w:r>
          </w:p>
          <w:p w14:paraId="24C80059">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3.</w:t>
            </w:r>
            <w:r>
              <w:rPr>
                <w:rFonts w:hint="eastAsia" w:ascii="Times New Roman" w:hAnsi="Times New Roman" w:eastAsia="宋体" w:cs="Times New Roman"/>
                <w:b w:val="0"/>
                <w:bCs w:val="0"/>
                <w:color w:val="auto"/>
                <w:kern w:val="2"/>
                <w:sz w:val="21"/>
                <w:szCs w:val="21"/>
                <w:highlight w:val="none"/>
                <w:vertAlign w:val="baseline"/>
                <w:lang w:val="en-US" w:eastAsia="zh-CN" w:bidi="ar-SA"/>
              </w:rPr>
              <w:t>除大型工件特殊作业（例如，船舶制造行业的分段总组、船台、船坞、造船码头等涂装工序）外，调漆、喷漆、流平、烘干、清洗等工序在密闭设备或密闭负压空间内操作；</w:t>
            </w:r>
          </w:p>
          <w:p w14:paraId="16D5D179">
            <w:pPr>
              <w:pStyle w:val="29"/>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color w:val="auto"/>
                <w:sz w:val="21"/>
                <w:szCs w:val="21"/>
                <w:lang w:val="en-US" w:eastAsia="zh-CN"/>
              </w:rPr>
            </w:pPr>
            <w:r>
              <w:rPr>
                <w:rFonts w:hint="eastAsia"/>
                <w:color w:val="auto"/>
                <w:sz w:val="21"/>
                <w:szCs w:val="21"/>
                <w:lang w:val="en-US" w:eastAsia="zh-CN"/>
              </w:rPr>
              <w:t>4.密闭回收废清洗剂；</w:t>
            </w:r>
          </w:p>
          <w:p w14:paraId="0F4AEB77">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olor w:val="auto"/>
                <w:sz w:val="21"/>
                <w:szCs w:val="21"/>
                <w:lang w:val="en-US" w:eastAsia="zh-CN"/>
              </w:rPr>
            </w:pPr>
            <w:r>
              <w:rPr>
                <w:rFonts w:hint="eastAsia"/>
                <w:color w:val="auto"/>
                <w:sz w:val="21"/>
                <w:szCs w:val="21"/>
                <w:lang w:val="en-US" w:eastAsia="zh-CN"/>
              </w:rPr>
              <w:t>5.建设干式喷漆房；使用湿式喷漆房时，循环水泵间和刮渣间应密闭，安装废气收集设施；</w:t>
            </w:r>
          </w:p>
          <w:p w14:paraId="4BAA870E">
            <w:pPr>
              <w:pStyle w:val="29"/>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color w:val="auto"/>
                <w:sz w:val="21"/>
                <w:szCs w:val="21"/>
                <w:lang w:val="en-US" w:eastAsia="zh-CN"/>
              </w:rPr>
            </w:pPr>
            <w:r>
              <w:rPr>
                <w:rFonts w:hint="eastAsia"/>
                <w:color w:val="auto"/>
                <w:sz w:val="21"/>
                <w:szCs w:val="21"/>
                <w:lang w:val="en-US" w:eastAsia="zh-CN"/>
              </w:rPr>
              <w:t>6.采用静电喷涂、自动喷涂、高压无气喷涂或高流低压（HVLP）喷枪等高效涂装技术，不可使用手动空气喷涂技术。</w:t>
            </w:r>
          </w:p>
        </w:tc>
        <w:tc>
          <w:tcPr>
            <w:tcW w:w="2051" w:type="pct"/>
            <w:tcBorders>
              <w:tl2br w:val="nil"/>
              <w:tr2bl w:val="nil"/>
            </w:tcBorders>
            <w:noWrap w:val="0"/>
            <w:vAlign w:val="center"/>
          </w:tcPr>
          <w:p w14:paraId="6FC7D417">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1.本项目挥发性有机废气无组织排放需满足《挥发性有机物无组织排放控制标准》（GB37822-2019）中相应标准限值要求。</w:t>
            </w:r>
          </w:p>
          <w:p w14:paraId="4881D6F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2.本项目使用喷涂的粉末储存于密闭包装袋中并存放于密闭负压的储库内；</w:t>
            </w:r>
          </w:p>
          <w:p w14:paraId="11C5A96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3.本项目烘干、清洗均不涉及含VOC</w:t>
            </w:r>
            <w:r>
              <w:rPr>
                <w:rFonts w:hint="eastAsia" w:ascii="Times New Roman" w:hAnsi="Times New Roman" w:eastAsia="宋体" w:cs="Times New Roman"/>
                <w:b w:val="0"/>
                <w:bCs w:val="0"/>
                <w:color w:val="auto"/>
                <w:kern w:val="2"/>
                <w:sz w:val="21"/>
                <w:szCs w:val="21"/>
                <w:highlight w:val="none"/>
                <w:vertAlign w:val="subscript"/>
                <w:lang w:val="en-US" w:eastAsia="zh-CN" w:bidi="ar-SA"/>
              </w:rPr>
              <w:t>S</w:t>
            </w:r>
            <w:r>
              <w:rPr>
                <w:rFonts w:hint="eastAsia" w:ascii="Times New Roman" w:hAnsi="Times New Roman" w:eastAsia="宋体" w:cs="Times New Roman"/>
                <w:b w:val="0"/>
                <w:bCs w:val="0"/>
                <w:color w:val="auto"/>
                <w:kern w:val="2"/>
                <w:sz w:val="21"/>
                <w:szCs w:val="21"/>
                <w:highlight w:val="none"/>
                <w:vertAlign w:val="baseline"/>
                <w:lang w:val="en-US" w:eastAsia="zh-CN" w:bidi="ar-SA"/>
              </w:rPr>
              <w:t>原辅材料，故无需设密闭负压空间，但清洗和烘干均在设备内进行。</w:t>
            </w:r>
          </w:p>
          <w:p w14:paraId="6936CA5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4.本项目活性剂及脱脂剂直接加入设备中，融化在水中对工件进行脱油脱脂，废水会统一经配套污水处理设施处理，无废清洗剂产生。5.本项目不涉及喷漆。</w:t>
            </w:r>
          </w:p>
          <w:p w14:paraId="4139AA8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6.本项目采取静电喷涂并设在密闭喷粉房内。</w:t>
            </w:r>
          </w:p>
          <w:p w14:paraId="18B6EF07">
            <w:pPr>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p>
        </w:tc>
      </w:tr>
      <w:tr w14:paraId="5743C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741EC6D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VOCS治理设施</w:t>
            </w:r>
          </w:p>
        </w:tc>
        <w:tc>
          <w:tcPr>
            <w:tcW w:w="2009" w:type="pct"/>
            <w:tcBorders>
              <w:tl2br w:val="nil"/>
              <w:tr2bl w:val="nil"/>
            </w:tcBorders>
            <w:noWrap w:val="0"/>
            <w:vAlign w:val="center"/>
          </w:tcPr>
          <w:p w14:paraId="5E8F7777">
            <w:pPr>
              <w:pStyle w:val="29"/>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1.喷涂废气设置干式的石灰石、纸盒等高效漆雾处理装置；</w:t>
            </w:r>
          </w:p>
          <w:p w14:paraId="65A55A77">
            <w:pPr>
              <w:pStyle w:val="29"/>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2.使用溶剂型涂料时，调漆、喷漆、流平、烘干、清洗等工序含VOCS废气采用吸附浓缩+燃烧、燃烧等治理技术，处理效率≥95%；</w:t>
            </w:r>
          </w:p>
          <w:p w14:paraId="083516AD">
            <w:pPr>
              <w:pStyle w:val="29"/>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color w:val="auto"/>
                <w:sz w:val="21"/>
                <w:szCs w:val="21"/>
                <w:lang w:val="en-US" w:eastAsia="zh-CN"/>
              </w:rPr>
            </w:pPr>
            <w:r>
              <w:rPr>
                <w:rFonts w:hint="eastAsia"/>
                <w:color w:val="auto"/>
                <w:sz w:val="21"/>
                <w:szCs w:val="21"/>
                <w:lang w:val="en-US" w:eastAsia="zh-CN"/>
              </w:rPr>
              <w:t>3.使用水性涂料（含水性UV）时，当车间或生产设施排气中非甲烷总烃（NMHC）初始排放速率≥2kg/h时，建设末端治理设施。</w:t>
            </w:r>
          </w:p>
          <w:p w14:paraId="750A2A2B">
            <w:pPr>
              <w:pStyle w:val="29"/>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color w:val="auto"/>
                <w:sz w:val="21"/>
                <w:szCs w:val="21"/>
                <w:lang w:val="en-US" w:eastAsia="zh-CN"/>
              </w:rPr>
            </w:pPr>
            <w:r>
              <w:rPr>
                <w:rFonts w:hint="eastAsia"/>
                <w:b/>
                <w:bCs/>
                <w:color w:val="auto"/>
                <w:sz w:val="21"/>
                <w:szCs w:val="21"/>
                <w:lang w:val="en-US" w:eastAsia="zh-CN"/>
              </w:rPr>
              <w:t>备注：</w:t>
            </w:r>
            <w:r>
              <w:rPr>
                <w:rFonts w:hint="eastAsia"/>
                <w:color w:val="auto"/>
                <w:sz w:val="21"/>
                <w:szCs w:val="21"/>
                <w:lang w:val="en-US" w:eastAsia="zh-CN"/>
              </w:rPr>
              <w:t>采用粉末涂料或VOCS含量≤60g/L的无溶剂涂料时，排放浓度稳定达标且排放速率、排放绩效等满足相关规定的，相应生产工序可不要求建设末端治理设施。</w:t>
            </w:r>
          </w:p>
          <w:p w14:paraId="112E4AB3">
            <w:pPr>
              <w:keepLines w:val="0"/>
              <w:pageBreakBefore w:val="0"/>
              <w:widowControl w:val="0"/>
              <w:kinsoku/>
              <w:wordWrap/>
              <w:overflowPunct/>
              <w:topLinePunct w:val="0"/>
              <w:autoSpaceDE/>
              <w:autoSpaceDN/>
              <w:bidi w:val="0"/>
              <w:adjustRightInd/>
              <w:snapToGrid/>
              <w:textAlignment w:val="auto"/>
              <w:rPr>
                <w:rFonts w:hint="default"/>
                <w:color w:val="auto"/>
                <w:sz w:val="21"/>
                <w:szCs w:val="21"/>
                <w:lang w:val="en-US" w:eastAsia="zh-CN"/>
              </w:rPr>
            </w:pPr>
          </w:p>
        </w:tc>
        <w:tc>
          <w:tcPr>
            <w:tcW w:w="2051" w:type="pct"/>
            <w:tcBorders>
              <w:tl2br w:val="nil"/>
              <w:tr2bl w:val="nil"/>
            </w:tcBorders>
            <w:noWrap w:val="0"/>
            <w:vAlign w:val="center"/>
          </w:tcPr>
          <w:p w14:paraId="2E7956D4">
            <w:pPr>
              <w:keepLines w:val="0"/>
              <w:pageBreakBefore w:val="0"/>
              <w:widowControl w:val="0"/>
              <w:numPr>
                <w:ilvl w:val="0"/>
                <w:numId w:val="0"/>
              </w:numPr>
              <w:kinsoku/>
              <w:wordWrap/>
              <w:overflowPunct/>
              <w:topLinePunct w:val="0"/>
              <w:autoSpaceDE/>
              <w:autoSpaceDN/>
              <w:bidi w:val="0"/>
              <w:adjustRightInd/>
              <w:snapToGrid/>
              <w:textAlignment w:val="auto"/>
              <w:rPr>
                <w:rFonts w:hint="eastAsia"/>
                <w:color w:val="auto"/>
                <w:sz w:val="21"/>
                <w:szCs w:val="21"/>
                <w:lang w:val="en-US" w:eastAsia="zh-CN"/>
              </w:rPr>
            </w:pPr>
            <w:r>
              <w:rPr>
                <w:rFonts w:hint="eastAsia"/>
                <w:color w:val="auto"/>
                <w:sz w:val="21"/>
                <w:szCs w:val="21"/>
                <w:lang w:val="en-US" w:eastAsia="zh-CN"/>
              </w:rPr>
              <w:t>1.本项目喷涂料为粉末状，不涉及漆料。</w:t>
            </w:r>
          </w:p>
          <w:p w14:paraId="00F8367C">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olor w:val="auto"/>
                <w:sz w:val="21"/>
                <w:szCs w:val="21"/>
                <w:lang w:val="en-US" w:eastAsia="zh-CN"/>
              </w:rPr>
            </w:pPr>
            <w:r>
              <w:rPr>
                <w:rFonts w:hint="eastAsia"/>
                <w:color w:val="auto"/>
                <w:sz w:val="21"/>
                <w:szCs w:val="21"/>
                <w:lang w:val="en-US" w:eastAsia="zh-CN"/>
              </w:rPr>
              <w:t>2.本项目使用涂料为水性粉末涂料，不涉及溶剂型涂料。</w:t>
            </w:r>
          </w:p>
          <w:p w14:paraId="1E82E926">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color w:val="auto"/>
                <w:sz w:val="21"/>
                <w:szCs w:val="21"/>
                <w:lang w:val="en-US" w:eastAsia="zh-CN"/>
              </w:rPr>
            </w:pPr>
            <w:r>
              <w:rPr>
                <w:rFonts w:hint="eastAsia"/>
                <w:color w:val="auto"/>
                <w:sz w:val="21"/>
                <w:szCs w:val="21"/>
                <w:lang w:val="en-US" w:eastAsia="zh-CN"/>
              </w:rPr>
              <w:t>3.本项目使用水性粉末涂料，经源强核算废气（非甲烷总烃）初始排放速率小于2kg/h，但考虑废气能有效治理，故建设二级活性炭吸附处理并由15米排气筒高空排放。</w:t>
            </w:r>
          </w:p>
        </w:tc>
      </w:tr>
      <w:tr w14:paraId="6981D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4CC9F45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排放限值</w:t>
            </w:r>
          </w:p>
        </w:tc>
        <w:tc>
          <w:tcPr>
            <w:tcW w:w="2009" w:type="pct"/>
            <w:tcBorders>
              <w:tl2br w:val="nil"/>
              <w:tr2bl w:val="nil"/>
            </w:tcBorders>
            <w:noWrap w:val="0"/>
            <w:vAlign w:val="center"/>
          </w:tcPr>
          <w:p w14:paraId="061F2B0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1.在连续一年的监测数据中，车间或生产设施排气筒排放的NMHC为20—30mg/m³、TVOC为40—50mg/m³；</w:t>
            </w:r>
          </w:p>
          <w:p w14:paraId="4CAE6B0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1175AEA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3.其他各项污染物稳定达到现行排放控制要求，并从严地方要求。</w:t>
            </w:r>
          </w:p>
        </w:tc>
        <w:tc>
          <w:tcPr>
            <w:tcW w:w="2051" w:type="pct"/>
            <w:tcBorders>
              <w:tl2br w:val="nil"/>
              <w:tr2bl w:val="nil"/>
            </w:tcBorders>
            <w:noWrap w:val="0"/>
            <w:vAlign w:val="center"/>
          </w:tcPr>
          <w:p w14:paraId="052A56A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1.本项目建成后在后续自行监测中排气筒排放废气浓度需满足NMHC为20—30mg/m³、TVOC为40—50mg/m³；</w:t>
            </w:r>
          </w:p>
          <w:p w14:paraId="7FBB0E8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5598A5D3">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3.严格按照本地相关政策要求建设并执行。</w:t>
            </w:r>
          </w:p>
        </w:tc>
      </w:tr>
      <w:tr w14:paraId="38328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37B8BED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监测监控水平</w:t>
            </w:r>
          </w:p>
        </w:tc>
        <w:tc>
          <w:tcPr>
            <w:tcW w:w="2009" w:type="pct"/>
            <w:tcBorders>
              <w:tl2br w:val="nil"/>
              <w:tr2bl w:val="nil"/>
            </w:tcBorders>
            <w:noWrap w:val="0"/>
            <w:vAlign w:val="center"/>
          </w:tcPr>
          <w:p w14:paraId="063E5C3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1.严格执行《排污许可证申请与核发技术规范 总则》（HJ942-2018）以及相关行业排污许可证申请与核发技术规范规定的自行监测管理要求；</w:t>
            </w:r>
          </w:p>
          <w:p w14:paraId="14F0AB3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2.重点排污企业风量大于10000m³/h的主要排放口，有机废气排放口安装NMHC在线监测设施（FID检测器），自动监控数据保存一年以上；</w:t>
            </w:r>
          </w:p>
          <w:p w14:paraId="6BDFA73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2051" w:type="pct"/>
            <w:tcBorders>
              <w:tl2br w:val="nil"/>
              <w:tr2bl w:val="nil"/>
            </w:tcBorders>
            <w:noWrap w:val="0"/>
            <w:vAlign w:val="center"/>
          </w:tcPr>
          <w:p w14:paraId="78505BF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1.严格按照相关核发技术规范中要求进行自行监测；</w:t>
            </w:r>
          </w:p>
          <w:p w14:paraId="256CF56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2.本项目不涉及重点排污企业及主要排放口；</w:t>
            </w:r>
          </w:p>
          <w:p w14:paraId="55D7131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3.本项目不涉及安装DCS系统、仪器仪表等装置，故无需进行相关要求。</w:t>
            </w:r>
          </w:p>
        </w:tc>
      </w:tr>
      <w:tr w14:paraId="4B3D1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restart"/>
            <w:tcBorders>
              <w:tl2br w:val="nil"/>
              <w:tr2bl w:val="nil"/>
            </w:tcBorders>
            <w:noWrap w:val="0"/>
            <w:vAlign w:val="center"/>
          </w:tcPr>
          <w:p w14:paraId="68EFC8A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环境管理水平</w:t>
            </w:r>
          </w:p>
        </w:tc>
        <w:tc>
          <w:tcPr>
            <w:tcW w:w="2009" w:type="pct"/>
            <w:tcBorders>
              <w:tl2br w:val="nil"/>
              <w:tr2bl w:val="nil"/>
            </w:tcBorders>
            <w:noWrap w:val="0"/>
            <w:vAlign w:val="center"/>
          </w:tcPr>
          <w:p w14:paraId="180D91F4">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环保档案齐全：1.环评批复文件；2.排污许可证及季度、年度执行报告；3.竣工验收文件；4.废气治理设施运行管理规程；5.一年内废气监测报告</w:t>
            </w:r>
          </w:p>
        </w:tc>
        <w:tc>
          <w:tcPr>
            <w:tcW w:w="2051" w:type="pct"/>
            <w:tcBorders>
              <w:tl2br w:val="nil"/>
              <w:tr2bl w:val="nil"/>
            </w:tcBorders>
            <w:noWrap w:val="0"/>
            <w:vAlign w:val="center"/>
          </w:tcPr>
          <w:p w14:paraId="1FD6BBD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本项目建成后需整理归档环保档案资料，包括环评批复文件、排污许可证年度执行报告、验收竣工文件、废气治理设施管理规程、废气监测报告</w:t>
            </w:r>
          </w:p>
        </w:tc>
      </w:tr>
      <w:tr w14:paraId="5F9F3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tcBorders>
              <w:tl2br w:val="nil"/>
              <w:tr2bl w:val="nil"/>
            </w:tcBorders>
            <w:noWrap w:val="0"/>
            <w:vAlign w:val="center"/>
          </w:tcPr>
          <w:p w14:paraId="38CE0EAA">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p>
        </w:tc>
        <w:tc>
          <w:tcPr>
            <w:tcW w:w="2009" w:type="pct"/>
            <w:tcBorders>
              <w:tl2br w:val="nil"/>
              <w:tr2bl w:val="nil"/>
            </w:tcBorders>
            <w:noWrap w:val="0"/>
            <w:vAlign w:val="center"/>
          </w:tcPr>
          <w:p w14:paraId="79067E42">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台账记录：1.生产设施运行管理信息（生产时间、运行符合、产品产量等，必须具备近一年及以上所用涂料的密度、扣水后VOCS含量、含水量（水性涂料）等信息的检测报告）；</w:t>
            </w:r>
          </w:p>
          <w:p w14:paraId="0D82273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2.废气污染治理设施运行管理信息（燃烧室温度、冷凝温度、过滤材料更换频次、吸附剂更换频次、催化剂更换频次）；</w:t>
            </w:r>
          </w:p>
          <w:p w14:paraId="581C8235">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3.监测记录信息（主要污染排放口废气排放记录（手工监测或在线监测）等）；</w:t>
            </w:r>
          </w:p>
          <w:p w14:paraId="32C4CEF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4.主要原辅材料消耗记录；</w:t>
            </w:r>
          </w:p>
          <w:p w14:paraId="1FFC6F0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5.燃料（天然气）消耗记录</w:t>
            </w:r>
          </w:p>
        </w:tc>
        <w:tc>
          <w:tcPr>
            <w:tcW w:w="2051" w:type="pct"/>
            <w:tcBorders>
              <w:tl2br w:val="nil"/>
              <w:tr2bl w:val="nil"/>
            </w:tcBorders>
            <w:noWrap w:val="0"/>
            <w:vAlign w:val="center"/>
          </w:tcPr>
          <w:p w14:paraId="1D10FA99">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本项目建成投产运行后，需记录台账，按照要求记录生产设施运行管理台账、大气污染治理设施运行台账、监测记录信息台账、主要原辅料消耗台账、天然气消耗台账</w:t>
            </w:r>
          </w:p>
        </w:tc>
      </w:tr>
      <w:tr w14:paraId="5616A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vMerge w:val="continue"/>
            <w:tcBorders>
              <w:tl2br w:val="nil"/>
              <w:tr2bl w:val="nil"/>
            </w:tcBorders>
            <w:noWrap w:val="0"/>
            <w:vAlign w:val="center"/>
          </w:tcPr>
          <w:p w14:paraId="6CD29AA0">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p>
        </w:tc>
        <w:tc>
          <w:tcPr>
            <w:tcW w:w="2009" w:type="pct"/>
            <w:tcBorders>
              <w:tl2br w:val="nil"/>
              <w:tr2bl w:val="nil"/>
            </w:tcBorders>
            <w:noWrap w:val="0"/>
            <w:vAlign w:val="center"/>
          </w:tcPr>
          <w:p w14:paraId="75B2CE5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人员配置：设置环保部门，配备专职环保人员，并具备相应的环境管理能力</w:t>
            </w:r>
          </w:p>
        </w:tc>
        <w:tc>
          <w:tcPr>
            <w:tcW w:w="2051" w:type="pct"/>
            <w:tcBorders>
              <w:tl2br w:val="nil"/>
              <w:tr2bl w:val="nil"/>
            </w:tcBorders>
            <w:noWrap w:val="0"/>
            <w:vAlign w:val="center"/>
          </w:tcPr>
          <w:p w14:paraId="3D4FA321">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本项目建成投产运行后，需按要求设置环保部门，配备专职环保人员</w:t>
            </w:r>
          </w:p>
        </w:tc>
      </w:tr>
      <w:tr w14:paraId="40091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0EDAF9AC">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运输方式</w:t>
            </w:r>
          </w:p>
        </w:tc>
        <w:tc>
          <w:tcPr>
            <w:tcW w:w="2009" w:type="pct"/>
            <w:tcBorders>
              <w:tl2br w:val="nil"/>
              <w:tr2bl w:val="nil"/>
            </w:tcBorders>
            <w:noWrap w:val="0"/>
            <w:vAlign w:val="center"/>
          </w:tcPr>
          <w:p w14:paraId="2740C77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1.物料公路运输全部使用达到国五及以上排放标准重型载货车辆（含燃气）或新能源车辆；</w:t>
            </w:r>
          </w:p>
          <w:p w14:paraId="6D1687F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2.厂内 运输车辆全部达到国五及以上排放标准（含燃气）或使用新能源车辆；</w:t>
            </w:r>
          </w:p>
          <w:p w14:paraId="5E52D49E">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3.厂内非道路移动机械全部达到国三及以上排放标准或使用新能源机械</w:t>
            </w:r>
          </w:p>
        </w:tc>
        <w:tc>
          <w:tcPr>
            <w:tcW w:w="2051" w:type="pct"/>
            <w:tcBorders>
              <w:tl2br w:val="nil"/>
              <w:tr2bl w:val="nil"/>
            </w:tcBorders>
            <w:noWrap w:val="0"/>
            <w:vAlign w:val="center"/>
          </w:tcPr>
          <w:p w14:paraId="73FEC5A8">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本项目建成投产运行后，运输车辆均需满足相关要求。</w:t>
            </w:r>
          </w:p>
        </w:tc>
      </w:tr>
      <w:tr w14:paraId="0A531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8" w:type="pct"/>
            <w:tcBorders>
              <w:tl2br w:val="nil"/>
              <w:tr2bl w:val="nil"/>
            </w:tcBorders>
            <w:noWrap w:val="0"/>
            <w:vAlign w:val="center"/>
          </w:tcPr>
          <w:p w14:paraId="7D25621F">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运输监管</w:t>
            </w:r>
          </w:p>
        </w:tc>
        <w:tc>
          <w:tcPr>
            <w:tcW w:w="2009" w:type="pct"/>
            <w:tcBorders>
              <w:tl2br w:val="nil"/>
              <w:tr2bl w:val="nil"/>
            </w:tcBorders>
            <w:noWrap w:val="0"/>
            <w:vAlign w:val="center"/>
          </w:tcPr>
          <w:p w14:paraId="6D2A2F46">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参照《重污染天气重点行业移动源应急管理技术指南》建立门禁系统和电子台账</w:t>
            </w:r>
          </w:p>
        </w:tc>
        <w:tc>
          <w:tcPr>
            <w:tcW w:w="2051" w:type="pct"/>
            <w:tcBorders>
              <w:tl2br w:val="nil"/>
              <w:tr2bl w:val="nil"/>
            </w:tcBorders>
            <w:noWrap w:val="0"/>
            <w:vAlign w:val="center"/>
          </w:tcPr>
          <w:p w14:paraId="2F6376FB">
            <w:pPr>
              <w:pStyle w:val="4"/>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本项目建成投产运行后，需参照《重污染天气重点行业移动源应急管理技术指南》建立门禁系统和电子台账</w:t>
            </w:r>
          </w:p>
        </w:tc>
      </w:tr>
    </w:tbl>
    <w:p w14:paraId="6D4BE2BE">
      <w:pPr>
        <w:pStyle w:val="2"/>
        <w:rPr>
          <w:rFonts w:hint="default"/>
          <w:color w:val="auto"/>
          <w:lang w:val="en-US" w:eastAsia="zh-CN"/>
        </w:rPr>
      </w:pPr>
    </w:p>
    <w:sectPr>
      <w:pgSz w:w="16838" w:h="11906" w:orient="landscape"/>
      <w:pgMar w:top="1417"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604FE4-B0F8-44E9-AD93-1E67F847573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44684E3B-2C0C-4977-B335-2563E679CFB2}"/>
  </w:font>
  <w:font w:name="MingLiU">
    <w:panose1 w:val="02020509000000000000"/>
    <w:charset w:val="88"/>
    <w:family w:val="modern"/>
    <w:pitch w:val="default"/>
    <w:sig w:usb0="A00002FF" w:usb1="28CFFCFA" w:usb2="00000016" w:usb3="00000000" w:csb0="00100001" w:csb1="00000000"/>
  </w:font>
  <w:font w:name="仿宋体">
    <w:altName w:val="仿宋"/>
    <w:panose1 w:val="00000000000000000000"/>
    <w:charset w:val="86"/>
    <w:family w:val="swiss"/>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3" w:fontKey="{41B77D29-6017-41C2-8CED-EE01D369B9DE}"/>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5AC7E875-4AD1-4822-82E5-75A51043DA94}"/>
  </w:font>
  <w:font w:name="华文仿宋">
    <w:panose1 w:val="02010600040101010101"/>
    <w:charset w:val="86"/>
    <w:family w:val="auto"/>
    <w:pitch w:val="default"/>
    <w:sig w:usb0="00000287" w:usb1="080F0000" w:usb2="00000000" w:usb3="00000000" w:csb0="0004009F" w:csb1="DFD70000"/>
    <w:embedRegular r:id="rId5" w:fontKey="{EE4C5A34-D9EB-4CA7-A6B9-E40529E5BA3B}"/>
  </w:font>
  <w:font w:name="仿宋">
    <w:panose1 w:val="02010609060101010101"/>
    <w:charset w:val="86"/>
    <w:family w:val="auto"/>
    <w:pitch w:val="default"/>
    <w:sig w:usb0="800002BF" w:usb1="38CF7CFA" w:usb2="00000016" w:usb3="00000000" w:csb0="00040001" w:csb1="00000000"/>
    <w:embedRegular r:id="rId6" w:fontKey="{80A1A8FD-7483-48C9-913F-F65BDB9B49AC}"/>
  </w:font>
  <w:font w:name="Wingdings 2">
    <w:panose1 w:val="05020102010507070707"/>
    <w:charset w:val="02"/>
    <w:family w:val="auto"/>
    <w:pitch w:val="default"/>
    <w:sig w:usb0="00000000" w:usb1="00000000" w:usb2="00000000" w:usb3="00000000" w:csb0="80000000" w:csb1="00000000"/>
    <w:embedRegular r:id="rId7" w:fontKey="{E0E49532-3D7C-40E5-B132-3E0425318471}"/>
  </w:font>
  <w:font w:name="Cambria Math">
    <w:panose1 w:val="02040503050406030204"/>
    <w:charset w:val="00"/>
    <w:family w:val="auto"/>
    <w:pitch w:val="default"/>
    <w:sig w:usb0="E00002FF" w:usb1="420024FF" w:usb2="00000000" w:usb3="00000000" w:csb0="2000019F" w:csb1="00000000"/>
    <w:embedRegular r:id="rId8" w:fontKey="{A1952E6F-B953-48B1-806B-83393630F1B1}"/>
  </w:font>
  <w:font w:name="TimesNewRomanPSMT">
    <w:altName w:val="Times New Roman"/>
    <w:panose1 w:val="00000000000000000000"/>
    <w:charset w:val="00"/>
    <w:family w:val="auto"/>
    <w:pitch w:val="default"/>
    <w:sig w:usb0="00000000" w:usb1="00000000" w:usb2="00000000" w:usb3="00000000" w:csb0="00040001" w:csb1="00000000"/>
    <w:embedRegular r:id="rId9" w:fontKey="{C157D138-FA93-4625-B339-7E415054C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F0C">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7283">
    <w:pPr>
      <w:pStyle w:val="19"/>
      <w:framePr w:wrap="around" w:vAnchor="text" w:hAnchor="margin" w:xAlign="center" w:y="1"/>
      <w:rPr>
        <w:rStyle w:val="34"/>
      </w:rPr>
    </w:pPr>
    <w:r>
      <w:fldChar w:fldCharType="begin"/>
    </w:r>
    <w:r>
      <w:rPr>
        <w:rStyle w:val="34"/>
      </w:rPr>
      <w:instrText xml:space="preserve">PAGE  </w:instrText>
    </w:r>
    <w:r>
      <w:fldChar w:fldCharType="end"/>
    </w:r>
  </w:p>
  <w:p w14:paraId="4762F99F">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3083">
    <w:pPr>
      <w:pStyle w:val="19"/>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9</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7A4EE263">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9D86">
    <w:pPr>
      <w:pStyle w:val="19"/>
      <w:framePr w:wrap="around" w:vAnchor="text" w:hAnchor="margin" w:xAlign="outside" w:y="1"/>
      <w:rPr>
        <w:rStyle w:val="34"/>
        <w:rFonts w:ascii="宋体" w:hAnsi="宋体"/>
        <w:sz w:val="28"/>
        <w:szCs w:val="28"/>
      </w:rPr>
    </w:pPr>
    <w:r>
      <w:rPr>
        <w:rStyle w:val="34"/>
        <w:rFonts w:hint="eastAsia" w:ascii="宋体" w:hAnsi="宋体"/>
        <w:sz w:val="28"/>
        <w:szCs w:val="28"/>
      </w:rPr>
      <w:t>—</w:t>
    </w:r>
    <w:r>
      <w:rPr>
        <w:rStyle w:val="34"/>
        <w:rFonts w:hint="eastAsia" w:ascii="宋体" w:hAnsi="宋体"/>
        <w:sz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11</w:t>
    </w:r>
    <w:r>
      <w:rPr>
        <w:rFonts w:ascii="宋体" w:hAnsi="宋体"/>
        <w:sz w:val="26"/>
        <w:szCs w:val="26"/>
      </w:rPr>
      <w:fldChar w:fldCharType="end"/>
    </w:r>
    <w:r>
      <w:rPr>
        <w:rStyle w:val="34"/>
        <w:rFonts w:hint="eastAsia" w:ascii="宋体" w:hAnsi="宋体"/>
        <w:sz w:val="20"/>
      </w:rPr>
      <w:t xml:space="preserve">  </w:t>
    </w:r>
    <w:r>
      <w:rPr>
        <w:rStyle w:val="34"/>
        <w:rFonts w:hint="eastAsia" w:ascii="宋体" w:hAnsi="宋体"/>
        <w:sz w:val="28"/>
        <w:szCs w:val="28"/>
      </w:rPr>
      <w:t>—</w:t>
    </w:r>
  </w:p>
  <w:p w14:paraId="5D66890A">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01246"/>
    <w:multiLevelType w:val="singleLevel"/>
    <w:tmpl w:val="90201246"/>
    <w:lvl w:ilvl="0" w:tentative="0">
      <w:start w:val="2"/>
      <w:numFmt w:val="decimal"/>
      <w:suff w:val="nothing"/>
      <w:lvlText w:val="（%1）"/>
      <w:lvlJc w:val="left"/>
    </w:lvl>
  </w:abstractNum>
  <w:abstractNum w:abstractNumId="1">
    <w:nsid w:val="BCF2BB88"/>
    <w:multiLevelType w:val="singleLevel"/>
    <w:tmpl w:val="BCF2BB88"/>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2Y1MDgzMmRhMWU4MmIwOGFhODc5OWIwNzAxMTYifQ=="/>
    <w:docVar w:name="KSO_WPS_MARK_KEY" w:val="5045ee9b-cb94-4ae9-aa46-808226a9b1dd"/>
  </w:docVars>
  <w:rsids>
    <w:rsidRoot w:val="00A14947"/>
    <w:rsid w:val="000024CA"/>
    <w:rsid w:val="00003A56"/>
    <w:rsid w:val="000042CF"/>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B9E"/>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3F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290F7E"/>
    <w:rsid w:val="015D1E09"/>
    <w:rsid w:val="018D7D3C"/>
    <w:rsid w:val="01DD59FB"/>
    <w:rsid w:val="02697903"/>
    <w:rsid w:val="0284231A"/>
    <w:rsid w:val="02B56978"/>
    <w:rsid w:val="02F96569"/>
    <w:rsid w:val="03C52F1A"/>
    <w:rsid w:val="03EA7B21"/>
    <w:rsid w:val="0403277C"/>
    <w:rsid w:val="041E22FB"/>
    <w:rsid w:val="04F33787"/>
    <w:rsid w:val="04F76DD4"/>
    <w:rsid w:val="05243941"/>
    <w:rsid w:val="05575AC4"/>
    <w:rsid w:val="05883ED0"/>
    <w:rsid w:val="05BB3177"/>
    <w:rsid w:val="05CA62D5"/>
    <w:rsid w:val="05DE7F94"/>
    <w:rsid w:val="05EC0902"/>
    <w:rsid w:val="05F83EAE"/>
    <w:rsid w:val="060A70A7"/>
    <w:rsid w:val="063E7D85"/>
    <w:rsid w:val="067C44CB"/>
    <w:rsid w:val="069118E4"/>
    <w:rsid w:val="069348B1"/>
    <w:rsid w:val="06D516D9"/>
    <w:rsid w:val="070B3D9B"/>
    <w:rsid w:val="071874D5"/>
    <w:rsid w:val="0726749D"/>
    <w:rsid w:val="07293586"/>
    <w:rsid w:val="07295285"/>
    <w:rsid w:val="07636392"/>
    <w:rsid w:val="07770C56"/>
    <w:rsid w:val="07AB0349"/>
    <w:rsid w:val="07AD418F"/>
    <w:rsid w:val="07DB478B"/>
    <w:rsid w:val="080D14D8"/>
    <w:rsid w:val="084A5DB4"/>
    <w:rsid w:val="086E55FF"/>
    <w:rsid w:val="08935065"/>
    <w:rsid w:val="089B03BE"/>
    <w:rsid w:val="08FD4BD5"/>
    <w:rsid w:val="092217DD"/>
    <w:rsid w:val="093A7294"/>
    <w:rsid w:val="09443C6F"/>
    <w:rsid w:val="09CE5FB9"/>
    <w:rsid w:val="09DA20B2"/>
    <w:rsid w:val="0A137C0D"/>
    <w:rsid w:val="0A157CFC"/>
    <w:rsid w:val="0A263993"/>
    <w:rsid w:val="0A27266C"/>
    <w:rsid w:val="0A2D3AC2"/>
    <w:rsid w:val="0AA755DF"/>
    <w:rsid w:val="0B0A5387"/>
    <w:rsid w:val="0B120D44"/>
    <w:rsid w:val="0B61769D"/>
    <w:rsid w:val="0B892750"/>
    <w:rsid w:val="0BD27BF6"/>
    <w:rsid w:val="0BEE6E75"/>
    <w:rsid w:val="0C112E71"/>
    <w:rsid w:val="0C2C7CAB"/>
    <w:rsid w:val="0C3B3C7D"/>
    <w:rsid w:val="0C590BAD"/>
    <w:rsid w:val="0C5D78AD"/>
    <w:rsid w:val="0C6805B7"/>
    <w:rsid w:val="0CAB2EAE"/>
    <w:rsid w:val="0CBE467B"/>
    <w:rsid w:val="0D1C7D1F"/>
    <w:rsid w:val="0D5C49F2"/>
    <w:rsid w:val="0D621C7D"/>
    <w:rsid w:val="0D763AF9"/>
    <w:rsid w:val="0D961994"/>
    <w:rsid w:val="0DBC0BBA"/>
    <w:rsid w:val="0DC57130"/>
    <w:rsid w:val="0DE14AC5"/>
    <w:rsid w:val="0E0E518E"/>
    <w:rsid w:val="0E325320"/>
    <w:rsid w:val="0E73034D"/>
    <w:rsid w:val="0EA16002"/>
    <w:rsid w:val="0EF3685E"/>
    <w:rsid w:val="0EFB3964"/>
    <w:rsid w:val="0F074A73"/>
    <w:rsid w:val="0F13775A"/>
    <w:rsid w:val="0F2E7896"/>
    <w:rsid w:val="0F5F45FE"/>
    <w:rsid w:val="0F7D6B68"/>
    <w:rsid w:val="0F954A7D"/>
    <w:rsid w:val="0F9A112B"/>
    <w:rsid w:val="0FBF0E36"/>
    <w:rsid w:val="0FC7175C"/>
    <w:rsid w:val="0FFC5BE6"/>
    <w:rsid w:val="101C1DE4"/>
    <w:rsid w:val="106D2F64"/>
    <w:rsid w:val="10B63710"/>
    <w:rsid w:val="10B63FE7"/>
    <w:rsid w:val="10DC1BAF"/>
    <w:rsid w:val="10F10820"/>
    <w:rsid w:val="111C2F7A"/>
    <w:rsid w:val="11665CA1"/>
    <w:rsid w:val="11734C63"/>
    <w:rsid w:val="118818BD"/>
    <w:rsid w:val="11CB3AC2"/>
    <w:rsid w:val="11DA5AB3"/>
    <w:rsid w:val="12771554"/>
    <w:rsid w:val="12862CF3"/>
    <w:rsid w:val="128E689D"/>
    <w:rsid w:val="13951726"/>
    <w:rsid w:val="13B107AA"/>
    <w:rsid w:val="13F15336"/>
    <w:rsid w:val="14107EB2"/>
    <w:rsid w:val="14172FEE"/>
    <w:rsid w:val="14361E3D"/>
    <w:rsid w:val="14396509"/>
    <w:rsid w:val="145C6C53"/>
    <w:rsid w:val="146438E9"/>
    <w:rsid w:val="14CA62B3"/>
    <w:rsid w:val="14DD2C3C"/>
    <w:rsid w:val="150177FB"/>
    <w:rsid w:val="158B1DC7"/>
    <w:rsid w:val="1594241D"/>
    <w:rsid w:val="15B036FB"/>
    <w:rsid w:val="16087E1D"/>
    <w:rsid w:val="166149F5"/>
    <w:rsid w:val="167410DE"/>
    <w:rsid w:val="16B87734"/>
    <w:rsid w:val="17505D23"/>
    <w:rsid w:val="17701D14"/>
    <w:rsid w:val="17735226"/>
    <w:rsid w:val="17A53209"/>
    <w:rsid w:val="17A93D1D"/>
    <w:rsid w:val="17EA0A1A"/>
    <w:rsid w:val="18245C1B"/>
    <w:rsid w:val="18505536"/>
    <w:rsid w:val="189F624C"/>
    <w:rsid w:val="18AF5EEB"/>
    <w:rsid w:val="18B726A8"/>
    <w:rsid w:val="18B7391D"/>
    <w:rsid w:val="19A215AC"/>
    <w:rsid w:val="19C808E7"/>
    <w:rsid w:val="19F636A6"/>
    <w:rsid w:val="1A1C66C0"/>
    <w:rsid w:val="1A42393B"/>
    <w:rsid w:val="1A475B6C"/>
    <w:rsid w:val="1AA66E7A"/>
    <w:rsid w:val="1AAD45DE"/>
    <w:rsid w:val="1AB53AAF"/>
    <w:rsid w:val="1AB64E74"/>
    <w:rsid w:val="1AC11F06"/>
    <w:rsid w:val="1AC67940"/>
    <w:rsid w:val="1B046F80"/>
    <w:rsid w:val="1B1C0EEA"/>
    <w:rsid w:val="1B222279"/>
    <w:rsid w:val="1B3267B5"/>
    <w:rsid w:val="1B40161D"/>
    <w:rsid w:val="1B441859"/>
    <w:rsid w:val="1B6606B1"/>
    <w:rsid w:val="1B731383"/>
    <w:rsid w:val="1B9273FE"/>
    <w:rsid w:val="1BB96B0B"/>
    <w:rsid w:val="1C035B79"/>
    <w:rsid w:val="1C2E35CB"/>
    <w:rsid w:val="1C5E7925"/>
    <w:rsid w:val="1CFD070F"/>
    <w:rsid w:val="1D44297A"/>
    <w:rsid w:val="1D5F6196"/>
    <w:rsid w:val="1D6132A5"/>
    <w:rsid w:val="1D6872A5"/>
    <w:rsid w:val="1D8E56D5"/>
    <w:rsid w:val="1D9A07EC"/>
    <w:rsid w:val="1DB00010"/>
    <w:rsid w:val="1E7A43DA"/>
    <w:rsid w:val="1E911BEF"/>
    <w:rsid w:val="1EBD0C36"/>
    <w:rsid w:val="1F132604"/>
    <w:rsid w:val="1F662225"/>
    <w:rsid w:val="1F664E2A"/>
    <w:rsid w:val="1F711E22"/>
    <w:rsid w:val="1FE7539E"/>
    <w:rsid w:val="1FF6169F"/>
    <w:rsid w:val="200D2936"/>
    <w:rsid w:val="203155A4"/>
    <w:rsid w:val="20467ECE"/>
    <w:rsid w:val="20671BE0"/>
    <w:rsid w:val="207F1804"/>
    <w:rsid w:val="20963CB8"/>
    <w:rsid w:val="20A81A1B"/>
    <w:rsid w:val="20B07FB6"/>
    <w:rsid w:val="20B646FB"/>
    <w:rsid w:val="20B81864"/>
    <w:rsid w:val="20D3029D"/>
    <w:rsid w:val="21026DD4"/>
    <w:rsid w:val="21334478"/>
    <w:rsid w:val="213B74B1"/>
    <w:rsid w:val="215A2310"/>
    <w:rsid w:val="217E28FF"/>
    <w:rsid w:val="21DE318A"/>
    <w:rsid w:val="21EF5B80"/>
    <w:rsid w:val="22405E06"/>
    <w:rsid w:val="22576990"/>
    <w:rsid w:val="22B51ADC"/>
    <w:rsid w:val="22DB78DD"/>
    <w:rsid w:val="22F47480"/>
    <w:rsid w:val="231E77CA"/>
    <w:rsid w:val="234D386F"/>
    <w:rsid w:val="23713A93"/>
    <w:rsid w:val="23DE1C48"/>
    <w:rsid w:val="23E7405F"/>
    <w:rsid w:val="240210CD"/>
    <w:rsid w:val="242A0480"/>
    <w:rsid w:val="24577E1C"/>
    <w:rsid w:val="247955FF"/>
    <w:rsid w:val="24AC7783"/>
    <w:rsid w:val="24BF09F7"/>
    <w:rsid w:val="252D53FE"/>
    <w:rsid w:val="25362024"/>
    <w:rsid w:val="25504395"/>
    <w:rsid w:val="25951FC5"/>
    <w:rsid w:val="25BF63EE"/>
    <w:rsid w:val="25D41411"/>
    <w:rsid w:val="25EC2D81"/>
    <w:rsid w:val="263A491A"/>
    <w:rsid w:val="264E2CB2"/>
    <w:rsid w:val="26B446CD"/>
    <w:rsid w:val="26B83713"/>
    <w:rsid w:val="270C275B"/>
    <w:rsid w:val="271414AB"/>
    <w:rsid w:val="277057A2"/>
    <w:rsid w:val="27B150B0"/>
    <w:rsid w:val="280C22E7"/>
    <w:rsid w:val="28175B4C"/>
    <w:rsid w:val="28E21837"/>
    <w:rsid w:val="28E3573D"/>
    <w:rsid w:val="28E374EB"/>
    <w:rsid w:val="29003D4D"/>
    <w:rsid w:val="2920429C"/>
    <w:rsid w:val="29206EB8"/>
    <w:rsid w:val="293935AF"/>
    <w:rsid w:val="29595666"/>
    <w:rsid w:val="29874881"/>
    <w:rsid w:val="298C54AC"/>
    <w:rsid w:val="298F4F7D"/>
    <w:rsid w:val="299E3412"/>
    <w:rsid w:val="29E325E0"/>
    <w:rsid w:val="2A2D169C"/>
    <w:rsid w:val="2A452503"/>
    <w:rsid w:val="2ACD11E5"/>
    <w:rsid w:val="2ADF135E"/>
    <w:rsid w:val="2B36607C"/>
    <w:rsid w:val="2B786611"/>
    <w:rsid w:val="2B9B3782"/>
    <w:rsid w:val="2BA936A8"/>
    <w:rsid w:val="2BFA5278"/>
    <w:rsid w:val="2C315A5A"/>
    <w:rsid w:val="2C4B1C25"/>
    <w:rsid w:val="2C4D3F24"/>
    <w:rsid w:val="2C5B55EB"/>
    <w:rsid w:val="2C6E3570"/>
    <w:rsid w:val="2C7129CB"/>
    <w:rsid w:val="2C7A2503"/>
    <w:rsid w:val="2C9245D9"/>
    <w:rsid w:val="2CD71115"/>
    <w:rsid w:val="2D37488E"/>
    <w:rsid w:val="2D386EE6"/>
    <w:rsid w:val="2D5F632E"/>
    <w:rsid w:val="2D6D3827"/>
    <w:rsid w:val="2D811D32"/>
    <w:rsid w:val="2D831325"/>
    <w:rsid w:val="2D9E56F5"/>
    <w:rsid w:val="2DD072C1"/>
    <w:rsid w:val="2E0F39D8"/>
    <w:rsid w:val="2E4C5B33"/>
    <w:rsid w:val="2E667F96"/>
    <w:rsid w:val="2E8226AB"/>
    <w:rsid w:val="2E861045"/>
    <w:rsid w:val="2E9C077D"/>
    <w:rsid w:val="2EB273F9"/>
    <w:rsid w:val="2EEC3F03"/>
    <w:rsid w:val="2EFC30B5"/>
    <w:rsid w:val="2F880DEC"/>
    <w:rsid w:val="2F9212C6"/>
    <w:rsid w:val="2FD065E6"/>
    <w:rsid w:val="2FD96870"/>
    <w:rsid w:val="303D1BD7"/>
    <w:rsid w:val="30580BC9"/>
    <w:rsid w:val="311E2ED7"/>
    <w:rsid w:val="31472512"/>
    <w:rsid w:val="315619EE"/>
    <w:rsid w:val="315C449C"/>
    <w:rsid w:val="318F1FBE"/>
    <w:rsid w:val="31B82709"/>
    <w:rsid w:val="31C81974"/>
    <w:rsid w:val="31CC4FC0"/>
    <w:rsid w:val="31D05482"/>
    <w:rsid w:val="32400B34"/>
    <w:rsid w:val="326C7167"/>
    <w:rsid w:val="329E6876"/>
    <w:rsid w:val="330B1B18"/>
    <w:rsid w:val="333015F2"/>
    <w:rsid w:val="334B6320"/>
    <w:rsid w:val="339A5158"/>
    <w:rsid w:val="339F04B3"/>
    <w:rsid w:val="33D934D4"/>
    <w:rsid w:val="33FE2F6A"/>
    <w:rsid w:val="340E07E5"/>
    <w:rsid w:val="34192013"/>
    <w:rsid w:val="34235BF7"/>
    <w:rsid w:val="3456481C"/>
    <w:rsid w:val="34ED5E13"/>
    <w:rsid w:val="34FA62E8"/>
    <w:rsid w:val="35092088"/>
    <w:rsid w:val="35284F68"/>
    <w:rsid w:val="355A0B35"/>
    <w:rsid w:val="35643762"/>
    <w:rsid w:val="35725E7F"/>
    <w:rsid w:val="35777939"/>
    <w:rsid w:val="358C5FA8"/>
    <w:rsid w:val="35C15DF1"/>
    <w:rsid w:val="35C56367"/>
    <w:rsid w:val="35D246E2"/>
    <w:rsid w:val="35E067CB"/>
    <w:rsid w:val="35E11256"/>
    <w:rsid w:val="36074A7F"/>
    <w:rsid w:val="36590E3A"/>
    <w:rsid w:val="36631C6B"/>
    <w:rsid w:val="367125DA"/>
    <w:rsid w:val="36811BDE"/>
    <w:rsid w:val="36923549"/>
    <w:rsid w:val="36B75FBF"/>
    <w:rsid w:val="36BD0C45"/>
    <w:rsid w:val="36BE50F4"/>
    <w:rsid w:val="36D00DCB"/>
    <w:rsid w:val="36EC1C61"/>
    <w:rsid w:val="376143FD"/>
    <w:rsid w:val="37774615"/>
    <w:rsid w:val="37C6364C"/>
    <w:rsid w:val="37C85256"/>
    <w:rsid w:val="37E00298"/>
    <w:rsid w:val="3838111A"/>
    <w:rsid w:val="38A071A7"/>
    <w:rsid w:val="38B302F9"/>
    <w:rsid w:val="38F12CD3"/>
    <w:rsid w:val="38F94775"/>
    <w:rsid w:val="392456E2"/>
    <w:rsid w:val="392971ED"/>
    <w:rsid w:val="39325651"/>
    <w:rsid w:val="395D6E46"/>
    <w:rsid w:val="399565E0"/>
    <w:rsid w:val="39DB1DF9"/>
    <w:rsid w:val="3A033549"/>
    <w:rsid w:val="3A3733EC"/>
    <w:rsid w:val="3A7226BE"/>
    <w:rsid w:val="3A865FA2"/>
    <w:rsid w:val="3A872856"/>
    <w:rsid w:val="3AF604B1"/>
    <w:rsid w:val="3B163750"/>
    <w:rsid w:val="3B3763D1"/>
    <w:rsid w:val="3B8A6B50"/>
    <w:rsid w:val="3BEE2C33"/>
    <w:rsid w:val="3C0148CE"/>
    <w:rsid w:val="3C145EE2"/>
    <w:rsid w:val="3C2F6E1E"/>
    <w:rsid w:val="3C4F64BA"/>
    <w:rsid w:val="3C920BB5"/>
    <w:rsid w:val="3C9D4E80"/>
    <w:rsid w:val="3CA8662A"/>
    <w:rsid w:val="3CAA05F4"/>
    <w:rsid w:val="3CCA034E"/>
    <w:rsid w:val="3CDA245A"/>
    <w:rsid w:val="3D1E06B7"/>
    <w:rsid w:val="3D253D7C"/>
    <w:rsid w:val="3E0D6490"/>
    <w:rsid w:val="3E7862DA"/>
    <w:rsid w:val="3E90291B"/>
    <w:rsid w:val="3EDA0523"/>
    <w:rsid w:val="3EF83118"/>
    <w:rsid w:val="3F3B3785"/>
    <w:rsid w:val="3F47212A"/>
    <w:rsid w:val="3F676329"/>
    <w:rsid w:val="4033445D"/>
    <w:rsid w:val="40607FBD"/>
    <w:rsid w:val="407A6407"/>
    <w:rsid w:val="414A7A91"/>
    <w:rsid w:val="415B4A9F"/>
    <w:rsid w:val="416F5968"/>
    <w:rsid w:val="41943621"/>
    <w:rsid w:val="41F8595E"/>
    <w:rsid w:val="4200449D"/>
    <w:rsid w:val="422D3F73"/>
    <w:rsid w:val="423A3BCC"/>
    <w:rsid w:val="424E57D2"/>
    <w:rsid w:val="428B7856"/>
    <w:rsid w:val="42AD6748"/>
    <w:rsid w:val="42B26C49"/>
    <w:rsid w:val="430D71E7"/>
    <w:rsid w:val="433A6FE6"/>
    <w:rsid w:val="43476B9D"/>
    <w:rsid w:val="43480868"/>
    <w:rsid w:val="4350713C"/>
    <w:rsid w:val="436653E0"/>
    <w:rsid w:val="438A4CDB"/>
    <w:rsid w:val="43C4431A"/>
    <w:rsid w:val="43E22422"/>
    <w:rsid w:val="440C7D39"/>
    <w:rsid w:val="442F13DF"/>
    <w:rsid w:val="44921E0D"/>
    <w:rsid w:val="44B951CC"/>
    <w:rsid w:val="44CB2F82"/>
    <w:rsid w:val="44CD14E0"/>
    <w:rsid w:val="44CD4E80"/>
    <w:rsid w:val="44F20B0B"/>
    <w:rsid w:val="452E5F4C"/>
    <w:rsid w:val="453F5652"/>
    <w:rsid w:val="45612018"/>
    <w:rsid w:val="456A6B72"/>
    <w:rsid w:val="45755CD2"/>
    <w:rsid w:val="458946E9"/>
    <w:rsid w:val="45A47C0E"/>
    <w:rsid w:val="462D194E"/>
    <w:rsid w:val="46577FD6"/>
    <w:rsid w:val="46D6122C"/>
    <w:rsid w:val="46D955A7"/>
    <w:rsid w:val="47133957"/>
    <w:rsid w:val="474A7CCD"/>
    <w:rsid w:val="475F1FDB"/>
    <w:rsid w:val="47A07E0C"/>
    <w:rsid w:val="47FE7E41"/>
    <w:rsid w:val="484F5769"/>
    <w:rsid w:val="486D3D4B"/>
    <w:rsid w:val="4870272E"/>
    <w:rsid w:val="48DC621A"/>
    <w:rsid w:val="48FD6399"/>
    <w:rsid w:val="494C592E"/>
    <w:rsid w:val="498D21F4"/>
    <w:rsid w:val="49DC7715"/>
    <w:rsid w:val="4A023139"/>
    <w:rsid w:val="4A2806B5"/>
    <w:rsid w:val="4A7B576F"/>
    <w:rsid w:val="4AAA5CD3"/>
    <w:rsid w:val="4AAB3D15"/>
    <w:rsid w:val="4AD30F02"/>
    <w:rsid w:val="4AF561A9"/>
    <w:rsid w:val="4B1D57B7"/>
    <w:rsid w:val="4B294DDA"/>
    <w:rsid w:val="4B391F09"/>
    <w:rsid w:val="4B5F6CE3"/>
    <w:rsid w:val="4B895B94"/>
    <w:rsid w:val="4B8D7117"/>
    <w:rsid w:val="4B92472D"/>
    <w:rsid w:val="4BB74194"/>
    <w:rsid w:val="4BCB5E91"/>
    <w:rsid w:val="4BFC604B"/>
    <w:rsid w:val="4C03387D"/>
    <w:rsid w:val="4C196BFC"/>
    <w:rsid w:val="4C4A0649"/>
    <w:rsid w:val="4C5A2353"/>
    <w:rsid w:val="4C653BF0"/>
    <w:rsid w:val="4C7E5ECA"/>
    <w:rsid w:val="4C876AA5"/>
    <w:rsid w:val="4CA1514B"/>
    <w:rsid w:val="4D007BE6"/>
    <w:rsid w:val="4D0E00FB"/>
    <w:rsid w:val="4D176606"/>
    <w:rsid w:val="4D3857A8"/>
    <w:rsid w:val="4DCB3F26"/>
    <w:rsid w:val="4DE17BEE"/>
    <w:rsid w:val="4DEC4FB0"/>
    <w:rsid w:val="4DF72F6D"/>
    <w:rsid w:val="4E075D8A"/>
    <w:rsid w:val="4EBD57D4"/>
    <w:rsid w:val="4EC00FAD"/>
    <w:rsid w:val="4EC5306C"/>
    <w:rsid w:val="4F361873"/>
    <w:rsid w:val="4F9843DC"/>
    <w:rsid w:val="4F9D7B44"/>
    <w:rsid w:val="4FC62A8C"/>
    <w:rsid w:val="4FE20F0D"/>
    <w:rsid w:val="4FE51552"/>
    <w:rsid w:val="4FEC7679"/>
    <w:rsid w:val="50504C4B"/>
    <w:rsid w:val="505226DD"/>
    <w:rsid w:val="509C6E7C"/>
    <w:rsid w:val="50BB7A74"/>
    <w:rsid w:val="50F857CB"/>
    <w:rsid w:val="5100038B"/>
    <w:rsid w:val="51081D45"/>
    <w:rsid w:val="51363DAD"/>
    <w:rsid w:val="513A4E9C"/>
    <w:rsid w:val="51556929"/>
    <w:rsid w:val="51581F75"/>
    <w:rsid w:val="51595CED"/>
    <w:rsid w:val="5162104E"/>
    <w:rsid w:val="51893F1F"/>
    <w:rsid w:val="51B03B5F"/>
    <w:rsid w:val="524A3FB4"/>
    <w:rsid w:val="525433C8"/>
    <w:rsid w:val="52954CB0"/>
    <w:rsid w:val="52F52A8A"/>
    <w:rsid w:val="53236529"/>
    <w:rsid w:val="53A039CC"/>
    <w:rsid w:val="53A1505A"/>
    <w:rsid w:val="53B07A2B"/>
    <w:rsid w:val="53CE651E"/>
    <w:rsid w:val="53E04C9E"/>
    <w:rsid w:val="53FC1520"/>
    <w:rsid w:val="54063E08"/>
    <w:rsid w:val="543437E8"/>
    <w:rsid w:val="54745F13"/>
    <w:rsid w:val="54843081"/>
    <w:rsid w:val="54882B71"/>
    <w:rsid w:val="54B73456"/>
    <w:rsid w:val="54F73313"/>
    <w:rsid w:val="54F80955"/>
    <w:rsid w:val="55172147"/>
    <w:rsid w:val="553E76D4"/>
    <w:rsid w:val="554A42CB"/>
    <w:rsid w:val="555170A7"/>
    <w:rsid w:val="556732C9"/>
    <w:rsid w:val="5587536D"/>
    <w:rsid w:val="55886BA1"/>
    <w:rsid w:val="55911EF9"/>
    <w:rsid w:val="559B174B"/>
    <w:rsid w:val="55AC0AE1"/>
    <w:rsid w:val="55C45E2B"/>
    <w:rsid w:val="55CE0CF4"/>
    <w:rsid w:val="55D41DE6"/>
    <w:rsid w:val="56336B0D"/>
    <w:rsid w:val="56552F27"/>
    <w:rsid w:val="56764C4B"/>
    <w:rsid w:val="56960A54"/>
    <w:rsid w:val="56B22A9C"/>
    <w:rsid w:val="57672F12"/>
    <w:rsid w:val="57B679F5"/>
    <w:rsid w:val="57B72A76"/>
    <w:rsid w:val="57C3426C"/>
    <w:rsid w:val="57CE1F93"/>
    <w:rsid w:val="57DA7815"/>
    <w:rsid w:val="58004D13"/>
    <w:rsid w:val="580966FF"/>
    <w:rsid w:val="581666E6"/>
    <w:rsid w:val="584414A5"/>
    <w:rsid w:val="588743D1"/>
    <w:rsid w:val="5887701A"/>
    <w:rsid w:val="58BC02C6"/>
    <w:rsid w:val="58D418C8"/>
    <w:rsid w:val="590316FF"/>
    <w:rsid w:val="59044790"/>
    <w:rsid w:val="594D6137"/>
    <w:rsid w:val="59670B6F"/>
    <w:rsid w:val="59975832"/>
    <w:rsid w:val="599864FB"/>
    <w:rsid w:val="59B34516"/>
    <w:rsid w:val="59C0439F"/>
    <w:rsid w:val="59D46859"/>
    <w:rsid w:val="5A150D5F"/>
    <w:rsid w:val="5A160C1F"/>
    <w:rsid w:val="5A617483"/>
    <w:rsid w:val="5ABE2233"/>
    <w:rsid w:val="5B1B0771"/>
    <w:rsid w:val="5B751975"/>
    <w:rsid w:val="5BC854A8"/>
    <w:rsid w:val="5BCF72D8"/>
    <w:rsid w:val="5BDF5D95"/>
    <w:rsid w:val="5BFE7528"/>
    <w:rsid w:val="5C205D85"/>
    <w:rsid w:val="5CA442C0"/>
    <w:rsid w:val="5CC52489"/>
    <w:rsid w:val="5CFA4828"/>
    <w:rsid w:val="5D6830FA"/>
    <w:rsid w:val="5D7B64BE"/>
    <w:rsid w:val="5D9E6F62"/>
    <w:rsid w:val="5E2467F1"/>
    <w:rsid w:val="5EA458E2"/>
    <w:rsid w:val="5EE94B54"/>
    <w:rsid w:val="5F1A2B43"/>
    <w:rsid w:val="5F450354"/>
    <w:rsid w:val="5FB837BB"/>
    <w:rsid w:val="604118C1"/>
    <w:rsid w:val="60455DBA"/>
    <w:rsid w:val="605D6DBA"/>
    <w:rsid w:val="60616252"/>
    <w:rsid w:val="609B59DA"/>
    <w:rsid w:val="60A07495"/>
    <w:rsid w:val="60CC405A"/>
    <w:rsid w:val="611A0FF5"/>
    <w:rsid w:val="61E215D8"/>
    <w:rsid w:val="61F47A98"/>
    <w:rsid w:val="61FF0CA7"/>
    <w:rsid w:val="621B3775"/>
    <w:rsid w:val="62361E5F"/>
    <w:rsid w:val="62364782"/>
    <w:rsid w:val="626D784A"/>
    <w:rsid w:val="62AD6CE7"/>
    <w:rsid w:val="62EC6D5E"/>
    <w:rsid w:val="62F12229"/>
    <w:rsid w:val="63293771"/>
    <w:rsid w:val="632A1297"/>
    <w:rsid w:val="633D352C"/>
    <w:rsid w:val="637020C5"/>
    <w:rsid w:val="6394356A"/>
    <w:rsid w:val="63C61B2C"/>
    <w:rsid w:val="63D40BE9"/>
    <w:rsid w:val="63F92A66"/>
    <w:rsid w:val="64102431"/>
    <w:rsid w:val="64281C7B"/>
    <w:rsid w:val="644A653A"/>
    <w:rsid w:val="64A5243A"/>
    <w:rsid w:val="64F531DE"/>
    <w:rsid w:val="65373578"/>
    <w:rsid w:val="65B978C5"/>
    <w:rsid w:val="65D8068E"/>
    <w:rsid w:val="65F673B7"/>
    <w:rsid w:val="66AE52A4"/>
    <w:rsid w:val="66E14363"/>
    <w:rsid w:val="66E4430F"/>
    <w:rsid w:val="67002A3B"/>
    <w:rsid w:val="671F124A"/>
    <w:rsid w:val="67674492"/>
    <w:rsid w:val="677A33C6"/>
    <w:rsid w:val="67894060"/>
    <w:rsid w:val="67C95523"/>
    <w:rsid w:val="67F00651"/>
    <w:rsid w:val="67F46030"/>
    <w:rsid w:val="6804038D"/>
    <w:rsid w:val="68074CD0"/>
    <w:rsid w:val="680B5B3B"/>
    <w:rsid w:val="680B5C16"/>
    <w:rsid w:val="681A5514"/>
    <w:rsid w:val="681F6961"/>
    <w:rsid w:val="68385372"/>
    <w:rsid w:val="68610A2F"/>
    <w:rsid w:val="68805514"/>
    <w:rsid w:val="68E5638C"/>
    <w:rsid w:val="69316E2F"/>
    <w:rsid w:val="694E2071"/>
    <w:rsid w:val="69635BA8"/>
    <w:rsid w:val="69766163"/>
    <w:rsid w:val="697A3B33"/>
    <w:rsid w:val="699658D9"/>
    <w:rsid w:val="69991D8F"/>
    <w:rsid w:val="69D44760"/>
    <w:rsid w:val="69EE46D0"/>
    <w:rsid w:val="6A4B1A04"/>
    <w:rsid w:val="6A520EC7"/>
    <w:rsid w:val="6A687795"/>
    <w:rsid w:val="6ACC6E9F"/>
    <w:rsid w:val="6AF87E20"/>
    <w:rsid w:val="6B322639"/>
    <w:rsid w:val="6B5B0B88"/>
    <w:rsid w:val="6B6F1F3D"/>
    <w:rsid w:val="6B741C4A"/>
    <w:rsid w:val="6BBB5183"/>
    <w:rsid w:val="6BC24763"/>
    <w:rsid w:val="6BDA09CA"/>
    <w:rsid w:val="6BDB3A77"/>
    <w:rsid w:val="6C136D6D"/>
    <w:rsid w:val="6C1B3E73"/>
    <w:rsid w:val="6C4E5FF7"/>
    <w:rsid w:val="6C636C38"/>
    <w:rsid w:val="6CC369E5"/>
    <w:rsid w:val="6D3D2C47"/>
    <w:rsid w:val="6D433682"/>
    <w:rsid w:val="6D8D2B4F"/>
    <w:rsid w:val="6D9E7E6A"/>
    <w:rsid w:val="6DB34098"/>
    <w:rsid w:val="6DB545B6"/>
    <w:rsid w:val="6DB70B73"/>
    <w:rsid w:val="6DE02FB4"/>
    <w:rsid w:val="6E46167B"/>
    <w:rsid w:val="6E514CED"/>
    <w:rsid w:val="6E781A51"/>
    <w:rsid w:val="6E7F2148"/>
    <w:rsid w:val="6EA75E92"/>
    <w:rsid w:val="6EAB14DE"/>
    <w:rsid w:val="6EB563D5"/>
    <w:rsid w:val="6ED753ED"/>
    <w:rsid w:val="6ED92677"/>
    <w:rsid w:val="6F225983"/>
    <w:rsid w:val="6F2E3EBD"/>
    <w:rsid w:val="6F9742E9"/>
    <w:rsid w:val="6FF46EB5"/>
    <w:rsid w:val="6FFC5590"/>
    <w:rsid w:val="706D1DD0"/>
    <w:rsid w:val="70856B87"/>
    <w:rsid w:val="70D527EE"/>
    <w:rsid w:val="71032DE4"/>
    <w:rsid w:val="713752AB"/>
    <w:rsid w:val="7147606A"/>
    <w:rsid w:val="715B5300"/>
    <w:rsid w:val="71BC1C54"/>
    <w:rsid w:val="71D27F8A"/>
    <w:rsid w:val="721910BE"/>
    <w:rsid w:val="72553024"/>
    <w:rsid w:val="727A404A"/>
    <w:rsid w:val="73122968"/>
    <w:rsid w:val="731F5D5E"/>
    <w:rsid w:val="73C51AD5"/>
    <w:rsid w:val="741E793C"/>
    <w:rsid w:val="745148D6"/>
    <w:rsid w:val="7452064E"/>
    <w:rsid w:val="745E3944"/>
    <w:rsid w:val="747C12BA"/>
    <w:rsid w:val="7486110F"/>
    <w:rsid w:val="7505383F"/>
    <w:rsid w:val="7513602F"/>
    <w:rsid w:val="755A2999"/>
    <w:rsid w:val="755C1784"/>
    <w:rsid w:val="75605303"/>
    <w:rsid w:val="75BE5F9B"/>
    <w:rsid w:val="76232CDF"/>
    <w:rsid w:val="7635099D"/>
    <w:rsid w:val="76D534E5"/>
    <w:rsid w:val="770D2C6C"/>
    <w:rsid w:val="77762421"/>
    <w:rsid w:val="77B56B1F"/>
    <w:rsid w:val="780F09F4"/>
    <w:rsid w:val="787923C1"/>
    <w:rsid w:val="787F24BF"/>
    <w:rsid w:val="78822BDE"/>
    <w:rsid w:val="78A84CE1"/>
    <w:rsid w:val="78A90480"/>
    <w:rsid w:val="791E07A5"/>
    <w:rsid w:val="792321E3"/>
    <w:rsid w:val="79722641"/>
    <w:rsid w:val="79892D64"/>
    <w:rsid w:val="7A364017"/>
    <w:rsid w:val="7A651958"/>
    <w:rsid w:val="7A722CB4"/>
    <w:rsid w:val="7A7D4503"/>
    <w:rsid w:val="7A8265E1"/>
    <w:rsid w:val="7ABD32FA"/>
    <w:rsid w:val="7B22521E"/>
    <w:rsid w:val="7B310FBD"/>
    <w:rsid w:val="7B686D42"/>
    <w:rsid w:val="7B841746"/>
    <w:rsid w:val="7BE83E7B"/>
    <w:rsid w:val="7C176405"/>
    <w:rsid w:val="7C274045"/>
    <w:rsid w:val="7C52743D"/>
    <w:rsid w:val="7C6C5AC7"/>
    <w:rsid w:val="7CC6544B"/>
    <w:rsid w:val="7CF91FAF"/>
    <w:rsid w:val="7CFC2533"/>
    <w:rsid w:val="7D0239FF"/>
    <w:rsid w:val="7D225061"/>
    <w:rsid w:val="7D5E40CD"/>
    <w:rsid w:val="7DCD56F2"/>
    <w:rsid w:val="7DE25B31"/>
    <w:rsid w:val="7DEC67E0"/>
    <w:rsid w:val="7E0B3D48"/>
    <w:rsid w:val="7E24795C"/>
    <w:rsid w:val="7E2748F9"/>
    <w:rsid w:val="7E384364"/>
    <w:rsid w:val="7E3D2248"/>
    <w:rsid w:val="7E4436FD"/>
    <w:rsid w:val="7E447259"/>
    <w:rsid w:val="7E484F9C"/>
    <w:rsid w:val="7EAB7AE1"/>
    <w:rsid w:val="7EDE145C"/>
    <w:rsid w:val="7F001CE7"/>
    <w:rsid w:val="7F2C666B"/>
    <w:rsid w:val="7F8E2E82"/>
    <w:rsid w:val="7FE47E50"/>
    <w:rsid w:val="7FFC2595"/>
    <w:rsid w:val="7FFF37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1"/>
    <w:unhideWhenUsed/>
    <w:qFormat/>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5">
    <w:name w:val="heading 3"/>
    <w:basedOn w:val="1"/>
    <w:next w:val="1"/>
    <w:link w:val="42"/>
    <w:qFormat/>
    <w:uiPriority w:val="99"/>
    <w:pPr>
      <w:keepNext/>
      <w:keepLines/>
      <w:widowControl/>
      <w:spacing w:line="360" w:lineRule="auto"/>
      <w:ind w:firstLine="512"/>
      <w:jc w:val="left"/>
      <w:outlineLvl w:val="2"/>
    </w:pPr>
    <w:rPr>
      <w:b/>
      <w:bCs/>
      <w:color w:val="000000"/>
      <w:kern w:val="0"/>
      <w:sz w:val="24"/>
    </w:rPr>
  </w:style>
  <w:style w:type="paragraph" w:styleId="6">
    <w:name w:val="heading 4"/>
    <w:basedOn w:val="1"/>
    <w:next w:val="1"/>
    <w:link w:val="43"/>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widowControl/>
      <w:spacing w:before="100" w:beforeAutospacing="1" w:after="100" w:afterAutospacing="1" w:line="360" w:lineRule="auto"/>
      <w:ind w:leftChars="200" w:hanging="200" w:hangingChars="200"/>
      <w:jc w:val="left"/>
    </w:pPr>
    <w:rPr>
      <w:color w:val="000000"/>
      <w:sz w:val="24"/>
    </w:rPr>
  </w:style>
  <w:style w:type="paragraph" w:styleId="7">
    <w:name w:val="Normal Indent"/>
    <w:basedOn w:val="1"/>
    <w:link w:val="39"/>
    <w:qFormat/>
    <w:uiPriority w:val="0"/>
    <w:pPr>
      <w:ind w:firstLine="420" w:firstLineChars="200"/>
    </w:pPr>
    <w:rPr>
      <w:szCs w:val="20"/>
    </w:rPr>
  </w:style>
  <w:style w:type="paragraph" w:styleId="8">
    <w:name w:val="caption"/>
    <w:basedOn w:val="1"/>
    <w:next w:val="1"/>
    <w:link w:val="44"/>
    <w:qFormat/>
    <w:uiPriority w:val="0"/>
    <w:rPr>
      <w:rFonts w:ascii="Arial" w:hAnsi="Arial" w:eastAsia="黑体" w:cs="Arial"/>
      <w:sz w:val="20"/>
      <w:szCs w:val="20"/>
    </w:rPr>
  </w:style>
  <w:style w:type="paragraph" w:styleId="9">
    <w:name w:val="Document Map"/>
    <w:basedOn w:val="1"/>
    <w:link w:val="45"/>
    <w:unhideWhenUsed/>
    <w:qFormat/>
    <w:uiPriority w:val="99"/>
    <w:pPr>
      <w:widowControl/>
      <w:spacing w:line="360" w:lineRule="auto"/>
      <w:jc w:val="left"/>
    </w:pPr>
    <w:rPr>
      <w:rFonts w:ascii="宋体"/>
      <w:color w:val="000000"/>
      <w:sz w:val="18"/>
      <w:szCs w:val="18"/>
    </w:rPr>
  </w:style>
  <w:style w:type="paragraph" w:styleId="10">
    <w:name w:val="annotation text"/>
    <w:basedOn w:val="1"/>
    <w:link w:val="46"/>
    <w:semiHidden/>
    <w:qFormat/>
    <w:uiPriority w:val="99"/>
    <w:pPr>
      <w:jc w:val="left"/>
    </w:pPr>
    <w:rPr>
      <w:kern w:val="0"/>
      <w:sz w:val="24"/>
      <w:szCs w:val="20"/>
    </w:rPr>
  </w:style>
  <w:style w:type="paragraph" w:styleId="11">
    <w:name w:val="Body Text 3"/>
    <w:basedOn w:val="1"/>
    <w:link w:val="47"/>
    <w:unhideWhenUsed/>
    <w:qFormat/>
    <w:uiPriority w:val="99"/>
    <w:pPr>
      <w:widowControl/>
      <w:spacing w:after="120" w:line="360" w:lineRule="auto"/>
      <w:jc w:val="left"/>
    </w:pPr>
    <w:rPr>
      <w:color w:val="000000"/>
      <w:sz w:val="16"/>
      <w:szCs w:val="16"/>
    </w:rPr>
  </w:style>
  <w:style w:type="paragraph" w:styleId="12">
    <w:name w:val="Body Text"/>
    <w:basedOn w:val="1"/>
    <w:next w:val="13"/>
    <w:link w:val="48"/>
    <w:qFormat/>
    <w:uiPriority w:val="99"/>
    <w:pPr>
      <w:widowControl/>
      <w:snapToGrid w:val="0"/>
      <w:spacing w:before="60" w:after="160" w:line="259" w:lineRule="auto"/>
      <w:ind w:right="113"/>
    </w:pPr>
    <w:rPr>
      <w:kern w:val="0"/>
      <w:sz w:val="18"/>
      <w:szCs w:val="20"/>
    </w:rPr>
  </w:style>
  <w:style w:type="paragraph" w:customStyle="1" w:styleId="13">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paragraph" w:styleId="14">
    <w:name w:val="Body Text Indent"/>
    <w:basedOn w:val="1"/>
    <w:next w:val="1"/>
    <w:link w:val="49"/>
    <w:qFormat/>
    <w:uiPriority w:val="99"/>
    <w:pPr>
      <w:spacing w:after="120"/>
      <w:ind w:left="420" w:leftChars="200"/>
    </w:pPr>
    <w:rPr>
      <w:kern w:val="0"/>
      <w:sz w:val="24"/>
      <w:szCs w:val="20"/>
    </w:rPr>
  </w:style>
  <w:style w:type="paragraph" w:styleId="15">
    <w:name w:val="Plain Text"/>
    <w:basedOn w:val="1"/>
    <w:link w:val="50"/>
    <w:qFormat/>
    <w:uiPriority w:val="0"/>
    <w:pPr>
      <w:widowControl/>
      <w:jc w:val="left"/>
    </w:pPr>
    <w:rPr>
      <w:rFonts w:ascii="宋体" w:hAnsi="Courier New"/>
      <w:szCs w:val="20"/>
    </w:rPr>
  </w:style>
  <w:style w:type="paragraph" w:styleId="16">
    <w:name w:val="Date"/>
    <w:basedOn w:val="1"/>
    <w:next w:val="1"/>
    <w:link w:val="51"/>
    <w:qFormat/>
    <w:uiPriority w:val="0"/>
    <w:pPr>
      <w:ind w:left="100" w:leftChars="2500"/>
    </w:pPr>
    <w:rPr>
      <w:kern w:val="0"/>
      <w:sz w:val="24"/>
      <w:szCs w:val="20"/>
    </w:rPr>
  </w:style>
  <w:style w:type="paragraph" w:styleId="17">
    <w:name w:val="Body Text Indent 2"/>
    <w:basedOn w:val="1"/>
    <w:link w:val="52"/>
    <w:unhideWhenUsed/>
    <w:qFormat/>
    <w:uiPriority w:val="99"/>
    <w:pPr>
      <w:widowControl/>
      <w:spacing w:after="120" w:line="480" w:lineRule="auto"/>
      <w:ind w:left="420" w:leftChars="200"/>
      <w:jc w:val="left"/>
    </w:pPr>
    <w:rPr>
      <w:color w:val="000000"/>
      <w:sz w:val="24"/>
    </w:rPr>
  </w:style>
  <w:style w:type="paragraph" w:styleId="18">
    <w:name w:val="Balloon Text"/>
    <w:basedOn w:val="1"/>
    <w:link w:val="53"/>
    <w:qFormat/>
    <w:uiPriority w:val="99"/>
    <w:rPr>
      <w:kern w:val="0"/>
      <w:sz w:val="18"/>
      <w:szCs w:val="20"/>
    </w:rPr>
  </w:style>
  <w:style w:type="paragraph" w:styleId="19">
    <w:name w:val="footer"/>
    <w:basedOn w:val="1"/>
    <w:link w:val="54"/>
    <w:qFormat/>
    <w:uiPriority w:val="99"/>
    <w:pPr>
      <w:tabs>
        <w:tab w:val="center" w:pos="4153"/>
        <w:tab w:val="right" w:pos="8306"/>
      </w:tabs>
      <w:snapToGrid w:val="0"/>
      <w:jc w:val="left"/>
    </w:pPr>
    <w:rPr>
      <w:kern w:val="0"/>
      <w:sz w:val="18"/>
      <w:szCs w:val="20"/>
    </w:rPr>
  </w:style>
  <w:style w:type="paragraph" w:styleId="20">
    <w:name w:val="header"/>
    <w:basedOn w:val="1"/>
    <w:link w:val="55"/>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List"/>
    <w:basedOn w:val="1"/>
    <w:unhideWhenUsed/>
    <w:qFormat/>
    <w:uiPriority w:val="99"/>
    <w:pPr>
      <w:widowControl/>
      <w:spacing w:line="320" w:lineRule="exact"/>
      <w:jc w:val="center"/>
    </w:pPr>
    <w:rPr>
      <w:color w:val="000000"/>
      <w:sz w:val="22"/>
      <w:szCs w:val="22"/>
    </w:rPr>
  </w:style>
  <w:style w:type="paragraph" w:styleId="22">
    <w:name w:val="Body Text Indent 3"/>
    <w:basedOn w:val="1"/>
    <w:link w:val="56"/>
    <w:unhideWhenUsed/>
    <w:qFormat/>
    <w:uiPriority w:val="99"/>
    <w:pPr>
      <w:widowControl/>
      <w:spacing w:after="120" w:line="360" w:lineRule="auto"/>
      <w:ind w:left="420" w:leftChars="200"/>
      <w:jc w:val="left"/>
    </w:pPr>
    <w:rPr>
      <w:color w:val="000000"/>
      <w:sz w:val="16"/>
      <w:szCs w:val="16"/>
    </w:rPr>
  </w:style>
  <w:style w:type="paragraph" w:styleId="23">
    <w:name w:val="Body Text 2"/>
    <w:basedOn w:val="1"/>
    <w:link w:val="57"/>
    <w:unhideWhenUsed/>
    <w:qFormat/>
    <w:uiPriority w:val="99"/>
    <w:pPr>
      <w:widowControl/>
      <w:spacing w:after="120" w:line="480" w:lineRule="auto"/>
      <w:jc w:val="left"/>
    </w:pPr>
    <w:rPr>
      <w:color w:val="000000"/>
      <w:sz w:val="24"/>
    </w:rPr>
  </w:style>
  <w:style w:type="paragraph" w:styleId="24">
    <w:name w:val="HTML Preformatted"/>
    <w:basedOn w:val="1"/>
    <w:link w:val="5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5">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link w:val="60"/>
    <w:qFormat/>
    <w:uiPriority w:val="10"/>
    <w:pPr>
      <w:widowControl/>
      <w:spacing w:before="240" w:after="60" w:line="360" w:lineRule="auto"/>
      <w:jc w:val="center"/>
      <w:outlineLvl w:val="0"/>
    </w:pPr>
    <w:rPr>
      <w:rFonts w:ascii="Cambria" w:hAnsi="Cambria"/>
      <w:b/>
      <w:bCs/>
      <w:color w:val="000000"/>
      <w:sz w:val="32"/>
      <w:szCs w:val="32"/>
    </w:rPr>
  </w:style>
  <w:style w:type="paragraph" w:styleId="27">
    <w:name w:val="annotation subject"/>
    <w:basedOn w:val="10"/>
    <w:next w:val="10"/>
    <w:link w:val="61"/>
    <w:semiHidden/>
    <w:qFormat/>
    <w:uiPriority w:val="0"/>
    <w:rPr>
      <w:b/>
      <w:sz w:val="24"/>
      <w:szCs w:val="20"/>
    </w:rPr>
  </w:style>
  <w:style w:type="paragraph" w:styleId="28">
    <w:name w:val="Body Text First Indent"/>
    <w:basedOn w:val="12"/>
    <w:next w:val="2"/>
    <w:link w:val="62"/>
    <w:unhideWhenUsed/>
    <w:qFormat/>
    <w:uiPriority w:val="99"/>
    <w:pPr>
      <w:snapToGrid/>
      <w:spacing w:before="0" w:after="120" w:line="360" w:lineRule="auto"/>
      <w:ind w:right="0" w:firstLine="420" w:firstLineChars="100"/>
      <w:jc w:val="left"/>
    </w:pPr>
    <w:rPr>
      <w:color w:val="000000"/>
      <w:kern w:val="2"/>
      <w:sz w:val="24"/>
      <w:szCs w:val="24"/>
    </w:rPr>
  </w:style>
  <w:style w:type="paragraph" w:styleId="29">
    <w:name w:val="Body Text First Indent 2"/>
    <w:basedOn w:val="14"/>
    <w:next w:val="1"/>
    <w:link w:val="63"/>
    <w:qFormat/>
    <w:uiPriority w:val="0"/>
    <w:pPr>
      <w:ind w:firstLine="420" w:firstLineChars="200"/>
    </w:pPr>
    <w:rPr>
      <w:kern w:val="2"/>
      <w:sz w:val="21"/>
      <w:szCs w:val="24"/>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basedOn w:val="32"/>
    <w:qFormat/>
    <w:uiPriority w:val="0"/>
  </w:style>
  <w:style w:type="character" w:styleId="35">
    <w:name w:val="FollowedHyperlink"/>
    <w:unhideWhenUsed/>
    <w:qFormat/>
    <w:uiPriority w:val="99"/>
    <w:rPr>
      <w:color w:val="800080"/>
      <w:u w:val="single"/>
    </w:rPr>
  </w:style>
  <w:style w:type="character" w:styleId="36">
    <w:name w:val="Emphasis"/>
    <w:qFormat/>
    <w:uiPriority w:val="20"/>
    <w:rPr>
      <w:i/>
      <w:iCs/>
    </w:rPr>
  </w:style>
  <w:style w:type="character" w:styleId="37">
    <w:name w:val="Hyperlink"/>
    <w:unhideWhenUsed/>
    <w:qFormat/>
    <w:uiPriority w:val="99"/>
    <w:rPr>
      <w:color w:val="0000FF"/>
      <w:u w:val="single"/>
    </w:rPr>
  </w:style>
  <w:style w:type="character" w:styleId="38">
    <w:name w:val="annotation reference"/>
    <w:qFormat/>
    <w:uiPriority w:val="99"/>
    <w:rPr>
      <w:sz w:val="21"/>
    </w:rPr>
  </w:style>
  <w:style w:type="character" w:customStyle="1" w:styleId="39">
    <w:name w:val="正文缩进 字符"/>
    <w:link w:val="7"/>
    <w:qFormat/>
    <w:uiPriority w:val="0"/>
    <w:rPr>
      <w:kern w:val="2"/>
      <w:sz w:val="21"/>
    </w:rPr>
  </w:style>
  <w:style w:type="character" w:customStyle="1" w:styleId="40">
    <w:name w:val="标题 1 字符"/>
    <w:link w:val="3"/>
    <w:qFormat/>
    <w:uiPriority w:val="99"/>
    <w:rPr>
      <w:rFonts w:eastAsia="黑体"/>
      <w:b/>
      <w:bCs/>
      <w:color w:val="000000"/>
      <w:kern w:val="44"/>
      <w:sz w:val="30"/>
      <w:szCs w:val="30"/>
    </w:rPr>
  </w:style>
  <w:style w:type="character" w:customStyle="1" w:styleId="41">
    <w:name w:val="标题 2 字符"/>
    <w:link w:val="4"/>
    <w:qFormat/>
    <w:uiPriority w:val="99"/>
    <w:rPr>
      <w:rFonts w:ascii="等线 Light" w:hAnsi="等线 Light" w:eastAsia="等线 Light" w:cs="Times New Roman"/>
      <w:b/>
      <w:bCs/>
      <w:kern w:val="2"/>
      <w:sz w:val="32"/>
      <w:szCs w:val="32"/>
    </w:rPr>
  </w:style>
  <w:style w:type="character" w:customStyle="1" w:styleId="42">
    <w:name w:val="标题 3 字符"/>
    <w:link w:val="5"/>
    <w:qFormat/>
    <w:uiPriority w:val="99"/>
    <w:rPr>
      <w:b/>
      <w:bCs/>
      <w:color w:val="000000"/>
      <w:sz w:val="24"/>
      <w:szCs w:val="24"/>
    </w:rPr>
  </w:style>
  <w:style w:type="character" w:customStyle="1" w:styleId="43">
    <w:name w:val="标题 4 字符"/>
    <w:link w:val="6"/>
    <w:qFormat/>
    <w:uiPriority w:val="9"/>
    <w:rPr>
      <w:rFonts w:ascii="Cambria" w:hAnsi="Cambria"/>
      <w:b/>
      <w:bCs/>
      <w:color w:val="000000"/>
      <w:kern w:val="2"/>
      <w:sz w:val="28"/>
      <w:szCs w:val="28"/>
    </w:rPr>
  </w:style>
  <w:style w:type="character" w:customStyle="1" w:styleId="44">
    <w:name w:val="题注 字符"/>
    <w:link w:val="8"/>
    <w:qFormat/>
    <w:uiPriority w:val="0"/>
    <w:rPr>
      <w:rFonts w:ascii="Arial" w:hAnsi="Arial" w:eastAsia="黑体" w:cs="Arial"/>
      <w:kern w:val="2"/>
    </w:rPr>
  </w:style>
  <w:style w:type="character" w:customStyle="1" w:styleId="45">
    <w:name w:val="文档结构图 字符"/>
    <w:link w:val="9"/>
    <w:qFormat/>
    <w:uiPriority w:val="99"/>
    <w:rPr>
      <w:rFonts w:ascii="宋体"/>
      <w:color w:val="000000"/>
      <w:kern w:val="2"/>
      <w:sz w:val="18"/>
      <w:szCs w:val="18"/>
    </w:rPr>
  </w:style>
  <w:style w:type="character" w:customStyle="1" w:styleId="46">
    <w:name w:val="批注文字 字符"/>
    <w:link w:val="10"/>
    <w:qFormat/>
    <w:uiPriority w:val="99"/>
    <w:rPr>
      <w:rFonts w:ascii="Times New Roman" w:hAnsi="Times New Roman" w:eastAsia="宋体"/>
      <w:sz w:val="24"/>
    </w:rPr>
  </w:style>
  <w:style w:type="character" w:customStyle="1" w:styleId="47">
    <w:name w:val="正文文本 3 字符"/>
    <w:link w:val="11"/>
    <w:qFormat/>
    <w:uiPriority w:val="99"/>
    <w:rPr>
      <w:color w:val="000000"/>
      <w:kern w:val="2"/>
      <w:sz w:val="16"/>
      <w:szCs w:val="16"/>
    </w:rPr>
  </w:style>
  <w:style w:type="character" w:customStyle="1" w:styleId="48">
    <w:name w:val="正文文本 字符"/>
    <w:link w:val="12"/>
    <w:qFormat/>
    <w:uiPriority w:val="99"/>
    <w:rPr>
      <w:sz w:val="18"/>
    </w:rPr>
  </w:style>
  <w:style w:type="character" w:customStyle="1" w:styleId="49">
    <w:name w:val="正文文本缩进 字符"/>
    <w:link w:val="14"/>
    <w:qFormat/>
    <w:uiPriority w:val="99"/>
    <w:rPr>
      <w:rFonts w:ascii="Times New Roman" w:hAnsi="Times New Roman" w:eastAsia="宋体"/>
      <w:sz w:val="24"/>
    </w:rPr>
  </w:style>
  <w:style w:type="character" w:customStyle="1" w:styleId="50">
    <w:name w:val="纯文本 字符"/>
    <w:link w:val="15"/>
    <w:qFormat/>
    <w:uiPriority w:val="0"/>
    <w:rPr>
      <w:rFonts w:ascii="宋体" w:hAnsi="Courier New"/>
      <w:kern w:val="2"/>
      <w:sz w:val="21"/>
    </w:rPr>
  </w:style>
  <w:style w:type="character" w:customStyle="1" w:styleId="51">
    <w:name w:val="日期 字符1"/>
    <w:link w:val="16"/>
    <w:qFormat/>
    <w:uiPriority w:val="99"/>
    <w:rPr>
      <w:rFonts w:ascii="Times New Roman" w:hAnsi="Times New Roman" w:eastAsia="宋体"/>
      <w:sz w:val="24"/>
    </w:rPr>
  </w:style>
  <w:style w:type="character" w:customStyle="1" w:styleId="52">
    <w:name w:val="正文文本缩进 2 字符"/>
    <w:link w:val="17"/>
    <w:qFormat/>
    <w:uiPriority w:val="99"/>
    <w:rPr>
      <w:color w:val="000000"/>
      <w:kern w:val="2"/>
      <w:sz w:val="24"/>
      <w:szCs w:val="24"/>
    </w:rPr>
  </w:style>
  <w:style w:type="character" w:customStyle="1" w:styleId="53">
    <w:name w:val="批注框文本 字符"/>
    <w:link w:val="18"/>
    <w:semiHidden/>
    <w:qFormat/>
    <w:uiPriority w:val="99"/>
    <w:rPr>
      <w:rFonts w:ascii="Times New Roman" w:hAnsi="Times New Roman" w:eastAsia="宋体"/>
      <w:sz w:val="18"/>
    </w:rPr>
  </w:style>
  <w:style w:type="character" w:customStyle="1" w:styleId="54">
    <w:name w:val="页脚 字符1"/>
    <w:link w:val="19"/>
    <w:qFormat/>
    <w:uiPriority w:val="99"/>
    <w:rPr>
      <w:sz w:val="18"/>
    </w:rPr>
  </w:style>
  <w:style w:type="character" w:customStyle="1" w:styleId="55">
    <w:name w:val="页眉 字符"/>
    <w:link w:val="20"/>
    <w:qFormat/>
    <w:uiPriority w:val="99"/>
    <w:rPr>
      <w:sz w:val="18"/>
    </w:rPr>
  </w:style>
  <w:style w:type="character" w:customStyle="1" w:styleId="56">
    <w:name w:val="正文文本缩进 3 字符"/>
    <w:link w:val="22"/>
    <w:qFormat/>
    <w:uiPriority w:val="99"/>
    <w:rPr>
      <w:color w:val="000000"/>
      <w:kern w:val="2"/>
      <w:sz w:val="16"/>
      <w:szCs w:val="16"/>
    </w:rPr>
  </w:style>
  <w:style w:type="character" w:customStyle="1" w:styleId="57">
    <w:name w:val="正文文本 2 字符"/>
    <w:link w:val="23"/>
    <w:qFormat/>
    <w:uiPriority w:val="99"/>
    <w:rPr>
      <w:color w:val="000000"/>
      <w:kern w:val="2"/>
      <w:sz w:val="24"/>
      <w:szCs w:val="24"/>
    </w:rPr>
  </w:style>
  <w:style w:type="character" w:customStyle="1" w:styleId="58">
    <w:name w:val="HTML 预设格式 字符"/>
    <w:link w:val="24"/>
    <w:qFormat/>
    <w:uiPriority w:val="99"/>
    <w:rPr>
      <w:rFonts w:ascii="宋体" w:hAnsi="宋体" w:cs="宋体"/>
      <w:sz w:val="24"/>
      <w:szCs w:val="24"/>
    </w:rPr>
  </w:style>
  <w:style w:type="character" w:customStyle="1" w:styleId="59">
    <w:name w:val="普通(网站) 字符"/>
    <w:link w:val="25"/>
    <w:qFormat/>
    <w:uiPriority w:val="0"/>
    <w:rPr>
      <w:rFonts w:ascii="宋体" w:hAnsi="宋体" w:eastAsia="宋体"/>
      <w:sz w:val="24"/>
    </w:rPr>
  </w:style>
  <w:style w:type="character" w:customStyle="1" w:styleId="60">
    <w:name w:val="标题 字符"/>
    <w:link w:val="26"/>
    <w:qFormat/>
    <w:uiPriority w:val="10"/>
    <w:rPr>
      <w:rFonts w:ascii="Cambria" w:hAnsi="Cambria"/>
      <w:b/>
      <w:bCs/>
      <w:color w:val="000000"/>
      <w:kern w:val="2"/>
      <w:sz w:val="32"/>
      <w:szCs w:val="32"/>
    </w:rPr>
  </w:style>
  <w:style w:type="character" w:customStyle="1" w:styleId="61">
    <w:name w:val="批注主题 字符"/>
    <w:link w:val="27"/>
    <w:semiHidden/>
    <w:qFormat/>
    <w:uiPriority w:val="0"/>
    <w:rPr>
      <w:rFonts w:ascii="Times New Roman" w:hAnsi="Times New Roman" w:eastAsia="宋体"/>
      <w:b/>
      <w:kern w:val="2"/>
      <w:sz w:val="24"/>
    </w:rPr>
  </w:style>
  <w:style w:type="character" w:customStyle="1" w:styleId="62">
    <w:name w:val="正文文本首行缩进 字符"/>
    <w:link w:val="28"/>
    <w:qFormat/>
    <w:uiPriority w:val="99"/>
    <w:rPr>
      <w:color w:val="000000"/>
      <w:kern w:val="2"/>
      <w:sz w:val="24"/>
      <w:szCs w:val="24"/>
    </w:rPr>
  </w:style>
  <w:style w:type="character" w:customStyle="1" w:styleId="63">
    <w:name w:val="正文文本首行缩进 2 字符"/>
    <w:link w:val="29"/>
    <w:qFormat/>
    <w:uiPriority w:val="0"/>
    <w:rPr>
      <w:rFonts w:ascii="Times New Roman" w:hAnsi="Times New Roman" w:eastAsia="宋体"/>
      <w:kern w:val="2"/>
      <w:sz w:val="21"/>
      <w:szCs w:val="24"/>
    </w:rPr>
  </w:style>
  <w:style w:type="paragraph" w:customStyle="1" w:styleId="64">
    <w:name w:val="表格1"/>
    <w:basedOn w:val="1"/>
    <w:semiHidden/>
    <w:qFormat/>
    <w:uiPriority w:val="0"/>
    <w:pPr>
      <w:adjustRightInd w:val="0"/>
      <w:snapToGrid w:val="0"/>
      <w:spacing w:line="360" w:lineRule="auto"/>
      <w:jc w:val="center"/>
    </w:pPr>
    <w:rPr>
      <w:rFonts w:ascii="黑体" w:hAnsi="宋体" w:eastAsia="黑体"/>
      <w:szCs w:val="21"/>
    </w:rPr>
  </w:style>
  <w:style w:type="paragraph" w:customStyle="1" w:styleId="6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日期 字符"/>
    <w:qFormat/>
    <w:uiPriority w:val="0"/>
    <w:rPr>
      <w:rFonts w:ascii="Times New Roman" w:hAnsi="Times New Roman" w:eastAsia="宋体"/>
      <w:sz w:val="24"/>
    </w:rPr>
  </w:style>
  <w:style w:type="character" w:customStyle="1" w:styleId="68">
    <w:name w:val="页脚 字符"/>
    <w:basedOn w:val="32"/>
    <w:qFormat/>
    <w:uiPriority w:val="99"/>
  </w:style>
  <w:style w:type="character" w:customStyle="1" w:styleId="69">
    <w:name w:val="表格 Char"/>
    <w:link w:val="70"/>
    <w:qFormat/>
    <w:uiPriority w:val="0"/>
    <w:rPr>
      <w:rFonts w:ascii="宋体"/>
      <w:sz w:val="21"/>
    </w:rPr>
  </w:style>
  <w:style w:type="paragraph" w:customStyle="1" w:styleId="70">
    <w:name w:val="表格"/>
    <w:basedOn w:val="1"/>
    <w:next w:val="1"/>
    <w:link w:val="69"/>
    <w:qFormat/>
    <w:uiPriority w:val="0"/>
    <w:pPr>
      <w:adjustRightInd w:val="0"/>
      <w:snapToGrid w:val="0"/>
      <w:spacing w:beforeLines="10" w:afterLines="10" w:line="259" w:lineRule="auto"/>
      <w:jc w:val="center"/>
    </w:pPr>
    <w:rPr>
      <w:rFonts w:ascii="宋体"/>
      <w:kern w:val="0"/>
      <w:szCs w:val="20"/>
    </w:rPr>
  </w:style>
  <w:style w:type="character" w:customStyle="1" w:styleId="71">
    <w:name w:val="正文文本 字符1"/>
    <w:semiHidden/>
    <w:qFormat/>
    <w:uiPriority w:val="0"/>
    <w:rPr>
      <w:rFonts w:ascii="Times New Roman" w:hAnsi="Times New Roman" w:eastAsia="宋体"/>
      <w:sz w:val="24"/>
    </w:rPr>
  </w:style>
  <w:style w:type="paragraph" w:customStyle="1" w:styleId="7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4">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5">
    <w:name w:val="Body text (2)_"/>
    <w:link w:val="76"/>
    <w:qFormat/>
    <w:uiPriority w:val="0"/>
    <w:rPr>
      <w:rFonts w:eastAsia="Times New Roman"/>
      <w:sz w:val="26"/>
      <w:szCs w:val="26"/>
      <w:shd w:val="clear" w:color="auto" w:fill="FFFFFF"/>
    </w:rPr>
  </w:style>
  <w:style w:type="paragraph" w:customStyle="1" w:styleId="76">
    <w:name w:val="Body text (2)"/>
    <w:basedOn w:val="1"/>
    <w:link w:val="75"/>
    <w:qFormat/>
    <w:uiPriority w:val="0"/>
    <w:pPr>
      <w:shd w:val="clear" w:color="auto" w:fill="FFFFFF"/>
      <w:spacing w:line="503" w:lineRule="exact"/>
      <w:jc w:val="distribute"/>
    </w:pPr>
    <w:rPr>
      <w:rFonts w:eastAsia="Times New Roman"/>
      <w:kern w:val="0"/>
      <w:sz w:val="26"/>
      <w:szCs w:val="26"/>
    </w:rPr>
  </w:style>
  <w:style w:type="paragraph" w:customStyle="1" w:styleId="77">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78">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79">
    <w:name w:val="纯文本 Char2"/>
    <w:qFormat/>
    <w:uiPriority w:val="0"/>
    <w:rPr>
      <w:rFonts w:ascii="宋体" w:hAnsi="Courier New" w:eastAsia="宋体"/>
      <w:kern w:val="2"/>
      <w:sz w:val="21"/>
      <w:lang w:val="en-US" w:eastAsia="zh-CN" w:bidi="ar-SA"/>
    </w:rPr>
  </w:style>
  <w:style w:type="character" w:customStyle="1" w:styleId="80">
    <w:name w:val="正文01 Char"/>
    <w:link w:val="81"/>
    <w:qFormat/>
    <w:uiPriority w:val="0"/>
    <w:rPr>
      <w:color w:val="000000"/>
      <w:kern w:val="2"/>
      <w:sz w:val="24"/>
      <w:szCs w:val="24"/>
    </w:rPr>
  </w:style>
  <w:style w:type="paragraph" w:customStyle="1" w:styleId="81">
    <w:name w:val="正文01"/>
    <w:basedOn w:val="1"/>
    <w:link w:val="80"/>
    <w:qFormat/>
    <w:uiPriority w:val="0"/>
    <w:pPr>
      <w:widowControl/>
      <w:spacing w:before="60" w:after="100" w:afterAutospacing="1" w:line="460" w:lineRule="exact"/>
      <w:ind w:firstLine="200"/>
      <w:jc w:val="left"/>
    </w:pPr>
    <w:rPr>
      <w:color w:val="000000"/>
      <w:sz w:val="24"/>
    </w:rPr>
  </w:style>
  <w:style w:type="character" w:customStyle="1" w:styleId="82">
    <w:name w:val="15"/>
    <w:qFormat/>
    <w:uiPriority w:val="0"/>
    <w:rPr>
      <w:rFonts w:hint="default" w:ascii="Times New Roman" w:hAnsi="Times New Roman" w:cs="Times New Roman"/>
    </w:rPr>
  </w:style>
  <w:style w:type="character" w:customStyle="1" w:styleId="83">
    <w:name w:val="表格 Char Char"/>
    <w:qFormat/>
    <w:uiPriority w:val="0"/>
    <w:rPr>
      <w:rFonts w:eastAsia="宋体"/>
      <w:sz w:val="21"/>
      <w:lang w:val="en-US" w:eastAsia="zh-CN" w:bidi="ar-SA"/>
    </w:rPr>
  </w:style>
  <w:style w:type="character" w:customStyle="1" w:styleId="84">
    <w:name w:val="10"/>
    <w:qFormat/>
    <w:uiPriority w:val="0"/>
    <w:rPr>
      <w:rFonts w:hint="default" w:ascii="Times New Roman" w:hAnsi="Times New Roman" w:cs="Times New Roman"/>
    </w:rPr>
  </w:style>
  <w:style w:type="character" w:customStyle="1" w:styleId="85">
    <w:name w:val="批注文字 Char1"/>
    <w:semiHidden/>
    <w:qFormat/>
    <w:uiPriority w:val="99"/>
    <w:rPr>
      <w:rFonts w:ascii="Times New Roman" w:hAnsi="Times New Roman"/>
      <w:color w:val="000000"/>
      <w:kern w:val="2"/>
      <w:sz w:val="24"/>
      <w:szCs w:val="24"/>
    </w:rPr>
  </w:style>
  <w:style w:type="character" w:customStyle="1" w:styleId="86">
    <w:name w:val="18"/>
    <w:qFormat/>
    <w:uiPriority w:val="0"/>
    <w:rPr>
      <w:rFonts w:ascii="MingLiU" w:hAnsi="MingLiU" w:eastAsia="MingLiU" w:cs="Times New Roman"/>
      <w:spacing w:val="30"/>
      <w:sz w:val="26"/>
      <w:szCs w:val="26"/>
    </w:rPr>
  </w:style>
  <w:style w:type="character" w:customStyle="1" w:styleId="87">
    <w:name w:val="apple-converted-space"/>
    <w:qFormat/>
    <w:uiPriority w:val="0"/>
  </w:style>
  <w:style w:type="character" w:customStyle="1" w:styleId="88">
    <w:name w:val="表格 32 Char"/>
    <w:link w:val="89"/>
    <w:qFormat/>
    <w:uiPriority w:val="0"/>
    <w:rPr>
      <w:sz w:val="24"/>
    </w:rPr>
  </w:style>
  <w:style w:type="paragraph" w:customStyle="1" w:styleId="89">
    <w:name w:val="表格 32"/>
    <w:basedOn w:val="1"/>
    <w:link w:val="88"/>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0">
    <w:name w:val="纯文本 Char1"/>
    <w:semiHidden/>
    <w:qFormat/>
    <w:uiPriority w:val="99"/>
    <w:rPr>
      <w:rFonts w:ascii="宋体" w:hAnsi="Courier New" w:cs="Courier New"/>
      <w:color w:val="000000"/>
      <w:kern w:val="2"/>
      <w:sz w:val="21"/>
      <w:szCs w:val="21"/>
    </w:rPr>
  </w:style>
  <w:style w:type="character" w:customStyle="1" w:styleId="91">
    <w:name w:val="表格文字 Char"/>
    <w:link w:val="92"/>
    <w:qFormat/>
    <w:uiPriority w:val="0"/>
    <w:rPr>
      <w:rFonts w:ascii="Arial" w:hAnsi="Arial" w:cs="Arial"/>
      <w:color w:val="000000"/>
      <w:spacing w:val="-20"/>
      <w:kern w:val="2"/>
      <w:sz w:val="24"/>
    </w:rPr>
  </w:style>
  <w:style w:type="paragraph" w:customStyle="1" w:styleId="92">
    <w:name w:val="表格文字"/>
    <w:basedOn w:val="1"/>
    <w:link w:val="91"/>
    <w:qFormat/>
    <w:uiPriority w:val="0"/>
    <w:pPr>
      <w:adjustRightInd w:val="0"/>
      <w:snapToGrid w:val="0"/>
      <w:jc w:val="center"/>
    </w:pPr>
    <w:rPr>
      <w:rFonts w:ascii="Arial" w:hAnsi="Arial" w:cs="Arial"/>
      <w:color w:val="000000"/>
      <w:spacing w:val="-20"/>
      <w:sz w:val="24"/>
      <w:szCs w:val="20"/>
    </w:rPr>
  </w:style>
  <w:style w:type="character" w:customStyle="1" w:styleId="93">
    <w:name w:val="【表中文字】 Char"/>
    <w:link w:val="94"/>
    <w:qFormat/>
    <w:uiPriority w:val="0"/>
    <w:rPr>
      <w:kern w:val="2"/>
      <w:sz w:val="21"/>
    </w:rPr>
  </w:style>
  <w:style w:type="paragraph" w:customStyle="1" w:styleId="94">
    <w:name w:val="【表中文字】"/>
    <w:basedOn w:val="1"/>
    <w:link w:val="93"/>
    <w:qFormat/>
    <w:uiPriority w:val="0"/>
    <w:pPr>
      <w:jc w:val="center"/>
    </w:pPr>
    <w:rPr>
      <w:szCs w:val="20"/>
    </w:rPr>
  </w:style>
  <w:style w:type="character" w:customStyle="1" w:styleId="95">
    <w:name w:val="表格数字 Char"/>
    <w:link w:val="96"/>
    <w:qFormat/>
    <w:uiPriority w:val="0"/>
    <w:rPr>
      <w:rFonts w:ascii="Arial" w:hAnsi="Arial" w:cs="宋体"/>
      <w:sz w:val="21"/>
    </w:rPr>
  </w:style>
  <w:style w:type="paragraph" w:customStyle="1" w:styleId="96">
    <w:name w:val="表格数字"/>
    <w:basedOn w:val="1"/>
    <w:link w:val="95"/>
    <w:qFormat/>
    <w:uiPriority w:val="0"/>
    <w:pPr>
      <w:widowControl/>
      <w:spacing w:line="360" w:lineRule="exact"/>
      <w:jc w:val="center"/>
    </w:pPr>
    <w:rPr>
      <w:rFonts w:ascii="Arial" w:hAnsi="Arial" w:cs="宋体"/>
      <w:kern w:val="0"/>
      <w:szCs w:val="20"/>
    </w:rPr>
  </w:style>
  <w:style w:type="character" w:customStyle="1" w:styleId="97">
    <w:name w:val="表格正文 Char"/>
    <w:link w:val="98"/>
    <w:qFormat/>
    <w:uiPriority w:val="0"/>
    <w:rPr>
      <w:rFonts w:ascii="Arial" w:hAnsi="Arial"/>
      <w:color w:val="000000"/>
      <w:kern w:val="2"/>
      <w:sz w:val="21"/>
      <w:szCs w:val="21"/>
    </w:rPr>
  </w:style>
  <w:style w:type="paragraph" w:customStyle="1" w:styleId="98">
    <w:name w:val="表格正文"/>
    <w:basedOn w:val="1"/>
    <w:link w:val="97"/>
    <w:semiHidden/>
    <w:qFormat/>
    <w:uiPriority w:val="0"/>
    <w:pPr>
      <w:widowControl/>
      <w:spacing w:line="360" w:lineRule="exact"/>
      <w:jc w:val="center"/>
    </w:pPr>
    <w:rPr>
      <w:rFonts w:ascii="Arial" w:hAnsi="Arial"/>
      <w:color w:val="000000"/>
      <w:szCs w:val="21"/>
    </w:rPr>
  </w:style>
  <w:style w:type="paragraph" w:customStyle="1" w:styleId="99">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0">
    <w:name w:val="正文格式"/>
    <w:basedOn w:val="1"/>
    <w:qFormat/>
    <w:uiPriority w:val="0"/>
    <w:pPr>
      <w:spacing w:line="360" w:lineRule="auto"/>
      <w:ind w:firstLine="544" w:firstLineChars="200"/>
    </w:pPr>
    <w:rPr>
      <w:rFonts w:ascii="Calibri" w:hAnsi="Calibri"/>
      <w:sz w:val="24"/>
    </w:rPr>
  </w:style>
  <w:style w:type="character" w:customStyle="1" w:styleId="101">
    <w:name w:val="HTML 预设格式 字符1"/>
    <w:qFormat/>
    <w:uiPriority w:val="0"/>
    <w:rPr>
      <w:rFonts w:ascii="Courier New" w:hAnsi="Courier New" w:cs="Courier New"/>
      <w:kern w:val="2"/>
    </w:rPr>
  </w:style>
  <w:style w:type="character" w:customStyle="1" w:styleId="102">
    <w:name w:val="正文文本首行缩进 字符1"/>
    <w:qFormat/>
    <w:uiPriority w:val="0"/>
    <w:rPr>
      <w:kern w:val="2"/>
      <w:sz w:val="21"/>
      <w:szCs w:val="24"/>
    </w:rPr>
  </w:style>
  <w:style w:type="character" w:customStyle="1" w:styleId="103">
    <w:name w:val="正文文本 2 字符1"/>
    <w:qFormat/>
    <w:uiPriority w:val="0"/>
    <w:rPr>
      <w:kern w:val="2"/>
      <w:sz w:val="21"/>
      <w:szCs w:val="24"/>
    </w:rPr>
  </w:style>
  <w:style w:type="character" w:customStyle="1" w:styleId="104">
    <w:name w:val="正文文本缩进 3 字符1"/>
    <w:qFormat/>
    <w:uiPriority w:val="0"/>
    <w:rPr>
      <w:kern w:val="2"/>
      <w:sz w:val="16"/>
      <w:szCs w:val="16"/>
    </w:rPr>
  </w:style>
  <w:style w:type="character" w:customStyle="1" w:styleId="105">
    <w:name w:val="文档结构图 字符1"/>
    <w:qFormat/>
    <w:uiPriority w:val="0"/>
    <w:rPr>
      <w:rFonts w:ascii="Microsoft YaHei UI" w:eastAsia="Microsoft YaHei UI"/>
      <w:kern w:val="2"/>
      <w:sz w:val="18"/>
      <w:szCs w:val="18"/>
    </w:rPr>
  </w:style>
  <w:style w:type="paragraph" w:customStyle="1" w:styleId="106">
    <w:name w:val="样式1"/>
    <w:basedOn w:val="1"/>
    <w:qFormat/>
    <w:uiPriority w:val="0"/>
    <w:pPr>
      <w:spacing w:line="360" w:lineRule="auto"/>
    </w:pPr>
    <w:rPr>
      <w:b/>
      <w:bCs/>
      <w:sz w:val="28"/>
    </w:rPr>
  </w:style>
  <w:style w:type="character" w:customStyle="1" w:styleId="107">
    <w:name w:val="正文文本缩进 2 字符1"/>
    <w:qFormat/>
    <w:uiPriority w:val="0"/>
    <w:rPr>
      <w:kern w:val="2"/>
      <w:sz w:val="21"/>
      <w:szCs w:val="24"/>
    </w:rPr>
  </w:style>
  <w:style w:type="character" w:customStyle="1" w:styleId="108">
    <w:name w:val="正文文本 3 字符1"/>
    <w:qFormat/>
    <w:uiPriority w:val="0"/>
    <w:rPr>
      <w:kern w:val="2"/>
      <w:sz w:val="16"/>
      <w:szCs w:val="16"/>
    </w:rPr>
  </w:style>
  <w:style w:type="character" w:customStyle="1" w:styleId="109">
    <w:name w:val="标题 字符1"/>
    <w:qFormat/>
    <w:uiPriority w:val="0"/>
    <w:rPr>
      <w:rFonts w:ascii="等线 Light" w:hAnsi="等线 Light" w:cs="Times New Roman"/>
      <w:b/>
      <w:bCs/>
      <w:kern w:val="2"/>
      <w:sz w:val="32"/>
      <w:szCs w:val="32"/>
    </w:rPr>
  </w:style>
  <w:style w:type="character" w:customStyle="1" w:styleId="110">
    <w:name w:val="纯文本 字符1"/>
    <w:qFormat/>
    <w:uiPriority w:val="0"/>
    <w:rPr>
      <w:rFonts w:ascii="宋体" w:hAnsi="Courier New" w:cs="Courier New"/>
      <w:kern w:val="2"/>
      <w:sz w:val="21"/>
      <w:szCs w:val="21"/>
    </w:rPr>
  </w:style>
  <w:style w:type="paragraph" w:customStyle="1" w:styleId="111">
    <w:name w:val=" Char"/>
    <w:basedOn w:val="1"/>
    <w:qFormat/>
    <w:uiPriority w:val="0"/>
    <w:rPr>
      <w:sz w:val="24"/>
    </w:rPr>
  </w:style>
  <w:style w:type="paragraph" w:customStyle="1" w:styleId="112">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3">
    <w:name w:val="表 标题"/>
    <w:basedOn w:val="1"/>
    <w:qFormat/>
    <w:uiPriority w:val="0"/>
    <w:pPr>
      <w:adjustRightInd w:val="0"/>
      <w:snapToGrid w:val="0"/>
      <w:spacing w:beforeLines="50"/>
      <w:jc w:val="center"/>
    </w:pPr>
    <w:rPr>
      <w:b/>
      <w:kern w:val="0"/>
      <w:sz w:val="20"/>
      <w:szCs w:val="21"/>
    </w:rPr>
  </w:style>
  <w:style w:type="paragraph" w:customStyle="1" w:styleId="114">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5">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6">
    <w:name w:val="正文2"/>
    <w:basedOn w:val="1"/>
    <w:link w:val="117"/>
    <w:qFormat/>
    <w:uiPriority w:val="0"/>
    <w:pPr>
      <w:adjustRightInd w:val="0"/>
      <w:snapToGrid w:val="0"/>
      <w:spacing w:line="440" w:lineRule="atLeast"/>
      <w:ind w:firstLine="510"/>
    </w:pPr>
    <w:rPr>
      <w:szCs w:val="20"/>
    </w:rPr>
  </w:style>
  <w:style w:type="character" w:customStyle="1" w:styleId="117">
    <w:name w:val="正文2 Char"/>
    <w:link w:val="116"/>
    <w:qFormat/>
    <w:uiPriority w:val="0"/>
    <w:rPr>
      <w:kern w:val="2"/>
      <w:sz w:val="21"/>
    </w:rPr>
  </w:style>
  <w:style w:type="paragraph" w:customStyle="1" w:styleId="118">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19">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0">
    <w:name w:val="1级标题"/>
    <w:basedOn w:val="3"/>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1">
    <w:name w:val="表格001"/>
    <w:basedOn w:val="1"/>
    <w:qFormat/>
    <w:uiPriority w:val="0"/>
    <w:pPr>
      <w:widowControl/>
      <w:spacing w:line="360" w:lineRule="exact"/>
      <w:jc w:val="center"/>
    </w:pPr>
    <w:rPr>
      <w:color w:val="000000"/>
      <w:sz w:val="24"/>
    </w:rPr>
  </w:style>
  <w:style w:type="paragraph" w:customStyle="1" w:styleId="122">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3">
    <w:name w:val="表格内容"/>
    <w:basedOn w:val="7"/>
    <w:qFormat/>
    <w:uiPriority w:val="0"/>
    <w:pPr>
      <w:spacing w:line="312" w:lineRule="auto"/>
      <w:ind w:firstLine="0" w:firstLineChars="0"/>
      <w:jc w:val="center"/>
    </w:pPr>
    <w:rPr>
      <w:rFonts w:ascii="Calibri" w:hAnsi="Calibri"/>
      <w:sz w:val="24"/>
    </w:rPr>
  </w:style>
  <w:style w:type="paragraph" w:customStyle="1" w:styleId="124">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5">
    <w:name w:val="Table Paragraph"/>
    <w:basedOn w:val="1"/>
    <w:qFormat/>
    <w:uiPriority w:val="0"/>
    <w:pPr>
      <w:jc w:val="center"/>
    </w:pPr>
    <w:rPr>
      <w:rFonts w:ascii="宋体" w:hAnsi="宋体" w:cs="宋体"/>
      <w:kern w:val="0"/>
      <w:sz w:val="22"/>
      <w:szCs w:val="22"/>
      <w:lang w:eastAsia="en-US"/>
    </w:rPr>
  </w:style>
  <w:style w:type="paragraph" w:customStyle="1" w:styleId="126">
    <w:name w:val="正文缩近"/>
    <w:basedOn w:val="1"/>
    <w:qFormat/>
    <w:uiPriority w:val="0"/>
    <w:pPr>
      <w:spacing w:line="360" w:lineRule="auto"/>
      <w:ind w:firstLine="560" w:firstLineChars="200"/>
    </w:pPr>
    <w:rPr>
      <w:sz w:val="28"/>
      <w:szCs w:val="28"/>
    </w:rPr>
  </w:style>
  <w:style w:type="paragraph" w:customStyle="1" w:styleId="127">
    <w:name w:val="bg正文首行缩进"/>
    <w:basedOn w:val="1"/>
    <w:qFormat/>
    <w:uiPriority w:val="0"/>
    <w:pPr>
      <w:widowControl/>
      <w:spacing w:line="400" w:lineRule="exact"/>
      <w:ind w:firstLine="482"/>
      <w:jc w:val="left"/>
    </w:pPr>
    <w:rPr>
      <w:color w:val="000000"/>
      <w:sz w:val="24"/>
    </w:rPr>
  </w:style>
  <w:style w:type="paragraph" w:customStyle="1" w:styleId="128">
    <w:name w:val="正文3"/>
    <w:basedOn w:val="1"/>
    <w:qFormat/>
    <w:uiPriority w:val="0"/>
    <w:pPr>
      <w:spacing w:line="360" w:lineRule="auto"/>
      <w:ind w:firstLine="454"/>
      <w:jc w:val="left"/>
    </w:pPr>
    <w:rPr>
      <w:rFonts w:ascii="宋体" w:hAnsi="宋体"/>
      <w:kern w:val="0"/>
      <w:sz w:val="24"/>
      <w:szCs w:val="20"/>
    </w:rPr>
  </w:style>
  <w:style w:type="paragraph" w:customStyle="1" w:styleId="129">
    <w:name w:val="p0"/>
    <w:basedOn w:val="1"/>
    <w:qFormat/>
    <w:uiPriority w:val="0"/>
    <w:pPr>
      <w:widowControl/>
    </w:pPr>
    <w:rPr>
      <w:kern w:val="0"/>
      <w:szCs w:val="21"/>
    </w:rPr>
  </w:style>
  <w:style w:type="paragraph" w:customStyle="1" w:styleId="130">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1">
    <w:name w:val="【正文】"/>
    <w:basedOn w:val="1"/>
    <w:qFormat/>
    <w:uiPriority w:val="0"/>
    <w:pPr>
      <w:widowControl/>
      <w:spacing w:line="440" w:lineRule="exact"/>
      <w:ind w:firstLine="544"/>
      <w:jc w:val="left"/>
    </w:pPr>
    <w:rPr>
      <w:rFonts w:cs="宋体"/>
      <w:color w:val="000000"/>
      <w:sz w:val="24"/>
    </w:rPr>
  </w:style>
  <w:style w:type="paragraph" w:customStyle="1" w:styleId="132">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3">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4">
    <w:name w:val="Default"/>
    <w:basedOn w:val="1"/>
    <w:qFormat/>
    <w:uiPriority w:val="0"/>
    <w:pPr>
      <w:widowControl/>
      <w:autoSpaceDE w:val="0"/>
      <w:autoSpaceDN w:val="0"/>
      <w:jc w:val="left"/>
    </w:pPr>
    <w:rPr>
      <w:rFonts w:ascii="宋体" w:cs="宋体"/>
      <w:color w:val="000000"/>
      <w:kern w:val="0"/>
      <w:sz w:val="24"/>
    </w:rPr>
  </w:style>
  <w:style w:type="paragraph" w:customStyle="1" w:styleId="135">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6">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7">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38">
    <w:name w:val="表格2"/>
    <w:basedOn w:val="1"/>
    <w:qFormat/>
    <w:uiPriority w:val="0"/>
    <w:pPr>
      <w:widowControl/>
      <w:jc w:val="center"/>
    </w:pPr>
    <w:rPr>
      <w:rFonts w:cs="宋体"/>
      <w:color w:val="000000"/>
      <w:szCs w:val="21"/>
    </w:rPr>
  </w:style>
  <w:style w:type="paragraph" w:customStyle="1" w:styleId="139">
    <w:name w:val="_Style 44"/>
    <w:basedOn w:val="1"/>
    <w:qFormat/>
    <w:uiPriority w:val="0"/>
    <w:pPr>
      <w:spacing w:line="360" w:lineRule="auto"/>
      <w:ind w:firstLine="200" w:firstLineChars="200"/>
    </w:pPr>
    <w:rPr>
      <w:rFonts w:ascii="宋体" w:hAnsi="宋体" w:cs="宋体"/>
      <w:sz w:val="24"/>
    </w:rPr>
  </w:style>
  <w:style w:type="paragraph" w:customStyle="1" w:styleId="140">
    <w:name w:val="中文"/>
    <w:basedOn w:val="1"/>
    <w:qFormat/>
    <w:uiPriority w:val="0"/>
    <w:pPr>
      <w:widowControl/>
      <w:spacing w:line="360" w:lineRule="auto"/>
      <w:ind w:firstLine="200" w:firstLineChars="200"/>
    </w:pPr>
    <w:rPr>
      <w:rFonts w:ascii="Calibri" w:hAnsi="Calibri"/>
      <w:lang w:eastAsia="en-US"/>
    </w:rPr>
  </w:style>
  <w:style w:type="paragraph" w:customStyle="1" w:styleId="141">
    <w:name w:val=" Char Char Char Char Char Char Char Char Char Char"/>
    <w:basedOn w:val="1"/>
    <w:qFormat/>
    <w:uiPriority w:val="0"/>
    <w:pPr>
      <w:widowControl/>
      <w:spacing w:after="160" w:line="240" w:lineRule="exact"/>
      <w:jc w:val="left"/>
    </w:pPr>
  </w:style>
  <w:style w:type="paragraph" w:customStyle="1" w:styleId="142">
    <w:name w:val="表内容"/>
    <w:basedOn w:val="15"/>
    <w:qFormat/>
    <w:uiPriority w:val="0"/>
    <w:pPr>
      <w:widowControl w:val="0"/>
      <w:jc w:val="both"/>
    </w:pPr>
    <w:rPr>
      <w:rFonts w:ascii="Times New Roman" w:hAnsi="Times New Roman"/>
      <w:lang w:val="en-US" w:eastAsia="zh-CN"/>
    </w:rPr>
  </w:style>
  <w:style w:type="character" w:customStyle="1" w:styleId="143">
    <w:name w:val="正文文本 (2)_"/>
    <w:link w:val="144"/>
    <w:qFormat/>
    <w:uiPriority w:val="0"/>
    <w:rPr>
      <w:rFonts w:ascii="宋体" w:hAnsi="宋体"/>
      <w:sz w:val="22"/>
      <w:szCs w:val="22"/>
      <w:shd w:val="clear" w:color="auto" w:fill="FFFFFF"/>
    </w:rPr>
  </w:style>
  <w:style w:type="paragraph" w:customStyle="1" w:styleId="144">
    <w:name w:val="正文文本 (2)1"/>
    <w:basedOn w:val="1"/>
    <w:link w:val="143"/>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5">
    <w:name w:val="正文文本 (2) + 粗体"/>
    <w:qFormat/>
    <w:uiPriority w:val="0"/>
    <w:rPr>
      <w:rFonts w:ascii="宋体" w:hAnsi="宋体" w:cs="宋体"/>
      <w:b/>
      <w:bCs/>
      <w:sz w:val="22"/>
      <w:szCs w:val="22"/>
      <w:u w:val="none"/>
      <w:shd w:val="clear" w:color="auto" w:fill="FFFFFF"/>
    </w:rPr>
  </w:style>
  <w:style w:type="character" w:customStyle="1" w:styleId="146">
    <w:name w:val="表内格式 Char"/>
    <w:link w:val="147"/>
    <w:qFormat/>
    <w:uiPriority w:val="0"/>
    <w:rPr>
      <w:rFonts w:eastAsia="楷体_GB2312"/>
      <w:sz w:val="18"/>
      <w:szCs w:val="18"/>
    </w:rPr>
  </w:style>
  <w:style w:type="paragraph" w:customStyle="1" w:styleId="147">
    <w:name w:val="表内格式"/>
    <w:basedOn w:val="1"/>
    <w:next w:val="1"/>
    <w:link w:val="146"/>
    <w:qFormat/>
    <w:uiPriority w:val="0"/>
    <w:pPr>
      <w:spacing w:line="360" w:lineRule="auto"/>
      <w:ind w:firstLine="200" w:firstLineChars="200"/>
      <w:jc w:val="center"/>
    </w:pPr>
    <w:rPr>
      <w:rFonts w:eastAsia="楷体_GB2312"/>
      <w:kern w:val="0"/>
      <w:sz w:val="18"/>
      <w:szCs w:val="18"/>
    </w:rPr>
  </w:style>
  <w:style w:type="paragraph" w:customStyle="1" w:styleId="148">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49">
    <w:name w:val="列出段落2"/>
    <w:basedOn w:val="1"/>
    <w:qFormat/>
    <w:uiPriority w:val="34"/>
    <w:pPr>
      <w:spacing w:line="360" w:lineRule="auto"/>
      <w:ind w:firstLine="420" w:firstLineChars="200"/>
    </w:pPr>
    <w:rPr>
      <w:sz w:val="24"/>
      <w:szCs w:val="20"/>
    </w:rPr>
  </w:style>
  <w:style w:type="paragraph" w:customStyle="1" w:styleId="150">
    <w:name w:val="表 内容"/>
    <w:basedOn w:val="1"/>
    <w:qFormat/>
    <w:uiPriority w:val="0"/>
    <w:pPr>
      <w:adjustRightInd w:val="0"/>
      <w:snapToGrid w:val="0"/>
      <w:spacing w:beforeLines="15" w:afterLines="15"/>
      <w:jc w:val="center"/>
    </w:pPr>
    <w:rPr>
      <w:b/>
      <w:sz w:val="24"/>
      <w:szCs w:val="21"/>
    </w:rPr>
  </w:style>
  <w:style w:type="paragraph" w:customStyle="1" w:styleId="151">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2">
    <w:name w:val="文"/>
    <w:basedOn w:val="1"/>
    <w:qFormat/>
    <w:uiPriority w:val="0"/>
    <w:pPr>
      <w:spacing w:line="360" w:lineRule="auto"/>
      <w:ind w:firstLine="200" w:firstLineChars="200"/>
      <w:jc w:val="left"/>
    </w:pPr>
    <w:rPr>
      <w:bCs/>
      <w:sz w:val="24"/>
    </w:rPr>
  </w:style>
  <w:style w:type="paragraph" w:customStyle="1" w:styleId="153">
    <w:name w:val="我表标题"/>
    <w:basedOn w:val="1"/>
    <w:qFormat/>
    <w:uiPriority w:val="0"/>
    <w:pPr>
      <w:jc w:val="center"/>
      <w:textAlignment w:val="baseline"/>
    </w:pPr>
    <w:rPr>
      <w:b/>
      <w:kern w:val="24"/>
      <w:szCs w:val="21"/>
    </w:rPr>
  </w:style>
  <w:style w:type="paragraph" w:customStyle="1" w:styleId="154">
    <w:name w:val="环评表内容"/>
    <w:basedOn w:val="1"/>
    <w:qFormat/>
    <w:uiPriority w:val="0"/>
    <w:pPr>
      <w:widowControl/>
      <w:spacing w:line="260" w:lineRule="exact"/>
      <w:jc w:val="center"/>
    </w:pPr>
    <w:rPr>
      <w:rFonts w:ascii="Tahoma" w:hAnsi="Tahoma" w:cs="Tahoma"/>
    </w:rPr>
  </w:style>
  <w:style w:type="paragraph" w:customStyle="1" w:styleId="155">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6">
    <w:name w:val="_Style 33"/>
    <w:basedOn w:val="1"/>
    <w:qFormat/>
    <w:uiPriority w:val="0"/>
    <w:rPr>
      <w:sz w:val="24"/>
    </w:rPr>
  </w:style>
  <w:style w:type="paragraph" w:customStyle="1" w:styleId="157">
    <w:name w:val="正文1"/>
    <w:basedOn w:val="17"/>
    <w:qFormat/>
    <w:uiPriority w:val="0"/>
    <w:pPr>
      <w:widowControl w:val="0"/>
      <w:spacing w:line="360" w:lineRule="auto"/>
      <w:ind w:firstLine="200"/>
      <w:jc w:val="both"/>
    </w:pPr>
    <w:rPr>
      <w:sz w:val="21"/>
      <w:lang w:val="en-US" w:eastAsia="zh-CN"/>
    </w:rPr>
  </w:style>
  <w:style w:type="paragraph" w:customStyle="1" w:styleId="158">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59">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0">
    <w:name w:val=" Char3"/>
    <w:basedOn w:val="1"/>
    <w:qFormat/>
    <w:uiPriority w:val="0"/>
    <w:rPr>
      <w:szCs w:val="20"/>
    </w:rPr>
  </w:style>
  <w:style w:type="paragraph" w:customStyle="1" w:styleId="161">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2">
    <w:name w:val="小标题"/>
    <w:basedOn w:val="1"/>
    <w:qFormat/>
    <w:uiPriority w:val="0"/>
    <w:pPr>
      <w:widowControl/>
      <w:spacing w:line="360" w:lineRule="auto"/>
      <w:ind w:firstLine="562"/>
      <w:jc w:val="left"/>
    </w:pPr>
    <w:rPr>
      <w:rFonts w:ascii="宋体" w:hAnsi="宋体"/>
      <w:b/>
      <w:sz w:val="28"/>
      <w:szCs w:val="21"/>
    </w:rPr>
  </w:style>
  <w:style w:type="paragraph" w:customStyle="1" w:styleId="163">
    <w:name w:val="表 头"/>
    <w:basedOn w:val="1"/>
    <w:qFormat/>
    <w:uiPriority w:val="0"/>
    <w:pPr>
      <w:widowControl/>
      <w:tabs>
        <w:tab w:val="left" w:pos="3750"/>
      </w:tabs>
      <w:snapToGrid w:val="0"/>
      <w:jc w:val="center"/>
    </w:pPr>
    <w:rPr>
      <w:rFonts w:ascii="Calibri" w:hAnsi="Calibri"/>
      <w:b/>
      <w:bCs/>
    </w:rPr>
  </w:style>
  <w:style w:type="paragraph" w:styleId="164">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5">
    <w:name w:val="列出段落1"/>
    <w:basedOn w:val="1"/>
    <w:qFormat/>
    <w:uiPriority w:val="0"/>
    <w:pPr>
      <w:widowControl/>
      <w:spacing w:line="360" w:lineRule="auto"/>
      <w:ind w:firstLine="420"/>
      <w:jc w:val="left"/>
    </w:pPr>
    <w:rPr>
      <w:rFonts w:ascii="Calibri" w:hAnsi="Calibri"/>
      <w:szCs w:val="21"/>
    </w:rPr>
  </w:style>
  <w:style w:type="paragraph" w:customStyle="1" w:styleId="166">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7">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68">
    <w:name w:val="表   头 Char"/>
    <w:link w:val="169"/>
    <w:qFormat/>
    <w:uiPriority w:val="0"/>
    <w:rPr>
      <w:b/>
    </w:rPr>
  </w:style>
  <w:style w:type="paragraph" w:customStyle="1" w:styleId="169">
    <w:name w:val="表   头"/>
    <w:basedOn w:val="1"/>
    <w:link w:val="168"/>
    <w:qFormat/>
    <w:uiPriority w:val="0"/>
    <w:pPr>
      <w:snapToGrid w:val="0"/>
      <w:jc w:val="center"/>
    </w:pPr>
    <w:rPr>
      <w:b/>
      <w:kern w:val="0"/>
      <w:sz w:val="20"/>
      <w:szCs w:val="20"/>
    </w:rPr>
  </w:style>
  <w:style w:type="character" w:customStyle="1" w:styleId="170">
    <w:name w:val="无间隔表格内 Char"/>
    <w:link w:val="171"/>
    <w:qFormat/>
    <w:uiPriority w:val="0"/>
    <w:rPr>
      <w:sz w:val="21"/>
    </w:rPr>
  </w:style>
  <w:style w:type="paragraph" w:customStyle="1" w:styleId="171">
    <w:name w:val="无间隔表格内"/>
    <w:basedOn w:val="169"/>
    <w:link w:val="170"/>
    <w:qFormat/>
    <w:uiPriority w:val="0"/>
    <w:rPr>
      <w:b w:val="0"/>
      <w:sz w:val="21"/>
    </w:rPr>
  </w:style>
  <w:style w:type="paragraph" w:customStyle="1" w:styleId="172">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3">
    <w:name w:val="大标题"/>
    <w:basedOn w:val="1"/>
    <w:qFormat/>
    <w:uiPriority w:val="0"/>
    <w:pPr>
      <w:spacing w:line="360" w:lineRule="auto"/>
    </w:pPr>
    <w:rPr>
      <w:rFonts w:ascii="宋体" w:hAnsi="宋体"/>
      <w:b/>
      <w:sz w:val="28"/>
      <w:szCs w:val="28"/>
    </w:rPr>
  </w:style>
  <w:style w:type="paragraph" w:customStyle="1" w:styleId="174">
    <w:name w:val="000000"/>
    <w:basedOn w:val="1"/>
    <w:qFormat/>
    <w:uiPriority w:val="0"/>
    <w:pPr>
      <w:widowControl/>
      <w:jc w:val="center"/>
    </w:pPr>
    <w:rPr>
      <w:b/>
      <w:kern w:val="0"/>
      <w:szCs w:val="20"/>
      <w:lang w:val="en-GB"/>
    </w:rPr>
  </w:style>
  <w:style w:type="paragraph" w:customStyle="1" w:styleId="175">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paragraph" w:customStyle="1" w:styleId="176">
    <w:name w:val="阿威表格"/>
    <w:basedOn w:val="1"/>
    <w:qFormat/>
    <w:uiPriority w:val="0"/>
    <w:pPr>
      <w:widowControl/>
      <w:jc w:val="center"/>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7ada3653-acf1-42a2-948e-59009ea71f21</errorID>
      <errorWord>关中</errorWord>
      <group>L1_Word</group>
      <groupName>字词问题</groupName>
      <ability>L2_Typo</ability>
      <abilityName>字词错误</abilityName>
      <candidateList>
        <item>关注</item>
      </candidateList>
      <explain/>
      <paraID>48DF4533</paraID>
      <start>11</start>
      <end>13</end>
      <status>unmodified</status>
      <modifiedWord/>
      <trackRevisions>false</trackRevisions>
    </reviewItem>
    <reviewItem>
      <errorID>8bc8d864-82b5-4b95-801d-3ff98bf3eb0b</errorID>
      <errorWord>》</errorWord>
      <group>L1_Word</group>
      <groupName>字词问题</groupName>
      <ability>L2_Typo</ability>
      <abilityName>字词错误</abilityName>
      <candidateList>
        <item>》等</item>
      </candidateList>
      <explain/>
      <paraID> EA0F0CE</paraID>
      <start>38</start>
      <end>39</end>
      <status>unmodified</status>
      <modifiedWord/>
      <trackRevisions>false</trackRevisions>
    </reviewItem>
    <reviewItem>
      <errorID>6bb478cb-d2b1-4859-847d-3ae54d197190</errorID>
      <errorWord>城乡结合部</errorWord>
      <group>L1_Knowledge</group>
      <groupName>知识性问题</groupName>
      <ability>L2_Knowledge</ability>
      <abilityName>其他知识</abilityName>
      <candidateList>
        <item>城乡接合部</item>
      </candidateList>
      <explain/>
      <paraID>6B83A482</paraID>
      <start>28</start>
      <end>33</end>
      <status>unmodified</status>
      <modifiedWord/>
      <trackRevisions>false</trackRevisions>
    </reviewItem>
    <reviewItem>
      <errorID>f88f96f1-5fae-4f14-a63e-9f5f3a32e017</errorID>
      <errorWord>要求化</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414C92DF</paraID>
      <start>73</start>
      <end>76</end>
      <status>unmodified</status>
      <modifiedWord/>
      <trackRevisions>false</trackRevisions>
    </reviewItem>
    <reviewItem>
      <errorID>66d743dc-5e56-4665-804d-083c3bd6ba04</errorID>
      <errorWord>《陕西省噪声污染防治行动计划》（2023—2025年）</errorWord>
      <group>L1_Knowledge</group>
      <groupName>知识性问题</groupName>
      <ability>L2_Knowledge</ability>
      <abilityName>其他知识</abilityName>
      <candidateList>
        <item>《陕西省噪声污染防治行动计划（2023—2025年）》</item>
      </candidateList>
      <explain>疑似政策文件、法律法规名称等书写不规范，请注意检查。</explain>
      <paraID>6F64BAE0</paraID>
      <start>0</start>
      <end>27</end>
      <status>unmodified</status>
      <modifiedWord/>
      <trackRevisions>false</trackRevisions>
    </reviewItem>
    <reviewItem>
      <errorID>6b9cf22a-1e5a-4dfd-81de-1488722e0cc7</errorID>
      <errorWord>一次</errorWord>
      <group>L1_Knowledge</group>
      <groupName>知识性问题</groupName>
      <ability>L2_Knowledge</ability>
      <abilityName>其他知识</abilityName>
      <candidateList>
        <item>一种</item>
      </candidateList>
      <explain/>
      <paraID> 527057B</paraID>
      <start>37</start>
      <end>39</end>
      <status>unmodified</status>
      <modifiedWord/>
      <trackRevisions>false</trackRevisions>
    </reviewItem>
    <reviewItem>
      <errorID>d9cff398-3366-41ac-a0fe-6bcb1813dbaa</errorID>
      <errorWord>一次</errorWord>
      <group>L1_Knowledge</group>
      <groupName>知识性问题</groupName>
      <ability>L2_Knowledge</ability>
      <abilityName>其他知识</abilityName>
      <candidateList>
        <item>一种</item>
      </candidateList>
      <explain/>
      <paraID>3E6D1277</paraID>
      <start>37</start>
      <end>39</end>
      <status>unmodified</status>
      <modifiedWord/>
      <trackRevisions>false</trackRevisions>
    </reviewItem>
    <reviewItem>
      <errorID>65cf92d3-61a3-407e-bbcb-15ff651b3618</errorID>
      <errorWord>合</errorWord>
      <group>L1_Word</group>
      <groupName>字词问题</groupName>
      <ability>L2_Typo</ability>
      <abilityName>字词错误</abilityName>
      <candidateList>
        <item>荷</item>
      </candidateList>
      <explain/>
      <paraID>69C15B82</paraID>
      <start>26</start>
      <end>27</end>
      <status>unmodified</status>
      <modifiedWord/>
      <trackRevisions>false</trackRevisions>
    </reviewItem>
    <reviewItem>
      <errorID>757bb91d-f7d2-4de4-bd7e-c9ccbc20560a</errorID>
      <errorWord>（</errorWord>
      <group>L1_Punc</group>
      <groupName>标点问题</groupName>
      <ability>L2_Punc</ability>
      <abilityName>标点符号检查</abilityName>
      <candidateList/>
      <explain>同一形式括号套用。</explain>
      <paraID>69C15B82</paraID>
      <start>65</start>
      <end>66</end>
      <status>unmodified</status>
      <modifiedWord/>
      <trackRevisions>false</trackRevisions>
    </reviewItem>
    <reviewItem>
      <errorID>7b8b9f72-672f-4471-bd7c-d63fc7536f66</errorID>
      <errorWord>）</errorWord>
      <group>L1_Punc</group>
      <groupName>标点问题</groupName>
      <ability>L2_Punc</ability>
      <abilityName>标点符号检查</abilityName>
      <candidateList/>
      <explain>同一形式括号套用。</explain>
      <paraID>69C15B82</paraID>
      <start>70</start>
      <end>71</end>
      <status>unmodified</status>
      <modifiedWord/>
      <trackRevisions>false</trackRevisions>
    </reviewItem>
    <reviewItem>
      <errorID>04110ee9-e1ee-43fc-9812-fd227242ccc5</errorID>
      <errorWord>（</errorWord>
      <group>L1_Punc</group>
      <groupName>标点问题</groupName>
      <ability>L2_Punc</ability>
      <abilityName>标点符号检查</abilityName>
      <candidateList/>
      <explain>同一形式括号套用。</explain>
      <paraID>25F918AE</paraID>
      <start>22</start>
      <end>23</end>
      <status>unmodified</status>
      <modifiedWord/>
      <trackRevisions>false</trackRevisions>
    </reviewItem>
    <reviewItem>
      <errorID>436310b1-b00e-4c0d-bef7-6a9f0e2ee134</errorID>
      <errorWord>）</errorWord>
      <group>L1_Punc</group>
      <groupName>标点问题</groupName>
      <ability>L2_Punc</ability>
      <abilityName>标点符号检查</abilityName>
      <candidateList/>
      <explain>同一形式括号套用。</explain>
      <paraID>25F918AE</paraID>
      <start>32</start>
      <end>33</end>
      <status>unmodified</status>
      <modifiedWord/>
      <trackRevisions>false</trackRevisions>
    </reviewItem>
    <reviewItem>
      <errorID>95f84b8e-f485-4085-b22b-81845cf9f814</errorID>
      <errorWord>.</errorWord>
      <group>L1_Punc</group>
      <groupName>标点问题</groupName>
      <ability>L2_Punc</ability>
      <abilityName>标点符号检查</abilityName>
      <candidateList/>
      <explain/>
      <paraID>305617B8</paraID>
      <start>0</start>
      <end>1</end>
      <status>unmodified</status>
      <modifiedWord/>
      <trackRevisions>false</trackRevisions>
    </reviewItem>
    <reviewItem>
      <errorID>4edd9f25-71d6-4e66-b9d1-a31ba1227e76</errorID>
      <errorWord>售处理</errorWord>
      <group>L1_Word</group>
      <groupName>字词问题</groupName>
      <ability>L2_Typo</ability>
      <abilityName>字词错误</abilityName>
      <candidateList>
        <item>收处理</item>
      </candidateList>
      <explain/>
      <paraID>781CDECF</paraID>
      <start>40</start>
      <end>43</end>
      <status>unmodified</status>
      <modifiedWord/>
      <trackRevisions>false</trackRevisions>
    </reviewItem>
    <reviewItem>
      <errorID>03136e06-7eb0-4097-9ae9-0f5fe9dc9f47</errorID>
      <errorWord>（</errorWord>
      <group>L1_Format</group>
      <groupName>格式问题</groupName>
      <ability>L2_HalfPunc</ability>
      <abilityName>全半角检查</abilityName>
      <candidateList>
        <item>(</item>
      </candidateList>
      <explain>文本全半角错误。</explain>
      <paraID>1BDE42B6</paraID>
      <start>15</start>
      <end>16</end>
      <status>unmodified</status>
      <modifiedWord/>
      <trackRevisions>false</trackRevisions>
    </reviewItem>
    <reviewItem>
      <errorID>ddf6013a-237c-4012-ad15-67158e977e67</errorID>
      <errorWord>）</errorWord>
      <group>L1_Format</group>
      <groupName>格式问题</groupName>
      <ability>L2_HalfPunc</ability>
      <abilityName>全半角检查</abilityName>
      <candidateList>
        <item>)</item>
      </candidateList>
      <explain>文本全半角错误。</explain>
      <paraID>1BDE42B6</paraID>
      <start>29</start>
      <end>30</end>
      <status>unmodified</status>
      <modifiedWord/>
      <trackRevisions>false</trackRevisions>
    </reviewItem>
    <reviewItem>
      <errorID>f3c276a9-9ad6-421e-bb8e-2ee15ebd9090</errorID>
      <errorWord>（</errorWord>
      <group>L1_Format</group>
      <groupName>格式问题</groupName>
      <ability>L2_HalfPunc</ability>
      <abilityName>全半角检查</abilityName>
      <candidateList>
        <item>(</item>
      </candidateList>
      <explain>文本全半角错误。</explain>
      <paraID>1BDE42B6</paraID>
      <start>42</start>
      <end>43</end>
      <status>unmodified</status>
      <modifiedWord/>
      <trackRevisions>false</trackRevisions>
    </reviewItem>
    <reviewItem>
      <errorID>f6866a16-cad0-4233-968d-7da949c38c81</errorID>
      <errorWord>）</errorWord>
      <group>L1_Format</group>
      <groupName>格式问题</groupName>
      <ability>L2_HalfPunc</ability>
      <abilityName>全半角检查</abilityName>
      <candidateList>
        <item>)</item>
      </candidateList>
      <explain>文本全半角错误。</explain>
      <paraID>1BDE42B6</paraID>
      <start>47</start>
      <end>48</end>
      <status>unmodified</status>
      <modifiedWord/>
      <trackRevisions>false</trackRevisions>
    </reviewItem>
    <reviewItem>
      <errorID>00b978e7-7b56-4e0a-9b29-f79a66b5a5f4</errorID>
      <errorWord>加入计量</errorWord>
      <group>L1_Word</group>
      <groupName>字词问题</groupName>
      <ability>L2_Typo</ability>
      <abilityName>字词错误</abilityName>
      <candidateList>
        <item>加入适量</item>
      </candidateList>
      <explain/>
      <paraID>22D39326</paraID>
      <start>141</start>
      <end>145</end>
      <status>unmodified</status>
      <modifiedWord/>
      <trackRevisions>false</trackRevisions>
    </reviewItem>
    <reviewItem>
      <errorID>52709039-93da-4867-b42a-3732b793a848</errorID>
      <errorWord>用水水质</errorWord>
      <group>L1_Knowledge</group>
      <groupName>知识性问题</groupName>
      <ability>L2_Term</ability>
      <abilityName>专业术语</abilityName>
      <candidateList>
        <item>出水水质</item>
      </candidateList>
      <explain/>
      <paraID>3A4C1EDF</paraID>
      <start>75</start>
      <end>79</end>
      <status>unmodified</status>
      <modifiedWord/>
      <trackRevisions>false</trackRevisions>
    </reviewItem>
    <reviewItem>
      <errorID>733e810c-a038-49d4-aaef-2271eb963a1e</errorID>
      <errorWord>融化</errorWord>
      <group>L1_Word</group>
      <groupName>字词问题</groupName>
      <ability>L2_Typo</ability>
      <abilityName>字词错误</abilityName>
      <candidateList>
        <item>熔化</item>
      </candidateList>
      <explain>存在发音相同字词的误用。</explain>
      <paraID>1EC0A72A</paraID>
      <start>42</start>
      <end>44</end>
      <status>unmodified</status>
      <modifiedWord/>
      <trackRevisions>false</trackRevisions>
    </reviewItem>
    <reviewItem>
      <errorID>a744ac55-1e00-495d-9436-4f648cbf9dfe</errorID>
      <errorWord>仅</errorWord>
      <group>L1_Word</group>
      <groupName>字词问题</groupName>
      <ability>L2_Typo</ability>
      <abilityName>字词错误</abilityName>
      <candidateList>
        <item>及</item>
      </candidateList>
      <explain>存在发音相近字词的误用。</explain>
      <paraID>4545E8B7</paraID>
      <start>173</start>
      <end>174</end>
      <status>unmodified</status>
      <modifiedWord/>
      <trackRevisions>false</trackRevisions>
    </reviewItem>
    <reviewItem>
      <errorID>2610e031-4cf0-460d-99f4-a7d29c47a14b</errorID>
      <errorWord>年</errorWord>
      <group>L1_Word</group>
      <groupName>字词问题</groupName>
      <ability>L2_Typo</ability>
      <abilityName>字词错误</abilityName>
      <candidateList>
        <item>年度</item>
      </candidateList>
      <explain/>
      <paraID>6CF55076</paraID>
      <start>0</start>
      <end>1</end>
      <status>unmodified</status>
      <modifiedWord/>
      <trackRevisions>false</trackRevisions>
    </reviewItem>
    <reviewItem>
      <errorID>391fb5b9-3591-4dcc-af3f-c20a0a538917</errorID>
      <errorWord>（</errorWord>
      <group>L1_Format</group>
      <groupName>格式问题</groupName>
      <ability>L2_HalfPunc</ability>
      <abilityName>全半角检查</abilityName>
      <candidateList>
        <item>(</item>
      </candidateList>
      <explain>文本全半角错误。</explain>
      <paraID> A45C636</paraID>
      <start>0</start>
      <end>1</end>
      <status>unmodified</status>
      <modifiedWord/>
      <trackRevisions>false</trackRevisions>
    </reviewItem>
    <reviewItem>
      <errorID>94dce4aa-7c12-49f6-8c49-5209d3dcdec1</errorID>
      <errorWord>）</errorWord>
      <group>L1_Format</group>
      <groupName>格式问题</groupName>
      <ability>L2_HalfPunc</ability>
      <abilityName>全半角检查</abilityName>
      <candidateList>
        <item>)</item>
      </candidateList>
      <explain>文本全半角错误。</explain>
      <paraID> A45C636</paraID>
      <start>6</start>
      <end>7</end>
      <status>unmodified</status>
      <modifiedWord/>
      <trackRevisions>false</trackRevisions>
    </reviewItem>
    <reviewItem>
      <errorID>4a59198b-3ec8-4cd1-8750-becd3f9a4886</errorID>
      <errorWord>（</errorWord>
      <group>L1_Format</group>
      <groupName>格式问题</groupName>
      <ability>L2_HalfPunc</ability>
      <abilityName>全半角检查</abilityName>
      <candidateList>
        <item>(</item>
      </candidateList>
      <explain>文本全半角错误。</explain>
      <paraID>61F58809</paraID>
      <start>0</start>
      <end>1</end>
      <status>unmodified</status>
      <modifiedWord/>
      <trackRevisions>false</trackRevisions>
    </reviewItem>
    <reviewItem>
      <errorID>fbc378f8-8a33-44be-97fc-91103cc7d5cc</errorID>
      <errorWord>）</errorWord>
      <group>L1_Format</group>
      <groupName>格式问题</groupName>
      <ability>L2_HalfPunc</ability>
      <abilityName>全半角检查</abilityName>
      <candidateList>
        <item>)</item>
      </candidateList>
      <explain>文本全半角错误。</explain>
      <paraID>61F58809</paraID>
      <start>6</start>
      <end>7</end>
      <status>unmodified</status>
      <modifiedWord/>
      <trackRevisions>false</trackRevisions>
    </reviewItem>
    <reviewItem>
      <errorID>7d53af78-645a-4cfa-939e-4bc7d64982bd</errorID>
      <errorWord>59%~60%</errorWord>
      <group>L1_Knowledge</group>
      <groupName>知识性问题</groupName>
      <ability>L2_Knowledge</ability>
      <abilityName>其他知识</abilityName>
      <candidateList>
        <item>59%～60%</item>
      </candidateList>
      <explain>1. “59%~60%”中的单位“%”仅出现在后一个数字上，容易引起歧义；根据《现代汉语标点符号数字用法规范手册》，数字表示范围两边需要使用统一的格式。2. 根据标点国标 4.13 中的规则，数字、时间或地域连接符应使用（视觉上更长的）“—”或“～”。</explain>
      <paraID>2D1882C8</paraID>
      <start>0</start>
      <end>7</end>
      <status>unmodified</status>
      <modifiedWord/>
      <trackRevisions>false</trackRevisions>
    </reviewItem>
    <reviewItem>
      <errorID>685391ac-13ae-4133-8d45-128f651cd56f</errorID>
      <errorWord>6%~11%</errorWord>
      <group>L1_Knowledge</group>
      <groupName>知识性问题</groupName>
      <ability>L2_Knowledge</ability>
      <abilityName>其他知识</abilityName>
      <candidateList>
        <item>6%～11%</item>
      </candidateList>
      <explain>1. “6%~11%”中的单位“%”仅出现在后一个数字上，容易引起歧义；根据《现代汉语标点符号数字用法规范手册》，数字表示范围两边需要使用统一的格式。2. 根据标点国标 4.13 中的规则，数字、时间或地域连接符应使用（视觉上更长的）“—”或“～”。</explain>
      <paraID>35D43FD0</paraID>
      <start>0</start>
      <end>6</end>
      <status>unmodified</status>
      <modifiedWord/>
      <trackRevisions>false</trackRevisions>
    </reviewItem>
    <reviewItem>
      <errorID>8a39b865-ec51-4928-90d5-13aa0ad762fa</errorID>
      <errorWord>（</errorWord>
      <group>L1_Format</group>
      <groupName>格式问题</groupName>
      <ability>L2_HalfPunc</ability>
      <abilityName>全半角检查</abilityName>
      <candidateList>
        <item>(</item>
      </candidateList>
      <explain>文本全半角错误。</explain>
      <paraID>5CF1D1B0</paraID>
      <start>2</start>
      <end>3</end>
      <status>unmodified</status>
      <modifiedWord/>
      <trackRevisions>false</trackRevisions>
    </reviewItem>
    <reviewItem>
      <errorID>9550ba8d-146f-4a4d-865e-741bd13e2754</errorID>
      <errorWord>）</errorWord>
      <group>L1_Format</group>
      <groupName>格式问题</groupName>
      <ability>L2_HalfPunc</ability>
      <abilityName>全半角检查</abilityName>
      <candidateList>
        <item>)</item>
      </candidateList>
      <explain>文本全半角错误。</explain>
      <paraID>5CF1D1B0</paraID>
      <start>4</start>
      <end>5</end>
      <status>unmodified</status>
      <modifiedWord/>
      <trackRevisions>false</trackRevisions>
    </reviewItem>
    <reviewItem>
      <errorID>35d8e6fd-b2eb-4217-a2fc-9585d3c94539</errorID>
      <errorWord>织</errorWord>
      <group>L1_Word</group>
      <groupName>字词问题</groupName>
      <ability>L2_Typo</ability>
      <abilityName>字词错误</abilityName>
      <candidateList>
        <item>织在</item>
      </candidateList>
      <explain/>
      <paraID>360F8418</paraID>
      <start>87</start>
      <end>88</end>
      <status>unmodified</status>
      <modifiedWord/>
      <trackRevisions>false</trackRevisions>
    </reviewItem>
    <reviewItem>
      <errorID>bf4d1921-82b2-4ac7-9898-016762e260ac</errorID>
      <errorWord>喷粉</errorWord>
      <group>L1_Word</group>
      <groupName>字词问题</groupName>
      <ability>L2_Typo</ability>
      <abilityName>字词错误</abilityName>
      <candidateList>
        <item>喷洒</item>
      </candidateList>
      <explain>〈动〉喷射散落（多用于液体）：～农药。</explain>
      <paraID>437600E8</paraID>
      <start>0</start>
      <end>2</end>
      <status>unmodified</status>
      <modifiedWord/>
      <trackRevisions>false</trackRevisions>
    </reviewItem>
    <reviewItem>
      <errorID>8505c333-20a6-4ddf-aab1-17c0dcc3f1e0</errorID>
      <errorWord>《</errorWord>
      <group>L1_Punc</group>
      <groupName>标点问题</groupName>
      <ability>L2_Punc</ability>
      <abilityName>标点符号检查</abilityName>
      <candidateList/>
      <explain>同一形式括号套用。</explain>
      <paraID>14643DD2</paraID>
      <start>0</start>
      <end>1</end>
      <status>unmodified</status>
      <modifiedWord/>
      <trackRevisions>false</trackRevisions>
    </reviewItem>
    <reviewItem>
      <errorID>a658910e-3ee8-43f9-b28c-7504dcf01a52</errorID>
      <errorWord>》</errorWord>
      <group>L1_Punc</group>
      <groupName>标点问题</groupName>
      <ability>L2_Punc</ability>
      <abilityName>标点符号检查</abilityName>
      <candidateList/>
      <explain>同一形式括号套用。</explain>
      <paraID>14643DD2</paraID>
      <start>12</start>
      <end>13</end>
      <status>unmodified</status>
      <modifiedWord/>
      <trackRevisions>false</trackRevisions>
    </reviewItem>
    <reviewItem>
      <errorID>16cfbf0c-b362-4a61-af33-c8e0e2c59471</errorID>
      <errorWord>（</errorWord>
      <group>L1_Punc</group>
      <groupName>标点问题</groupName>
      <ability>L2_Punc</ability>
      <abilityName>标点符号检查</abilityName>
      <candidateList/>
      <explain>同一形式括号套用。</explain>
      <paraID> FC9519F</paraID>
      <start>74</start>
      <end>75</end>
      <status>unmodified</status>
      <modifiedWord/>
      <trackRevisions>false</trackRevisions>
    </reviewItem>
    <reviewItem>
      <errorID>f6680a0a-8a34-4645-a489-f423163ddf74</errorID>
      <errorWord>）</errorWord>
      <group>L1_Punc</group>
      <groupName>标点问题</groupName>
      <ability>L2_Punc</ability>
      <abilityName>标点符号检查</abilityName>
      <candidateList/>
      <explain>同一形式括号套用。</explain>
      <paraID> FC9519F</paraID>
      <start>78</start>
      <end>79</end>
      <status>unmodified</status>
      <modifiedWord/>
      <trackRevisions>false</trackRevisions>
    </reviewItem>
    <reviewItem>
      <errorID>d4b9f990-aa99-462e-9d5f-67d5cff98e4b</errorID>
      <errorWord>《</errorWord>
      <group>L1_Punc</group>
      <groupName>标点问题</groupName>
      <ability>L2_Punc</ability>
      <abilityName>标点符号检查</abilityName>
      <candidateList/>
      <explain/>
      <paraID>200B1A63</paraID>
      <start>96</start>
      <end>97</end>
      <status>unmodified</status>
      <modifiedWord/>
      <trackRevisions>false</trackRevisions>
    </reviewItem>
    <reviewItem>
      <errorID>f372fd30-f101-43a8-b6e2-2442c8fa3dbd</errorID>
      <errorWord>设</errorWord>
      <group>L1_Word</group>
      <groupName>字词问题</groupName>
      <ability>L2_Typo</ability>
      <abilityName>字词错误</abilityName>
      <candidateList>
        <item>设置</item>
      </candidateList>
      <explain>〈动〉❶设立：这座剧院是为儿童～的。❷安放；安装：～障碍。</explain>
      <paraID>21207B79</paraID>
      <start>37</start>
      <end>38</end>
      <status>unmodified</status>
      <modifiedWord/>
      <trackRevisions>false</trackRevisions>
    </reviewItem>
    <reviewItem>
      <errorID>cc2e377f-8440-445b-8642-bb3d5558a978</errorID>
      <errorWord>喷粉</errorWord>
      <group>L1_Word</group>
      <groupName>字词问题</groupName>
      <ability>L2_Typo</ability>
      <abilityName>字词错误</abilityName>
      <candidateList>
        <item>喷洒</item>
      </candidateList>
      <explain>〈动〉喷射散落（多用于液体）：～农药。</explain>
      <paraID>  67E304</paraID>
      <start>1</start>
      <end>3</end>
      <status>unmodified</status>
      <modifiedWord/>
      <trackRevisions>false</trackRevisions>
    </reviewItem>
    <reviewItem>
      <errorID>887223fb-8898-4397-9d62-eaf52c681b27</errorID>
      <errorWord>（</errorWord>
      <group>L1_Punc</group>
      <groupName>标点问题</groupName>
      <ability>L2_Punc</ability>
      <abilityName>标点符号检查</abilityName>
      <candidateList/>
      <explain>同一形式括号套用。</explain>
      <paraID>34DF8F54</paraID>
      <start>144</start>
      <end>145</end>
      <status>unmodified</status>
      <modifiedWord/>
      <trackRevisions>false</trackRevisions>
    </reviewItem>
    <reviewItem>
      <errorID>14d42deb-28ea-4c81-b1c6-ee9741266dc4</errorID>
      <errorWord>）</errorWord>
      <group>L1_Punc</group>
      <groupName>标点问题</groupName>
      <ability>L2_Punc</ability>
      <abilityName>标点符号检查</abilityName>
      <candidateList/>
      <explain>同一形式括号套用。</explain>
      <paraID>34DF8F54</paraID>
      <start>148</start>
      <end>149</end>
      <status>unmodified</status>
      <modifiedWord/>
      <trackRevisions>false</trackRevisions>
    </reviewItem>
    <reviewItem>
      <errorID>46645bea-ed23-4b58-a6d6-30f6e0c8085b</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7935326D</paraID>
      <start>65</start>
      <end>68</end>
      <status>unmodified</status>
      <modifiedWord/>
      <trackRevisions>false</trackRevisions>
    </reviewItem>
    <reviewItem>
      <errorID>28727b63-58ef-4ebd-87b8-f410ceadfc19</errorID>
      <errorWord>氩弧焊机</errorWord>
      <group>L1_Knowledge</group>
      <groupName>知识性问题</groupName>
      <ability>L2_Term</ability>
      <abilityName>专业术语</abilityName>
      <candidateList>
        <item>埋弧焊机</item>
      </candidateList>
      <explain/>
      <paraID>53466F8F</paraID>
      <start>0</start>
      <end>4</end>
      <status>unmodified</status>
      <modifiedWord/>
      <trackRevisions>false</trackRevisions>
    </reviewItem>
    <reviewItem>
      <errorID>e0fea67c-73b5-4059-b228-cdbabcb1bb84</errorID>
      <errorWord>（</errorWord>
      <group>L1_Format</group>
      <groupName>格式问题</groupName>
      <ability>L2_HalfPunc</ability>
      <abilityName>全半角检查</abilityName>
      <candidateList>
        <item>(</item>
      </candidateList>
      <explain>文本全半角错误。</explain>
      <paraID> CDDBD7A</paraID>
      <start>0</start>
      <end>1</end>
      <status>unmodified</status>
      <modifiedWord/>
      <trackRevisions>false</trackRevisions>
    </reviewItem>
    <reviewItem>
      <errorID>b9039a5c-7f2e-448b-9ce3-4d66714898f9</errorID>
      <errorWord>）</errorWord>
      <group>L1_Format</group>
      <groupName>格式问题</groupName>
      <ability>L2_HalfPunc</ability>
      <abilityName>全半角检查</abilityName>
      <candidateList>
        <item>)</item>
      </candidateList>
      <explain>文本全半角错误。</explain>
      <paraID> CDDBD7A</paraID>
      <start>5</start>
      <end>6</end>
      <status>unmodified</status>
      <modifiedWord/>
      <trackRevisions>false</trackRevisions>
    </reviewItem>
    <reviewItem>
      <errorID>6b908cf4-4cde-4cc0-ae94-375cf584fce2</errorID>
      <errorWord>（</errorWord>
      <group>L1_Format</group>
      <groupName>格式问题</groupName>
      <ability>L2_HalfPunc</ability>
      <abilityName>全半角检查</abilityName>
      <candidateList>
        <item>(</item>
      </candidateList>
      <explain>文本全半角错误。</explain>
      <paraID>35F304BF</paraID>
      <start>0</start>
      <end>1</end>
      <status>unmodified</status>
      <modifiedWord/>
      <trackRevisions>false</trackRevisions>
    </reviewItem>
    <reviewItem>
      <errorID>f1881765-c4f2-485c-b9a0-712f0a25b76c</errorID>
      <errorWord>）</errorWord>
      <group>L1_Format</group>
      <groupName>格式问题</groupName>
      <ability>L2_HalfPunc</ability>
      <abilityName>全半角检查</abilityName>
      <candidateList>
        <item>)</item>
      </candidateList>
      <explain>文本全半角错误。</explain>
      <paraID>35F304BF</paraID>
      <start>6</start>
      <end>7</end>
      <status>unmodified</status>
      <modifiedWord/>
      <trackRevisions>false</trackRevisions>
    </reviewItem>
    <reviewItem>
      <errorID>3c348f87-d59c-47a9-958b-1a62d3e1b5ab</errorID>
      <errorWord>（</errorWord>
      <group>L1_Format</group>
      <groupName>格式问题</groupName>
      <ability>L2_HalfPunc</ability>
      <abilityName>全半角检查</abilityName>
      <candidateList>
        <item>(</item>
      </candidateList>
      <explain>文本全半角错误。</explain>
      <paraID>574349D8</paraID>
      <start>0</start>
      <end>1</end>
      <status>unmodified</status>
      <modifiedWord/>
      <trackRevisions>false</trackRevisions>
    </reviewItem>
    <reviewItem>
      <errorID>cadd932d-36d2-4284-a829-3bfbc061e43c</errorID>
      <errorWord>）</errorWord>
      <group>L1_Format</group>
      <groupName>格式问题</groupName>
      <ability>L2_HalfPunc</ability>
      <abilityName>全半角检查</abilityName>
      <candidateList>
        <item>)</item>
      </candidateList>
      <explain>文本全半角错误。</explain>
      <paraID>574349D8</paraID>
      <start>6</start>
      <end>7</end>
      <status>unmodified</status>
      <modifiedWord/>
      <trackRevisions>false</trackRevisions>
    </reviewItem>
    <reviewItem>
      <errorID>dbce8853-48a2-473b-a1d8-fc27bcc5216f</errorID>
      <errorWord>《</errorWord>
      <group>L1_Punc</group>
      <groupName>标点问题</groupName>
      <ability>L2_Punc</ability>
      <abilityName>标点符号检查</abilityName>
      <candidateList/>
      <explain/>
      <paraID> 943D33B</paraID>
      <start>0</start>
      <end>1</end>
      <status>unmodified</status>
      <modifiedWord/>
      <trackRevisions>false</trackRevisions>
    </reviewItem>
    <reviewItem>
      <errorID>debfe98f-3691-4707-802e-0a8b563bf79c</errorID>
      <errorWord>（</errorWord>
      <group>L1_Format</group>
      <groupName>格式问题</groupName>
      <ability>L2_HalfPunc</ability>
      <abilityName>全半角检查</abilityName>
      <candidateList>
        <item>(</item>
      </candidateList>
      <explain>文本全半角错误。</explain>
      <paraID>2A33BA2D</paraID>
      <start>11</start>
      <end>12</end>
      <status>unmodified</status>
      <modifiedWord/>
      <trackRevisions>false</trackRevisions>
    </reviewItem>
    <reviewItem>
      <errorID>223d369c-503c-467f-9097-f3f52bf28df2</errorID>
      <errorWord>）</errorWord>
      <group>L1_Format</group>
      <groupName>格式问题</groupName>
      <ability>L2_HalfPunc</ability>
      <abilityName>全半角检查</abilityName>
      <candidateList>
        <item>)</item>
      </candidateList>
      <explain>文本全半角错误。</explain>
      <paraID>2A33BA2D</paraID>
      <start>22</start>
      <end>23</end>
      <status>unmodified</status>
      <modifiedWord/>
      <trackRevisions>false</trackRevisions>
    </reviewItem>
    <reviewItem>
      <errorID>4ea5fd0d-de6d-4f6a-92c4-5fe7c72afbe7</errorID>
      <errorWord>售处理</errorWord>
      <group>L1_Word</group>
      <groupName>字词问题</groupName>
      <ability>L2_Typo</ability>
      <abilityName>字词错误</abilityName>
      <candidateList>
        <item>收处理</item>
      </candidateList>
      <explain/>
      <paraID> F4F9050</paraID>
      <start>54</start>
      <end>57</end>
      <status>unmodified</status>
      <modifiedWord/>
      <trackRevisions>false</trackRevisions>
    </reviewItem>
    <reviewItem>
      <errorID>ddd2ef08-317e-4e3e-ba66-d9013eca9799</errorID>
      <errorWord>售处理</errorWord>
      <group>L1_Word</group>
      <groupName>字词问题</groupName>
      <ability>L2_Typo</ability>
      <abilityName>字词错误</abilityName>
      <candidateList>
        <item>收处理</item>
      </candidateList>
      <explain/>
      <paraID>447CCA18</paraID>
      <start>52</start>
      <end>55</end>
      <status>unmodified</status>
      <modifiedWord/>
      <trackRevisions>false</trackRevisions>
    </reviewItem>
    <reviewItem>
      <errorID>cf206b33-ec23-4b0c-a1f8-61a65479c725</errorID>
      <errorWord>安全岗位责任制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词汇“安全生产责任制”在特定场景下为固定表述形式，请确认此处的“安全岗位责任制”是否存在不当。</explain>
      <paraID>2FEE67F6</paraID>
      <start>43</start>
      <end>50</end>
      <status>unmodified</status>
      <modifiedWord/>
      <trackRevisions>false</trackRevisions>
    </reviewItem>
    <reviewItem>
      <errorID>51afcc1f-08b8-4bdb-a169-21a485f51486</errorID>
      <errorWord>喷粉</errorWord>
      <group>L1_Word</group>
      <groupName>字词问题</groupName>
      <ability>L2_Typo</ability>
      <abilityName>字词错误</abilityName>
      <candidateList>
        <item>喷洒</item>
      </candidateList>
      <explain>〈动〉喷射散落（多用于液体）：～农药。</explain>
      <paraID>6DB47EFF</paraID>
      <start>0</start>
      <end>2</end>
      <status>unmodified</status>
      <modifiedWord/>
      <trackRevisions>false</trackRevisions>
    </reviewItem>
    <reviewItem>
      <errorID>cfa11358-abfd-44ca-af56-6a46cb2f6f19</errorID>
      <errorWord>《</errorWord>
      <group>L1_Punc</group>
      <groupName>标点问题</groupName>
      <ability>L2_Punc</ability>
      <abilityName>标点符号检查</abilityName>
      <candidateList/>
      <explain/>
      <paraID>178F93A0</paraID>
      <start>95</start>
      <end>96</end>
      <status>unmodified</status>
      <modifiedWord/>
      <trackRevisions>false</trackRevisions>
    </reviewItem>
    <reviewItem>
      <errorID>cb31781b-437a-438a-835e-c94664a14a23</errorID>
      <errorWord>（</errorWord>
      <group>L1_Punc</group>
      <groupName>标点问题</groupName>
      <ability>L2_Punc</ability>
      <abilityName>标点符号检查</abilityName>
      <candidateList/>
      <explain>同一形式括号套用。</explain>
      <paraID>365FA994</paraID>
      <start>123</start>
      <end>124</end>
      <status>unmodified</status>
      <modifiedWord/>
      <trackRevisions>false</trackRevisions>
    </reviewItem>
    <reviewItem>
      <errorID>baf23122-4fb0-475a-8701-61e6b5daf8d7</errorID>
      <errorWord>）</errorWord>
      <group>L1_Punc</group>
      <groupName>标点问题</groupName>
      <ability>L2_Punc</ability>
      <abilityName>标点符号检查</abilityName>
      <candidateList/>
      <explain>同一形式括号套用。</explain>
      <paraID>365FA994</paraID>
      <start>127</start>
      <end>128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8cfbf8-7582-411b-ad10-6020cee20fe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37857</Words>
  <Characters>43636</Characters>
  <Lines>153</Lines>
  <Paragraphs>43</Paragraphs>
  <TotalTime>6</TotalTime>
  <ScaleCrop>false</ScaleCrop>
  <LinksUpToDate>false</LinksUpToDate>
  <CharactersWithSpaces>43910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bulabula</cp:lastModifiedBy>
  <cp:lastPrinted>2020-12-29T02:43:00Z</cp:lastPrinted>
  <dcterms:modified xsi:type="dcterms:W3CDTF">2026-05-06T09:00:05Z</dcterms:modified>
  <dc:title>附件2</dc:title>
  <cp:revision>7254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50412FA1DE654DED91328B6C9EDE9F50_13</vt:lpwstr>
  </property>
  <property fmtid="{D5CDD505-2E9C-101B-9397-08002B2CF9AE}" pid="4" name="KSOTemplateDocerSaveRecord">
    <vt:lpwstr>eyJoZGlkIjoiMWQ5OTAxMDUzZGMwYjQwOTk5NmRlZWFhMmIxNzMxNmQiLCJ1c2VySWQiOiIxMzM3ODM2MiJ9</vt:lpwstr>
  </property>
</Properties>
</file>