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3A7792">
      <w:pPr>
        <w:spacing w:line="360" w:lineRule="auto"/>
        <w:jc w:val="center"/>
        <w:outlineLvl w:val="0"/>
        <w:rPr>
          <w:rFonts w:hint="default" w:ascii="黑体" w:hAnsi="黑体" w:eastAsia="黑体" w:cs="仿宋_GB2312"/>
          <w:b/>
          <w:bCs/>
          <w:color w:val="auto"/>
          <w:sz w:val="32"/>
          <w:szCs w:val="36"/>
          <w:lang w:val="en-US" w:eastAsia="zh-CN"/>
        </w:rPr>
      </w:pPr>
    </w:p>
    <w:p w14:paraId="447899F8">
      <w:pPr>
        <w:spacing w:line="360" w:lineRule="auto"/>
        <w:jc w:val="center"/>
        <w:outlineLvl w:val="0"/>
        <w:rPr>
          <w:rFonts w:ascii="黑体" w:hAnsi="黑体" w:eastAsia="黑体" w:cs="仿宋_GB2312"/>
          <w:color w:val="auto"/>
          <w:sz w:val="32"/>
          <w:szCs w:val="36"/>
        </w:rPr>
      </w:pPr>
    </w:p>
    <w:p w14:paraId="7064AE0A">
      <w:pPr>
        <w:spacing w:line="360" w:lineRule="auto"/>
        <w:jc w:val="center"/>
        <w:outlineLvl w:val="0"/>
        <w:rPr>
          <w:rFonts w:hint="eastAsia" w:ascii="黑体" w:hAnsi="黑体" w:eastAsia="黑体" w:cs="仿宋_GB2312"/>
          <w:color w:val="auto"/>
          <w:sz w:val="32"/>
          <w:szCs w:val="36"/>
        </w:rPr>
      </w:pPr>
    </w:p>
    <w:p w14:paraId="186F99CF">
      <w:pPr>
        <w:adjustRightInd w:val="0"/>
        <w:snapToGrid w:val="0"/>
        <w:jc w:val="center"/>
        <w:outlineLvl w:val="0"/>
        <w:rPr>
          <w:rFonts w:hint="eastAsia" w:ascii="方正小标宋_GBK" w:eastAsia="方正小标宋_GBK"/>
          <w:bCs/>
          <w:color w:val="auto"/>
          <w:sz w:val="72"/>
          <w:szCs w:val="72"/>
        </w:rPr>
      </w:pPr>
      <w:r>
        <w:rPr>
          <w:rFonts w:hint="eastAsia" w:ascii="方正小标宋_GBK" w:eastAsia="方正小标宋_GBK"/>
          <w:bCs/>
          <w:color w:val="auto"/>
          <w:sz w:val="72"/>
          <w:szCs w:val="72"/>
        </w:rPr>
        <w:t>建设项目环境影响报告表</w:t>
      </w:r>
    </w:p>
    <w:p w14:paraId="43DB8C31">
      <w:pPr>
        <w:adjustRightInd w:val="0"/>
        <w:snapToGrid w:val="0"/>
        <w:spacing w:before="192" w:beforeLines="80"/>
        <w:jc w:val="center"/>
        <w:rPr>
          <w:rFonts w:hint="eastAsia" w:ascii="楷体_GB2312" w:eastAsia="楷体_GB2312"/>
          <w:bCs/>
          <w:color w:val="auto"/>
          <w:sz w:val="48"/>
          <w:szCs w:val="48"/>
        </w:rPr>
      </w:pPr>
      <w:r>
        <w:rPr>
          <w:rFonts w:hint="eastAsia" w:ascii="楷体_GB2312" w:eastAsia="楷体_GB2312"/>
          <w:bCs/>
          <w:color w:val="auto"/>
          <w:sz w:val="48"/>
          <w:szCs w:val="48"/>
        </w:rPr>
        <w:t>（污染影响类）</w:t>
      </w:r>
    </w:p>
    <w:p w14:paraId="46076F97">
      <w:pPr>
        <w:adjustRightInd w:val="0"/>
        <w:snapToGrid w:val="0"/>
        <w:spacing w:line="288" w:lineRule="auto"/>
        <w:jc w:val="center"/>
        <w:outlineLvl w:val="0"/>
        <w:rPr>
          <w:rFonts w:ascii="华文仿宋" w:hAnsi="华文仿宋" w:eastAsia="华文仿宋" w:cs="华文仿宋"/>
          <w:color w:val="auto"/>
          <w:kern w:val="44"/>
          <w:sz w:val="44"/>
          <w:szCs w:val="44"/>
        </w:rPr>
      </w:pPr>
    </w:p>
    <w:p w14:paraId="47A3B6A2">
      <w:pPr>
        <w:spacing w:line="360" w:lineRule="auto"/>
        <w:jc w:val="center"/>
        <w:outlineLvl w:val="0"/>
        <w:rPr>
          <w:rFonts w:ascii="黑体" w:hAnsi="黑体" w:eastAsia="黑体"/>
          <w:color w:val="auto"/>
          <w:sz w:val="32"/>
          <w:szCs w:val="44"/>
        </w:rPr>
      </w:pPr>
    </w:p>
    <w:p w14:paraId="78AEC23F">
      <w:pPr>
        <w:spacing w:line="360" w:lineRule="auto"/>
        <w:jc w:val="center"/>
        <w:outlineLvl w:val="0"/>
        <w:rPr>
          <w:rFonts w:ascii="黑体" w:hAnsi="黑体" w:eastAsia="黑体"/>
          <w:color w:val="auto"/>
          <w:sz w:val="32"/>
          <w:szCs w:val="44"/>
        </w:rPr>
      </w:pPr>
    </w:p>
    <w:p w14:paraId="6FE805C9">
      <w:pPr>
        <w:spacing w:line="360" w:lineRule="auto"/>
        <w:outlineLvl w:val="0"/>
        <w:rPr>
          <w:rFonts w:hint="eastAsia" w:ascii="黑体" w:hAnsi="黑体" w:eastAsia="黑体"/>
          <w:color w:val="auto"/>
          <w:sz w:val="32"/>
          <w:szCs w:val="44"/>
        </w:rPr>
      </w:pPr>
    </w:p>
    <w:p w14:paraId="5CF0299C">
      <w:pPr>
        <w:pStyle w:val="4"/>
        <w:rPr>
          <w:rFonts w:hint="eastAsia" w:ascii="黑体" w:hAnsi="黑体" w:eastAsia="黑体"/>
          <w:color w:val="auto"/>
          <w:sz w:val="32"/>
          <w:szCs w:val="44"/>
        </w:rPr>
      </w:pPr>
    </w:p>
    <w:p w14:paraId="5BADCBE0">
      <w:pPr>
        <w:pStyle w:val="4"/>
        <w:rPr>
          <w:rFonts w:hint="eastAsia" w:ascii="黑体" w:hAnsi="黑体" w:eastAsia="黑体"/>
          <w:color w:val="auto"/>
          <w:sz w:val="32"/>
          <w:szCs w:val="44"/>
        </w:rPr>
      </w:pPr>
    </w:p>
    <w:p w14:paraId="4A62B19C">
      <w:pPr>
        <w:pStyle w:val="4"/>
        <w:rPr>
          <w:rFonts w:hint="eastAsia" w:ascii="黑体" w:hAnsi="黑体" w:eastAsia="黑体"/>
          <w:color w:val="auto"/>
          <w:sz w:val="32"/>
          <w:szCs w:val="44"/>
        </w:rPr>
      </w:pPr>
    </w:p>
    <w:p w14:paraId="5F5976E8">
      <w:pPr>
        <w:pStyle w:val="4"/>
        <w:rPr>
          <w:rFonts w:hint="eastAsia" w:ascii="黑体" w:hAnsi="黑体" w:eastAsia="黑体"/>
          <w:color w:val="auto"/>
          <w:sz w:val="32"/>
          <w:szCs w:val="44"/>
        </w:rPr>
      </w:pPr>
    </w:p>
    <w:p w14:paraId="6249FBB3">
      <w:pPr>
        <w:pStyle w:val="4"/>
        <w:rPr>
          <w:rFonts w:hint="eastAsia" w:ascii="黑体" w:hAnsi="黑体" w:eastAsia="黑体"/>
          <w:color w:val="auto"/>
          <w:sz w:val="32"/>
          <w:szCs w:val="44"/>
        </w:rPr>
      </w:pPr>
    </w:p>
    <w:p w14:paraId="53501B7E">
      <w:pPr>
        <w:pStyle w:val="4"/>
        <w:rPr>
          <w:rFonts w:hint="eastAsia" w:ascii="黑体" w:hAnsi="黑体" w:eastAsia="黑体"/>
          <w:color w:val="auto"/>
          <w:sz w:val="32"/>
          <w:szCs w:val="44"/>
        </w:rPr>
      </w:pPr>
    </w:p>
    <w:p w14:paraId="4C269887">
      <w:pPr>
        <w:spacing w:line="360" w:lineRule="auto"/>
        <w:jc w:val="center"/>
        <w:outlineLvl w:val="0"/>
        <w:rPr>
          <w:rFonts w:hint="eastAsia" w:ascii="黑体" w:hAnsi="黑体" w:eastAsia="黑体"/>
          <w:color w:val="auto"/>
          <w:sz w:val="32"/>
          <w:szCs w:val="44"/>
        </w:rPr>
      </w:pPr>
    </w:p>
    <w:p w14:paraId="71B85166">
      <w:pPr>
        <w:adjustRightInd w:val="0"/>
        <w:snapToGrid w:val="0"/>
        <w:spacing w:line="288" w:lineRule="auto"/>
        <w:ind w:left="2880" w:hanging="2880" w:hangingChars="800"/>
        <w:rPr>
          <w:rFonts w:ascii="仿宋_GB2312" w:eastAsia="仿宋_GB2312"/>
          <w:color w:val="auto"/>
          <w:sz w:val="36"/>
          <w:szCs w:val="36"/>
          <w:u w:val="single"/>
        </w:rPr>
      </w:pPr>
      <w:r>
        <w:rPr>
          <w:rFonts w:hint="eastAsia" w:ascii="仿宋_GB2312" w:eastAsia="仿宋_GB2312"/>
          <w:color w:val="auto"/>
          <w:sz w:val="36"/>
          <w:szCs w:val="36"/>
        </w:rPr>
        <w:t>项目名称：</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镍钛形状记忆合金生产线项目</w:t>
      </w:r>
      <w:r>
        <w:rPr>
          <w:rFonts w:hint="eastAsia" w:ascii="仿宋_GB2312" w:eastAsia="仿宋_GB2312"/>
          <w:color w:val="auto"/>
          <w:sz w:val="36"/>
          <w:szCs w:val="36"/>
          <w:u w:val="single"/>
        </w:rPr>
        <w:t xml:space="preserve">        </w:t>
      </w:r>
    </w:p>
    <w:p w14:paraId="5CB04CAF">
      <w:pPr>
        <w:adjustRightInd w:val="0"/>
        <w:snapToGrid w:val="0"/>
        <w:spacing w:line="288" w:lineRule="auto"/>
        <w:rPr>
          <w:rFonts w:ascii="仿宋_GB2312" w:eastAsia="仿宋_GB2312"/>
          <w:color w:val="auto"/>
          <w:sz w:val="36"/>
          <w:szCs w:val="36"/>
          <w:u w:val="single"/>
        </w:rPr>
      </w:pPr>
      <w:r>
        <w:rPr>
          <w:rFonts w:hint="eastAsia" w:ascii="仿宋_GB2312" w:eastAsia="仿宋_GB2312"/>
          <w:color w:val="auto"/>
          <w:sz w:val="36"/>
          <w:szCs w:val="36"/>
        </w:rPr>
        <w:t>建设单位：</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lang w:eastAsia="zh-CN"/>
        </w:rPr>
        <w:t>陕西兴硕新材料科技有限公司</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eastAsia="zh-CN"/>
        </w:rPr>
        <w:t xml:space="preserve"> </w:t>
      </w:r>
      <w:r>
        <w:rPr>
          <w:rFonts w:hint="eastAsia" w:ascii="仿宋_GB2312" w:eastAsia="仿宋_GB2312"/>
          <w:color w:val="auto"/>
          <w:sz w:val="36"/>
          <w:szCs w:val="36"/>
          <w:u w:val="single"/>
        </w:rPr>
        <w:t xml:space="preserve">      </w:t>
      </w:r>
    </w:p>
    <w:p w14:paraId="4614EA50">
      <w:pPr>
        <w:adjustRightInd w:val="0"/>
        <w:snapToGrid w:val="0"/>
        <w:spacing w:line="288" w:lineRule="auto"/>
        <w:rPr>
          <w:rFonts w:hint="eastAsia" w:ascii="仿宋_GB2312" w:eastAsia="仿宋_GB2312"/>
          <w:color w:val="auto"/>
          <w:sz w:val="36"/>
          <w:szCs w:val="36"/>
          <w:u w:val="single"/>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2026年4月</w:t>
      </w:r>
      <w:r>
        <w:rPr>
          <w:rFonts w:hint="eastAsia"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hint="eastAsia" w:ascii="仿宋_GB2312" w:eastAsia="仿宋_GB2312"/>
          <w:color w:val="auto"/>
          <w:sz w:val="36"/>
          <w:szCs w:val="36"/>
          <w:u w:val="single"/>
        </w:rPr>
        <w:t xml:space="preserve">           </w:t>
      </w:r>
    </w:p>
    <w:p w14:paraId="31F398FF">
      <w:pPr>
        <w:pStyle w:val="8"/>
        <w:rPr>
          <w:rFonts w:hint="eastAsia" w:ascii="仿宋_GB2312" w:eastAsia="仿宋_GB2312"/>
          <w:color w:val="auto"/>
          <w:sz w:val="36"/>
          <w:szCs w:val="36"/>
          <w:u w:val="single"/>
        </w:rPr>
      </w:pPr>
    </w:p>
    <w:p w14:paraId="670FD2DC">
      <w:pPr>
        <w:rPr>
          <w:rFonts w:hint="eastAsia" w:ascii="仿宋_GB2312" w:eastAsia="仿宋_GB2312"/>
          <w:color w:val="auto"/>
          <w:sz w:val="36"/>
          <w:szCs w:val="36"/>
          <w:u w:val="single"/>
        </w:rPr>
      </w:pPr>
    </w:p>
    <w:p w14:paraId="1855B7AF">
      <w:pPr>
        <w:pStyle w:val="8"/>
        <w:rPr>
          <w:rFonts w:hint="eastAsia" w:ascii="仿宋_GB2312" w:eastAsia="仿宋_GB2312"/>
          <w:color w:val="auto"/>
          <w:sz w:val="36"/>
          <w:szCs w:val="36"/>
          <w:u w:val="single"/>
        </w:rPr>
      </w:pPr>
    </w:p>
    <w:p w14:paraId="761A118B">
      <w:pPr>
        <w:adjustRightInd w:val="0"/>
        <w:snapToGrid w:val="0"/>
        <w:spacing w:line="288" w:lineRule="auto"/>
        <w:jc w:val="center"/>
        <w:rPr>
          <w:rFonts w:hint="default" w:ascii="Times New Roman" w:hAnsi="Times New Roman" w:eastAsia="楷体_GB2312" w:cs="Times New Roman"/>
          <w:color w:val="auto"/>
          <w:sz w:val="36"/>
          <w:szCs w:val="36"/>
        </w:rPr>
      </w:pPr>
      <w:r>
        <w:rPr>
          <w:rFonts w:hint="default" w:ascii="Times New Roman" w:hAnsi="Times New Roman" w:eastAsia="楷体_GB2312" w:cs="Times New Roman"/>
          <w:color w:val="auto"/>
          <w:sz w:val="36"/>
          <w:szCs w:val="36"/>
        </w:rPr>
        <w:t>中华人民共和国生态环境部制</w:t>
      </w:r>
    </w:p>
    <w:p w14:paraId="3912017E">
      <w:pPr>
        <w:jc w:val="center"/>
        <w:rPr>
          <w:rFonts w:hint="eastAsia"/>
          <w:color w:val="auto"/>
        </w:rPr>
        <w:sectPr>
          <w:headerReference r:id="rId5" w:type="first"/>
          <w:footerReference r:id="rId7" w:type="first"/>
          <w:headerReference r:id="rId3" w:type="default"/>
          <w:headerReference r:id="rId4" w:type="even"/>
          <w:footerReference r:id="rId6" w:type="even"/>
          <w:pgSz w:w="11905" w:h="16838"/>
          <w:pgMar w:top="1440" w:right="1531" w:bottom="1440" w:left="1531" w:header="851" w:footer="1077" w:gutter="0"/>
          <w:pgBorders>
            <w:top w:val="none" w:sz="0" w:space="0"/>
            <w:left w:val="none" w:sz="0" w:space="0"/>
            <w:bottom w:val="none" w:sz="0" w:space="0"/>
            <w:right w:val="none" w:sz="0" w:space="0"/>
          </w:pgBorders>
          <w:pgNumType w:start="21"/>
          <w:cols w:space="720" w:num="1"/>
          <w:docGrid w:linePitch="312" w:charSpace="0"/>
        </w:sectPr>
      </w:pPr>
    </w:p>
    <w:p w14:paraId="604ABD0F">
      <w:pPr>
        <w:pStyle w:val="19"/>
        <w:spacing w:before="0" w:beforeAutospacing="0" w:after="0" w:afterAutospacing="0" w:line="360" w:lineRule="auto"/>
        <w:jc w:val="center"/>
        <w:outlineLvl w:val="0"/>
        <w:rPr>
          <w:rFonts w:ascii="Times New Roman" w:hAnsi="Times New Roman" w:eastAsia="黑体"/>
          <w:snapToGrid w:val="0"/>
          <w:color w:val="auto"/>
          <w:sz w:val="30"/>
          <w:szCs w:val="30"/>
        </w:rPr>
      </w:pPr>
      <w:bookmarkStart w:id="0" w:name="_Toc75422657"/>
      <w:r>
        <w:rPr>
          <w:rFonts w:ascii="Times New Roman" w:hAnsi="Times New Roman" w:eastAsia="黑体"/>
          <w:snapToGrid w:val="0"/>
          <w:color w:val="auto"/>
          <w:sz w:val="30"/>
          <w:szCs w:val="30"/>
        </w:rPr>
        <w:t>一、建设项目基本情况</w:t>
      </w:r>
      <w:bookmarkEnd w:id="0"/>
    </w:p>
    <w:tbl>
      <w:tblPr>
        <w:tblStyle w:val="23"/>
        <w:tblW w:w="912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38"/>
        <w:gridCol w:w="1021"/>
        <w:gridCol w:w="2010"/>
        <w:gridCol w:w="1845"/>
        <w:gridCol w:w="3412"/>
      </w:tblGrid>
      <w:tr w14:paraId="0317FE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0" w:hRule="atLeast"/>
          <w:jc w:val="center"/>
        </w:trPr>
        <w:tc>
          <w:tcPr>
            <w:tcW w:w="1859" w:type="dxa"/>
            <w:gridSpan w:val="2"/>
            <w:noWrap w:val="0"/>
            <w:tcMar>
              <w:top w:w="16" w:type="dxa"/>
              <w:left w:w="16" w:type="dxa"/>
              <w:right w:w="16" w:type="dxa"/>
            </w:tcMar>
            <w:vAlign w:val="center"/>
          </w:tcPr>
          <w:p w14:paraId="666D5386">
            <w:pPr>
              <w:adjustRightInd w:val="0"/>
              <w:snapToGrid w:val="0"/>
              <w:jc w:val="center"/>
              <w:rPr>
                <w:color w:val="auto"/>
                <w:sz w:val="24"/>
              </w:rPr>
            </w:pPr>
            <w:r>
              <w:rPr>
                <w:color w:val="auto"/>
                <w:sz w:val="24"/>
              </w:rPr>
              <w:t>建设项目名称</w:t>
            </w:r>
          </w:p>
        </w:tc>
        <w:tc>
          <w:tcPr>
            <w:tcW w:w="7267" w:type="dxa"/>
            <w:gridSpan w:val="3"/>
            <w:noWrap w:val="0"/>
            <w:vAlign w:val="center"/>
          </w:tcPr>
          <w:p w14:paraId="03CF0FDD">
            <w:pPr>
              <w:adjustRightInd w:val="0"/>
              <w:snapToGrid w:val="0"/>
              <w:spacing w:line="240" w:lineRule="auto"/>
              <w:jc w:val="center"/>
              <w:rPr>
                <w:rFonts w:hint="eastAsia" w:eastAsia="宋体"/>
                <w:color w:val="auto"/>
                <w:sz w:val="24"/>
                <w:lang w:eastAsia="zh-CN"/>
              </w:rPr>
            </w:pPr>
            <w:r>
              <w:rPr>
                <w:rFonts w:hint="eastAsia"/>
                <w:color w:val="auto"/>
                <w:sz w:val="24"/>
                <w:lang w:eastAsia="zh-CN"/>
              </w:rPr>
              <w:t>镍钛形状记忆合金生产线项目</w:t>
            </w:r>
          </w:p>
        </w:tc>
      </w:tr>
      <w:tr w14:paraId="017605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46" w:hRule="atLeast"/>
          <w:jc w:val="center"/>
        </w:trPr>
        <w:tc>
          <w:tcPr>
            <w:tcW w:w="1859" w:type="dxa"/>
            <w:gridSpan w:val="2"/>
            <w:noWrap w:val="0"/>
            <w:tcMar>
              <w:top w:w="16" w:type="dxa"/>
              <w:left w:w="16" w:type="dxa"/>
              <w:right w:w="16" w:type="dxa"/>
            </w:tcMar>
            <w:vAlign w:val="center"/>
          </w:tcPr>
          <w:p w14:paraId="0042E88D">
            <w:pPr>
              <w:adjustRightInd w:val="0"/>
              <w:snapToGrid w:val="0"/>
              <w:jc w:val="center"/>
              <w:rPr>
                <w:rFonts w:hint="eastAsia"/>
                <w:color w:val="auto"/>
                <w:sz w:val="24"/>
              </w:rPr>
            </w:pPr>
            <w:r>
              <w:rPr>
                <w:color w:val="auto"/>
                <w:sz w:val="24"/>
              </w:rPr>
              <w:t>项目代码</w:t>
            </w:r>
          </w:p>
        </w:tc>
        <w:tc>
          <w:tcPr>
            <w:tcW w:w="7267" w:type="dxa"/>
            <w:gridSpan w:val="3"/>
            <w:noWrap w:val="0"/>
            <w:vAlign w:val="center"/>
          </w:tcPr>
          <w:p w14:paraId="10267B68">
            <w:pPr>
              <w:adjustRightInd w:val="0"/>
              <w:snapToGrid w:val="0"/>
              <w:spacing w:line="240" w:lineRule="auto"/>
              <w:jc w:val="center"/>
              <w:rPr>
                <w:rFonts w:hint="default" w:eastAsia="宋体"/>
                <w:color w:val="auto"/>
                <w:sz w:val="24"/>
                <w:lang w:val="en-US" w:eastAsia="zh-CN"/>
              </w:rPr>
            </w:pPr>
            <w:r>
              <w:rPr>
                <w:rFonts w:hint="eastAsia"/>
                <w:color w:val="auto"/>
                <w:sz w:val="24"/>
                <w:lang w:val="en-US" w:eastAsia="zh-CN"/>
              </w:rPr>
              <w:t>2604-610304-04-01-235797</w:t>
            </w:r>
          </w:p>
        </w:tc>
      </w:tr>
      <w:tr w14:paraId="548533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88" w:hRule="atLeast"/>
          <w:jc w:val="center"/>
        </w:trPr>
        <w:tc>
          <w:tcPr>
            <w:tcW w:w="1859" w:type="dxa"/>
            <w:gridSpan w:val="2"/>
            <w:noWrap w:val="0"/>
            <w:tcMar>
              <w:top w:w="16" w:type="dxa"/>
              <w:left w:w="16" w:type="dxa"/>
              <w:right w:w="16" w:type="dxa"/>
            </w:tcMar>
            <w:vAlign w:val="center"/>
          </w:tcPr>
          <w:p w14:paraId="179457F0">
            <w:pPr>
              <w:adjustRightInd w:val="0"/>
              <w:snapToGrid w:val="0"/>
              <w:jc w:val="center"/>
              <w:rPr>
                <w:color w:val="auto"/>
                <w:sz w:val="24"/>
              </w:rPr>
            </w:pPr>
            <w:r>
              <w:rPr>
                <w:color w:val="auto"/>
                <w:sz w:val="24"/>
              </w:rPr>
              <w:t>建设单位联系人</w:t>
            </w:r>
          </w:p>
        </w:tc>
        <w:tc>
          <w:tcPr>
            <w:tcW w:w="2010" w:type="dxa"/>
            <w:noWrap w:val="0"/>
            <w:vAlign w:val="center"/>
          </w:tcPr>
          <w:p w14:paraId="26ADAE49">
            <w:pPr>
              <w:adjustRightInd w:val="0"/>
              <w:snapToGrid w:val="0"/>
              <w:jc w:val="center"/>
              <w:rPr>
                <w:rFonts w:hint="default" w:eastAsia="宋体"/>
                <w:color w:val="auto"/>
                <w:sz w:val="24"/>
                <w:lang w:val="en-US" w:eastAsia="zh-CN"/>
              </w:rPr>
            </w:pPr>
          </w:p>
        </w:tc>
        <w:tc>
          <w:tcPr>
            <w:tcW w:w="1845" w:type="dxa"/>
            <w:noWrap w:val="0"/>
            <w:vAlign w:val="center"/>
          </w:tcPr>
          <w:p w14:paraId="7118375B">
            <w:pPr>
              <w:adjustRightInd w:val="0"/>
              <w:snapToGrid w:val="0"/>
              <w:jc w:val="center"/>
              <w:rPr>
                <w:color w:val="auto"/>
                <w:sz w:val="24"/>
              </w:rPr>
            </w:pPr>
            <w:r>
              <w:rPr>
                <w:color w:val="auto"/>
                <w:sz w:val="24"/>
              </w:rPr>
              <w:t>联系方式</w:t>
            </w:r>
          </w:p>
        </w:tc>
        <w:tc>
          <w:tcPr>
            <w:tcW w:w="3412" w:type="dxa"/>
            <w:noWrap w:val="0"/>
            <w:vAlign w:val="center"/>
          </w:tcPr>
          <w:p w14:paraId="2C6D3B51">
            <w:pPr>
              <w:adjustRightInd w:val="0"/>
              <w:snapToGrid w:val="0"/>
              <w:jc w:val="center"/>
              <w:rPr>
                <w:rFonts w:hint="default" w:eastAsia="宋体"/>
                <w:color w:val="auto"/>
                <w:sz w:val="24"/>
                <w:lang w:val="en-US" w:eastAsia="zh-CN"/>
              </w:rPr>
            </w:pPr>
          </w:p>
        </w:tc>
      </w:tr>
      <w:tr w14:paraId="274C3D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78" w:hRule="atLeast"/>
          <w:jc w:val="center"/>
        </w:trPr>
        <w:tc>
          <w:tcPr>
            <w:tcW w:w="1859" w:type="dxa"/>
            <w:gridSpan w:val="2"/>
            <w:noWrap w:val="0"/>
            <w:tcMar>
              <w:top w:w="16" w:type="dxa"/>
              <w:left w:w="16" w:type="dxa"/>
              <w:right w:w="16" w:type="dxa"/>
            </w:tcMar>
            <w:vAlign w:val="center"/>
          </w:tcPr>
          <w:p w14:paraId="6540D037">
            <w:pPr>
              <w:adjustRightInd w:val="0"/>
              <w:snapToGrid w:val="0"/>
              <w:jc w:val="center"/>
              <w:rPr>
                <w:color w:val="auto"/>
                <w:sz w:val="24"/>
              </w:rPr>
            </w:pPr>
            <w:r>
              <w:rPr>
                <w:color w:val="auto"/>
                <w:sz w:val="24"/>
              </w:rPr>
              <w:t>建设地点</w:t>
            </w:r>
          </w:p>
        </w:tc>
        <w:tc>
          <w:tcPr>
            <w:tcW w:w="7267" w:type="dxa"/>
            <w:gridSpan w:val="3"/>
            <w:noWrap w:val="0"/>
            <w:vAlign w:val="center"/>
          </w:tcPr>
          <w:p w14:paraId="770FAA64">
            <w:pPr>
              <w:adjustRightInd w:val="0"/>
              <w:snapToGrid w:val="0"/>
              <w:jc w:val="center"/>
              <w:rPr>
                <w:rFonts w:hint="eastAsia" w:eastAsia="宋体"/>
                <w:color w:val="auto"/>
                <w:sz w:val="24"/>
                <w:lang w:eastAsia="zh-CN"/>
              </w:rPr>
            </w:pPr>
            <w:r>
              <w:rPr>
                <w:rFonts w:hint="eastAsia"/>
                <w:color w:val="auto"/>
                <w:sz w:val="24"/>
                <w:lang w:eastAsia="zh-CN"/>
              </w:rPr>
              <w:t>陕西省</w:t>
            </w:r>
            <w:r>
              <w:rPr>
                <w:rFonts w:hint="eastAsia"/>
                <w:color w:val="auto"/>
                <w:sz w:val="24"/>
              </w:rPr>
              <w:t>宝鸡市陈仓区</w:t>
            </w:r>
            <w:r>
              <w:rPr>
                <w:rFonts w:hint="eastAsia"/>
                <w:color w:val="auto"/>
                <w:sz w:val="24"/>
                <w:lang w:eastAsia="zh-CN"/>
              </w:rPr>
              <w:t>科技工业园</w:t>
            </w:r>
          </w:p>
        </w:tc>
      </w:tr>
      <w:tr w14:paraId="2606FD9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0" w:hRule="atLeast"/>
          <w:jc w:val="center"/>
        </w:trPr>
        <w:tc>
          <w:tcPr>
            <w:tcW w:w="1859" w:type="dxa"/>
            <w:gridSpan w:val="2"/>
            <w:noWrap w:val="0"/>
            <w:tcMar>
              <w:top w:w="16" w:type="dxa"/>
              <w:left w:w="16" w:type="dxa"/>
              <w:right w:w="16" w:type="dxa"/>
            </w:tcMar>
            <w:vAlign w:val="center"/>
          </w:tcPr>
          <w:p w14:paraId="6987A443">
            <w:pPr>
              <w:adjustRightInd w:val="0"/>
              <w:snapToGrid w:val="0"/>
              <w:jc w:val="center"/>
              <w:rPr>
                <w:color w:val="auto"/>
                <w:sz w:val="24"/>
              </w:rPr>
            </w:pPr>
            <w:r>
              <w:rPr>
                <w:color w:val="auto"/>
                <w:sz w:val="24"/>
              </w:rPr>
              <w:t>地理坐标</w:t>
            </w:r>
          </w:p>
        </w:tc>
        <w:tc>
          <w:tcPr>
            <w:tcW w:w="7267" w:type="dxa"/>
            <w:gridSpan w:val="3"/>
            <w:noWrap w:val="0"/>
            <w:vAlign w:val="center"/>
          </w:tcPr>
          <w:p w14:paraId="10496777">
            <w:pPr>
              <w:jc w:val="center"/>
              <w:rPr>
                <w:rFonts w:hint="default" w:eastAsia="宋体"/>
                <w:color w:val="auto"/>
                <w:sz w:val="24"/>
                <w:lang w:val="en-US" w:eastAsia="zh-CN"/>
              </w:rPr>
            </w:pPr>
            <w:r>
              <w:rPr>
                <w:color w:val="auto"/>
                <w:sz w:val="24"/>
              </w:rPr>
              <w:t>（东经10</w:t>
            </w:r>
            <w:r>
              <w:rPr>
                <w:rFonts w:hint="eastAsia"/>
                <w:color w:val="auto"/>
                <w:sz w:val="24"/>
                <w:lang w:val="en-US" w:eastAsia="zh-CN"/>
              </w:rPr>
              <w:t>7</w:t>
            </w:r>
            <w:r>
              <w:rPr>
                <w:color w:val="auto"/>
                <w:sz w:val="24"/>
              </w:rPr>
              <w:t>度</w:t>
            </w:r>
            <w:r>
              <w:rPr>
                <w:rFonts w:hint="eastAsia"/>
                <w:color w:val="auto"/>
                <w:sz w:val="24"/>
                <w:lang w:val="en-US" w:eastAsia="zh-CN"/>
              </w:rPr>
              <w:t>25</w:t>
            </w:r>
            <w:r>
              <w:rPr>
                <w:color w:val="auto"/>
                <w:sz w:val="24"/>
              </w:rPr>
              <w:t>分</w:t>
            </w:r>
            <w:r>
              <w:rPr>
                <w:rFonts w:hint="eastAsia"/>
                <w:color w:val="auto"/>
                <w:sz w:val="24"/>
                <w:lang w:val="en-US" w:eastAsia="zh-CN"/>
              </w:rPr>
              <w:t>39.649</w:t>
            </w:r>
            <w:r>
              <w:rPr>
                <w:color w:val="auto"/>
                <w:sz w:val="24"/>
              </w:rPr>
              <w:t>秒，北纬3</w:t>
            </w:r>
            <w:r>
              <w:rPr>
                <w:rFonts w:hint="eastAsia"/>
                <w:color w:val="auto"/>
                <w:sz w:val="24"/>
                <w:lang w:val="en-US" w:eastAsia="zh-CN"/>
              </w:rPr>
              <w:t>4</w:t>
            </w:r>
            <w:r>
              <w:rPr>
                <w:color w:val="auto"/>
                <w:sz w:val="24"/>
              </w:rPr>
              <w:t>度</w:t>
            </w:r>
            <w:r>
              <w:rPr>
                <w:rFonts w:hint="eastAsia"/>
                <w:color w:val="auto"/>
                <w:sz w:val="24"/>
                <w:lang w:val="en-US" w:eastAsia="zh-CN"/>
              </w:rPr>
              <w:t>20</w:t>
            </w:r>
            <w:r>
              <w:rPr>
                <w:color w:val="auto"/>
                <w:sz w:val="24"/>
              </w:rPr>
              <w:t>分</w:t>
            </w:r>
            <w:r>
              <w:rPr>
                <w:rFonts w:hint="eastAsia"/>
                <w:color w:val="auto"/>
                <w:sz w:val="24"/>
                <w:lang w:val="en-US" w:eastAsia="zh-CN"/>
              </w:rPr>
              <w:t>58.815</w:t>
            </w:r>
            <w:r>
              <w:rPr>
                <w:color w:val="auto"/>
                <w:sz w:val="24"/>
              </w:rPr>
              <w:t>秒）</w:t>
            </w:r>
          </w:p>
        </w:tc>
      </w:tr>
      <w:tr w14:paraId="4636A6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79" w:hRule="atLeast"/>
          <w:jc w:val="center"/>
        </w:trPr>
        <w:tc>
          <w:tcPr>
            <w:tcW w:w="1859" w:type="dxa"/>
            <w:gridSpan w:val="2"/>
            <w:noWrap w:val="0"/>
            <w:tcMar>
              <w:top w:w="16" w:type="dxa"/>
              <w:left w:w="16" w:type="dxa"/>
              <w:right w:w="16" w:type="dxa"/>
            </w:tcMar>
            <w:vAlign w:val="center"/>
          </w:tcPr>
          <w:p w14:paraId="2C892986">
            <w:pPr>
              <w:adjustRightInd w:val="0"/>
              <w:snapToGrid w:val="0"/>
              <w:jc w:val="center"/>
              <w:rPr>
                <w:color w:val="auto"/>
                <w:sz w:val="24"/>
              </w:rPr>
            </w:pPr>
            <w:r>
              <w:rPr>
                <w:color w:val="auto"/>
                <w:sz w:val="24"/>
              </w:rPr>
              <w:t>国民经济</w:t>
            </w:r>
          </w:p>
          <w:p w14:paraId="0363A140">
            <w:pPr>
              <w:adjustRightInd w:val="0"/>
              <w:snapToGrid w:val="0"/>
              <w:jc w:val="center"/>
              <w:rPr>
                <w:color w:val="auto"/>
                <w:sz w:val="24"/>
              </w:rPr>
            </w:pPr>
            <w:r>
              <w:rPr>
                <w:color w:val="auto"/>
                <w:sz w:val="24"/>
              </w:rPr>
              <w:t>行业类别</w:t>
            </w:r>
          </w:p>
        </w:tc>
        <w:tc>
          <w:tcPr>
            <w:tcW w:w="2010" w:type="dxa"/>
            <w:noWrap w:val="0"/>
            <w:vAlign w:val="center"/>
          </w:tcPr>
          <w:p w14:paraId="1BED5434">
            <w:pPr>
              <w:adjustRightInd w:val="0"/>
              <w:snapToGrid w:val="0"/>
              <w:jc w:val="center"/>
              <w:rPr>
                <w:rFonts w:hint="default" w:eastAsia="宋体"/>
                <w:color w:val="auto"/>
                <w:sz w:val="24"/>
                <w:lang w:val="en-US" w:eastAsia="zh-CN"/>
              </w:rPr>
            </w:pPr>
            <w:r>
              <w:rPr>
                <w:rFonts w:hint="eastAsia"/>
                <w:color w:val="auto"/>
                <w:sz w:val="24"/>
                <w:lang w:val="en-US" w:eastAsia="zh-CN"/>
              </w:rPr>
              <w:t>C3259其他有色金属压延加工</w:t>
            </w:r>
          </w:p>
        </w:tc>
        <w:tc>
          <w:tcPr>
            <w:tcW w:w="1845" w:type="dxa"/>
            <w:noWrap w:val="0"/>
            <w:vAlign w:val="center"/>
          </w:tcPr>
          <w:p w14:paraId="2C848442">
            <w:pPr>
              <w:adjustRightInd w:val="0"/>
              <w:snapToGrid w:val="0"/>
              <w:jc w:val="center"/>
              <w:rPr>
                <w:color w:val="auto"/>
                <w:sz w:val="24"/>
              </w:rPr>
            </w:pPr>
            <w:bookmarkStart w:id="1" w:name="_Hlk49843745"/>
            <w:r>
              <w:rPr>
                <w:color w:val="auto"/>
                <w:sz w:val="24"/>
              </w:rPr>
              <w:t>建设项目</w:t>
            </w:r>
          </w:p>
          <w:p w14:paraId="36D82A3F">
            <w:pPr>
              <w:adjustRightInd w:val="0"/>
              <w:snapToGrid w:val="0"/>
              <w:jc w:val="center"/>
              <w:rPr>
                <w:color w:val="auto"/>
                <w:sz w:val="24"/>
              </w:rPr>
            </w:pPr>
            <w:r>
              <w:rPr>
                <w:color w:val="auto"/>
                <w:sz w:val="24"/>
              </w:rPr>
              <w:t>行业类别</w:t>
            </w:r>
            <w:bookmarkEnd w:id="1"/>
          </w:p>
        </w:tc>
        <w:tc>
          <w:tcPr>
            <w:tcW w:w="3412" w:type="dxa"/>
            <w:noWrap w:val="0"/>
            <w:vAlign w:val="center"/>
          </w:tcPr>
          <w:p w14:paraId="6716B2B7">
            <w:pPr>
              <w:adjustRightInd w:val="0"/>
              <w:snapToGrid w:val="0"/>
              <w:jc w:val="center"/>
              <w:rPr>
                <w:rFonts w:hint="eastAsia"/>
                <w:color w:val="auto"/>
                <w:sz w:val="24"/>
                <w:lang w:val="en-US" w:eastAsia="zh-CN"/>
              </w:rPr>
            </w:pPr>
            <w:r>
              <w:rPr>
                <w:rFonts w:hint="eastAsia"/>
                <w:color w:val="auto"/>
                <w:sz w:val="24"/>
                <w:lang w:val="en-US" w:eastAsia="zh-CN"/>
              </w:rPr>
              <w:t>二十九、有色金属冶炼和压延加工业32</w:t>
            </w:r>
          </w:p>
          <w:p w14:paraId="75046E12">
            <w:pPr>
              <w:adjustRightInd w:val="0"/>
              <w:snapToGrid w:val="0"/>
              <w:jc w:val="center"/>
              <w:rPr>
                <w:rFonts w:hint="default" w:eastAsia="宋体"/>
                <w:color w:val="auto"/>
                <w:sz w:val="24"/>
                <w:lang w:val="en-US" w:eastAsia="zh-CN"/>
              </w:rPr>
            </w:pPr>
            <w:r>
              <w:rPr>
                <w:rFonts w:hint="eastAsia"/>
                <w:color w:val="auto"/>
                <w:sz w:val="24"/>
                <w:lang w:val="en-US" w:eastAsia="zh-CN"/>
              </w:rPr>
              <w:t>65.有色金属压延加工 325</w:t>
            </w:r>
          </w:p>
        </w:tc>
      </w:tr>
      <w:tr w14:paraId="31B024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46" w:hRule="atLeast"/>
          <w:jc w:val="center"/>
        </w:trPr>
        <w:tc>
          <w:tcPr>
            <w:tcW w:w="1859" w:type="dxa"/>
            <w:gridSpan w:val="2"/>
            <w:noWrap w:val="0"/>
            <w:tcMar>
              <w:top w:w="16" w:type="dxa"/>
              <w:left w:w="16" w:type="dxa"/>
              <w:right w:w="16" w:type="dxa"/>
            </w:tcMar>
            <w:vAlign w:val="center"/>
          </w:tcPr>
          <w:p w14:paraId="104B8AD1">
            <w:pPr>
              <w:adjustRightInd w:val="0"/>
              <w:snapToGrid w:val="0"/>
              <w:jc w:val="center"/>
              <w:rPr>
                <w:color w:val="auto"/>
                <w:sz w:val="24"/>
              </w:rPr>
            </w:pPr>
            <w:r>
              <w:rPr>
                <w:color w:val="auto"/>
                <w:sz w:val="24"/>
              </w:rPr>
              <w:t>建设性质</w:t>
            </w:r>
          </w:p>
        </w:tc>
        <w:tc>
          <w:tcPr>
            <w:tcW w:w="2010" w:type="dxa"/>
            <w:noWrap w:val="0"/>
            <w:vAlign w:val="center"/>
          </w:tcPr>
          <w:p w14:paraId="07310471">
            <w:pPr>
              <w:jc w:val="left"/>
              <w:rPr>
                <w:color w:val="auto"/>
                <w:sz w:val="24"/>
              </w:rPr>
            </w:pPr>
            <w:r>
              <w:rPr>
                <w:rFonts w:hint="eastAsia"/>
                <w:color w:val="auto"/>
                <w:sz w:val="24"/>
              </w:rPr>
              <w:t>☑</w:t>
            </w:r>
            <w:r>
              <w:rPr>
                <w:color w:val="auto"/>
                <w:sz w:val="24"/>
              </w:rPr>
              <w:t>新建（迁建）</w:t>
            </w:r>
          </w:p>
          <w:p w14:paraId="777238D0">
            <w:pPr>
              <w:jc w:val="left"/>
              <w:rPr>
                <w:color w:val="auto"/>
                <w:sz w:val="24"/>
              </w:rPr>
            </w:pPr>
            <w:r>
              <w:rPr>
                <w:rFonts w:hint="eastAsia"/>
                <w:color w:val="auto"/>
                <w:sz w:val="24"/>
              </w:rPr>
              <w:t>□</w:t>
            </w:r>
            <w:r>
              <w:rPr>
                <w:color w:val="auto"/>
                <w:sz w:val="24"/>
              </w:rPr>
              <w:t>改建</w:t>
            </w:r>
          </w:p>
          <w:p w14:paraId="4DDA2BAE">
            <w:pPr>
              <w:jc w:val="left"/>
              <w:rPr>
                <w:color w:val="auto"/>
                <w:sz w:val="24"/>
              </w:rPr>
            </w:pPr>
            <w:r>
              <w:rPr>
                <w:rFonts w:hint="eastAsia"/>
                <w:color w:val="auto"/>
                <w:sz w:val="24"/>
              </w:rPr>
              <w:t>□</w:t>
            </w:r>
            <w:r>
              <w:rPr>
                <w:color w:val="auto"/>
                <w:sz w:val="24"/>
              </w:rPr>
              <w:t>扩建</w:t>
            </w:r>
          </w:p>
          <w:p w14:paraId="775D11C3">
            <w:pPr>
              <w:jc w:val="left"/>
              <w:rPr>
                <w:color w:val="auto"/>
                <w:sz w:val="24"/>
              </w:rPr>
            </w:pPr>
            <w:r>
              <w:rPr>
                <w:rFonts w:hint="eastAsia"/>
                <w:color w:val="auto"/>
                <w:sz w:val="24"/>
              </w:rPr>
              <w:t>□</w:t>
            </w:r>
            <w:r>
              <w:rPr>
                <w:color w:val="auto"/>
                <w:sz w:val="24"/>
              </w:rPr>
              <w:t>技术改造</w:t>
            </w:r>
          </w:p>
        </w:tc>
        <w:tc>
          <w:tcPr>
            <w:tcW w:w="1845" w:type="dxa"/>
            <w:noWrap w:val="0"/>
            <w:vAlign w:val="center"/>
          </w:tcPr>
          <w:p w14:paraId="585686BA">
            <w:pPr>
              <w:adjustRightInd w:val="0"/>
              <w:snapToGrid w:val="0"/>
              <w:jc w:val="center"/>
              <w:rPr>
                <w:color w:val="auto"/>
                <w:sz w:val="24"/>
              </w:rPr>
            </w:pPr>
            <w:r>
              <w:rPr>
                <w:color w:val="auto"/>
                <w:sz w:val="24"/>
              </w:rPr>
              <w:t>建设项目</w:t>
            </w:r>
          </w:p>
          <w:p w14:paraId="75E9E4B4">
            <w:pPr>
              <w:adjustRightInd w:val="0"/>
              <w:snapToGrid w:val="0"/>
              <w:jc w:val="center"/>
              <w:rPr>
                <w:color w:val="auto"/>
                <w:sz w:val="24"/>
              </w:rPr>
            </w:pPr>
            <w:r>
              <w:rPr>
                <w:color w:val="auto"/>
                <w:sz w:val="24"/>
              </w:rPr>
              <w:t>申报情形</w:t>
            </w:r>
          </w:p>
        </w:tc>
        <w:tc>
          <w:tcPr>
            <w:tcW w:w="3412" w:type="dxa"/>
            <w:noWrap w:val="0"/>
            <w:vAlign w:val="center"/>
          </w:tcPr>
          <w:p w14:paraId="48AB22D7">
            <w:pPr>
              <w:jc w:val="left"/>
              <w:rPr>
                <w:color w:val="auto"/>
                <w:sz w:val="24"/>
              </w:rPr>
            </w:pPr>
            <w:r>
              <w:rPr>
                <w:rFonts w:hint="eastAsia"/>
                <w:color w:val="auto"/>
                <w:sz w:val="24"/>
              </w:rPr>
              <w:t>☑</w:t>
            </w:r>
            <w:r>
              <w:rPr>
                <w:color w:val="auto"/>
                <w:sz w:val="24"/>
              </w:rPr>
              <w:t xml:space="preserve">首次申报项目             </w:t>
            </w:r>
          </w:p>
          <w:p w14:paraId="4F10F880">
            <w:pPr>
              <w:jc w:val="left"/>
              <w:rPr>
                <w:color w:val="auto"/>
                <w:sz w:val="24"/>
              </w:rPr>
            </w:pPr>
            <w:r>
              <w:rPr>
                <w:rFonts w:hint="eastAsia"/>
                <w:color w:val="auto"/>
                <w:sz w:val="24"/>
              </w:rPr>
              <w:t>□</w:t>
            </w:r>
            <w:r>
              <w:rPr>
                <w:color w:val="auto"/>
                <w:sz w:val="24"/>
              </w:rPr>
              <w:t>不予批准后再次申报项目</w:t>
            </w:r>
          </w:p>
          <w:p w14:paraId="6262A7D5">
            <w:pPr>
              <w:jc w:val="left"/>
              <w:rPr>
                <w:color w:val="auto"/>
                <w:sz w:val="24"/>
              </w:rPr>
            </w:pPr>
            <w:r>
              <w:rPr>
                <w:rFonts w:hint="eastAsia"/>
                <w:color w:val="auto"/>
                <w:sz w:val="24"/>
              </w:rPr>
              <w:t>□</w:t>
            </w:r>
            <w:r>
              <w:rPr>
                <w:color w:val="auto"/>
                <w:sz w:val="24"/>
              </w:rPr>
              <w:t xml:space="preserve">超五年重新审核项目     </w:t>
            </w:r>
          </w:p>
          <w:p w14:paraId="0F61F33B">
            <w:pPr>
              <w:jc w:val="left"/>
              <w:rPr>
                <w:color w:val="auto"/>
                <w:sz w:val="24"/>
              </w:rPr>
            </w:pPr>
            <w:r>
              <w:rPr>
                <w:rFonts w:hint="eastAsia"/>
                <w:color w:val="auto"/>
                <w:sz w:val="24"/>
              </w:rPr>
              <w:t>□</w:t>
            </w:r>
            <w:r>
              <w:rPr>
                <w:color w:val="auto"/>
                <w:sz w:val="24"/>
              </w:rPr>
              <w:t>重大变动重新报批项目</w:t>
            </w:r>
          </w:p>
        </w:tc>
      </w:tr>
      <w:tr w14:paraId="0F9761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60" w:hRule="atLeast"/>
          <w:jc w:val="center"/>
        </w:trPr>
        <w:tc>
          <w:tcPr>
            <w:tcW w:w="1859" w:type="dxa"/>
            <w:gridSpan w:val="2"/>
            <w:noWrap w:val="0"/>
            <w:tcMar>
              <w:top w:w="16" w:type="dxa"/>
              <w:left w:w="16" w:type="dxa"/>
              <w:right w:w="16" w:type="dxa"/>
            </w:tcMar>
            <w:vAlign w:val="center"/>
          </w:tcPr>
          <w:p w14:paraId="63460FA1">
            <w:pPr>
              <w:adjustRightInd w:val="0"/>
              <w:snapToGrid w:val="0"/>
              <w:jc w:val="center"/>
              <w:rPr>
                <w:color w:val="auto"/>
                <w:sz w:val="24"/>
              </w:rPr>
            </w:pPr>
            <w:r>
              <w:rPr>
                <w:color w:val="auto"/>
                <w:sz w:val="24"/>
              </w:rPr>
              <w:t>项目审批（核准/备案）部门（选填）</w:t>
            </w:r>
          </w:p>
        </w:tc>
        <w:tc>
          <w:tcPr>
            <w:tcW w:w="2010" w:type="dxa"/>
            <w:noWrap w:val="0"/>
            <w:vAlign w:val="center"/>
          </w:tcPr>
          <w:p w14:paraId="69BAE081">
            <w:pPr>
              <w:adjustRightInd w:val="0"/>
              <w:snapToGrid w:val="0"/>
              <w:jc w:val="center"/>
              <w:rPr>
                <w:rFonts w:hint="default" w:eastAsia="宋体"/>
                <w:color w:val="auto"/>
                <w:sz w:val="24"/>
                <w:lang w:val="en-US" w:eastAsia="zh-CN"/>
              </w:rPr>
            </w:pPr>
            <w:r>
              <w:rPr>
                <w:rFonts w:hint="default" w:ascii="Times New Roman" w:hAnsi="Times New Roman" w:cs="Times New Roman"/>
                <w:color w:val="auto"/>
                <w:sz w:val="24"/>
                <w:szCs w:val="24"/>
                <w:lang w:val="en-US" w:eastAsia="zh-CN"/>
              </w:rPr>
              <w:t>宝鸡市陈仓区发展和改革局</w:t>
            </w:r>
          </w:p>
        </w:tc>
        <w:tc>
          <w:tcPr>
            <w:tcW w:w="1845" w:type="dxa"/>
            <w:noWrap w:val="0"/>
            <w:vAlign w:val="center"/>
          </w:tcPr>
          <w:p w14:paraId="07A62F33">
            <w:pPr>
              <w:adjustRightInd w:val="0"/>
              <w:snapToGrid w:val="0"/>
              <w:jc w:val="center"/>
              <w:rPr>
                <w:color w:val="auto"/>
                <w:sz w:val="24"/>
              </w:rPr>
            </w:pPr>
            <w:r>
              <w:rPr>
                <w:color w:val="auto"/>
                <w:sz w:val="24"/>
              </w:rPr>
              <w:t>项目审批（核准/</w:t>
            </w:r>
          </w:p>
          <w:p w14:paraId="78564D38">
            <w:pPr>
              <w:adjustRightInd w:val="0"/>
              <w:snapToGrid w:val="0"/>
              <w:jc w:val="center"/>
              <w:rPr>
                <w:color w:val="auto"/>
                <w:sz w:val="24"/>
              </w:rPr>
            </w:pPr>
            <w:r>
              <w:rPr>
                <w:color w:val="auto"/>
                <w:sz w:val="24"/>
              </w:rPr>
              <w:t>备案）文号（选填）</w:t>
            </w:r>
          </w:p>
        </w:tc>
        <w:tc>
          <w:tcPr>
            <w:tcW w:w="3412" w:type="dxa"/>
            <w:noWrap w:val="0"/>
            <w:vAlign w:val="center"/>
          </w:tcPr>
          <w:p w14:paraId="39E93D76">
            <w:pPr>
              <w:adjustRightInd w:val="0"/>
              <w:snapToGrid w:val="0"/>
              <w:jc w:val="center"/>
              <w:rPr>
                <w:rFonts w:hint="eastAsia"/>
                <w:color w:val="auto"/>
                <w:sz w:val="24"/>
              </w:rPr>
            </w:pPr>
            <w:r>
              <w:rPr>
                <w:rFonts w:hint="eastAsia"/>
                <w:color w:val="auto"/>
                <w:sz w:val="24"/>
              </w:rPr>
              <w:t>/</w:t>
            </w:r>
          </w:p>
        </w:tc>
      </w:tr>
      <w:tr w14:paraId="7D574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06" w:hRule="atLeast"/>
          <w:jc w:val="center"/>
        </w:trPr>
        <w:tc>
          <w:tcPr>
            <w:tcW w:w="1859" w:type="dxa"/>
            <w:gridSpan w:val="2"/>
            <w:noWrap w:val="0"/>
            <w:tcMar>
              <w:top w:w="16" w:type="dxa"/>
              <w:left w:w="16" w:type="dxa"/>
              <w:right w:w="16" w:type="dxa"/>
            </w:tcMar>
            <w:vAlign w:val="center"/>
          </w:tcPr>
          <w:p w14:paraId="2AD38CC2">
            <w:pPr>
              <w:adjustRightInd w:val="0"/>
              <w:snapToGrid w:val="0"/>
              <w:jc w:val="center"/>
              <w:rPr>
                <w:color w:val="auto"/>
                <w:sz w:val="24"/>
              </w:rPr>
            </w:pPr>
            <w:r>
              <w:rPr>
                <w:color w:val="auto"/>
                <w:sz w:val="24"/>
              </w:rPr>
              <w:t>总投资（万元）</w:t>
            </w:r>
          </w:p>
        </w:tc>
        <w:tc>
          <w:tcPr>
            <w:tcW w:w="2010" w:type="dxa"/>
            <w:noWrap w:val="0"/>
            <w:vAlign w:val="center"/>
          </w:tcPr>
          <w:p w14:paraId="2F2F6527">
            <w:pPr>
              <w:adjustRightInd w:val="0"/>
              <w:snapToGrid w:val="0"/>
              <w:jc w:val="center"/>
              <w:rPr>
                <w:rFonts w:hint="default" w:eastAsia="宋体"/>
                <w:color w:val="auto"/>
                <w:sz w:val="24"/>
                <w:lang w:val="en-US" w:eastAsia="zh-CN"/>
              </w:rPr>
            </w:pPr>
            <w:r>
              <w:rPr>
                <w:rFonts w:hint="eastAsia"/>
                <w:color w:val="auto"/>
                <w:sz w:val="24"/>
                <w:lang w:val="en-US" w:eastAsia="zh-CN"/>
              </w:rPr>
              <w:t>3000</w:t>
            </w:r>
          </w:p>
        </w:tc>
        <w:tc>
          <w:tcPr>
            <w:tcW w:w="1845" w:type="dxa"/>
            <w:noWrap w:val="0"/>
            <w:tcMar>
              <w:top w:w="16" w:type="dxa"/>
              <w:left w:w="16" w:type="dxa"/>
              <w:right w:w="16" w:type="dxa"/>
            </w:tcMar>
            <w:vAlign w:val="center"/>
          </w:tcPr>
          <w:p w14:paraId="3617DB06">
            <w:pPr>
              <w:adjustRightInd w:val="0"/>
              <w:snapToGrid w:val="0"/>
              <w:jc w:val="center"/>
              <w:rPr>
                <w:color w:val="auto"/>
                <w:sz w:val="24"/>
              </w:rPr>
            </w:pPr>
            <w:r>
              <w:rPr>
                <w:color w:val="auto"/>
                <w:sz w:val="24"/>
              </w:rPr>
              <w:t>环保投资（万元）</w:t>
            </w:r>
          </w:p>
        </w:tc>
        <w:tc>
          <w:tcPr>
            <w:tcW w:w="3412" w:type="dxa"/>
            <w:noWrap w:val="0"/>
            <w:vAlign w:val="center"/>
          </w:tcPr>
          <w:p w14:paraId="461B3E27">
            <w:pPr>
              <w:adjustRightInd w:val="0"/>
              <w:snapToGrid w:val="0"/>
              <w:jc w:val="center"/>
              <w:rPr>
                <w:rFonts w:hint="default" w:eastAsia="宋体"/>
                <w:color w:val="auto"/>
                <w:sz w:val="24"/>
                <w:lang w:val="en-US" w:eastAsia="zh-CN"/>
              </w:rPr>
            </w:pPr>
            <w:r>
              <w:rPr>
                <w:rFonts w:hint="eastAsia"/>
                <w:color w:val="auto"/>
                <w:sz w:val="24"/>
                <w:lang w:val="en-US" w:eastAsia="zh-CN"/>
              </w:rPr>
              <w:t>10</w:t>
            </w:r>
          </w:p>
        </w:tc>
      </w:tr>
      <w:tr w14:paraId="5EB4D4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00" w:hRule="atLeast"/>
          <w:jc w:val="center"/>
        </w:trPr>
        <w:tc>
          <w:tcPr>
            <w:tcW w:w="1859" w:type="dxa"/>
            <w:gridSpan w:val="2"/>
            <w:noWrap w:val="0"/>
            <w:tcMar>
              <w:top w:w="16" w:type="dxa"/>
              <w:left w:w="16" w:type="dxa"/>
              <w:right w:w="16" w:type="dxa"/>
            </w:tcMar>
            <w:vAlign w:val="center"/>
          </w:tcPr>
          <w:p w14:paraId="5D4B5E81">
            <w:pPr>
              <w:adjustRightInd w:val="0"/>
              <w:snapToGrid w:val="0"/>
              <w:jc w:val="center"/>
              <w:rPr>
                <w:color w:val="auto"/>
                <w:sz w:val="24"/>
              </w:rPr>
            </w:pPr>
            <w:r>
              <w:rPr>
                <w:color w:val="auto"/>
                <w:sz w:val="24"/>
              </w:rPr>
              <w:t>环保投资占比（%）</w:t>
            </w:r>
          </w:p>
        </w:tc>
        <w:tc>
          <w:tcPr>
            <w:tcW w:w="2010" w:type="dxa"/>
            <w:noWrap w:val="0"/>
            <w:vAlign w:val="center"/>
          </w:tcPr>
          <w:p w14:paraId="7C5B0520">
            <w:pPr>
              <w:adjustRightInd w:val="0"/>
              <w:snapToGrid w:val="0"/>
              <w:jc w:val="center"/>
              <w:rPr>
                <w:color w:val="auto"/>
                <w:sz w:val="24"/>
              </w:rPr>
            </w:pPr>
            <w:r>
              <w:rPr>
                <w:rFonts w:hint="eastAsia"/>
                <w:color w:val="auto"/>
                <w:sz w:val="24"/>
                <w:lang w:val="en-US" w:eastAsia="zh-CN"/>
              </w:rPr>
              <w:t>0.33</w:t>
            </w:r>
            <w:r>
              <w:rPr>
                <w:rFonts w:hint="eastAsia"/>
                <w:color w:val="auto"/>
                <w:sz w:val="24"/>
              </w:rPr>
              <w:t>%</w:t>
            </w:r>
          </w:p>
        </w:tc>
        <w:tc>
          <w:tcPr>
            <w:tcW w:w="1845" w:type="dxa"/>
            <w:noWrap w:val="0"/>
            <w:tcMar>
              <w:top w:w="16" w:type="dxa"/>
              <w:left w:w="16" w:type="dxa"/>
              <w:right w:w="16" w:type="dxa"/>
            </w:tcMar>
            <w:vAlign w:val="center"/>
          </w:tcPr>
          <w:p w14:paraId="2B5B66F9">
            <w:pPr>
              <w:adjustRightInd w:val="0"/>
              <w:snapToGrid w:val="0"/>
              <w:jc w:val="center"/>
              <w:rPr>
                <w:color w:val="auto"/>
                <w:sz w:val="24"/>
              </w:rPr>
            </w:pPr>
            <w:r>
              <w:rPr>
                <w:color w:val="auto"/>
                <w:sz w:val="24"/>
              </w:rPr>
              <w:t>施工工期</w:t>
            </w:r>
          </w:p>
        </w:tc>
        <w:tc>
          <w:tcPr>
            <w:tcW w:w="3412" w:type="dxa"/>
            <w:noWrap w:val="0"/>
            <w:vAlign w:val="center"/>
          </w:tcPr>
          <w:p w14:paraId="191FE649">
            <w:pPr>
              <w:adjustRightInd w:val="0"/>
              <w:snapToGrid w:val="0"/>
              <w:jc w:val="center"/>
              <w:rPr>
                <w:color w:val="auto"/>
                <w:sz w:val="24"/>
              </w:rPr>
            </w:pPr>
            <w:r>
              <w:rPr>
                <w:rFonts w:hint="eastAsia"/>
                <w:color w:val="auto"/>
                <w:sz w:val="24"/>
                <w:lang w:val="en-US" w:eastAsia="zh-CN"/>
              </w:rPr>
              <w:t>2</w:t>
            </w:r>
            <w:r>
              <w:rPr>
                <w:color w:val="auto"/>
                <w:sz w:val="24"/>
              </w:rPr>
              <w:t>个月</w:t>
            </w:r>
          </w:p>
        </w:tc>
      </w:tr>
      <w:tr w14:paraId="702DAB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9" w:hRule="atLeast"/>
          <w:jc w:val="center"/>
        </w:trPr>
        <w:tc>
          <w:tcPr>
            <w:tcW w:w="1859" w:type="dxa"/>
            <w:gridSpan w:val="2"/>
            <w:noWrap w:val="0"/>
            <w:tcMar>
              <w:top w:w="16" w:type="dxa"/>
              <w:left w:w="16" w:type="dxa"/>
              <w:right w:w="16" w:type="dxa"/>
            </w:tcMar>
            <w:vAlign w:val="center"/>
          </w:tcPr>
          <w:p w14:paraId="4538D062">
            <w:pPr>
              <w:adjustRightInd w:val="0"/>
              <w:snapToGrid w:val="0"/>
              <w:jc w:val="center"/>
              <w:rPr>
                <w:color w:val="auto"/>
                <w:sz w:val="24"/>
              </w:rPr>
            </w:pPr>
            <w:r>
              <w:rPr>
                <w:color w:val="auto"/>
                <w:sz w:val="24"/>
              </w:rPr>
              <w:t>是否开工建设</w:t>
            </w:r>
          </w:p>
        </w:tc>
        <w:tc>
          <w:tcPr>
            <w:tcW w:w="2010" w:type="dxa"/>
            <w:noWrap w:val="0"/>
            <w:vAlign w:val="center"/>
          </w:tcPr>
          <w:p w14:paraId="338071E5">
            <w:pPr>
              <w:adjustRightInd w:val="0"/>
              <w:snapToGrid w:val="0"/>
              <w:rPr>
                <w:color w:val="auto"/>
                <w:sz w:val="24"/>
              </w:rPr>
            </w:pPr>
            <w:r>
              <w:rPr>
                <w:rFonts w:hint="eastAsia"/>
                <w:color w:val="auto"/>
                <w:sz w:val="24"/>
              </w:rPr>
              <w:t>☑</w:t>
            </w:r>
            <w:r>
              <w:rPr>
                <w:color w:val="auto"/>
                <w:sz w:val="24"/>
              </w:rPr>
              <w:t>否</w:t>
            </w:r>
          </w:p>
          <w:p w14:paraId="2E4C7827">
            <w:pPr>
              <w:adjustRightInd w:val="0"/>
              <w:snapToGrid w:val="0"/>
              <w:rPr>
                <w:color w:val="auto"/>
                <w:sz w:val="24"/>
              </w:rPr>
            </w:pPr>
            <w:r>
              <w:rPr>
                <w:rFonts w:hint="eastAsia"/>
                <w:color w:val="auto"/>
                <w:sz w:val="24"/>
              </w:rPr>
              <w:t>□</w:t>
            </w:r>
            <w:r>
              <w:rPr>
                <w:color w:val="auto"/>
                <w:sz w:val="24"/>
              </w:rPr>
              <w:t>是</w:t>
            </w:r>
            <w:r>
              <w:rPr>
                <w:color w:val="auto"/>
                <w:sz w:val="24"/>
                <w:u w:val="single"/>
              </w:rPr>
              <w:t xml:space="preserve">          </w:t>
            </w:r>
          </w:p>
        </w:tc>
        <w:tc>
          <w:tcPr>
            <w:tcW w:w="1845" w:type="dxa"/>
            <w:noWrap w:val="0"/>
            <w:tcMar>
              <w:top w:w="16" w:type="dxa"/>
              <w:left w:w="16" w:type="dxa"/>
              <w:right w:w="16" w:type="dxa"/>
            </w:tcMar>
            <w:vAlign w:val="center"/>
          </w:tcPr>
          <w:p w14:paraId="165EB769">
            <w:pPr>
              <w:adjustRightInd w:val="0"/>
              <w:snapToGrid w:val="0"/>
              <w:jc w:val="center"/>
              <w:rPr>
                <w:color w:val="auto"/>
                <w:sz w:val="24"/>
              </w:rPr>
            </w:pPr>
            <w:r>
              <w:rPr>
                <w:color w:val="auto"/>
                <w:spacing w:val="-6"/>
                <w:sz w:val="24"/>
              </w:rPr>
              <w:t>用地面积（m</w:t>
            </w:r>
            <w:r>
              <w:rPr>
                <w:color w:val="auto"/>
                <w:spacing w:val="-6"/>
                <w:sz w:val="24"/>
                <w:vertAlign w:val="superscript"/>
              </w:rPr>
              <w:t>2</w:t>
            </w:r>
            <w:r>
              <w:rPr>
                <w:color w:val="auto"/>
                <w:spacing w:val="-6"/>
                <w:sz w:val="24"/>
              </w:rPr>
              <w:t>）</w:t>
            </w:r>
          </w:p>
        </w:tc>
        <w:tc>
          <w:tcPr>
            <w:tcW w:w="3412" w:type="dxa"/>
            <w:noWrap w:val="0"/>
            <w:vAlign w:val="center"/>
          </w:tcPr>
          <w:p w14:paraId="54AE8B23">
            <w:pPr>
              <w:adjustRightInd w:val="0"/>
              <w:snapToGrid w:val="0"/>
              <w:jc w:val="center"/>
              <w:rPr>
                <w:rFonts w:hint="default" w:eastAsia="宋体"/>
                <w:color w:val="auto"/>
                <w:sz w:val="24"/>
                <w:lang w:val="en-US" w:eastAsia="zh-CN"/>
              </w:rPr>
            </w:pPr>
            <w:r>
              <w:rPr>
                <w:rFonts w:hint="eastAsia"/>
                <w:color w:val="auto"/>
                <w:sz w:val="24"/>
                <w:lang w:val="en-US" w:eastAsia="zh-CN"/>
              </w:rPr>
              <w:t>1774</w:t>
            </w:r>
          </w:p>
        </w:tc>
      </w:tr>
      <w:tr w14:paraId="7BFFA9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59" w:type="dxa"/>
            <w:gridSpan w:val="2"/>
            <w:noWrap w:val="0"/>
            <w:vAlign w:val="center"/>
          </w:tcPr>
          <w:p w14:paraId="1E2D84AF">
            <w:pPr>
              <w:autoSpaceDE w:val="0"/>
              <w:autoSpaceDN w:val="0"/>
              <w:adjustRightInd w:val="0"/>
              <w:snapToGrid w:val="0"/>
              <w:jc w:val="center"/>
              <w:rPr>
                <w:color w:val="auto"/>
                <w:kern w:val="0"/>
                <w:sz w:val="24"/>
              </w:rPr>
            </w:pPr>
            <w:r>
              <w:rPr>
                <w:color w:val="auto"/>
                <w:kern w:val="0"/>
                <w:sz w:val="24"/>
              </w:rPr>
              <w:t>专项评价设置情况</w:t>
            </w:r>
          </w:p>
        </w:tc>
        <w:tc>
          <w:tcPr>
            <w:tcW w:w="7267" w:type="dxa"/>
            <w:gridSpan w:val="3"/>
            <w:noWrap w:val="0"/>
            <w:vAlign w:val="center"/>
          </w:tcPr>
          <w:p w14:paraId="017F947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color w:val="auto"/>
                <w:kern w:val="0"/>
                <w:sz w:val="24"/>
              </w:rPr>
            </w:pPr>
            <w:r>
              <w:rPr>
                <w:color w:val="auto"/>
                <w:kern w:val="0"/>
                <w:sz w:val="24"/>
              </w:rPr>
              <w:t>无</w:t>
            </w:r>
          </w:p>
        </w:tc>
      </w:tr>
      <w:tr w14:paraId="3AF83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838" w:type="dxa"/>
            <w:noWrap w:val="0"/>
            <w:vAlign w:val="center"/>
          </w:tcPr>
          <w:p w14:paraId="7478B89D">
            <w:pPr>
              <w:autoSpaceDE w:val="0"/>
              <w:autoSpaceDN w:val="0"/>
              <w:adjustRightInd w:val="0"/>
              <w:snapToGrid w:val="0"/>
              <w:jc w:val="center"/>
              <w:rPr>
                <w:color w:val="auto"/>
                <w:kern w:val="0"/>
                <w:sz w:val="24"/>
              </w:rPr>
            </w:pPr>
            <w:r>
              <w:rPr>
                <w:color w:val="auto"/>
                <w:sz w:val="24"/>
              </w:rPr>
              <w:t>规划情况</w:t>
            </w:r>
          </w:p>
        </w:tc>
        <w:tc>
          <w:tcPr>
            <w:tcW w:w="8288" w:type="dxa"/>
            <w:gridSpan w:val="4"/>
            <w:noWrap w:val="0"/>
            <w:vAlign w:val="center"/>
          </w:tcPr>
          <w:p w14:paraId="0EC76C99">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规划名称：</w:t>
            </w:r>
            <w:r>
              <w:rPr>
                <w:rFonts w:hint="default" w:ascii="Times New Roman" w:hAnsi="Times New Roman" w:eastAsia="宋体" w:cs="Times New Roman"/>
                <w:color w:val="auto"/>
                <w:sz w:val="24"/>
                <w:szCs w:val="24"/>
              </w:rPr>
              <w:t>《陕西陈仓经济技术开发区总体规划（2022-2035年）》</w:t>
            </w:r>
          </w:p>
          <w:p w14:paraId="7C45DC28">
            <w:pPr>
              <w:autoSpaceDE w:val="0"/>
              <w:autoSpaceDN w:val="0"/>
              <w:adjustRightInd w:val="0"/>
              <w:snapToGrid w:val="0"/>
              <w:spacing w:line="360" w:lineRule="auto"/>
              <w:ind w:firstLine="482" w:firstLineChars="200"/>
              <w:jc w:val="both"/>
              <w:rPr>
                <w:rFonts w:hint="default" w:eastAsia="宋体"/>
                <w:color w:val="auto"/>
                <w:kern w:val="0"/>
                <w:sz w:val="24"/>
                <w:lang w:val="en-US" w:eastAsia="zh-CN"/>
              </w:rPr>
            </w:pPr>
            <w:r>
              <w:rPr>
                <w:rFonts w:hint="default" w:ascii="Times New Roman" w:hAnsi="Times New Roman" w:eastAsia="宋体" w:cs="Times New Roman"/>
                <w:b/>
                <w:bCs/>
                <w:color w:val="auto"/>
                <w:sz w:val="24"/>
                <w:szCs w:val="24"/>
                <w:lang w:eastAsia="zh-CN"/>
              </w:rPr>
              <w:t>审批机关</w:t>
            </w:r>
            <w:r>
              <w:rPr>
                <w:rFonts w:hint="default" w:ascii="Times New Roman" w:hAnsi="Times New Roman" w:eastAsia="宋体" w:cs="Times New Roman"/>
                <w:b/>
                <w:bCs/>
                <w:color w:val="auto"/>
                <w:sz w:val="24"/>
                <w:szCs w:val="24"/>
              </w:rPr>
              <w:t>：</w:t>
            </w:r>
            <w:r>
              <w:rPr>
                <w:rFonts w:hint="default" w:ascii="Times New Roman" w:hAnsi="Times New Roman" w:eastAsia="宋体" w:cs="Times New Roman"/>
                <w:color w:val="auto"/>
                <w:sz w:val="24"/>
                <w:szCs w:val="24"/>
                <w:lang w:eastAsia="zh-CN"/>
              </w:rPr>
              <w:t>宝鸡市人民政府</w:t>
            </w:r>
          </w:p>
        </w:tc>
      </w:tr>
      <w:tr w14:paraId="2B7C64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07" w:hRule="atLeast"/>
          <w:jc w:val="center"/>
        </w:trPr>
        <w:tc>
          <w:tcPr>
            <w:tcW w:w="838" w:type="dxa"/>
            <w:noWrap w:val="0"/>
            <w:vAlign w:val="center"/>
          </w:tcPr>
          <w:p w14:paraId="09EB9F17">
            <w:pPr>
              <w:adjustRightInd w:val="0"/>
              <w:snapToGrid w:val="0"/>
              <w:jc w:val="center"/>
              <w:rPr>
                <w:color w:val="auto"/>
                <w:kern w:val="0"/>
                <w:sz w:val="24"/>
              </w:rPr>
            </w:pPr>
            <w:r>
              <w:rPr>
                <w:color w:val="auto"/>
                <w:sz w:val="24"/>
              </w:rPr>
              <w:t>规划环境影响评价情况</w:t>
            </w:r>
          </w:p>
        </w:tc>
        <w:tc>
          <w:tcPr>
            <w:tcW w:w="8288" w:type="dxa"/>
            <w:gridSpan w:val="4"/>
            <w:noWrap w:val="0"/>
            <w:vAlign w:val="center"/>
          </w:tcPr>
          <w:p w14:paraId="7D86458C">
            <w:pPr>
              <w:adjustRightInd w:val="0"/>
              <w:snapToGrid w:val="0"/>
              <w:spacing w:line="360" w:lineRule="auto"/>
              <w:ind w:firstLine="482" w:firstLineChars="200"/>
              <w:jc w:val="both"/>
              <w:rPr>
                <w:rFonts w:hint="default" w:ascii="Times New Roman" w:hAnsi="Times New Roman" w:cs="Times New Roman"/>
                <w:color w:val="auto"/>
                <w:sz w:val="24"/>
              </w:rPr>
            </w:pPr>
            <w:r>
              <w:rPr>
                <w:rFonts w:hint="default" w:ascii="Times New Roman" w:hAnsi="Times New Roman" w:cs="Times New Roman"/>
                <w:b/>
                <w:bCs/>
                <w:color w:val="auto"/>
                <w:sz w:val="24"/>
              </w:rPr>
              <w:t>1.文件名称：</w:t>
            </w:r>
            <w:r>
              <w:rPr>
                <w:rFonts w:hint="default" w:ascii="Times New Roman" w:hAnsi="Times New Roman" w:cs="Times New Roman"/>
                <w:color w:val="auto"/>
                <w:sz w:val="24"/>
              </w:rPr>
              <w:t>《陕西陈仓经济技术开发区总体规划（2022-2035年）环境影响报告书》</w:t>
            </w:r>
          </w:p>
          <w:p w14:paraId="48E936DF">
            <w:pPr>
              <w:adjustRightInd w:val="0"/>
              <w:snapToGrid w:val="0"/>
              <w:spacing w:line="360" w:lineRule="auto"/>
              <w:ind w:firstLine="482" w:firstLineChars="200"/>
              <w:jc w:val="both"/>
              <w:rPr>
                <w:rFonts w:hint="default" w:ascii="Times New Roman" w:hAnsi="Times New Roman" w:cs="Times New Roman"/>
                <w:color w:val="auto"/>
                <w:sz w:val="24"/>
              </w:rPr>
            </w:pPr>
            <w:r>
              <w:rPr>
                <w:rFonts w:hint="default" w:ascii="Times New Roman" w:hAnsi="Times New Roman" w:cs="Times New Roman"/>
                <w:b/>
                <w:bCs/>
                <w:color w:val="auto"/>
                <w:sz w:val="24"/>
              </w:rPr>
              <w:t>2.审查机关：</w:t>
            </w:r>
            <w:r>
              <w:rPr>
                <w:rFonts w:hint="default" w:ascii="Times New Roman" w:hAnsi="Times New Roman" w:cs="Times New Roman"/>
                <w:color w:val="auto"/>
                <w:sz w:val="24"/>
              </w:rPr>
              <w:t>陕西省生态环境厅</w:t>
            </w:r>
          </w:p>
          <w:p w14:paraId="1949B87E">
            <w:pPr>
              <w:autoSpaceDE w:val="0"/>
              <w:autoSpaceDN w:val="0"/>
              <w:adjustRightInd w:val="0"/>
              <w:snapToGrid w:val="0"/>
              <w:spacing w:line="360" w:lineRule="auto"/>
              <w:ind w:firstLine="482" w:firstLineChars="200"/>
              <w:jc w:val="both"/>
              <w:rPr>
                <w:rFonts w:hint="default" w:eastAsia="宋体"/>
                <w:color w:val="auto"/>
                <w:kern w:val="0"/>
                <w:sz w:val="24"/>
                <w:highlight w:val="none"/>
                <w:lang w:val="en-US" w:eastAsia="zh-CN"/>
              </w:rPr>
            </w:pPr>
            <w:r>
              <w:rPr>
                <w:rFonts w:hint="default" w:ascii="Times New Roman" w:hAnsi="Times New Roman" w:cs="Times New Roman"/>
                <w:b/>
                <w:bCs/>
                <w:color w:val="auto"/>
                <w:sz w:val="24"/>
              </w:rPr>
              <w:t>3.审查文件名称及文号：</w:t>
            </w:r>
            <w:r>
              <w:rPr>
                <w:rFonts w:hint="default" w:ascii="Times New Roman" w:hAnsi="Times New Roman" w:cs="Times New Roman"/>
                <w:color w:val="auto"/>
                <w:sz w:val="24"/>
              </w:rPr>
              <w:t>《关于陕西陈仓经济技术开发区总体规划（2022-2035年）环境影响报告书审查意见的函》（陕环环评函〔2023〕22号）</w:t>
            </w:r>
          </w:p>
        </w:tc>
      </w:tr>
      <w:tr w14:paraId="52F155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8" w:type="dxa"/>
            <w:noWrap w:val="0"/>
            <w:vAlign w:val="center"/>
          </w:tcPr>
          <w:p w14:paraId="1C8F5DF1">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8288" w:type="dxa"/>
            <w:gridSpan w:val="4"/>
            <w:noWrap w:val="0"/>
            <w:vAlign w:val="center"/>
          </w:tcPr>
          <w:p w14:paraId="794D033F">
            <w:pPr>
              <w:spacing w:line="360" w:lineRule="auto"/>
              <w:ind w:firstLine="482" w:firstLineChars="200"/>
              <w:rPr>
                <w:rFonts w:hint="default" w:ascii="Times New Roman" w:hAnsi="Times New Roman" w:eastAsia="宋体" w:cs="Times New Roman"/>
                <w:b/>
                <w:bCs w:val="0"/>
                <w:color w:val="auto"/>
                <w:sz w:val="24"/>
                <w:lang w:val="en-US" w:eastAsia="zh-CN"/>
              </w:rPr>
            </w:pPr>
            <w:r>
              <w:rPr>
                <w:rFonts w:hint="default" w:ascii="Times New Roman" w:hAnsi="Times New Roman" w:eastAsia="宋体" w:cs="Times New Roman"/>
                <w:b/>
                <w:bCs w:val="0"/>
                <w:color w:val="auto"/>
                <w:sz w:val="24"/>
              </w:rPr>
              <w:t>1.</w:t>
            </w:r>
            <w:r>
              <w:rPr>
                <w:rFonts w:hint="default" w:ascii="Times New Roman" w:hAnsi="Times New Roman" w:eastAsia="宋体" w:cs="Times New Roman"/>
                <w:b/>
                <w:bCs w:val="0"/>
                <w:color w:val="auto"/>
                <w:sz w:val="24"/>
                <w:lang w:val="en-US" w:eastAsia="zh-CN"/>
              </w:rPr>
              <w:t>规划符合性分析</w:t>
            </w:r>
          </w:p>
          <w:p w14:paraId="3CF1C260">
            <w:pPr>
              <w:adjustRightIn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项目位于陕西省宝鸡市陈仓区科技工业园区内，港务大道27号院8幢厂房</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陕西机器人智能制造产业园</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，属于《</w:t>
            </w:r>
            <w:r>
              <w:rPr>
                <w:rFonts w:hint="default" w:ascii="Times New Roman" w:hAnsi="Times New Roman" w:eastAsia="宋体" w:cs="Times New Roman"/>
                <w:color w:val="auto"/>
                <w:sz w:val="24"/>
                <w:szCs w:val="24"/>
              </w:rPr>
              <w:t>陕西陈仓经济技术开发区总体规划（2022-2035年）</w:t>
            </w:r>
            <w:r>
              <w:rPr>
                <w:rFonts w:hint="default" w:ascii="Times New Roman" w:hAnsi="Times New Roman" w:eastAsia="宋体" w:cs="Times New Roman"/>
                <w:color w:val="auto"/>
                <w:sz w:val="24"/>
                <w:szCs w:val="24"/>
                <w:lang w:val="en-US" w:eastAsia="zh-CN"/>
              </w:rPr>
              <w:t>》规划范围内用地，项目与开发区</w:t>
            </w:r>
            <w:r>
              <w:rPr>
                <w:rFonts w:hint="eastAsia" w:cs="Times New Roman"/>
                <w:color w:val="auto"/>
                <w:sz w:val="24"/>
                <w:szCs w:val="24"/>
                <w:lang w:val="en-US" w:eastAsia="zh-CN"/>
              </w:rPr>
              <w:t>总体</w:t>
            </w:r>
            <w:r>
              <w:rPr>
                <w:rFonts w:hint="default" w:ascii="Times New Roman" w:hAnsi="Times New Roman" w:eastAsia="宋体" w:cs="Times New Roman"/>
                <w:color w:val="auto"/>
                <w:sz w:val="24"/>
                <w:szCs w:val="24"/>
                <w:lang w:val="en-US" w:eastAsia="zh-CN"/>
              </w:rPr>
              <w:t>规划的符合性分析见表1-1。</w:t>
            </w:r>
          </w:p>
          <w:p w14:paraId="03AB426A">
            <w:pPr>
              <w:bidi w:val="0"/>
              <w:spacing w:line="240" w:lineRule="auto"/>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表1-</w:t>
            </w:r>
            <w:r>
              <w:rPr>
                <w:rFonts w:hint="eastAsia" w:ascii="Times New Roman" w:hAnsi="Times New Roman" w:eastAsia="宋体" w:cs="Times New Roman"/>
                <w:b/>
                <w:bCs/>
                <w:color w:val="auto"/>
                <w:sz w:val="21"/>
                <w:szCs w:val="21"/>
                <w:lang w:val="en-US" w:eastAsia="zh-CN"/>
              </w:rPr>
              <w:t xml:space="preserve">1  </w:t>
            </w:r>
            <w:r>
              <w:rPr>
                <w:rFonts w:hint="default" w:ascii="Times New Roman" w:hAnsi="Times New Roman" w:eastAsia="宋体" w:cs="Times New Roman"/>
                <w:b/>
                <w:bCs/>
                <w:color w:val="auto"/>
                <w:sz w:val="21"/>
                <w:szCs w:val="21"/>
                <w:lang w:val="en-US" w:eastAsia="zh-CN"/>
              </w:rPr>
              <w:t>项目与</w:t>
            </w:r>
            <w:r>
              <w:rPr>
                <w:rFonts w:hint="default" w:ascii="Times New Roman" w:hAnsi="Times New Roman" w:eastAsia="宋体" w:cs="Times New Roman"/>
                <w:b/>
                <w:bCs/>
                <w:color w:val="auto"/>
                <w:sz w:val="21"/>
                <w:szCs w:val="24"/>
                <w:lang w:eastAsia="zh-CN"/>
              </w:rPr>
              <w:t>《陕西陈仓经济技术开发区总体规划（2022-2035年）》</w:t>
            </w:r>
            <w:r>
              <w:rPr>
                <w:rFonts w:hint="default" w:ascii="Times New Roman" w:hAnsi="Times New Roman" w:eastAsia="宋体" w:cs="Times New Roman"/>
                <w:b/>
                <w:bCs/>
                <w:color w:val="auto"/>
                <w:sz w:val="21"/>
                <w:szCs w:val="21"/>
                <w:lang w:val="en-US" w:eastAsia="zh-CN"/>
              </w:rPr>
              <w:t>的符合性分析</w:t>
            </w:r>
          </w:p>
          <w:tbl>
            <w:tblPr>
              <w:tblStyle w:val="24"/>
              <w:tblW w:w="4994" w:type="pct"/>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16"/>
              <w:gridCol w:w="4489"/>
              <w:gridCol w:w="1877"/>
              <w:gridCol w:w="960"/>
            </w:tblGrid>
            <w:tr w14:paraId="3F7893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tcBorders>
                    <w:tl2br w:val="nil"/>
                    <w:tr2bl w:val="nil"/>
                  </w:tcBorders>
                  <w:noWrap w:val="0"/>
                  <w:vAlign w:val="center"/>
                </w:tcPr>
                <w:p w14:paraId="500D4C23">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类别</w:t>
                  </w:r>
                </w:p>
              </w:tc>
              <w:tc>
                <w:tcPr>
                  <w:tcW w:w="2790" w:type="pct"/>
                  <w:tcBorders>
                    <w:tl2br w:val="nil"/>
                    <w:tr2bl w:val="nil"/>
                  </w:tcBorders>
                  <w:noWrap w:val="0"/>
                  <w:vAlign w:val="center"/>
                </w:tcPr>
                <w:p w14:paraId="48B08885">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sz w:val="21"/>
                      <w:szCs w:val="24"/>
                      <w:lang w:eastAsia="zh-CN"/>
                    </w:rPr>
                    <w:t>陕西陈仓经济技术开发区</w:t>
                  </w:r>
                </w:p>
              </w:tc>
              <w:tc>
                <w:tcPr>
                  <w:tcW w:w="1167" w:type="pct"/>
                  <w:tcBorders>
                    <w:tl2br w:val="nil"/>
                    <w:tr2bl w:val="nil"/>
                  </w:tcBorders>
                  <w:noWrap w:val="0"/>
                  <w:vAlign w:val="center"/>
                </w:tcPr>
                <w:p w14:paraId="48068844">
                  <w:pPr>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本项目</w:t>
                  </w:r>
                </w:p>
              </w:tc>
              <w:tc>
                <w:tcPr>
                  <w:tcW w:w="597" w:type="pct"/>
                  <w:tcBorders>
                    <w:tl2br w:val="nil"/>
                    <w:tr2bl w:val="nil"/>
                  </w:tcBorders>
                  <w:noWrap w:val="0"/>
                  <w:vAlign w:val="center"/>
                </w:tcPr>
                <w:p w14:paraId="2B93BCE3">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符合性</w:t>
                  </w:r>
                </w:p>
                <w:p w14:paraId="3CB699B0">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分析</w:t>
                  </w:r>
                </w:p>
              </w:tc>
            </w:tr>
            <w:tr w14:paraId="107EFC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tcBorders>
                    <w:tl2br w:val="nil"/>
                    <w:tr2bl w:val="nil"/>
                  </w:tcBorders>
                  <w:noWrap w:val="0"/>
                  <w:vAlign w:val="center"/>
                </w:tcPr>
                <w:p w14:paraId="45C384EF">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0"/>
                      <w:sz w:val="21"/>
                      <w:szCs w:val="21"/>
                      <w:lang w:val="en-US" w:eastAsia="zh-CN" w:bidi="ar"/>
                    </w:rPr>
                    <w:t>规划范围</w:t>
                  </w:r>
                </w:p>
              </w:tc>
              <w:tc>
                <w:tcPr>
                  <w:tcW w:w="2790" w:type="pct"/>
                  <w:tcBorders>
                    <w:tl2br w:val="nil"/>
                    <w:tr2bl w:val="nil"/>
                  </w:tcBorders>
                  <w:noWrap w:val="0"/>
                  <w:vAlign w:val="center"/>
                </w:tcPr>
                <w:p w14:paraId="5A36E9BF">
                  <w:pPr>
                    <w:jc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总面积为979.14公顷，由科技工业园、周原工业园和县功工业园组成。其中科技工业园坐落于东关街道，面积为602.90公顷。四至范围为</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西片区（381.03公顷）东至陆港大桥，南至宝鸡过境高速，西至思贤路，北至陇海铁路；东片区（221.87公顷）东至法士特大桥，南至河堤路，西至东枸村，北至宝鸡过境高速北侧约560米处。</w:t>
                  </w:r>
                </w:p>
              </w:tc>
              <w:tc>
                <w:tcPr>
                  <w:tcW w:w="1167" w:type="pct"/>
                  <w:tcBorders>
                    <w:tl2br w:val="nil"/>
                    <w:tr2bl w:val="nil"/>
                  </w:tcBorders>
                  <w:noWrap w:val="0"/>
                  <w:vAlign w:val="center"/>
                </w:tcPr>
                <w:p w14:paraId="646530D1">
                  <w:pPr>
                    <w:jc w:val="center"/>
                    <w:rPr>
                      <w:rFonts w:hint="default" w:ascii="Times New Roman" w:hAnsi="Times New Roman" w:eastAsia="宋体" w:cs="Times New Roman"/>
                      <w:b/>
                      <w:bCs/>
                      <w:color w:val="auto"/>
                      <w:sz w:val="21"/>
                      <w:szCs w:val="21"/>
                      <w:lang w:val="en-US"/>
                    </w:rPr>
                  </w:pPr>
                  <w:r>
                    <w:rPr>
                      <w:rFonts w:hint="eastAsia" w:ascii="Times New Roman" w:hAnsi="Times New Roman" w:eastAsia="宋体"/>
                      <w:color w:val="auto"/>
                      <w:sz w:val="21"/>
                      <w:szCs w:val="21"/>
                      <w:lang w:val="en-US" w:eastAsia="zh-CN"/>
                    </w:rPr>
                    <w:t>本项目位于</w:t>
                  </w:r>
                  <w:r>
                    <w:rPr>
                      <w:rFonts w:hint="eastAsia" w:ascii="Times New Roman" w:hAnsi="Times New Roman" w:eastAsia="宋体"/>
                      <w:color w:val="auto"/>
                      <w:sz w:val="21"/>
                      <w:szCs w:val="21"/>
                      <w:lang w:eastAsia="zh-CN"/>
                    </w:rPr>
                    <w:t>宝鸡市陈仓区科技工业园，</w:t>
                  </w:r>
                  <w:r>
                    <w:rPr>
                      <w:rFonts w:hint="eastAsia" w:ascii="Times New Roman" w:hAnsi="Times New Roman" w:eastAsia="宋体"/>
                      <w:color w:val="auto"/>
                      <w:sz w:val="21"/>
                      <w:szCs w:val="21"/>
                      <w:lang w:val="en-US" w:eastAsia="zh-CN"/>
                    </w:rPr>
                    <w:t>属于西片区，</w:t>
                  </w:r>
                  <w:r>
                    <w:rPr>
                      <w:rFonts w:hint="eastAsia" w:ascii="Times New Roman" w:hAnsi="Times New Roman" w:eastAsia="宋体" w:cs="Times New Roman"/>
                      <w:color w:val="auto"/>
                      <w:kern w:val="0"/>
                      <w:sz w:val="21"/>
                      <w:szCs w:val="21"/>
                      <w:lang w:val="en-US" w:eastAsia="zh-CN" w:bidi="ar"/>
                    </w:rPr>
                    <w:t>项目</w:t>
                  </w:r>
                  <w:r>
                    <w:rPr>
                      <w:rFonts w:hint="default" w:ascii="Times New Roman" w:hAnsi="Times New Roman" w:eastAsia="宋体" w:cs="Times New Roman"/>
                      <w:color w:val="auto"/>
                      <w:kern w:val="0"/>
                      <w:sz w:val="21"/>
                      <w:szCs w:val="21"/>
                      <w:lang w:val="en-US" w:eastAsia="zh-CN" w:bidi="ar"/>
                    </w:rPr>
                    <w:t>用地</w:t>
                  </w:r>
                  <w:r>
                    <w:rPr>
                      <w:rFonts w:hint="eastAsia" w:ascii="Times New Roman" w:hAnsi="Times New Roman" w:eastAsia="宋体" w:cs="Times New Roman"/>
                      <w:color w:val="auto"/>
                      <w:kern w:val="0"/>
                      <w:sz w:val="21"/>
                      <w:szCs w:val="21"/>
                      <w:lang w:val="en-US" w:eastAsia="zh-CN" w:bidi="ar"/>
                    </w:rPr>
                    <w:t>性质为二类工业用地，符合</w:t>
                  </w:r>
                  <w:r>
                    <w:rPr>
                      <w:rFonts w:hint="eastAsia" w:ascii="Times New Roman" w:hAnsi="Times New Roman" w:eastAsia="宋体"/>
                      <w:color w:val="auto"/>
                      <w:sz w:val="21"/>
                      <w:szCs w:val="21"/>
                      <w:lang w:eastAsia="zh-CN"/>
                    </w:rPr>
                    <w:t>宝鸡市陈仓区科技工业园</w:t>
                  </w:r>
                  <w:r>
                    <w:rPr>
                      <w:rFonts w:hint="eastAsia" w:ascii="Times New Roman" w:hAnsi="Times New Roman" w:eastAsia="宋体"/>
                      <w:color w:val="auto"/>
                      <w:sz w:val="21"/>
                      <w:szCs w:val="21"/>
                      <w:lang w:val="en-US" w:eastAsia="zh-CN"/>
                    </w:rPr>
                    <w:t>土地利用</w:t>
                  </w:r>
                  <w:r>
                    <w:rPr>
                      <w:rFonts w:hint="default" w:ascii="Times New Roman" w:hAnsi="Times New Roman" w:eastAsia="宋体" w:cs="Times New Roman"/>
                      <w:b w:val="0"/>
                      <w:bCs w:val="0"/>
                      <w:color w:val="auto"/>
                      <w:kern w:val="0"/>
                      <w:sz w:val="21"/>
                      <w:szCs w:val="21"/>
                      <w:lang w:val="en-US" w:eastAsia="zh-CN" w:bidi="ar"/>
                    </w:rPr>
                    <w:t>总体规划</w:t>
                  </w:r>
                  <w:r>
                    <w:rPr>
                      <w:rFonts w:hint="eastAsia" w:ascii="Times New Roman" w:hAnsi="Times New Roman" w:eastAsia="宋体" w:cs="Times New Roman"/>
                      <w:b w:val="0"/>
                      <w:bCs w:val="0"/>
                      <w:color w:val="auto"/>
                      <w:kern w:val="0"/>
                      <w:sz w:val="21"/>
                      <w:szCs w:val="21"/>
                      <w:lang w:val="en-US" w:eastAsia="zh-CN" w:bidi="ar"/>
                    </w:rPr>
                    <w:t>，详见图1-1</w:t>
                  </w:r>
                </w:p>
              </w:tc>
              <w:tc>
                <w:tcPr>
                  <w:tcW w:w="597" w:type="pct"/>
                  <w:tcBorders>
                    <w:tl2br w:val="nil"/>
                    <w:tr2bl w:val="nil"/>
                  </w:tcBorders>
                  <w:noWrap w:val="0"/>
                  <w:vAlign w:val="center"/>
                </w:tcPr>
                <w:p w14:paraId="4F692334">
                  <w:pPr>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符合</w:t>
                  </w:r>
                </w:p>
              </w:tc>
            </w:tr>
            <w:tr w14:paraId="314567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45" w:type="pct"/>
                  <w:tcBorders>
                    <w:tl2br w:val="nil"/>
                    <w:tr2bl w:val="nil"/>
                  </w:tcBorders>
                  <w:noWrap w:val="0"/>
                  <w:vAlign w:val="center"/>
                </w:tcPr>
                <w:p w14:paraId="74D571AB">
                  <w:pPr>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kern w:val="0"/>
                      <w:sz w:val="21"/>
                      <w:szCs w:val="21"/>
                      <w:lang w:val="en-US" w:eastAsia="zh-CN" w:bidi="ar"/>
                    </w:rPr>
                    <w:t>规划结构及产业定位</w:t>
                  </w:r>
                </w:p>
              </w:tc>
              <w:tc>
                <w:tcPr>
                  <w:tcW w:w="2790" w:type="pct"/>
                  <w:tcBorders>
                    <w:tl2br w:val="nil"/>
                    <w:tr2bl w:val="nil"/>
                  </w:tcBorders>
                  <w:noWrap w:val="0"/>
                  <w:vAlign w:val="center"/>
                </w:tcPr>
                <w:p w14:paraId="2375D89F">
                  <w:pPr>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陈仓科技工业园规划形成</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一轴三心六板块</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的规划结构。</w:t>
                  </w:r>
                </w:p>
                <w:p w14:paraId="085B350D">
                  <w:pPr>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一轴</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：即经开区功能拓展轴，沿西虢大道形成的要求发展轴线，经开区各主要功能沿该轴线呈组团式布置。</w:t>
                  </w:r>
                </w:p>
                <w:p w14:paraId="3F6015CA">
                  <w:pPr>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三心</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：指依托园区管委会的政务服务功能、绿地广场等形成经开区行政服务核心，依托园区东部的科技研发功能、商务办公功能等形成经开区科技研发核心，依托高速公路立交周边的绿地形成绿化景观核心。</w:t>
                  </w:r>
                </w:p>
                <w:p w14:paraId="2891D7E4">
                  <w:pPr>
                    <w:jc w:val="both"/>
                    <w:rPr>
                      <w:rFonts w:hint="default"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六板块</w:t>
                  </w:r>
                  <w:r>
                    <w:rPr>
                      <w:rFonts w:hint="eastAsia"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指综合服务板块、宝鸡重要新材料研</w:t>
                  </w:r>
                  <w:r>
                    <w:rPr>
                      <w:rFonts w:hint="default" w:ascii="Times New Roman" w:hAnsi="Times New Roman" w:eastAsia="宋体" w:cs="Times New Roman"/>
                      <w:color w:val="auto"/>
                      <w:kern w:val="0"/>
                      <w:sz w:val="21"/>
                      <w:szCs w:val="21"/>
                      <w:lang w:val="en-US" w:eastAsia="zh-CN" w:bidi="ar"/>
                    </w:rPr>
                    <w:t>发与产业化基地板块、</w:t>
                  </w:r>
                  <w:r>
                    <w:rPr>
                      <w:rFonts w:hint="default" w:ascii="Times New Roman" w:hAnsi="Times New Roman" w:eastAsia="宋体" w:cs="Times New Roman"/>
                      <w:b/>
                      <w:bCs/>
                      <w:color w:val="auto"/>
                      <w:kern w:val="0"/>
                      <w:sz w:val="21"/>
                      <w:szCs w:val="21"/>
                      <w:lang w:val="en-US" w:eastAsia="zh-CN" w:bidi="ar"/>
                    </w:rPr>
                    <w:t>智能装备制造板块</w:t>
                  </w:r>
                  <w:r>
                    <w:rPr>
                      <w:rFonts w:hint="default" w:ascii="Times New Roman" w:hAnsi="Times New Roman" w:eastAsia="宋体" w:cs="Times New Roman"/>
                      <w:color w:val="auto"/>
                      <w:kern w:val="0"/>
                      <w:sz w:val="21"/>
                      <w:szCs w:val="21"/>
                      <w:lang w:val="en-US" w:eastAsia="zh-CN" w:bidi="ar"/>
                    </w:rPr>
                    <w:t>、优势装备板块、食品饮料板块、汽车零部件板块。</w:t>
                  </w:r>
                </w:p>
              </w:tc>
              <w:tc>
                <w:tcPr>
                  <w:tcW w:w="1167" w:type="pct"/>
                  <w:tcBorders>
                    <w:tl2br w:val="nil"/>
                    <w:tr2bl w:val="nil"/>
                  </w:tcBorders>
                  <w:noWrap w:val="0"/>
                  <w:vAlign w:val="center"/>
                </w:tcPr>
                <w:p w14:paraId="6AE3755F">
                  <w:pPr>
                    <w:adjustRightInd w:val="0"/>
                    <w:snapToGrid w:val="0"/>
                    <w:jc w:val="both"/>
                    <w:rPr>
                      <w:rFonts w:hint="default" w:ascii="Times New Roman" w:hAnsi="Times New Roman" w:eastAsia="宋体" w:cs="Times New Roman"/>
                      <w:color w:val="auto"/>
                      <w:sz w:val="21"/>
                      <w:szCs w:val="21"/>
                      <w:lang w:val="en-US" w:eastAsia="zh-CN"/>
                    </w:rPr>
                  </w:pPr>
                  <w:r>
                    <w:rPr>
                      <w:rFonts w:hint="eastAsia" w:ascii="Times New Roman" w:hAnsi="Times New Roman" w:eastAsia="宋体"/>
                      <w:color w:val="auto"/>
                      <w:sz w:val="21"/>
                      <w:szCs w:val="21"/>
                      <w:lang w:val="en-US" w:eastAsia="zh-CN"/>
                    </w:rPr>
                    <w:t>本项目属于C3259其他有色金属压延加工，主要生产镍钛形状记忆合金</w:t>
                  </w:r>
                  <w:r>
                    <w:rPr>
                      <w:rFonts w:hint="eastAsia" w:eastAsia="宋体"/>
                      <w:color w:val="auto"/>
                      <w:sz w:val="21"/>
                      <w:szCs w:val="21"/>
                      <w:lang w:val="en-US" w:eastAsia="zh-CN"/>
                    </w:rPr>
                    <w:t>产品</w:t>
                  </w:r>
                  <w:r>
                    <w:rPr>
                      <w:rFonts w:hint="eastAsia" w:ascii="Times New Roman" w:hAnsi="Times New Roman" w:eastAsia="宋体"/>
                      <w:color w:val="auto"/>
                      <w:sz w:val="21"/>
                      <w:szCs w:val="21"/>
                      <w:lang w:val="en-US" w:eastAsia="zh-CN"/>
                    </w:rPr>
                    <w:t>，属于</w:t>
                  </w:r>
                  <w:r>
                    <w:rPr>
                      <w:color w:val="auto"/>
                      <w:highlight w:val="none"/>
                    </w:rPr>
                    <w:t>智能装备制造板块</w:t>
                  </w:r>
                  <w:r>
                    <w:rPr>
                      <w:rFonts w:hint="eastAsia" w:ascii="Times New Roman" w:hAnsi="Times New Roman" w:eastAsia="宋体"/>
                      <w:color w:val="auto"/>
                      <w:sz w:val="21"/>
                      <w:szCs w:val="21"/>
                      <w:lang w:val="en-US" w:eastAsia="zh-CN"/>
                    </w:rPr>
                    <w:t>，符合陈仓经济技术开发区产业定位</w:t>
                  </w:r>
                </w:p>
              </w:tc>
              <w:tc>
                <w:tcPr>
                  <w:tcW w:w="597" w:type="pct"/>
                  <w:tcBorders>
                    <w:tl2br w:val="nil"/>
                    <w:tr2bl w:val="nil"/>
                  </w:tcBorders>
                  <w:noWrap w:val="0"/>
                  <w:vAlign w:val="center"/>
                </w:tcPr>
                <w:p w14:paraId="06542793">
                  <w:pPr>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符合</w:t>
                  </w:r>
                </w:p>
              </w:tc>
            </w:tr>
            <w:tr w14:paraId="5DA98D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22FC33B8">
                  <w:pPr>
                    <w:jc w:val="center"/>
                    <w:rPr>
                      <w:rFonts w:hint="default" w:ascii="Times New Roman" w:hAnsi="Times New Roman" w:eastAsia="宋体" w:cs="Times New Roman"/>
                      <w:color w:val="auto"/>
                      <w:sz w:val="21"/>
                      <w:szCs w:val="21"/>
                    </w:rPr>
                  </w:pPr>
                  <w:r>
                    <w:rPr>
                      <w:color w:val="auto"/>
                      <w:sz w:val="21"/>
                    </w:rPr>
                    <mc:AlternateContent>
                      <mc:Choice Requires="wpg">
                        <w:drawing>
                          <wp:anchor distT="0" distB="0" distL="114300" distR="114300" simplePos="0" relativeHeight="251666432" behindDoc="0" locked="0" layoutInCell="1" allowOverlap="1">
                            <wp:simplePos x="0" y="0"/>
                            <wp:positionH relativeFrom="column">
                              <wp:posOffset>-10160</wp:posOffset>
                            </wp:positionH>
                            <wp:positionV relativeFrom="paragraph">
                              <wp:posOffset>31750</wp:posOffset>
                            </wp:positionV>
                            <wp:extent cx="3978910" cy="1734185"/>
                            <wp:effectExtent l="0" t="0" r="21590" b="18415"/>
                            <wp:wrapNone/>
                            <wp:docPr id="20" name="组合 20"/>
                            <wp:cNvGraphicFramePr/>
                            <a:graphic xmlns:a="http://schemas.openxmlformats.org/drawingml/2006/main">
                              <a:graphicData uri="http://schemas.microsoft.com/office/word/2010/wordprocessingGroup">
                                <wpg:wgp>
                                  <wpg:cNvGrpSpPr/>
                                  <wpg:grpSpPr>
                                    <a:xfrm>
                                      <a:off x="0" y="0"/>
                                      <a:ext cx="3978910" cy="1734185"/>
                                      <a:chOff x="3434" y="53176"/>
                                      <a:chExt cx="6266" cy="2731"/>
                                    </a:xfrm>
                                  </wpg:grpSpPr>
                                  <wps:wsp>
                                    <wps:cNvPr id="19" name="矩形标注 19"/>
                                    <wps:cNvSpPr/>
                                    <wps:spPr>
                                      <a:xfrm>
                                        <a:off x="8732" y="55199"/>
                                        <a:ext cx="968" cy="408"/>
                                      </a:xfrm>
                                      <a:prstGeom prst="wedgeRectCallout">
                                        <a:avLst>
                                          <a:gd name="adj1" fmla="val -47519"/>
                                          <a:gd name="adj2" fmla="val 119116"/>
                                        </a:avLst>
                                      </a:prstGeom>
                                      <a:solidFill>
                                        <a:srgbClr val="FFFFFF"/>
                                      </a:solidFill>
                                      <a:ln w="9525" cap="flat" cmpd="sng">
                                        <a:solidFill>
                                          <a:srgbClr val="000000"/>
                                        </a:solidFill>
                                        <a:prstDash val="solid"/>
                                        <a:miter/>
                                        <a:headEnd type="none" w="med" len="med"/>
                                        <a:tailEnd type="none" w="med" len="med"/>
                                      </a:ln>
                                    </wps:spPr>
                                    <wps:txbx>
                                      <w:txbxContent>
                                        <w:p w14:paraId="5DF1AC28">
                                          <w:pPr>
                                            <w:rPr>
                                              <w:rFonts w:hint="eastAsia" w:eastAsia="宋体"/>
                                              <w:lang w:val="en-US" w:eastAsia="zh-CN"/>
                                            </w:rPr>
                                          </w:pPr>
                                          <w:r>
                                            <w:rPr>
                                              <w:rFonts w:hint="eastAsia" w:eastAsia="宋体"/>
                                              <w:lang w:val="en-US" w:eastAsia="zh-CN"/>
                                            </w:rPr>
                                            <w:t>项目地</w:t>
                                          </w:r>
                                        </w:p>
                                      </w:txbxContent>
                                    </wps:txbx>
                                    <wps:bodyPr upright="1"/>
                                  </wps:wsp>
                                  <pic:pic xmlns:pic="http://schemas.openxmlformats.org/drawingml/2006/picture">
                                    <pic:nvPicPr>
                                      <pic:cNvPr id="8" name="图片 3"/>
                                      <pic:cNvPicPr>
                                        <a:picLocks noChangeAspect="1"/>
                                      </pic:cNvPicPr>
                                    </pic:nvPicPr>
                                    <pic:blipFill>
                                      <a:blip r:embed="rId12"/>
                                      <a:stretch>
                                        <a:fillRect/>
                                      </a:stretch>
                                    </pic:blipFill>
                                    <pic:spPr>
                                      <a:xfrm>
                                        <a:off x="3434" y="53176"/>
                                        <a:ext cx="1981" cy="1420"/>
                                      </a:xfrm>
                                      <a:prstGeom prst="rect">
                                        <a:avLst/>
                                      </a:prstGeom>
                                      <a:noFill/>
                                      <a:ln>
                                        <a:noFill/>
                                      </a:ln>
                                    </pic:spPr>
                                  </pic:pic>
                                  <wps:wsp>
                                    <wps:cNvPr id="13" name="五角星 13"/>
                                    <wps:cNvSpPr/>
                                    <wps:spPr>
                                      <a:xfrm>
                                        <a:off x="8670" y="55705"/>
                                        <a:ext cx="186" cy="203"/>
                                      </a:xfrm>
                                      <a:prstGeom prst="star5">
                                        <a:avLst/>
                                      </a:prstGeom>
                                      <a:solidFill>
                                        <a:srgbClr val="FFFF00"/>
                                      </a:solidFill>
                                      <a:ln w="9525" cap="flat" cmpd="sng">
                                        <a:solidFill>
                                          <a:srgbClr val="FF0000"/>
                                        </a:solidFill>
                                        <a:prstDash val="solid"/>
                                        <a:miter/>
                                        <a:headEnd type="none" w="med" len="med"/>
                                        <a:tailEnd type="none" w="med" len="med"/>
                                      </a:ln>
                                    </wps:spPr>
                                    <wps:bodyPr upright="1"/>
                                  </wps:wsp>
                                </wpg:wgp>
                              </a:graphicData>
                            </a:graphic>
                          </wp:anchor>
                        </w:drawing>
                      </mc:Choice>
                      <mc:Fallback>
                        <w:pict>
                          <v:group id="_x0000_s1026" o:spid="_x0000_s1026" o:spt="203" style="position:absolute;left:0pt;margin-left:-0.8pt;margin-top:2.5pt;height:136.55pt;width:313.3pt;z-index:251666432;mso-width-relative:page;mso-height-relative:page;" coordorigin="3434,53176" coordsize="6266,2731" o:gfxdata="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">
                            <o:lock v:ext="edit" aspectratio="f"/>
                            <v:shape id="_x0000_s1026" o:spid="_x0000_s1026" o:spt="61" type="#_x0000_t61" style="position:absolute;left:8732;top:55199;height:408;width:968;" fillcolor="#FFFFFF" filled="t" stroked="t" coordsize="21600,21600" o:gfxdata="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CyWHugAAANsA&#10;AAAPAAAAAAAAAAEAIAAAACIAAABkcnMvZG93bnJldi54bWxQSwECFAAUAAAACACHTuJAMy8FnjsA&#10;AAA5AAAAEAAAAAAAAAABACAAAAAJAQAAZHJzL3NoYXBleG1sLnhtbFBLBQYAAAAABgAGAFsBAACz&#10;AwAAAAA=&#10;" adj="536,36529">
                              <v:fill on="t" focussize="0,0"/>
                              <v:stroke color="#000000" joinstyle="miter"/>
                              <v:imagedata o:title=""/>
                              <o:lock v:ext="edit" aspectratio="f"/>
                              <v:textbox>
                                <w:txbxContent>
                                  <w:p w14:paraId="5DF1AC28">
                                    <w:pPr>
                                      <w:rPr>
                                        <w:rFonts w:hint="eastAsia" w:eastAsia="宋体"/>
                                        <w:lang w:val="en-US" w:eastAsia="zh-CN"/>
                                      </w:rPr>
                                    </w:pPr>
                                    <w:r>
                                      <w:rPr>
                                        <w:rFonts w:hint="eastAsia" w:eastAsia="宋体"/>
                                        <w:lang w:val="en-US" w:eastAsia="zh-CN"/>
                                      </w:rPr>
                                      <w:t>项目地</w:t>
                                    </w:r>
                                  </w:p>
                                </w:txbxContent>
                              </v:textbox>
                            </v:shape>
                            <v:shape id="图片 3" o:spid="_x0000_s1026" o:spt="75" type="#_x0000_t75" style="position:absolute;left:3434;top:53176;height:1420;width:1981;" filled="f" o:preferrelative="t" stroked="f" coordsize="21600,21600" o:gfxdata="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ZE0HC5AAAA2gAA&#10;AA8AAAAAAAAAAQAgAAAAIgAAAGRycy9kb3ducmV2LnhtbFBLAQIUABQAAAAIAIdO4kAzLwWeOwAA&#10;ADkAAAAQAAAAAAAAAAEAIAAAAAgBAABkcnMvc2hhcGV4bWwueG1sUEsFBgAAAAAGAAYAWwEAALID&#10;AAAAAA==&#10;">
                              <v:fill on="f" focussize="0,0"/>
                              <v:stroke on="f"/>
                              <v:imagedata r:id="rId12" o:title=""/>
                              <o:lock v:ext="edit" aspectratio="t"/>
                            </v:shape>
                            <v:shape id="_x0000_s1026" o:spid="_x0000_s1026" style="position:absolute;left:8670;top:55705;height:203;width:186;" fillcolor="#FFFF00" filled="t" stroked="t" coordsize="186,203" o:gfxdata="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ne4+itAAAANsAAAAPAAAA&#10;AAAAAAEAIAAAACIAAABkcnMvZG93bnJldi54bWxQSwECFAAUAAAACACHTuJAMy8FnjsAAAA5AAAA&#10;EAAAAAAAAAABACAAAAADAQAAZHJzL3NoYXBleG1sLnhtbFBLBQYAAAAABgAGAFsBAACtAwAAAAA=&#10;" path="m0,77l71,77,93,0,114,77,185,77,128,125,150,202,93,155,35,202,57,125xe">
                              <v:path o:connectlocs="93,0;0,77;35,202;150,202;185,77" o:connectangles="247,164,82,82,0"/>
                              <v:fill on="t" focussize="0,0"/>
                              <v:stroke color="#FF0000" joinstyle="miter"/>
                              <v:imagedata o:title=""/>
                              <o:lock v:ext="edit" aspectratio="f"/>
                            </v:shape>
                          </v:group>
                        </w:pict>
                      </mc:Fallback>
                    </mc:AlternateContent>
                  </w:r>
                  <w:r>
                    <w:rPr>
                      <w:color w:val="auto"/>
                    </w:rPr>
                    <w:drawing>
                      <wp:inline distT="0" distB="0" distL="114300" distR="114300">
                        <wp:extent cx="4955540" cy="2858770"/>
                        <wp:effectExtent l="0" t="0" r="16510" b="1778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3"/>
                                <a:srcRect t="18886" b="8682"/>
                                <a:stretch>
                                  <a:fillRect/>
                                </a:stretch>
                              </pic:blipFill>
                              <pic:spPr>
                                <a:xfrm>
                                  <a:off x="0" y="0"/>
                                  <a:ext cx="4955540" cy="2858770"/>
                                </a:xfrm>
                                <a:prstGeom prst="rect">
                                  <a:avLst/>
                                </a:prstGeom>
                                <a:noFill/>
                                <a:ln>
                                  <a:noFill/>
                                </a:ln>
                              </pic:spPr>
                            </pic:pic>
                          </a:graphicData>
                        </a:graphic>
                      </wp:inline>
                    </w:drawing>
                  </w:r>
                </w:p>
              </w:tc>
            </w:tr>
            <w:tr w14:paraId="12DA6F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7B76F8A1">
                  <w:pPr>
                    <w:bidi w:val="0"/>
                    <w:spacing w:line="240" w:lineRule="auto"/>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val="0"/>
                      <w:bCs w:val="0"/>
                      <w:color w:val="auto"/>
                      <w:kern w:val="0"/>
                      <w:sz w:val="21"/>
                      <w:szCs w:val="21"/>
                      <w:lang w:val="en-US" w:eastAsia="zh-CN" w:bidi="ar"/>
                    </w:rPr>
                    <w:t>图1-1项目与</w:t>
                  </w:r>
                  <w:r>
                    <w:rPr>
                      <w:rFonts w:hint="default" w:ascii="Times New Roman" w:hAnsi="Times New Roman" w:eastAsia="宋体" w:cs="Times New Roman"/>
                      <w:b w:val="0"/>
                      <w:bCs w:val="0"/>
                      <w:color w:val="auto"/>
                      <w:sz w:val="21"/>
                      <w:szCs w:val="24"/>
                      <w:lang w:eastAsia="zh-CN"/>
                    </w:rPr>
                    <w:t>陕西陈仓经济技术开发区总体规划（2022-2035年）</w:t>
                  </w:r>
                  <w:r>
                    <w:rPr>
                      <w:rFonts w:hint="eastAsia" w:ascii="Times New Roman" w:hAnsi="Times New Roman" w:eastAsia="宋体" w:cs="Times New Roman"/>
                      <w:b w:val="0"/>
                      <w:bCs w:val="0"/>
                      <w:color w:val="auto"/>
                      <w:sz w:val="21"/>
                      <w:szCs w:val="24"/>
                      <w:lang w:val="en-US" w:eastAsia="zh-CN"/>
                    </w:rPr>
                    <w:t>-土地利用规划（摘取）</w:t>
                  </w:r>
                  <w:r>
                    <w:rPr>
                      <w:rFonts w:hint="default" w:ascii="Times New Roman" w:hAnsi="Times New Roman" w:eastAsia="宋体" w:cs="Times New Roman"/>
                      <w:b w:val="0"/>
                      <w:bCs w:val="0"/>
                      <w:color w:val="auto"/>
                      <w:kern w:val="0"/>
                      <w:sz w:val="21"/>
                      <w:szCs w:val="21"/>
                      <w:lang w:val="en-US" w:eastAsia="zh-CN" w:bidi="ar"/>
                    </w:rPr>
                    <w:t>位置</w:t>
                  </w:r>
                  <w:r>
                    <w:rPr>
                      <w:rFonts w:hint="eastAsia" w:ascii="Times New Roman" w:hAnsi="Times New Roman" w:eastAsia="宋体" w:cs="Times New Roman"/>
                      <w:b w:val="0"/>
                      <w:bCs w:val="0"/>
                      <w:color w:val="auto"/>
                      <w:kern w:val="0"/>
                      <w:sz w:val="21"/>
                      <w:szCs w:val="21"/>
                      <w:lang w:val="en-US" w:eastAsia="zh-CN" w:bidi="ar"/>
                    </w:rPr>
                    <w:t>关系</w:t>
                  </w:r>
                  <w:r>
                    <w:rPr>
                      <w:rFonts w:hint="default" w:ascii="Times New Roman" w:hAnsi="Times New Roman" w:eastAsia="宋体" w:cs="Times New Roman"/>
                      <w:b w:val="0"/>
                      <w:bCs w:val="0"/>
                      <w:color w:val="auto"/>
                      <w:kern w:val="0"/>
                      <w:sz w:val="21"/>
                      <w:szCs w:val="21"/>
                      <w:lang w:val="en-US" w:eastAsia="zh-CN" w:bidi="ar"/>
                    </w:rPr>
                    <w:t>图</w:t>
                  </w:r>
                </w:p>
              </w:tc>
            </w:tr>
            <w:tr w14:paraId="65F981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787030FB">
                  <w:pPr>
                    <w:bidi w:val="0"/>
                    <w:spacing w:line="240" w:lineRule="auto"/>
                    <w:jc w:val="center"/>
                    <w:rPr>
                      <w:rFonts w:hint="default" w:ascii="Times New Roman" w:hAnsi="Times New Roman" w:eastAsia="宋体" w:cs="Times New Roman"/>
                      <w:b w:val="0"/>
                      <w:bCs w:val="0"/>
                      <w:color w:val="auto"/>
                      <w:kern w:val="0"/>
                      <w:sz w:val="21"/>
                      <w:szCs w:val="21"/>
                      <w:lang w:val="en-US" w:eastAsia="zh-CN" w:bidi="ar"/>
                    </w:rPr>
                  </w:pPr>
                  <w:r>
                    <w:rPr>
                      <w:color w:val="auto"/>
                      <w:sz w:val="21"/>
                    </w:rPr>
                    <mc:AlternateContent>
                      <mc:Choice Requires="wps">
                        <w:drawing>
                          <wp:anchor distT="0" distB="0" distL="114300" distR="114300" simplePos="0" relativeHeight="251667456" behindDoc="0" locked="0" layoutInCell="1" allowOverlap="1">
                            <wp:simplePos x="0" y="0"/>
                            <wp:positionH relativeFrom="column">
                              <wp:posOffset>2204085</wp:posOffset>
                            </wp:positionH>
                            <wp:positionV relativeFrom="paragraph">
                              <wp:posOffset>1989455</wp:posOffset>
                            </wp:positionV>
                            <wp:extent cx="718185" cy="294005"/>
                            <wp:effectExtent l="215265" t="4445" r="19050" b="425450"/>
                            <wp:wrapNone/>
                            <wp:docPr id="22" name="矩形标注 22"/>
                            <wp:cNvGraphicFramePr/>
                            <a:graphic xmlns:a="http://schemas.openxmlformats.org/drawingml/2006/main">
                              <a:graphicData uri="http://schemas.microsoft.com/office/word/2010/wordprocessingShape">
                                <wps:wsp>
                                  <wps:cNvSpPr/>
                                  <wps:spPr>
                                    <a:xfrm>
                                      <a:off x="0" y="0"/>
                                      <a:ext cx="718185" cy="294005"/>
                                    </a:xfrm>
                                    <a:prstGeom prst="wedgeRectCallout">
                                      <a:avLst>
                                        <a:gd name="adj1" fmla="val -76171"/>
                                        <a:gd name="adj2" fmla="val 183045"/>
                                      </a:avLst>
                                    </a:prstGeom>
                                    <a:solidFill>
                                      <a:srgbClr val="FFFFFF"/>
                                    </a:solidFill>
                                    <a:ln w="9525" cap="flat" cmpd="sng">
                                      <a:solidFill>
                                        <a:srgbClr val="000000"/>
                                      </a:solidFill>
                                      <a:prstDash val="solid"/>
                                      <a:miter/>
                                      <a:headEnd type="none" w="med" len="med"/>
                                      <a:tailEnd type="none" w="med" len="med"/>
                                    </a:ln>
                                  </wps:spPr>
                                  <wps:txbx>
                                    <w:txbxContent>
                                      <w:p w14:paraId="140C32DA">
                                        <w:pPr>
                                          <w:rPr>
                                            <w:rFonts w:hint="eastAsia" w:eastAsia="宋体"/>
                                            <w:lang w:val="en-US" w:eastAsia="zh-CN"/>
                                          </w:rPr>
                                        </w:pPr>
                                        <w:r>
                                          <w:rPr>
                                            <w:rFonts w:hint="eastAsia"/>
                                            <w:lang w:val="en-US" w:eastAsia="zh-CN"/>
                                          </w:rPr>
                                          <w:t>本项目</w:t>
                                        </w:r>
                                      </w:p>
                                    </w:txbxContent>
                                  </wps:txbx>
                                  <wps:bodyPr upright="1"/>
                                </wps:wsp>
                              </a:graphicData>
                            </a:graphic>
                          </wp:anchor>
                        </w:drawing>
                      </mc:Choice>
                      <mc:Fallback>
                        <w:pict>
                          <v:shape id="_x0000_s1026" o:spid="_x0000_s1026" o:spt="61" type="#_x0000_t61" style="position:absolute;left:0pt;margin-left:173.55pt;margin-top:156.65pt;height:23.15pt;width:56.55pt;z-index:251667456;mso-width-relative:page;mso-height-relative:page;" fillcolor="#FFFFFF" filled="t" stroked="t" coordsize="21600,21600" o:gfxdata="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GKN2gzaAAAACwEAAA8AAAAAAAAAAQAgAAAAIgAAAGRycy9k&#10;b3ducmV2LnhtbFBLAQIUABQAAAAIAIdO4kD/CoCNOQIAAI8EAAAOAAAAAAAAAAEAIAAAACkBAABk&#10;cnMvZTJvRG9jLnhtbFBLBQYAAAAABgAGAFkBAADUBQAAAAA=&#10;" adj="-5653,50338">
                            <v:fill on="t" focussize="0,0"/>
                            <v:stroke color="#000000" joinstyle="miter"/>
                            <v:imagedata o:title=""/>
                            <o:lock v:ext="edit" aspectratio="f"/>
                            <v:textbox>
                              <w:txbxContent>
                                <w:p w14:paraId="140C32DA">
                                  <w:pPr>
                                    <w:rPr>
                                      <w:rFonts w:hint="eastAsia" w:eastAsia="宋体"/>
                                      <w:lang w:val="en-US" w:eastAsia="zh-CN"/>
                                    </w:rPr>
                                  </w:pPr>
                                  <w:r>
                                    <w:rPr>
                                      <w:rFonts w:hint="eastAsia"/>
                                      <w:lang w:val="en-US" w:eastAsia="zh-CN"/>
                                    </w:rPr>
                                    <w:t>本项目</w:t>
                                  </w:r>
                                </w:p>
                              </w:txbxContent>
                            </v:textbox>
                          </v:shape>
                        </w:pict>
                      </mc:Fallback>
                    </mc:AlternateContent>
                  </w:r>
                  <w:r>
                    <w:rPr>
                      <w:rFonts w:hint="default" w:ascii="Times New Roman" w:hAnsi="Times New Roman" w:eastAsia="宋体" w:cs="Times New Roman"/>
                      <w:b w:val="0"/>
                      <w:bCs w:val="0"/>
                      <w:color w:val="auto"/>
                      <w:sz w:val="21"/>
                      <w:szCs w:val="24"/>
                      <w:lang w:eastAsia="zh-CN"/>
                    </w:rPr>
                    <w:drawing>
                      <wp:inline distT="0" distB="0" distL="114300" distR="114300">
                        <wp:extent cx="4951730" cy="3450590"/>
                        <wp:effectExtent l="0" t="0" r="1270" b="16510"/>
                        <wp:docPr id="21" name="图片 4" descr="园区规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descr="园区规划"/>
                                <pic:cNvPicPr>
                                  <a:picLocks noChangeAspect="1"/>
                                </pic:cNvPicPr>
                              </pic:nvPicPr>
                              <pic:blipFill>
                                <a:blip r:embed="rId14"/>
                                <a:stretch>
                                  <a:fillRect/>
                                </a:stretch>
                              </pic:blipFill>
                              <pic:spPr>
                                <a:xfrm>
                                  <a:off x="0" y="0"/>
                                  <a:ext cx="4951730" cy="3450590"/>
                                </a:xfrm>
                                <a:prstGeom prst="rect">
                                  <a:avLst/>
                                </a:prstGeom>
                                <a:noFill/>
                                <a:ln>
                                  <a:noFill/>
                                </a:ln>
                              </pic:spPr>
                            </pic:pic>
                          </a:graphicData>
                        </a:graphic>
                      </wp:inline>
                    </w:drawing>
                  </w:r>
                </w:p>
              </w:tc>
            </w:tr>
            <w:tr w14:paraId="0C4287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4"/>
                  <w:tcBorders>
                    <w:tl2br w:val="nil"/>
                    <w:tr2bl w:val="nil"/>
                  </w:tcBorders>
                  <w:noWrap w:val="0"/>
                  <w:vAlign w:val="center"/>
                </w:tcPr>
                <w:p w14:paraId="1DAC622A">
                  <w:pPr>
                    <w:bidi w:val="0"/>
                    <w:spacing w:line="240" w:lineRule="auto"/>
                    <w:jc w:val="center"/>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图1-2项目与陕西陈仓经济技术开发区总体规划</w:t>
                  </w:r>
                  <w:r>
                    <w:rPr>
                      <w:rFonts w:hint="eastAsia"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2022-2035年</w:t>
                  </w:r>
                  <w:r>
                    <w:rPr>
                      <w:rFonts w:hint="eastAsia" w:cs="Times New Roman"/>
                      <w:b w:val="0"/>
                      <w:bCs w:val="0"/>
                      <w:color w:val="auto"/>
                      <w:kern w:val="0"/>
                      <w:sz w:val="21"/>
                      <w:szCs w:val="21"/>
                      <w:lang w:val="en-US" w:eastAsia="zh-CN" w:bidi="ar"/>
                    </w:rPr>
                    <w:t>）</w:t>
                  </w:r>
                  <w:r>
                    <w:rPr>
                      <w:rFonts w:hint="default" w:ascii="Times New Roman" w:hAnsi="Times New Roman" w:eastAsia="宋体" w:cs="Times New Roman"/>
                      <w:b w:val="0"/>
                      <w:bCs w:val="0"/>
                      <w:color w:val="auto"/>
                      <w:kern w:val="0"/>
                      <w:sz w:val="21"/>
                      <w:szCs w:val="21"/>
                      <w:lang w:val="en-US" w:eastAsia="zh-CN" w:bidi="ar"/>
                    </w:rPr>
                    <w:t>智能装备制造板块位置关系图</w:t>
                  </w:r>
                </w:p>
              </w:tc>
            </w:tr>
          </w:tbl>
          <w:p w14:paraId="4DF832FF">
            <w:pPr>
              <w:tabs>
                <w:tab w:val="left" w:pos="540"/>
              </w:tabs>
              <w:autoSpaceDE w:val="0"/>
              <w:autoSpaceDN w:val="0"/>
              <w:adjustRightInd w:val="0"/>
              <w:spacing w:line="360" w:lineRule="auto"/>
              <w:ind w:firstLine="482" w:firstLineChars="200"/>
              <w:jc w:val="left"/>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2"/>
                <w:lang w:val="en-US" w:eastAsia="zh-CN"/>
              </w:rPr>
              <w:t>2.</w:t>
            </w:r>
            <w:r>
              <w:rPr>
                <w:rFonts w:hint="default" w:ascii="Times New Roman" w:hAnsi="Times New Roman" w:eastAsia="宋体" w:cs="Times New Roman"/>
                <w:b/>
                <w:bCs/>
                <w:color w:val="auto"/>
                <w:sz w:val="24"/>
                <w:szCs w:val="32"/>
                <w:lang w:val="en-US" w:eastAsia="zh-CN"/>
              </w:rPr>
              <w:t>规划环境影响评价结论及审查意见</w:t>
            </w:r>
            <w:r>
              <w:rPr>
                <w:rFonts w:hint="default" w:ascii="Times New Roman" w:hAnsi="Times New Roman" w:eastAsia="宋体" w:cs="Times New Roman"/>
                <w:b/>
                <w:bCs/>
                <w:color w:val="auto"/>
                <w:sz w:val="24"/>
                <w:szCs w:val="22"/>
                <w:lang w:val="en-US" w:eastAsia="zh-CN"/>
              </w:rPr>
              <w:t>符合性</w:t>
            </w:r>
            <w:r>
              <w:rPr>
                <w:rFonts w:hint="default" w:ascii="Times New Roman" w:hAnsi="Times New Roman" w:eastAsia="宋体" w:cs="Times New Roman"/>
                <w:b/>
                <w:bCs/>
                <w:color w:val="auto"/>
                <w:sz w:val="24"/>
                <w:szCs w:val="22"/>
                <w:lang w:val="zh-CN"/>
              </w:rPr>
              <w:t>分析</w:t>
            </w:r>
          </w:p>
          <w:p w14:paraId="504B6ADC">
            <w:pPr>
              <w:adjustRightInd w:val="0"/>
              <w:spacing w:line="240" w:lineRule="auto"/>
              <w:ind w:firstLine="422" w:firstLineChars="200"/>
              <w:jc w:val="center"/>
              <w:rPr>
                <w:rFonts w:hint="default"/>
                <w:b/>
                <w:bCs/>
                <w:color w:val="auto"/>
                <w:sz w:val="21"/>
                <w:szCs w:val="21"/>
                <w:lang w:val="en-US" w:eastAsia="zh-CN"/>
              </w:rPr>
            </w:pPr>
            <w:r>
              <w:rPr>
                <w:rFonts w:hint="default"/>
                <w:b/>
                <w:bCs/>
                <w:color w:val="auto"/>
                <w:sz w:val="21"/>
                <w:szCs w:val="21"/>
                <w:lang w:val="en-US" w:eastAsia="zh-CN"/>
              </w:rPr>
              <w:t>表1-</w:t>
            </w:r>
            <w:r>
              <w:rPr>
                <w:rFonts w:hint="eastAsia"/>
                <w:b/>
                <w:bCs/>
                <w:color w:val="auto"/>
                <w:sz w:val="21"/>
                <w:szCs w:val="21"/>
                <w:lang w:val="en-US" w:eastAsia="zh-CN"/>
              </w:rPr>
              <w:t xml:space="preserve">2  </w:t>
            </w:r>
            <w:r>
              <w:rPr>
                <w:rFonts w:hint="default"/>
                <w:b/>
                <w:bCs/>
                <w:color w:val="auto"/>
                <w:sz w:val="21"/>
                <w:szCs w:val="21"/>
                <w:lang w:val="en-US" w:eastAsia="zh-CN"/>
              </w:rPr>
              <w:t>项目与规划环评结论及审查意见的符合性分析</w:t>
            </w:r>
          </w:p>
          <w:tbl>
            <w:tblPr>
              <w:tblStyle w:val="23"/>
              <w:tblW w:w="7798" w:type="dxa"/>
              <w:jc w:val="center"/>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Layout w:type="fixed"/>
              <w:tblCellMar>
                <w:top w:w="0" w:type="dxa"/>
                <w:left w:w="0" w:type="dxa"/>
                <w:bottom w:w="0" w:type="dxa"/>
                <w:right w:w="0" w:type="dxa"/>
              </w:tblCellMar>
            </w:tblPr>
            <w:tblGrid>
              <w:gridCol w:w="751"/>
              <w:gridCol w:w="3890"/>
              <w:gridCol w:w="2600"/>
              <w:gridCol w:w="557"/>
            </w:tblGrid>
            <w:tr w14:paraId="24351361">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328" w:hRule="atLeast"/>
                <w:jc w:val="center"/>
              </w:trPr>
              <w:tc>
                <w:tcPr>
                  <w:tcW w:w="751" w:type="dxa"/>
                  <w:tcBorders>
                    <w:tl2br w:val="nil"/>
                    <w:tr2bl w:val="nil"/>
                  </w:tcBorders>
                  <w:noWrap w:val="0"/>
                  <w:tcMar>
                    <w:left w:w="28" w:type="dxa"/>
                    <w:right w:w="28" w:type="dxa"/>
                  </w:tcMar>
                  <w:vAlign w:val="center"/>
                </w:tcPr>
                <w:p w14:paraId="7868A4DA">
                  <w:pPr>
                    <w:autoSpaceDE w:val="0"/>
                    <w:autoSpaceDN w:val="0"/>
                    <w:adjustRightIn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val="en-US" w:eastAsia="zh-CN"/>
                    </w:rPr>
                    <w:t>名称</w:t>
                  </w:r>
                </w:p>
              </w:tc>
              <w:tc>
                <w:tcPr>
                  <w:tcW w:w="3890" w:type="dxa"/>
                  <w:tcBorders>
                    <w:tl2br w:val="nil"/>
                    <w:tr2bl w:val="nil"/>
                  </w:tcBorders>
                  <w:noWrap w:val="0"/>
                  <w:tcMar>
                    <w:left w:w="28" w:type="dxa"/>
                    <w:right w:w="28" w:type="dxa"/>
                  </w:tcMar>
                  <w:vAlign w:val="center"/>
                </w:tcPr>
                <w:p w14:paraId="0733221B">
                  <w:pPr>
                    <w:autoSpaceDE w:val="0"/>
                    <w:autoSpaceDN w:val="0"/>
                    <w:adjustRightInd w:val="0"/>
                    <w:spacing w:line="240" w:lineRule="auto"/>
                    <w:ind w:firstLine="0" w:firstLineChars="0"/>
                    <w:jc w:val="center"/>
                    <w:rPr>
                      <w:rFonts w:hint="default" w:ascii="Times New Roman" w:hAnsi="Times New Roman" w:eastAsia="宋体" w:cs="Times New Roman"/>
                      <w:b/>
                      <w:bCs/>
                      <w:color w:val="auto"/>
                      <w:sz w:val="21"/>
                      <w:szCs w:val="21"/>
                      <w:lang w:eastAsia="zh-CN"/>
                    </w:rPr>
                  </w:pPr>
                  <w:r>
                    <w:rPr>
                      <w:rFonts w:hint="default" w:ascii="Times New Roman" w:hAnsi="Times New Roman" w:eastAsia="宋体" w:cs="Times New Roman"/>
                      <w:b/>
                      <w:bCs/>
                      <w:color w:val="auto"/>
                      <w:sz w:val="21"/>
                      <w:szCs w:val="21"/>
                      <w:lang w:eastAsia="zh-CN"/>
                    </w:rPr>
                    <w:t>要求</w:t>
                  </w:r>
                </w:p>
              </w:tc>
              <w:tc>
                <w:tcPr>
                  <w:tcW w:w="2600" w:type="dxa"/>
                  <w:tcBorders>
                    <w:tl2br w:val="nil"/>
                    <w:tr2bl w:val="nil"/>
                  </w:tcBorders>
                  <w:noWrap w:val="0"/>
                  <w:tcMar>
                    <w:left w:w="28" w:type="dxa"/>
                    <w:right w:w="28" w:type="dxa"/>
                  </w:tcMar>
                  <w:vAlign w:val="center"/>
                </w:tcPr>
                <w:p w14:paraId="10BAD896">
                  <w:pPr>
                    <w:autoSpaceDE w:val="0"/>
                    <w:autoSpaceDN w:val="0"/>
                    <w:adjustRightIn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本项目情况</w:t>
                  </w:r>
                </w:p>
              </w:tc>
              <w:tc>
                <w:tcPr>
                  <w:tcW w:w="557" w:type="dxa"/>
                  <w:tcBorders>
                    <w:tl2br w:val="nil"/>
                    <w:tr2bl w:val="nil"/>
                  </w:tcBorders>
                  <w:noWrap w:val="0"/>
                  <w:tcMar>
                    <w:left w:w="28" w:type="dxa"/>
                    <w:right w:w="28" w:type="dxa"/>
                  </w:tcMar>
                  <w:vAlign w:val="center"/>
                </w:tcPr>
                <w:p w14:paraId="376DD981">
                  <w:pPr>
                    <w:autoSpaceDE w:val="0"/>
                    <w:autoSpaceDN w:val="0"/>
                    <w:adjustRightInd w:val="0"/>
                    <w:spacing w:line="240" w:lineRule="auto"/>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结论</w:t>
                  </w:r>
                </w:p>
              </w:tc>
            </w:tr>
            <w:tr w14:paraId="04DDAD9F">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1498" w:hRule="atLeast"/>
                <w:jc w:val="center"/>
              </w:trPr>
              <w:tc>
                <w:tcPr>
                  <w:tcW w:w="751" w:type="dxa"/>
                  <w:vMerge w:val="restart"/>
                  <w:tcBorders>
                    <w:tl2br w:val="nil"/>
                    <w:tr2bl w:val="nil"/>
                  </w:tcBorders>
                  <w:noWrap w:val="0"/>
                  <w:tcMar>
                    <w:left w:w="28" w:type="dxa"/>
                    <w:right w:w="28" w:type="dxa"/>
                  </w:tcMar>
                  <w:vAlign w:val="center"/>
                </w:tcPr>
                <w:p w14:paraId="732CA969">
                  <w:pPr>
                    <w:keepNext w:val="0"/>
                    <w:keepLines w:val="0"/>
                    <w:widowControl/>
                    <w:suppressLineNumbers w:val="0"/>
                    <w:spacing w:line="240" w:lineRule="auto"/>
                    <w:jc w:val="left"/>
                    <w:rPr>
                      <w:rFonts w:hint="default" w:ascii="Times New Roman" w:hAnsi="Times New Roman" w:eastAsia="宋体" w:cs="Times New Roman"/>
                      <w:b w:val="0"/>
                      <w:bCs/>
                      <w:color w:val="auto"/>
                      <w:sz w:val="21"/>
                      <w:szCs w:val="21"/>
                      <w:lang w:eastAsia="zh-CN"/>
                    </w:rPr>
                  </w:pPr>
                  <w:r>
                    <w:rPr>
                      <w:rFonts w:hint="default" w:ascii="Times New Roman" w:hAnsi="Times New Roman" w:eastAsia="宋体" w:cs="Times New Roman"/>
                      <w:color w:val="auto"/>
                      <w:kern w:val="0"/>
                      <w:sz w:val="21"/>
                      <w:szCs w:val="21"/>
                      <w:lang w:val="en-US" w:eastAsia="zh-CN" w:bidi="ar"/>
                    </w:rPr>
                    <w:t>《陕西陈仓经济技术开发区总体规划（2022-2035年）环境影响报告书》评价结论</w:t>
                  </w:r>
                </w:p>
              </w:tc>
              <w:tc>
                <w:tcPr>
                  <w:tcW w:w="3890" w:type="dxa"/>
                  <w:tcBorders>
                    <w:tl2br w:val="nil"/>
                    <w:tr2bl w:val="nil"/>
                  </w:tcBorders>
                  <w:noWrap w:val="0"/>
                  <w:tcMar>
                    <w:left w:w="28" w:type="dxa"/>
                    <w:right w:w="28" w:type="dxa"/>
                  </w:tcMar>
                  <w:vAlign w:val="center"/>
                </w:tcPr>
                <w:p w14:paraId="64B91721">
                  <w:pPr>
                    <w:jc w:val="both"/>
                    <w:rPr>
                      <w:rFonts w:hint="default" w:ascii="Times New Roman" w:hAnsi="Times New Roman" w:eastAsia="宋体" w:cs="Times New Roman"/>
                      <w:b w:val="0"/>
                      <w:bCs/>
                      <w:color w:val="auto"/>
                      <w:spacing w:val="4"/>
                      <w:sz w:val="21"/>
                      <w:szCs w:val="21"/>
                      <w:lang w:val="en-US" w:eastAsia="zh-CN"/>
                    </w:rPr>
                  </w:pPr>
                  <w:r>
                    <w:rPr>
                      <w:rFonts w:hint="default" w:ascii="Times New Roman" w:hAnsi="Times New Roman" w:eastAsia="宋体" w:cs="Times New Roman"/>
                      <w:color w:val="auto"/>
                      <w:sz w:val="21"/>
                      <w:szCs w:val="21"/>
                      <w:lang w:val="en-US" w:eastAsia="zh-CN"/>
                    </w:rPr>
                    <w:t>（1）规划协调性分析：产业类型符合国家法律法规、产业政策及相关规划的相关要求；符合宝鸡市“三线一单”生态管控单元的管控要求；规划范围未占用永久基本农田，未突破生态保护红线，且全部位于国土空间规划“三区三线”城镇开发边界的集中建设区范围内，符合国土空间管制要求。</w:t>
                  </w:r>
                </w:p>
              </w:tc>
              <w:tc>
                <w:tcPr>
                  <w:tcW w:w="2600" w:type="dxa"/>
                  <w:tcBorders>
                    <w:tl2br w:val="nil"/>
                    <w:tr2bl w:val="nil"/>
                  </w:tcBorders>
                  <w:noWrap w:val="0"/>
                  <w:tcMar>
                    <w:left w:w="28" w:type="dxa"/>
                    <w:right w:w="28" w:type="dxa"/>
                  </w:tcMar>
                  <w:vAlign w:val="center"/>
                </w:tcPr>
                <w:p w14:paraId="13D19BE9">
                  <w:pPr>
                    <w:jc w:val="both"/>
                    <w:rPr>
                      <w:rFonts w:hint="default" w:ascii="Times New Roman" w:hAnsi="Times New Roman" w:eastAsia="宋体" w:cs="Times New Roman"/>
                      <w:b w:val="0"/>
                      <w:bCs/>
                      <w:color w:val="auto"/>
                      <w:spacing w:val="4"/>
                      <w:sz w:val="21"/>
                      <w:szCs w:val="21"/>
                      <w:lang w:val="en-US" w:eastAsia="zh-CN"/>
                    </w:rPr>
                  </w:pPr>
                  <w:r>
                    <w:rPr>
                      <w:rFonts w:hint="default" w:ascii="Times New Roman" w:hAnsi="Times New Roman" w:eastAsia="宋体" w:cs="Times New Roman"/>
                      <w:color w:val="auto"/>
                      <w:sz w:val="21"/>
                      <w:szCs w:val="21"/>
                      <w:lang w:val="en-US" w:eastAsia="zh-CN"/>
                    </w:rPr>
                    <w:t>本项目从事</w:t>
                  </w:r>
                  <w:r>
                    <w:rPr>
                      <w:rFonts w:hint="default" w:ascii="Times New Roman" w:hAnsi="Times New Roman" w:eastAsia="宋体" w:cs="Times New Roman"/>
                      <w:color w:val="auto"/>
                      <w:sz w:val="21"/>
                      <w:szCs w:val="21"/>
                      <w:lang w:eastAsia="zh-CN"/>
                    </w:rPr>
                    <w:t>镍钛形状记忆合金</w:t>
                  </w:r>
                  <w:r>
                    <w:rPr>
                      <w:rFonts w:hint="default" w:ascii="Times New Roman" w:hAnsi="Times New Roman" w:eastAsia="宋体" w:cs="Times New Roman"/>
                      <w:color w:val="auto"/>
                      <w:sz w:val="21"/>
                      <w:szCs w:val="21"/>
                      <w:lang w:val="en-US" w:eastAsia="zh-CN"/>
                    </w:rPr>
                    <w:t>生产加工，</w:t>
                  </w:r>
                  <w:r>
                    <w:rPr>
                      <w:rFonts w:hint="eastAsia" w:ascii="Times New Roman" w:hAnsi="Times New Roman" w:eastAsia="宋体" w:cs="Times New Roman"/>
                      <w:color w:val="auto"/>
                      <w:sz w:val="21"/>
                      <w:szCs w:val="21"/>
                      <w:lang w:val="en-US" w:eastAsia="zh-CN"/>
                    </w:rPr>
                    <w:t>属于C3259其他有色金属压延加工</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符合国家法律法规、产业政策及相关规划的相关要求；符合宝鸡市“三线一单”生态管控单元的管控要求；项目用地不占用永久基本农田，不涉及生态保护红线</w:t>
                  </w:r>
                </w:p>
              </w:tc>
              <w:tc>
                <w:tcPr>
                  <w:tcW w:w="557" w:type="dxa"/>
                  <w:tcBorders>
                    <w:tl2br w:val="nil"/>
                    <w:tr2bl w:val="nil"/>
                  </w:tcBorders>
                  <w:noWrap w:val="0"/>
                  <w:tcMar>
                    <w:left w:w="28" w:type="dxa"/>
                    <w:right w:w="28" w:type="dxa"/>
                  </w:tcMar>
                  <w:vAlign w:val="center"/>
                </w:tcPr>
                <w:p w14:paraId="79138CC5">
                  <w:pPr>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符合</w:t>
                  </w:r>
                </w:p>
              </w:tc>
            </w:tr>
            <w:tr w14:paraId="37578C2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604" w:hRule="atLeast"/>
                <w:jc w:val="center"/>
              </w:trPr>
              <w:tc>
                <w:tcPr>
                  <w:tcW w:w="751" w:type="dxa"/>
                  <w:vMerge w:val="continue"/>
                  <w:tcBorders>
                    <w:tl2br w:val="nil"/>
                    <w:tr2bl w:val="nil"/>
                  </w:tcBorders>
                  <w:noWrap w:val="0"/>
                  <w:tcMar>
                    <w:left w:w="28" w:type="dxa"/>
                    <w:right w:w="28" w:type="dxa"/>
                  </w:tcMar>
                  <w:vAlign w:val="center"/>
                </w:tcPr>
                <w:p w14:paraId="1399E3CA">
                  <w:pPr>
                    <w:autoSpaceDE w:val="0"/>
                    <w:autoSpaceDN w:val="0"/>
                    <w:adjustRightInd w:val="0"/>
                    <w:spacing w:line="240" w:lineRule="auto"/>
                    <w:ind w:firstLine="0" w:firstLineChars="0"/>
                    <w:jc w:val="both"/>
                    <w:rPr>
                      <w:rFonts w:hint="default" w:ascii="Times New Roman" w:hAnsi="Times New Roman" w:eastAsia="宋体" w:cs="Times New Roman"/>
                      <w:b w:val="0"/>
                      <w:bCs/>
                      <w:color w:val="auto"/>
                      <w:spacing w:val="4"/>
                      <w:sz w:val="21"/>
                      <w:szCs w:val="21"/>
                    </w:rPr>
                  </w:pPr>
                </w:p>
              </w:tc>
              <w:tc>
                <w:tcPr>
                  <w:tcW w:w="3890" w:type="dxa"/>
                  <w:tcBorders>
                    <w:tl2br w:val="nil"/>
                    <w:tr2bl w:val="nil"/>
                  </w:tcBorders>
                  <w:noWrap w:val="0"/>
                  <w:tcMar>
                    <w:left w:w="28" w:type="dxa"/>
                    <w:right w:w="28" w:type="dxa"/>
                  </w:tcMar>
                  <w:vAlign w:val="center"/>
                </w:tcPr>
                <w:p w14:paraId="11ED44A4">
                  <w:pPr>
                    <w:jc w:val="both"/>
                    <w:rPr>
                      <w:rFonts w:hint="default" w:ascii="Times New Roman" w:hAnsi="Times New Roman" w:eastAsia="宋体" w:cs="Times New Roman"/>
                      <w:b w:val="0"/>
                      <w:bCs/>
                      <w:color w:val="auto"/>
                      <w:spacing w:val="4"/>
                      <w:sz w:val="21"/>
                      <w:szCs w:val="21"/>
                      <w:lang w:val="en-US" w:eastAsia="zh-CN"/>
                    </w:rPr>
                  </w:pPr>
                  <w:r>
                    <w:rPr>
                      <w:rFonts w:hint="default" w:ascii="Times New Roman" w:hAnsi="Times New Roman" w:eastAsia="宋体" w:cs="Times New Roman"/>
                      <w:color w:val="auto"/>
                      <w:sz w:val="21"/>
                      <w:szCs w:val="21"/>
                      <w:lang w:val="en-US" w:eastAsia="zh-CN"/>
                    </w:rPr>
                    <w:t>（2）环境影响分析：①环境空气：大气污染主要来自园区居民生活产生的废气、企业工艺废气及锅炉烟气等。其污染物主要为颗粒物、SO</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、NOx及挥发性有机物等，各项污染因子满足标准后</w:t>
                  </w:r>
                  <w:r>
                    <w:rPr>
                      <w:rFonts w:hint="eastAsia" w:cs="Times New Roman"/>
                      <w:color w:val="auto"/>
                      <w:sz w:val="21"/>
                      <w:szCs w:val="21"/>
                      <w:lang w:val="en-US" w:eastAsia="zh-CN"/>
                    </w:rPr>
                    <w:t>排放</w:t>
                  </w:r>
                  <w:r>
                    <w:rPr>
                      <w:rFonts w:hint="default" w:ascii="Times New Roman" w:hAnsi="Times New Roman" w:eastAsia="宋体" w:cs="Times New Roman"/>
                      <w:color w:val="auto"/>
                      <w:sz w:val="21"/>
                      <w:szCs w:val="21"/>
                      <w:lang w:val="en-US" w:eastAsia="zh-CN"/>
                    </w:rPr>
                    <w:t>。②地表水环境：科技工业园（西区）依托现状虢镇污水处理厂，现状处理能力5万m³/d，正在进行扩容和提标改造，扩建后处理能力为10万m³/d，污水处理厂出水达标后排入渭河。③土壤和地下水环境：入园企业严格控制企业废水无组织泄漏，加强对污水输送管道的检查和维护，并严格做好防渗处理等防范措施。④固体废物：入园企业产生的一般工业固体废物遵循资源化、无害化、减量化的原则，对可资源化一般工业固体废物优先进行资源化再利用，危险废物交有资质单位处置。生活垃圾收集后运往长寿沟垃圾处理场处置，远期可依托宝鸡市生活垃圾焚烧发电处理项目进行处置。⑤环境风险：通过建立环境风险防控和应急保障、环境风险预警体系，避免和减轻环境风险。</w:t>
                  </w:r>
                </w:p>
              </w:tc>
              <w:tc>
                <w:tcPr>
                  <w:tcW w:w="2600" w:type="dxa"/>
                  <w:tcBorders>
                    <w:tl2br w:val="nil"/>
                    <w:tr2bl w:val="nil"/>
                  </w:tcBorders>
                  <w:noWrap w:val="0"/>
                  <w:tcMar>
                    <w:left w:w="28" w:type="dxa"/>
                    <w:right w:w="28" w:type="dxa"/>
                  </w:tcMar>
                  <w:vAlign w:val="center"/>
                </w:tcPr>
                <w:p w14:paraId="0304BAC3">
                  <w:pPr>
                    <w:jc w:val="both"/>
                    <w:rPr>
                      <w:rFonts w:hint="default" w:ascii="Times New Roman" w:hAnsi="Times New Roman" w:eastAsia="宋体" w:cs="Times New Roman"/>
                      <w:b w:val="0"/>
                      <w:bCs/>
                      <w:color w:val="auto"/>
                      <w:spacing w:val="4"/>
                      <w:sz w:val="21"/>
                      <w:szCs w:val="21"/>
                      <w:lang w:val="en-US" w:eastAsia="zh-CN"/>
                    </w:rPr>
                  </w:pPr>
                  <w:r>
                    <w:rPr>
                      <w:rFonts w:hint="default" w:ascii="Times New Roman" w:hAnsi="Times New Roman" w:eastAsia="宋体" w:cs="Times New Roman"/>
                      <w:color w:val="auto"/>
                      <w:sz w:val="21"/>
                      <w:szCs w:val="21"/>
                      <w:lang w:val="en-US" w:eastAsia="zh-CN"/>
                    </w:rPr>
                    <w:t>①</w:t>
                  </w:r>
                  <w:r>
                    <w:rPr>
                      <w:rFonts w:hint="default" w:ascii="Times New Roman" w:hAnsi="Times New Roman" w:eastAsia="宋体" w:cs="Times New Roman"/>
                      <w:color w:val="auto"/>
                      <w:sz w:val="21"/>
                      <w:szCs w:val="21"/>
                    </w:rPr>
                    <w:t>本项目废气经配套设施处理后可达标排放</w:t>
                  </w:r>
                  <w:r>
                    <w:rPr>
                      <w:rFonts w:hint="default" w:ascii="Times New Roman" w:hAnsi="Times New Roman" w:eastAsia="宋体" w:cs="Times New Roman"/>
                      <w:color w:val="auto"/>
                      <w:spacing w:val="-1"/>
                      <w:sz w:val="21"/>
                      <w:szCs w:val="21"/>
                      <w:lang w:val="en-US" w:eastAsia="zh-CN"/>
                    </w:rPr>
                    <w:t>。</w:t>
                  </w:r>
                  <w:r>
                    <w:rPr>
                      <w:rFonts w:hint="default" w:ascii="Times New Roman" w:hAnsi="Times New Roman" w:eastAsia="宋体" w:cs="Times New Roman"/>
                      <w:color w:val="auto"/>
                      <w:sz w:val="21"/>
                      <w:szCs w:val="21"/>
                      <w:lang w:val="en-US" w:eastAsia="zh-CN"/>
                    </w:rPr>
                    <w:t>②项目运营期</w:t>
                  </w:r>
                  <w:r>
                    <w:rPr>
                      <w:rFonts w:hint="default" w:ascii="Times New Roman" w:hAnsi="Times New Roman" w:eastAsia="宋体" w:cs="Times New Roman"/>
                      <w:color w:val="auto"/>
                      <w:kern w:val="2"/>
                      <w:sz w:val="21"/>
                      <w:szCs w:val="21"/>
                    </w:rPr>
                    <w:t>生活污水</w:t>
                  </w:r>
                  <w:r>
                    <w:rPr>
                      <w:rFonts w:hint="default" w:ascii="Times New Roman" w:hAnsi="Times New Roman" w:eastAsia="宋体" w:cs="Times New Roman"/>
                      <w:color w:val="auto"/>
                      <w:kern w:val="2"/>
                      <w:sz w:val="21"/>
                      <w:szCs w:val="21"/>
                      <w:lang w:val="en-US" w:eastAsia="zh-CN"/>
                    </w:rPr>
                    <w:t>经</w:t>
                  </w:r>
                  <w:r>
                    <w:rPr>
                      <w:rFonts w:hint="default" w:ascii="Times New Roman" w:hAnsi="Times New Roman" w:eastAsia="宋体" w:cs="Times New Roman"/>
                      <w:color w:val="auto"/>
                      <w:kern w:val="2"/>
                      <w:sz w:val="21"/>
                      <w:szCs w:val="21"/>
                      <w:lang w:eastAsia="zh-CN"/>
                    </w:rPr>
                    <w:t>化粪池</w:t>
                  </w:r>
                  <w:r>
                    <w:rPr>
                      <w:rFonts w:hint="default" w:ascii="Times New Roman" w:hAnsi="Times New Roman" w:eastAsia="宋体" w:cs="Times New Roman"/>
                      <w:color w:val="auto"/>
                      <w:kern w:val="2"/>
                      <w:sz w:val="21"/>
                      <w:szCs w:val="21"/>
                    </w:rPr>
                    <w:t>预处理后，</w:t>
                  </w:r>
                  <w:r>
                    <w:rPr>
                      <w:rFonts w:hint="eastAsia" w:ascii="Times New Roman" w:hAnsi="Times New Roman" w:eastAsia="宋体" w:cs="Times New Roman"/>
                      <w:color w:val="auto"/>
                      <w:sz w:val="21"/>
                      <w:szCs w:val="21"/>
                      <w:lang w:val="en-US" w:eastAsia="zh-CN"/>
                    </w:rPr>
                    <w:t>定期清运</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对周围地表水环境影响较小。③本项目对</w:t>
                  </w:r>
                  <w:r>
                    <w:rPr>
                      <w:rFonts w:hint="eastAsia" w:ascii="Times New Roman" w:hAnsi="Times New Roman" w:eastAsia="宋体" w:cs="Times New Roman"/>
                      <w:bCs/>
                      <w:color w:val="auto"/>
                      <w:spacing w:val="0"/>
                      <w:sz w:val="21"/>
                      <w:szCs w:val="21"/>
                      <w:vertAlign w:val="baseline"/>
                      <w:lang w:val="en-US" w:eastAsia="zh-CN"/>
                    </w:rPr>
                    <w:t>危废贮存库</w:t>
                  </w:r>
                  <w:r>
                    <w:rPr>
                      <w:rFonts w:hint="default" w:ascii="Times New Roman" w:hAnsi="Times New Roman" w:eastAsia="宋体" w:cs="Times New Roman"/>
                      <w:color w:val="auto"/>
                      <w:sz w:val="21"/>
                      <w:szCs w:val="21"/>
                      <w:lang w:val="en-US" w:eastAsia="zh-CN"/>
                    </w:rPr>
                    <w:t>地面</w:t>
                  </w:r>
                  <w:r>
                    <w:rPr>
                      <w:rFonts w:hint="default" w:ascii="Times New Roman" w:hAnsi="Times New Roman" w:eastAsia="宋体" w:cs="Times New Roman"/>
                      <w:color w:val="auto"/>
                      <w:sz w:val="21"/>
                      <w:szCs w:val="21"/>
                    </w:rPr>
                    <w:t>采取重点防腐防渗措施</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可切断地下水、土壤污染途径，不会对地下水、土壤环境造成影响。④本项目运营期边角料</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收集粉尘</w:t>
                  </w:r>
                  <w:r>
                    <w:rPr>
                      <w:rFonts w:hint="default" w:ascii="Times New Roman" w:hAnsi="Times New Roman" w:eastAsia="宋体" w:cs="Times New Roman"/>
                      <w:color w:val="auto"/>
                      <w:sz w:val="21"/>
                      <w:szCs w:val="21"/>
                    </w:rPr>
                    <w:t>收集外售</w:t>
                  </w:r>
                  <w:r>
                    <w:rPr>
                      <w:rFonts w:hint="default" w:ascii="Times New Roman" w:hAnsi="Times New Roman" w:eastAsia="宋体" w:cs="Times New Roman"/>
                      <w:color w:val="auto"/>
                      <w:sz w:val="21"/>
                      <w:szCs w:val="21"/>
                      <w:lang w:val="en-US" w:eastAsia="zh-CN"/>
                    </w:rPr>
                    <w:t>综合利用</w:t>
                  </w:r>
                  <w:r>
                    <w:rPr>
                      <w:rFonts w:hint="default" w:ascii="Times New Roman" w:hAnsi="Times New Roman" w:eastAsia="宋体" w:cs="Times New Roman"/>
                      <w:color w:val="auto"/>
                      <w:sz w:val="21"/>
                      <w:szCs w:val="21"/>
                    </w:rPr>
                    <w:t>；废</w:t>
                  </w:r>
                  <w:r>
                    <w:rPr>
                      <w:rFonts w:hint="eastAsia" w:cs="Times New Roman"/>
                      <w:color w:val="auto"/>
                      <w:sz w:val="21"/>
                      <w:szCs w:val="21"/>
                      <w:lang w:val="en-US" w:eastAsia="zh-CN"/>
                    </w:rPr>
                    <w:t>镍钛形状记忆合金生产线</w:t>
                  </w:r>
                  <w:r>
                    <w:rPr>
                      <w:rFonts w:hint="default" w:ascii="Times New Roman" w:hAnsi="Times New Roman" w:eastAsia="宋体" w:cs="Times New Roman"/>
                      <w:color w:val="auto"/>
                      <w:sz w:val="21"/>
                      <w:szCs w:val="21"/>
                    </w:rPr>
                    <w:t>、废油桶</w:t>
                  </w:r>
                  <w:r>
                    <w:rPr>
                      <w:rFonts w:hint="eastAsia"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eastAsia="zh-CN"/>
                    </w:rPr>
                    <w:t>含油抹布手套</w:t>
                  </w:r>
                  <w:r>
                    <w:rPr>
                      <w:rFonts w:hint="default" w:ascii="Times New Roman" w:hAnsi="Times New Roman" w:eastAsia="宋体" w:cs="Times New Roman"/>
                      <w:color w:val="auto"/>
                      <w:sz w:val="21"/>
                      <w:szCs w:val="21"/>
                    </w:rPr>
                    <w:t>暂存于</w:t>
                  </w:r>
                  <w:r>
                    <w:rPr>
                      <w:rFonts w:hint="default" w:ascii="Times New Roman" w:hAnsi="Times New Roman" w:eastAsia="宋体" w:cs="Times New Roman"/>
                      <w:color w:val="auto"/>
                      <w:sz w:val="21"/>
                      <w:szCs w:val="21"/>
                      <w:lang w:eastAsia="zh-CN"/>
                    </w:rPr>
                    <w:t>危险废物贮存库</w:t>
                  </w:r>
                  <w:r>
                    <w:rPr>
                      <w:rFonts w:hint="default" w:ascii="Times New Roman" w:hAnsi="Times New Roman" w:eastAsia="宋体" w:cs="Times New Roman"/>
                      <w:color w:val="auto"/>
                      <w:sz w:val="21"/>
                      <w:szCs w:val="21"/>
                    </w:rPr>
                    <w:t>，定期交有危险废物处理资质的单位安全处置</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生活垃圾采用垃圾桶分类收集，及时清运，交由环卫部门清运。</w:t>
                  </w:r>
                  <w:r>
                    <w:rPr>
                      <w:rFonts w:hint="default" w:ascii="Times New Roman" w:hAnsi="Times New Roman" w:eastAsia="宋体" w:cs="Times New Roman"/>
                      <w:color w:val="auto"/>
                      <w:sz w:val="21"/>
                      <w:szCs w:val="21"/>
                      <w:lang w:val="en-US" w:eastAsia="zh-CN"/>
                    </w:rPr>
                    <w:t>⑤本项目严格落实分区防渗要求，建立应急物资库，建立环境风险管理制度，日常巡检，</w:t>
                  </w:r>
                  <w:r>
                    <w:rPr>
                      <w:rFonts w:hint="default" w:ascii="Times New Roman" w:hAnsi="Times New Roman" w:eastAsia="宋体" w:cs="Times New Roman"/>
                      <w:b w:val="0"/>
                      <w:bCs w:val="0"/>
                      <w:color w:val="auto"/>
                      <w:sz w:val="21"/>
                      <w:szCs w:val="21"/>
                      <w:lang w:val="en-US" w:eastAsia="zh-CN"/>
                    </w:rPr>
                    <w:t>编制突发环境事件应急预案并备案</w:t>
                  </w:r>
                  <w:r>
                    <w:rPr>
                      <w:rFonts w:hint="default" w:ascii="Times New Roman" w:hAnsi="Times New Roman" w:eastAsia="宋体" w:cs="Times New Roman"/>
                      <w:color w:val="auto"/>
                      <w:sz w:val="21"/>
                      <w:szCs w:val="21"/>
                      <w:lang w:val="en-US" w:eastAsia="zh-CN"/>
                    </w:rPr>
                    <w:t>。</w:t>
                  </w:r>
                </w:p>
              </w:tc>
              <w:tc>
                <w:tcPr>
                  <w:tcW w:w="557" w:type="dxa"/>
                  <w:tcBorders>
                    <w:tl2br w:val="nil"/>
                    <w:tr2bl w:val="nil"/>
                  </w:tcBorders>
                  <w:noWrap w:val="0"/>
                  <w:tcMar>
                    <w:left w:w="28" w:type="dxa"/>
                    <w:right w:w="28" w:type="dxa"/>
                  </w:tcMar>
                  <w:vAlign w:val="center"/>
                </w:tcPr>
                <w:p w14:paraId="792A8248">
                  <w:pPr>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符合</w:t>
                  </w:r>
                </w:p>
              </w:tc>
            </w:tr>
            <w:tr w14:paraId="42CC978C">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90" w:hRule="atLeast"/>
                <w:jc w:val="center"/>
              </w:trPr>
              <w:tc>
                <w:tcPr>
                  <w:tcW w:w="751" w:type="dxa"/>
                  <w:vMerge w:val="continue"/>
                  <w:tcBorders>
                    <w:tl2br w:val="nil"/>
                    <w:tr2bl w:val="nil"/>
                  </w:tcBorders>
                  <w:noWrap w:val="0"/>
                  <w:tcMar>
                    <w:left w:w="28" w:type="dxa"/>
                    <w:right w:w="28" w:type="dxa"/>
                  </w:tcMar>
                  <w:vAlign w:val="center"/>
                </w:tcPr>
                <w:p w14:paraId="31905AF8">
                  <w:pPr>
                    <w:autoSpaceDE w:val="0"/>
                    <w:autoSpaceDN w:val="0"/>
                    <w:adjustRightInd w:val="0"/>
                    <w:spacing w:line="240" w:lineRule="auto"/>
                    <w:ind w:firstLine="0" w:firstLineChars="0"/>
                    <w:jc w:val="both"/>
                    <w:rPr>
                      <w:rFonts w:hint="default" w:ascii="Times New Roman" w:hAnsi="Times New Roman" w:eastAsia="宋体" w:cs="Times New Roman"/>
                      <w:b w:val="0"/>
                      <w:bCs/>
                      <w:color w:val="auto"/>
                      <w:spacing w:val="4"/>
                      <w:sz w:val="21"/>
                      <w:szCs w:val="21"/>
                    </w:rPr>
                  </w:pPr>
                </w:p>
              </w:tc>
              <w:tc>
                <w:tcPr>
                  <w:tcW w:w="3890" w:type="dxa"/>
                  <w:tcBorders>
                    <w:tl2br w:val="nil"/>
                    <w:tr2bl w:val="nil"/>
                  </w:tcBorders>
                  <w:noWrap w:val="0"/>
                  <w:tcMar>
                    <w:left w:w="28" w:type="dxa"/>
                    <w:right w:w="28" w:type="dxa"/>
                  </w:tcMar>
                  <w:vAlign w:val="center"/>
                </w:tcPr>
                <w:p w14:paraId="0A0611DE">
                  <w:pPr>
                    <w:numPr>
                      <w:ilvl w:val="0"/>
                      <w:numId w:val="0"/>
                    </w:numPr>
                    <w:adjustRightInd w:val="0"/>
                    <w:snapToGrid w:val="0"/>
                    <w:spacing w:line="240" w:lineRule="auto"/>
                    <w:ind w:firstLine="0" w:firstLineChars="0"/>
                    <w:rPr>
                      <w:rFonts w:hint="eastAsia"/>
                      <w:b w:val="0"/>
                      <w:bCs/>
                      <w:color w:val="auto"/>
                      <w:szCs w:val="24"/>
                      <w:highlight w:val="none"/>
                      <w:lang w:eastAsia="zh-CN"/>
                    </w:rPr>
                  </w:pPr>
                  <w:r>
                    <w:rPr>
                      <w:rFonts w:hint="eastAsia"/>
                      <w:b w:val="0"/>
                      <w:bCs/>
                      <w:color w:val="auto"/>
                      <w:kern w:val="2"/>
                      <w:sz w:val="21"/>
                      <w:szCs w:val="24"/>
                      <w:lang w:val="en-US" w:eastAsia="zh-CN" w:bidi="ar-SA"/>
                    </w:rPr>
                    <w:t>（3）</w:t>
                  </w:r>
                  <w:r>
                    <w:rPr>
                      <w:b w:val="0"/>
                      <w:bCs/>
                      <w:color w:val="auto"/>
                      <w:szCs w:val="24"/>
                      <w:highlight w:val="none"/>
                    </w:rPr>
                    <w:t>经开区生态环境准入</w:t>
                  </w:r>
                  <w:r>
                    <w:rPr>
                      <w:rFonts w:hint="eastAsia"/>
                      <w:b w:val="0"/>
                      <w:bCs/>
                      <w:color w:val="auto"/>
                      <w:szCs w:val="24"/>
                      <w:highlight w:val="none"/>
                      <w:lang w:eastAsia="zh-CN"/>
                    </w:rPr>
                    <w:t>：</w:t>
                  </w:r>
                </w:p>
                <w:p w14:paraId="4B11AFAF">
                  <w:pPr>
                    <w:numPr>
                      <w:ilvl w:val="0"/>
                      <w:numId w:val="0"/>
                    </w:numPr>
                    <w:adjustRightInd w:val="0"/>
                    <w:snapToGrid w:val="0"/>
                    <w:spacing w:line="240" w:lineRule="auto"/>
                    <w:ind w:firstLine="0" w:firstLineChars="0"/>
                    <w:rPr>
                      <w:rFonts w:hint="eastAsia"/>
                      <w:b/>
                      <w:bCs/>
                      <w:color w:val="auto"/>
                      <w:sz w:val="21"/>
                      <w:szCs w:val="21"/>
                      <w:highlight w:val="none"/>
                    </w:rPr>
                  </w:pPr>
                  <w:r>
                    <w:rPr>
                      <w:rFonts w:hint="eastAsia"/>
                      <w:b/>
                      <w:bCs/>
                      <w:color w:val="auto"/>
                      <w:sz w:val="21"/>
                      <w:szCs w:val="21"/>
                      <w:highlight w:val="none"/>
                    </w:rPr>
                    <w:t>保护区域</w:t>
                  </w:r>
                </w:p>
                <w:p w14:paraId="4400F88D">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1 \* GB3 \* MERGEFORMAT </w:instrText>
                  </w:r>
                  <w:r>
                    <w:rPr>
                      <w:color w:val="auto"/>
                      <w:kern w:val="0"/>
                      <w:sz w:val="21"/>
                      <w:szCs w:val="21"/>
                      <w:highlight w:val="none"/>
                    </w:rPr>
                    <w:fldChar w:fldCharType="separate"/>
                  </w:r>
                  <w:r>
                    <w:rPr>
                      <w:color w:val="auto"/>
                      <w:kern w:val="0"/>
                      <w:sz w:val="21"/>
                      <w:szCs w:val="21"/>
                      <w:highlight w:val="none"/>
                    </w:rPr>
                    <w:t>①</w:t>
                  </w:r>
                  <w:r>
                    <w:rPr>
                      <w:color w:val="auto"/>
                      <w:kern w:val="0"/>
                      <w:sz w:val="21"/>
                      <w:szCs w:val="21"/>
                      <w:highlight w:val="none"/>
                    </w:rPr>
                    <w:fldChar w:fldCharType="end"/>
                  </w:r>
                  <w:r>
                    <w:rPr>
                      <w:color w:val="auto"/>
                      <w:kern w:val="0"/>
                      <w:sz w:val="21"/>
                      <w:szCs w:val="21"/>
                      <w:highlight w:val="none"/>
                    </w:rPr>
                    <w:t>严格执行相关行业企业布局选址要求，禁止在居民区、学校、医疗和养老机构等周边新建、扩建有色金属冶炼、焦化等行业企业。</w:t>
                  </w:r>
                </w:p>
                <w:p w14:paraId="01B628A3">
                  <w:pPr>
                    <w:adjustRightInd w:val="0"/>
                    <w:snapToGrid w:val="0"/>
                    <w:spacing w:line="240" w:lineRule="auto"/>
                    <w:ind w:firstLine="0" w:firstLineChars="0"/>
                    <w:rPr>
                      <w:rFonts w:hint="eastAsia"/>
                      <w:color w:val="auto"/>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2 \* GB3 \* MERGEFORMAT </w:instrText>
                  </w:r>
                  <w:r>
                    <w:rPr>
                      <w:color w:val="auto"/>
                      <w:kern w:val="0"/>
                      <w:sz w:val="21"/>
                      <w:szCs w:val="21"/>
                      <w:highlight w:val="none"/>
                    </w:rPr>
                    <w:fldChar w:fldCharType="separate"/>
                  </w:r>
                  <w:r>
                    <w:rPr>
                      <w:color w:val="auto"/>
                      <w:kern w:val="0"/>
                      <w:sz w:val="21"/>
                      <w:szCs w:val="21"/>
                      <w:highlight w:val="none"/>
                    </w:rPr>
                    <w:t>②</w:t>
                  </w:r>
                  <w:r>
                    <w:rPr>
                      <w:color w:val="auto"/>
                      <w:kern w:val="0"/>
                      <w:sz w:val="21"/>
                      <w:szCs w:val="21"/>
                      <w:highlight w:val="none"/>
                    </w:rPr>
                    <w:fldChar w:fldCharType="end"/>
                  </w:r>
                  <w:r>
                    <w:rPr>
                      <w:color w:val="auto"/>
                      <w:kern w:val="0"/>
                      <w:sz w:val="21"/>
                      <w:szCs w:val="21"/>
                      <w:highlight w:val="none"/>
                    </w:rPr>
                    <w:t>在居住区、学校和医院等敏感目标与工业企业布局间需布设绿化隔离带，同时，敏感目标四周的工业用地类型建议调整为一类工业用地，为避免对敏感目标的影响，需引进污染相对较轻的建设项目。</w:t>
                  </w:r>
                </w:p>
                <w:p w14:paraId="7293C3EB">
                  <w:pPr>
                    <w:adjustRightInd w:val="0"/>
                    <w:snapToGrid w:val="0"/>
                    <w:spacing w:line="240" w:lineRule="auto"/>
                    <w:ind w:firstLine="0" w:firstLineChars="0"/>
                    <w:rPr>
                      <w:rFonts w:hint="eastAsia"/>
                      <w:b/>
                      <w:bCs/>
                      <w:color w:val="auto"/>
                      <w:sz w:val="21"/>
                      <w:szCs w:val="21"/>
                      <w:highlight w:val="none"/>
                    </w:rPr>
                  </w:pPr>
                  <w:r>
                    <w:rPr>
                      <w:rFonts w:hint="eastAsia"/>
                      <w:b/>
                      <w:bCs/>
                      <w:color w:val="auto"/>
                      <w:sz w:val="21"/>
                      <w:szCs w:val="21"/>
                      <w:highlight w:val="none"/>
                    </w:rPr>
                    <w:t>其他区域</w:t>
                  </w:r>
                </w:p>
                <w:p w14:paraId="38AD0324">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1 \* GB3 \* MERGEFORMAT </w:instrText>
                  </w:r>
                  <w:r>
                    <w:rPr>
                      <w:color w:val="auto"/>
                      <w:kern w:val="0"/>
                      <w:sz w:val="21"/>
                      <w:szCs w:val="21"/>
                      <w:highlight w:val="none"/>
                    </w:rPr>
                    <w:fldChar w:fldCharType="separate"/>
                  </w:r>
                  <w:r>
                    <w:rPr>
                      <w:color w:val="auto"/>
                      <w:kern w:val="0"/>
                      <w:sz w:val="21"/>
                      <w:szCs w:val="21"/>
                      <w:highlight w:val="none"/>
                    </w:rPr>
                    <w:t>①</w:t>
                  </w:r>
                  <w:r>
                    <w:rPr>
                      <w:color w:val="auto"/>
                      <w:kern w:val="0"/>
                      <w:sz w:val="21"/>
                      <w:szCs w:val="21"/>
                      <w:highlight w:val="none"/>
                    </w:rPr>
                    <w:fldChar w:fldCharType="end"/>
                  </w:r>
                  <w:r>
                    <w:rPr>
                      <w:color w:val="auto"/>
                      <w:kern w:val="0"/>
                      <w:sz w:val="21"/>
                      <w:szCs w:val="21"/>
                      <w:highlight w:val="none"/>
                    </w:rPr>
                    <w:t>新建项目应符合经开区规划产业定位和土地利用规划，项目环评需分析规划及规划环评的符合性；</w:t>
                  </w:r>
                </w:p>
                <w:p w14:paraId="72E086AB">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2 \* GB3 \* MERGEFORMAT </w:instrText>
                  </w:r>
                  <w:r>
                    <w:rPr>
                      <w:color w:val="auto"/>
                      <w:kern w:val="0"/>
                      <w:sz w:val="21"/>
                      <w:szCs w:val="21"/>
                      <w:highlight w:val="none"/>
                    </w:rPr>
                    <w:fldChar w:fldCharType="separate"/>
                  </w:r>
                  <w:r>
                    <w:rPr>
                      <w:color w:val="auto"/>
                      <w:kern w:val="0"/>
                      <w:sz w:val="21"/>
                      <w:szCs w:val="21"/>
                      <w:highlight w:val="none"/>
                    </w:rPr>
                    <w:t>②</w:t>
                  </w:r>
                  <w:r>
                    <w:rPr>
                      <w:color w:val="auto"/>
                      <w:kern w:val="0"/>
                      <w:sz w:val="21"/>
                      <w:szCs w:val="21"/>
                      <w:highlight w:val="none"/>
                    </w:rPr>
                    <w:fldChar w:fldCharType="end"/>
                  </w:r>
                  <w:r>
                    <w:rPr>
                      <w:color w:val="auto"/>
                      <w:kern w:val="0"/>
                      <w:sz w:val="21"/>
                      <w:szCs w:val="21"/>
                      <w:highlight w:val="none"/>
                    </w:rPr>
                    <w:t>新建项目须满足《产业结构调整指导目录》的要求，禁止采用淘汰类工艺；</w:t>
                  </w:r>
                </w:p>
                <w:p w14:paraId="6653C6AD">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t>须符合国家和地方的产业政策，不得采用国家和地方淘汰的或禁止使用的工艺、技术和设备，不得建设生产工艺或污染防治技术不成熟的项目；</w:t>
                  </w:r>
                </w:p>
                <w:p w14:paraId="0C8E7D1B">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3 \* GB3 \* MERGEFORMAT </w:instrText>
                  </w:r>
                  <w:r>
                    <w:rPr>
                      <w:color w:val="auto"/>
                      <w:kern w:val="0"/>
                      <w:sz w:val="21"/>
                      <w:szCs w:val="21"/>
                      <w:highlight w:val="none"/>
                    </w:rPr>
                    <w:fldChar w:fldCharType="separate"/>
                  </w:r>
                  <w:r>
                    <w:rPr>
                      <w:color w:val="auto"/>
                      <w:kern w:val="0"/>
                      <w:sz w:val="21"/>
                      <w:szCs w:val="21"/>
                      <w:highlight w:val="none"/>
                    </w:rPr>
                    <w:t>③</w:t>
                  </w:r>
                  <w:r>
                    <w:rPr>
                      <w:color w:val="auto"/>
                      <w:kern w:val="0"/>
                      <w:sz w:val="21"/>
                      <w:szCs w:val="21"/>
                      <w:highlight w:val="none"/>
                    </w:rPr>
                    <w:fldChar w:fldCharType="end"/>
                  </w:r>
                  <w:r>
                    <w:rPr>
                      <w:color w:val="auto"/>
                      <w:kern w:val="0"/>
                      <w:sz w:val="21"/>
                      <w:szCs w:val="21"/>
                      <w:highlight w:val="none"/>
                    </w:rPr>
                    <w:t>新建项目必须采用国内外先进的生产工艺和技术设备，原材料指标及单位产品的物耗、能耗、水耗、资源综合利用和污染物产生量等指标应达到清洁生产先进水平；必须采用先进、可靠、安全的处理工艺和治理技术，严格落实需配套的污水分类处理措施、废气分类处理措施、废物分类处理措施、厂区土壤及地下水污染防治措施、环境风险防范措施、排污监测监控设施，确保主要污染物达标排放和符合总量控制的要求。</w:t>
                  </w:r>
                </w:p>
                <w:p w14:paraId="443D331D">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5 \* GB3 \* MERGEFORMAT </w:instrText>
                  </w:r>
                  <w:r>
                    <w:rPr>
                      <w:color w:val="auto"/>
                      <w:kern w:val="0"/>
                      <w:sz w:val="21"/>
                      <w:szCs w:val="21"/>
                      <w:highlight w:val="none"/>
                    </w:rPr>
                    <w:fldChar w:fldCharType="separate"/>
                  </w:r>
                  <w:r>
                    <w:rPr>
                      <w:color w:val="auto"/>
                      <w:kern w:val="0"/>
                      <w:sz w:val="21"/>
                      <w:szCs w:val="21"/>
                      <w:highlight w:val="none"/>
                    </w:rPr>
                    <w:t>⑤</w:t>
                  </w:r>
                  <w:r>
                    <w:rPr>
                      <w:color w:val="auto"/>
                      <w:kern w:val="0"/>
                      <w:sz w:val="21"/>
                      <w:szCs w:val="21"/>
                      <w:highlight w:val="none"/>
                    </w:rPr>
                    <w:fldChar w:fldCharType="end"/>
                  </w:r>
                  <w:r>
                    <w:rPr>
                      <w:color w:val="auto"/>
                      <w:kern w:val="0"/>
                      <w:sz w:val="21"/>
                      <w:szCs w:val="21"/>
                      <w:highlight w:val="none"/>
                    </w:rPr>
                    <w:t>扩建、改建、技术改造项目应全面调查、评价已有工程存在的环保问题，治理与项目有关的原有环境污染和生态破坏，并落实主要污染物排放减量化方案。</w:t>
                  </w:r>
                </w:p>
                <w:p w14:paraId="54157A41">
                  <w:pPr>
                    <w:adjustRightInd w:val="0"/>
                    <w:snapToGrid w:val="0"/>
                    <w:spacing w:line="240" w:lineRule="auto"/>
                    <w:ind w:firstLine="0" w:firstLineChars="0"/>
                    <w:rPr>
                      <w:color w:val="auto"/>
                      <w:kern w:val="0"/>
                      <w:sz w:val="21"/>
                      <w:szCs w:val="21"/>
                      <w:highlight w:val="none"/>
                    </w:rPr>
                  </w:pPr>
                  <w:r>
                    <w:rPr>
                      <w:color w:val="auto"/>
                      <w:kern w:val="0"/>
                      <w:sz w:val="21"/>
                      <w:szCs w:val="21"/>
                      <w:highlight w:val="none"/>
                    </w:rPr>
                    <w:fldChar w:fldCharType="begin"/>
                  </w:r>
                  <w:r>
                    <w:rPr>
                      <w:color w:val="auto"/>
                      <w:kern w:val="0"/>
                      <w:sz w:val="21"/>
                      <w:szCs w:val="21"/>
                      <w:highlight w:val="none"/>
                    </w:rPr>
                    <w:instrText xml:space="preserve"> = 6 \* GB3 \* MERGEFORMAT </w:instrText>
                  </w:r>
                  <w:r>
                    <w:rPr>
                      <w:color w:val="auto"/>
                      <w:kern w:val="0"/>
                      <w:sz w:val="21"/>
                      <w:szCs w:val="21"/>
                      <w:highlight w:val="none"/>
                    </w:rPr>
                    <w:fldChar w:fldCharType="separate"/>
                  </w:r>
                  <w:r>
                    <w:rPr>
                      <w:color w:val="auto"/>
                      <w:kern w:val="0"/>
                      <w:sz w:val="21"/>
                      <w:szCs w:val="21"/>
                      <w:highlight w:val="none"/>
                    </w:rPr>
                    <w:t>⑥</w:t>
                  </w:r>
                  <w:r>
                    <w:rPr>
                      <w:color w:val="auto"/>
                      <w:kern w:val="0"/>
                      <w:sz w:val="21"/>
                      <w:szCs w:val="21"/>
                      <w:highlight w:val="none"/>
                    </w:rPr>
                    <w:fldChar w:fldCharType="end"/>
                  </w:r>
                  <w:r>
                    <w:rPr>
                      <w:color w:val="auto"/>
                      <w:kern w:val="0"/>
                      <w:sz w:val="21"/>
                      <w:szCs w:val="21"/>
                      <w:highlight w:val="none"/>
                    </w:rPr>
                    <w:t>新建、改建、扩建食品及农副产品加工建设项目实行主要污染物排放等量或减量置换。</w:t>
                  </w:r>
                </w:p>
                <w:p w14:paraId="632EE03D">
                  <w:pPr>
                    <w:jc w:val="both"/>
                    <w:rPr>
                      <w:rFonts w:hint="default" w:ascii="Times New Roman" w:hAnsi="Times New Roman" w:eastAsia="宋体" w:cs="Times New Roman"/>
                      <w:b w:val="0"/>
                      <w:bCs/>
                      <w:color w:val="auto"/>
                      <w:spacing w:val="4"/>
                      <w:sz w:val="21"/>
                      <w:szCs w:val="21"/>
                      <w:lang w:val="en-US" w:eastAsia="zh-CN"/>
                    </w:rPr>
                  </w:pPr>
                  <w:r>
                    <w:rPr>
                      <w:color w:val="auto"/>
                      <w:kern w:val="0"/>
                      <w:sz w:val="21"/>
                      <w:szCs w:val="21"/>
                      <w:highlight w:val="none"/>
                    </w:rPr>
                    <w:fldChar w:fldCharType="begin"/>
                  </w:r>
                  <w:r>
                    <w:rPr>
                      <w:color w:val="auto"/>
                      <w:kern w:val="0"/>
                      <w:sz w:val="21"/>
                      <w:szCs w:val="21"/>
                      <w:highlight w:val="none"/>
                    </w:rPr>
                    <w:instrText xml:space="preserve"> = 7 \* GB3 \* MERGEFORMAT </w:instrText>
                  </w:r>
                  <w:r>
                    <w:rPr>
                      <w:color w:val="auto"/>
                      <w:kern w:val="0"/>
                      <w:sz w:val="21"/>
                      <w:szCs w:val="21"/>
                      <w:highlight w:val="none"/>
                    </w:rPr>
                    <w:fldChar w:fldCharType="separate"/>
                  </w:r>
                  <w:r>
                    <w:rPr>
                      <w:color w:val="auto"/>
                      <w:kern w:val="0"/>
                      <w:sz w:val="21"/>
                      <w:szCs w:val="21"/>
                      <w:highlight w:val="none"/>
                    </w:rPr>
                    <w:t>⑦</w:t>
                  </w:r>
                  <w:r>
                    <w:rPr>
                      <w:color w:val="auto"/>
                      <w:kern w:val="0"/>
                      <w:sz w:val="21"/>
                      <w:szCs w:val="21"/>
                      <w:highlight w:val="none"/>
                    </w:rPr>
                    <w:fldChar w:fldCharType="end"/>
                  </w:r>
                  <w:r>
                    <w:rPr>
                      <w:color w:val="auto"/>
                      <w:kern w:val="0"/>
                      <w:sz w:val="21"/>
                      <w:szCs w:val="21"/>
                      <w:highlight w:val="none"/>
                    </w:rPr>
                    <w:t>渭河流域禁止新建、扩建化学制浆造纸、化工、印染、果汁和淀粉加工等高耗水、高污染项目。</w:t>
                  </w:r>
                </w:p>
              </w:tc>
              <w:tc>
                <w:tcPr>
                  <w:tcW w:w="2600" w:type="dxa"/>
                  <w:tcBorders>
                    <w:tl2br w:val="nil"/>
                    <w:tr2bl w:val="nil"/>
                  </w:tcBorders>
                  <w:noWrap w:val="0"/>
                  <w:tcMar>
                    <w:left w:w="28" w:type="dxa"/>
                    <w:right w:w="28" w:type="dxa"/>
                  </w:tcMar>
                  <w:vAlign w:val="center"/>
                </w:tcPr>
                <w:p w14:paraId="20406945">
                  <w:pPr>
                    <w:jc w:val="both"/>
                    <w:rPr>
                      <w:rFonts w:hint="eastAsia" w:ascii="Times New Roman" w:hAnsi="Times New Roman" w:eastAsia="宋体" w:cs="Times New Roman"/>
                      <w:color w:val="auto"/>
                      <w:sz w:val="21"/>
                      <w:szCs w:val="21"/>
                      <w:lang w:val="en-US" w:eastAsia="zh-CN"/>
                    </w:rPr>
                  </w:pPr>
                </w:p>
                <w:p w14:paraId="0DA090AB">
                  <w:pPr>
                    <w:jc w:val="both"/>
                    <w:rPr>
                      <w:rFonts w:hint="eastAsia" w:ascii="Times New Roman" w:hAnsi="Times New Roman" w:eastAsia="宋体" w:cs="Times New Roman"/>
                      <w:color w:val="auto"/>
                      <w:sz w:val="21"/>
                      <w:szCs w:val="21"/>
                      <w:lang w:val="en-US" w:eastAsia="zh-CN"/>
                    </w:rPr>
                  </w:pPr>
                </w:p>
                <w:p w14:paraId="54077122">
                  <w:pPr>
                    <w:jc w:val="both"/>
                    <w:rPr>
                      <w:rFonts w:hint="eastAsia" w:ascii="Times New Roman" w:hAnsi="Times New Roman" w:eastAsia="宋体" w:cs="Times New Roman"/>
                      <w:color w:val="auto"/>
                      <w:sz w:val="21"/>
                      <w:szCs w:val="21"/>
                      <w:lang w:val="en-US" w:eastAsia="zh-CN"/>
                    </w:rPr>
                  </w:pPr>
                </w:p>
                <w:p w14:paraId="120747A7">
                  <w:pPr>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本项目在</w:t>
                  </w:r>
                  <w:r>
                    <w:rPr>
                      <w:rFonts w:hint="default" w:ascii="Times New Roman" w:hAnsi="Times New Roman" w:eastAsia="宋体" w:cs="Times New Roman"/>
                      <w:b w:val="0"/>
                      <w:bCs w:val="0"/>
                      <w:color w:val="auto"/>
                      <w:sz w:val="21"/>
                      <w:szCs w:val="24"/>
                      <w:lang w:eastAsia="zh-CN"/>
                    </w:rPr>
                    <w:t>陕西陈仓经济技术开发区</w:t>
                  </w:r>
                  <w:r>
                    <w:rPr>
                      <w:rFonts w:hint="eastAsia" w:ascii="Times New Roman" w:hAnsi="Times New Roman" w:eastAsia="宋体" w:cs="Times New Roman"/>
                      <w:b w:val="0"/>
                      <w:bCs w:val="0"/>
                      <w:color w:val="auto"/>
                      <w:sz w:val="21"/>
                      <w:szCs w:val="24"/>
                      <w:lang w:val="en-US" w:eastAsia="zh-CN"/>
                    </w:rPr>
                    <w:t>西片区，镍钛形状记忆合金生产加工，属于C3259其他有色金属压延加工，</w:t>
                  </w:r>
                  <w:r>
                    <w:rPr>
                      <w:rFonts w:hint="eastAsia" w:ascii="Times New Roman" w:hAnsi="Times New Roman" w:eastAsia="宋体" w:cs="Times New Roman"/>
                      <w:color w:val="auto"/>
                      <w:sz w:val="21"/>
                      <w:szCs w:val="21"/>
                      <w:lang w:val="en-US" w:eastAsia="zh-CN"/>
                    </w:rPr>
                    <w:t>不属于有色金属冶炼、焦化行业。</w:t>
                  </w:r>
                </w:p>
                <w:p w14:paraId="34DB6624">
                  <w:pPr>
                    <w:rPr>
                      <w:rFonts w:hint="eastAsia" w:ascii="Times New Roman" w:hAnsi="Times New Roman" w:eastAsia="宋体" w:cs="Times New Roman"/>
                      <w:b w:val="0"/>
                      <w:bCs/>
                      <w:color w:val="auto"/>
                      <w:sz w:val="21"/>
                      <w:szCs w:val="21"/>
                      <w:highlight w:val="none"/>
                      <w:lang w:val="en-US" w:eastAsia="zh-CN"/>
                    </w:rPr>
                  </w:pPr>
                  <w:r>
                    <w:rPr>
                      <w:rFonts w:hint="eastAsia" w:ascii="Times New Roman" w:hAnsi="Times New Roman" w:eastAsia="宋体" w:cs="Times New Roman"/>
                      <w:color w:val="auto"/>
                      <w:sz w:val="21"/>
                      <w:szCs w:val="21"/>
                      <w:lang w:val="en-US" w:eastAsia="zh-CN"/>
                    </w:rPr>
                    <w:t>本项目周边均为企业，且通过降噪措施，满足噪声排放标准</w:t>
                  </w:r>
                  <w:r>
                    <w:rPr>
                      <w:rFonts w:hint="eastAsia" w:ascii="Times New Roman" w:hAnsi="Times New Roman" w:eastAsia="宋体" w:cs="Times New Roman"/>
                      <w:b w:val="0"/>
                      <w:bCs/>
                      <w:color w:val="auto"/>
                      <w:sz w:val="21"/>
                      <w:szCs w:val="21"/>
                      <w:highlight w:val="none"/>
                      <w:lang w:val="en-US" w:eastAsia="zh-CN"/>
                    </w:rPr>
                    <w:t>。</w:t>
                  </w:r>
                </w:p>
                <w:p w14:paraId="6ADBD35D">
                  <w:pPr>
                    <w:rPr>
                      <w:color w:val="auto"/>
                      <w:kern w:val="0"/>
                      <w:sz w:val="21"/>
                      <w:szCs w:val="21"/>
                      <w:highlight w:val="none"/>
                    </w:rPr>
                  </w:pPr>
                  <w:r>
                    <w:rPr>
                      <w:rFonts w:hint="eastAsia" w:ascii="Times New Roman" w:hAnsi="Times New Roman" w:eastAsia="宋体" w:cs="Times New Roman"/>
                      <w:b w:val="0"/>
                      <w:bCs/>
                      <w:color w:val="auto"/>
                      <w:sz w:val="21"/>
                      <w:szCs w:val="21"/>
                      <w:highlight w:val="none"/>
                      <w:lang w:val="en-US" w:eastAsia="zh-CN"/>
                    </w:rPr>
                    <w:t>本项目位于</w:t>
                  </w:r>
                  <w:r>
                    <w:rPr>
                      <w:rFonts w:hint="eastAsia" w:cs="Times New Roman"/>
                      <w:b w:val="0"/>
                      <w:bCs/>
                      <w:color w:val="auto"/>
                      <w:sz w:val="21"/>
                      <w:szCs w:val="21"/>
                      <w:highlight w:val="none"/>
                      <w:lang w:val="en-US" w:eastAsia="zh-CN"/>
                    </w:rPr>
                    <w:t>二</w:t>
                  </w:r>
                  <w:r>
                    <w:rPr>
                      <w:rFonts w:hint="eastAsia" w:ascii="Times New Roman" w:hAnsi="Times New Roman" w:eastAsia="宋体" w:cs="Times New Roman"/>
                      <w:b w:val="0"/>
                      <w:bCs/>
                      <w:color w:val="auto"/>
                      <w:sz w:val="21"/>
                      <w:szCs w:val="21"/>
                      <w:highlight w:val="none"/>
                      <w:lang w:val="en-US" w:eastAsia="zh-CN"/>
                    </w:rPr>
                    <w:t>类工业用地内；本项目使用的加热炉满足</w:t>
                  </w:r>
                  <w:r>
                    <w:rPr>
                      <w:color w:val="auto"/>
                      <w:kern w:val="0"/>
                      <w:sz w:val="21"/>
                      <w:szCs w:val="21"/>
                      <w:highlight w:val="none"/>
                    </w:rPr>
                    <w:t>《产业结构调整指导目录》的要求</w:t>
                  </w:r>
                  <w:r>
                    <w:rPr>
                      <w:rFonts w:hint="eastAsia"/>
                      <w:color w:val="auto"/>
                      <w:kern w:val="0"/>
                      <w:sz w:val="21"/>
                      <w:szCs w:val="21"/>
                      <w:highlight w:val="none"/>
                      <w:lang w:eastAsia="zh-CN"/>
                    </w:rPr>
                    <w:t>，</w:t>
                  </w:r>
                  <w:r>
                    <w:rPr>
                      <w:rFonts w:hint="eastAsia"/>
                      <w:color w:val="auto"/>
                      <w:kern w:val="0"/>
                      <w:sz w:val="21"/>
                      <w:szCs w:val="21"/>
                      <w:highlight w:val="none"/>
                      <w:lang w:val="en-US" w:eastAsia="zh-CN"/>
                    </w:rPr>
                    <w:t>不属于</w:t>
                  </w:r>
                  <w:r>
                    <w:rPr>
                      <w:color w:val="auto"/>
                      <w:kern w:val="0"/>
                      <w:sz w:val="21"/>
                      <w:szCs w:val="21"/>
                      <w:highlight w:val="none"/>
                    </w:rPr>
                    <w:t>淘汰类工艺</w:t>
                  </w:r>
                  <w:r>
                    <w:rPr>
                      <w:rFonts w:hint="eastAsia"/>
                      <w:color w:val="auto"/>
                      <w:kern w:val="0"/>
                      <w:sz w:val="21"/>
                      <w:szCs w:val="21"/>
                      <w:highlight w:val="none"/>
                      <w:lang w:eastAsia="zh-CN"/>
                    </w:rPr>
                    <w:t>，不属于</w:t>
                  </w:r>
                  <w:r>
                    <w:rPr>
                      <w:color w:val="auto"/>
                      <w:kern w:val="0"/>
                      <w:sz w:val="21"/>
                      <w:szCs w:val="21"/>
                      <w:highlight w:val="none"/>
                    </w:rPr>
                    <w:t>国家和地方淘汰的或禁止使用的工艺、技术和设备</w:t>
                  </w:r>
                  <w:r>
                    <w:rPr>
                      <w:rFonts w:hint="eastAsia"/>
                      <w:color w:val="auto"/>
                      <w:kern w:val="0"/>
                      <w:sz w:val="21"/>
                      <w:szCs w:val="21"/>
                      <w:highlight w:val="none"/>
                      <w:lang w:eastAsia="zh-CN"/>
                    </w:rPr>
                    <w:t>。</w:t>
                  </w:r>
                </w:p>
                <w:p w14:paraId="2E296E34">
                  <w:pPr>
                    <w:rPr>
                      <w:rFonts w:hint="default" w:ascii="Times New Roman" w:hAnsi="Times New Roman" w:eastAsia="宋体" w:cs="Times New Roman"/>
                      <w:b w:val="0"/>
                      <w:bCs/>
                      <w:color w:val="auto"/>
                      <w:spacing w:val="4"/>
                      <w:sz w:val="21"/>
                      <w:szCs w:val="21"/>
                      <w:lang w:val="en-US" w:eastAsia="zh-CN"/>
                    </w:rPr>
                  </w:pPr>
                  <w:r>
                    <w:rPr>
                      <w:rFonts w:hint="eastAsia"/>
                      <w:color w:val="auto"/>
                      <w:lang w:val="en-US" w:eastAsia="zh-CN"/>
                    </w:rPr>
                    <w:t>本项目为新建项目，废水、废气能够稳定达标排放，固废得到妥善处置，能达到清洁生产先进水平。</w:t>
                  </w:r>
                </w:p>
              </w:tc>
              <w:tc>
                <w:tcPr>
                  <w:tcW w:w="557" w:type="dxa"/>
                  <w:tcBorders>
                    <w:tl2br w:val="nil"/>
                    <w:tr2bl w:val="nil"/>
                  </w:tcBorders>
                  <w:noWrap w:val="0"/>
                  <w:tcMar>
                    <w:left w:w="28" w:type="dxa"/>
                    <w:right w:w="28" w:type="dxa"/>
                  </w:tcMar>
                  <w:vAlign w:val="center"/>
                </w:tcPr>
                <w:p w14:paraId="33944D32">
                  <w:pPr>
                    <w:autoSpaceDE w:val="0"/>
                    <w:autoSpaceDN w:val="0"/>
                    <w:adjustRightIn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符合</w:t>
                  </w:r>
                </w:p>
              </w:tc>
            </w:tr>
            <w:tr w14:paraId="660BFEC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1515" w:hRule="atLeast"/>
                <w:jc w:val="center"/>
              </w:trPr>
              <w:tc>
                <w:tcPr>
                  <w:tcW w:w="751" w:type="dxa"/>
                  <w:vMerge w:val="restart"/>
                  <w:tcBorders>
                    <w:tl2br w:val="nil"/>
                    <w:tr2bl w:val="nil"/>
                  </w:tcBorders>
                  <w:noWrap w:val="0"/>
                  <w:tcMar>
                    <w:left w:w="28" w:type="dxa"/>
                    <w:right w:w="28" w:type="dxa"/>
                  </w:tcMar>
                  <w:vAlign w:val="center"/>
                </w:tcPr>
                <w:p w14:paraId="04ECEA68">
                  <w:pPr>
                    <w:keepNext w:val="0"/>
                    <w:keepLines w:val="0"/>
                    <w:widowControl/>
                    <w:suppressLineNumbers w:val="0"/>
                    <w:spacing w:line="240" w:lineRule="auto"/>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《陕西陈仓经济技术开发区总体规划（2022-2035年）环境</w:t>
                  </w:r>
                </w:p>
                <w:p w14:paraId="155643C6">
                  <w:pPr>
                    <w:keepNext w:val="0"/>
                    <w:keepLines w:val="0"/>
                    <w:widowControl/>
                    <w:suppressLineNumbers w:val="0"/>
                    <w:spacing w:line="240" w:lineRule="auto"/>
                    <w:jc w:val="left"/>
                    <w:rPr>
                      <w:rFonts w:hint="default" w:ascii="Times New Roman" w:hAnsi="Times New Roman" w:eastAsia="宋体" w:cs="Times New Roman"/>
                      <w:b w:val="0"/>
                      <w:bCs/>
                      <w:color w:val="auto"/>
                      <w:spacing w:val="4"/>
                      <w:sz w:val="21"/>
                      <w:szCs w:val="21"/>
                    </w:rPr>
                  </w:pPr>
                  <w:r>
                    <w:rPr>
                      <w:rFonts w:hint="default" w:ascii="Times New Roman" w:hAnsi="Times New Roman" w:eastAsia="宋体" w:cs="Times New Roman"/>
                      <w:color w:val="auto"/>
                      <w:kern w:val="0"/>
                      <w:sz w:val="21"/>
                      <w:szCs w:val="21"/>
                      <w:lang w:val="en-US" w:eastAsia="zh-CN" w:bidi="ar"/>
                    </w:rPr>
                    <w:t>影响报告书》审查意见的函</w:t>
                  </w:r>
                </w:p>
              </w:tc>
              <w:tc>
                <w:tcPr>
                  <w:tcW w:w="3890" w:type="dxa"/>
                  <w:tcBorders>
                    <w:tl2br w:val="nil"/>
                    <w:tr2bl w:val="nil"/>
                  </w:tcBorders>
                  <w:noWrap w:val="0"/>
                  <w:tcMar>
                    <w:left w:w="28" w:type="dxa"/>
                    <w:right w:w="28" w:type="dxa"/>
                  </w:tcMar>
                  <w:vAlign w:val="center"/>
                </w:tcPr>
                <w:p w14:paraId="04C2B7F5">
                  <w:pPr>
                    <w:jc w:val="both"/>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一</w:t>
                  </w:r>
                  <w:r>
                    <w:rPr>
                      <w:rFonts w:hint="eastAsia" w:ascii="Times New Roman" w:hAnsi="Times New Roman" w:eastAsia="宋体" w:cs="Times New Roman"/>
                      <w:color w:val="auto"/>
                      <w:szCs w:val="21"/>
                      <w:lang w:eastAsia="zh-CN"/>
                    </w:rPr>
                    <w:t>）生态建设目标。</w:t>
                  </w:r>
                </w:p>
                <w:p w14:paraId="0CE3A304">
                  <w:pPr>
                    <w:ind w:firstLine="420" w:firstLineChars="200"/>
                    <w:jc w:val="both"/>
                    <w:rPr>
                      <w:rFonts w:hint="default" w:ascii="Times New Roman" w:hAnsi="Times New Roman" w:eastAsia="宋体" w:cs="Times New Roman"/>
                      <w:b w:val="0"/>
                      <w:bCs/>
                      <w:color w:val="auto"/>
                      <w:spacing w:val="4"/>
                      <w:sz w:val="21"/>
                      <w:szCs w:val="21"/>
                      <w:lang w:val="en-US" w:eastAsia="zh-CN"/>
                    </w:rPr>
                  </w:pPr>
                  <w:r>
                    <w:rPr>
                      <w:rFonts w:hint="eastAsia" w:ascii="Times New Roman" w:hAnsi="Times New Roman" w:eastAsia="宋体" w:cs="Times New Roman"/>
                      <w:color w:val="auto"/>
                      <w:szCs w:val="21"/>
                      <w:lang w:eastAsia="zh-CN"/>
                    </w:rPr>
                    <w:t>根据规划区周边环境状况、环境质量状况以及规划项目排污特征、影响特征，《总体规划》确定的环境保护目标为：规划区域及所影响到的环境评价区域内环境空气、地表水环境、声环境等均达到相对应的区域环境质量标准要求，中水回用率目标为30%，废水处理达标率100%，生活垃圾无害化处理率100%，一般工业固废处置率100%，危险废物无害化处理与处置率100%。</w:t>
                  </w:r>
                </w:p>
              </w:tc>
              <w:tc>
                <w:tcPr>
                  <w:tcW w:w="2600" w:type="dxa"/>
                  <w:tcBorders>
                    <w:tl2br w:val="nil"/>
                    <w:tr2bl w:val="nil"/>
                  </w:tcBorders>
                  <w:noWrap w:val="0"/>
                  <w:tcMar>
                    <w:left w:w="28" w:type="dxa"/>
                    <w:right w:w="28" w:type="dxa"/>
                  </w:tcMar>
                  <w:vAlign w:val="center"/>
                </w:tcPr>
                <w:p w14:paraId="39FADE43">
                  <w:pPr>
                    <w:jc w:val="both"/>
                    <w:rPr>
                      <w:rFonts w:hint="default" w:ascii="Times New Roman" w:hAnsi="Times New Roman" w:eastAsia="宋体" w:cs="Times New Roman"/>
                      <w:b w:val="0"/>
                      <w:bCs/>
                      <w:color w:val="auto"/>
                      <w:spacing w:val="4"/>
                      <w:sz w:val="21"/>
                      <w:szCs w:val="21"/>
                      <w:lang w:val="en-US" w:eastAsia="zh-CN"/>
                    </w:rPr>
                  </w:pPr>
                  <w:r>
                    <w:rPr>
                      <w:rFonts w:hint="default" w:ascii="Times New Roman" w:hAnsi="Times New Roman" w:eastAsia="宋体" w:cs="Times New Roman"/>
                      <w:color w:val="auto"/>
                      <w:sz w:val="21"/>
                      <w:szCs w:val="21"/>
                    </w:rPr>
                    <w:t>本项目</w:t>
                  </w:r>
                  <w:r>
                    <w:rPr>
                      <w:rFonts w:hint="eastAsia" w:ascii="Times New Roman" w:hAnsi="Times New Roman" w:eastAsia="宋体" w:cs="Times New Roman"/>
                      <w:color w:val="auto"/>
                      <w:sz w:val="21"/>
                      <w:szCs w:val="21"/>
                      <w:lang w:val="en-US" w:eastAsia="zh-CN"/>
                    </w:rPr>
                    <w:t>废气经配套设施处理后可达标排放；生活污水经化粪池处理后定期清运</w:t>
                  </w:r>
                  <w:r>
                    <w:rPr>
                      <w:rFonts w:hint="eastAsia" w:cs="Times New Roman"/>
                      <w:color w:val="auto"/>
                      <w:sz w:val="21"/>
                      <w:szCs w:val="21"/>
                      <w:lang w:val="en-US" w:eastAsia="zh-CN"/>
                    </w:rPr>
                    <w:t>。</w:t>
                  </w:r>
                  <w:r>
                    <w:rPr>
                      <w:rFonts w:hint="eastAsia" w:ascii="Times New Roman" w:hAnsi="Times New Roman" w:eastAsia="宋体"/>
                      <w:color w:val="auto"/>
                      <w:szCs w:val="21"/>
                      <w:lang w:eastAsia="zh-CN"/>
                    </w:rPr>
                    <w:t>生活垃圾</w:t>
                  </w:r>
                  <w:r>
                    <w:rPr>
                      <w:rFonts w:hint="eastAsia" w:ascii="Times New Roman" w:hAnsi="Times New Roman" w:eastAsia="宋体"/>
                      <w:color w:val="auto"/>
                      <w:szCs w:val="21"/>
                      <w:lang w:val="en-US" w:eastAsia="zh-CN"/>
                    </w:rPr>
                    <w:t>委托环卫部门清运，</w:t>
                  </w:r>
                  <w:r>
                    <w:rPr>
                      <w:rFonts w:hint="eastAsia" w:ascii="Times New Roman" w:hAnsi="Times New Roman" w:eastAsia="宋体"/>
                      <w:color w:val="auto"/>
                      <w:szCs w:val="21"/>
                      <w:lang w:eastAsia="zh-CN"/>
                    </w:rPr>
                    <w:t>无害化处理率100%，一般工业固废处置率100%，危险废物无害化处理及处置率100%。</w:t>
                  </w:r>
                </w:p>
              </w:tc>
              <w:tc>
                <w:tcPr>
                  <w:tcW w:w="557" w:type="dxa"/>
                  <w:tcBorders>
                    <w:tl2br w:val="nil"/>
                    <w:tr2bl w:val="nil"/>
                  </w:tcBorders>
                  <w:noWrap w:val="0"/>
                  <w:tcMar>
                    <w:left w:w="28" w:type="dxa"/>
                    <w:right w:w="28" w:type="dxa"/>
                  </w:tcMar>
                  <w:vAlign w:val="center"/>
                </w:tcPr>
                <w:p w14:paraId="24929033">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218EAD8A">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672" w:hRule="atLeast"/>
                <w:jc w:val="center"/>
              </w:trPr>
              <w:tc>
                <w:tcPr>
                  <w:tcW w:w="751" w:type="dxa"/>
                  <w:vMerge w:val="continue"/>
                  <w:tcBorders>
                    <w:tl2br w:val="nil"/>
                    <w:tr2bl w:val="nil"/>
                  </w:tcBorders>
                  <w:noWrap w:val="0"/>
                  <w:tcMar>
                    <w:left w:w="28" w:type="dxa"/>
                    <w:right w:w="28" w:type="dxa"/>
                  </w:tcMar>
                  <w:vAlign w:val="center"/>
                </w:tcPr>
                <w:p w14:paraId="338D645A">
                  <w:pPr>
                    <w:autoSpaceDE w:val="0"/>
                    <w:autoSpaceDN w:val="0"/>
                    <w:adjustRightInd w:val="0"/>
                    <w:snapToGrid w:val="0"/>
                    <w:spacing w:line="240" w:lineRule="auto"/>
                    <w:ind w:firstLine="0" w:firstLineChars="0"/>
                    <w:jc w:val="both"/>
                    <w:rPr>
                      <w:rFonts w:hint="default" w:ascii="Times New Roman" w:hAnsi="Times New Roman" w:eastAsia="宋体" w:cs="Times New Roman"/>
                      <w:b w:val="0"/>
                      <w:bCs/>
                      <w:color w:val="auto"/>
                      <w:spacing w:val="4"/>
                      <w:sz w:val="21"/>
                      <w:szCs w:val="21"/>
                    </w:rPr>
                  </w:pPr>
                </w:p>
              </w:tc>
              <w:tc>
                <w:tcPr>
                  <w:tcW w:w="3890" w:type="dxa"/>
                  <w:tcBorders>
                    <w:tl2br w:val="nil"/>
                    <w:tr2bl w:val="nil"/>
                  </w:tcBorders>
                  <w:noWrap w:val="0"/>
                  <w:tcMar>
                    <w:left w:w="28" w:type="dxa"/>
                    <w:right w:w="28" w:type="dxa"/>
                  </w:tcMar>
                  <w:vAlign w:val="center"/>
                </w:tcPr>
                <w:p w14:paraId="3DB1B397">
                  <w:pPr>
                    <w:numPr>
                      <w:ilvl w:val="0"/>
                      <w:numId w:val="0"/>
                    </w:numPr>
                    <w:jc w:val="both"/>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二</w:t>
                  </w:r>
                  <w:r>
                    <w:rPr>
                      <w:rFonts w:hint="eastAsia" w:ascii="Times New Roman" w:hAnsi="Times New Roman" w:eastAsia="宋体" w:cs="Times New Roman"/>
                      <w:color w:val="auto"/>
                      <w:szCs w:val="21"/>
                      <w:lang w:eastAsia="zh-CN"/>
                    </w:rPr>
                    <w:t>）把好入区项目关口，推进产业转型升级。</w:t>
                  </w:r>
                </w:p>
                <w:p w14:paraId="4DAED92B">
                  <w:pPr>
                    <w:numPr>
                      <w:ilvl w:val="0"/>
                      <w:numId w:val="0"/>
                    </w:numPr>
                    <w:ind w:left="0" w:leftChars="0" w:firstLine="420" w:firstLineChars="200"/>
                    <w:jc w:val="both"/>
                    <w:rPr>
                      <w:rFonts w:hint="default" w:ascii="Times New Roman" w:hAnsi="Times New Roman" w:eastAsia="宋体" w:cs="Times New Roman"/>
                      <w:b w:val="0"/>
                      <w:bCs/>
                      <w:color w:val="auto"/>
                      <w:spacing w:val="4"/>
                      <w:sz w:val="21"/>
                      <w:szCs w:val="21"/>
                      <w:lang w:val="en-US" w:eastAsia="zh-CN"/>
                    </w:rPr>
                  </w:pPr>
                  <w:r>
                    <w:rPr>
                      <w:rFonts w:hint="eastAsia" w:ascii="Times New Roman" w:hAnsi="Times New Roman" w:eastAsia="宋体" w:cs="Times New Roman"/>
                      <w:color w:val="auto"/>
                      <w:szCs w:val="21"/>
                      <w:lang w:eastAsia="zh-CN"/>
                    </w:rPr>
                    <w:t>落实“三线一单”要求，严格入区项目的环境准入管理。引进项目的生产工艺、设备、污染治理技术，以及单位产品能耗、物耗、污染物排放和资源利用率等均需达到同行业先进水平。对不符合经开区规划定位的现有企业，不再扩大其规模，需要淘汰的下决心淘汰。推进技术研发型、创新产业发展，要鼓励和推进此类项目的技术提升改造，开展清洁生产审核，提升产业的技术水平和循环化水平。</w:t>
                  </w:r>
                </w:p>
              </w:tc>
              <w:tc>
                <w:tcPr>
                  <w:tcW w:w="2600" w:type="dxa"/>
                  <w:tcBorders>
                    <w:tl2br w:val="nil"/>
                    <w:tr2bl w:val="nil"/>
                  </w:tcBorders>
                  <w:noWrap w:val="0"/>
                  <w:tcMar>
                    <w:left w:w="28" w:type="dxa"/>
                    <w:right w:w="28" w:type="dxa"/>
                  </w:tcMar>
                  <w:vAlign w:val="center"/>
                </w:tcPr>
                <w:p w14:paraId="36016B7E">
                  <w:pPr>
                    <w:jc w:val="both"/>
                    <w:rPr>
                      <w:rFonts w:hint="default" w:ascii="Times New Roman" w:hAnsi="Times New Roman" w:eastAsia="宋体" w:cs="Times New Roman"/>
                      <w:b w:val="0"/>
                      <w:bCs/>
                      <w:color w:val="auto"/>
                      <w:spacing w:val="4"/>
                      <w:sz w:val="21"/>
                      <w:szCs w:val="21"/>
                      <w:lang w:val="en-US" w:eastAsia="zh-CN"/>
                    </w:rPr>
                  </w:pPr>
                  <w:r>
                    <w:rPr>
                      <w:rFonts w:ascii="Times New Roman" w:hAnsi="Times New Roman" w:eastAsia="宋体"/>
                      <w:color w:val="auto"/>
                      <w:szCs w:val="21"/>
                    </w:rPr>
                    <w:t>本项目</w:t>
                  </w:r>
                  <w:r>
                    <w:rPr>
                      <w:rFonts w:hint="eastAsia" w:ascii="Times New Roman" w:hAnsi="Times New Roman" w:eastAsia="宋体"/>
                      <w:color w:val="auto"/>
                      <w:szCs w:val="21"/>
                      <w:lang w:val="en-US" w:eastAsia="zh-CN"/>
                    </w:rPr>
                    <w:t>建设</w:t>
                  </w:r>
                  <w:r>
                    <w:rPr>
                      <w:rFonts w:hint="eastAsia" w:ascii="Times New Roman" w:hAnsi="Times New Roman" w:eastAsia="宋体" w:cs="Times New Roman"/>
                      <w:color w:val="auto"/>
                      <w:sz w:val="21"/>
                      <w:szCs w:val="21"/>
                      <w:lang w:val="en-US" w:eastAsia="zh-CN"/>
                    </w:rPr>
                    <w:t>符合宝鸡市“三线一单”管控要求；项目采用行业内成熟生产工艺，先进生产设备及污染物处理设施，废气经配套处理设施处理后，各污染物排放量较小且稳定达标。</w:t>
                  </w:r>
                </w:p>
              </w:tc>
              <w:tc>
                <w:tcPr>
                  <w:tcW w:w="557" w:type="dxa"/>
                  <w:tcBorders>
                    <w:tl2br w:val="nil"/>
                    <w:tr2bl w:val="nil"/>
                  </w:tcBorders>
                  <w:noWrap w:val="0"/>
                  <w:tcMar>
                    <w:left w:w="28" w:type="dxa"/>
                    <w:right w:w="28" w:type="dxa"/>
                  </w:tcMar>
                  <w:vAlign w:val="center"/>
                </w:tcPr>
                <w:p w14:paraId="39767AF5">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14:paraId="0344A45E">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90" w:hRule="atLeast"/>
                <w:jc w:val="center"/>
              </w:trPr>
              <w:tc>
                <w:tcPr>
                  <w:tcW w:w="751" w:type="dxa"/>
                  <w:vMerge w:val="continue"/>
                  <w:tcBorders>
                    <w:tl2br w:val="nil"/>
                    <w:tr2bl w:val="nil"/>
                  </w:tcBorders>
                  <w:noWrap w:val="0"/>
                  <w:tcMar>
                    <w:left w:w="28" w:type="dxa"/>
                    <w:right w:w="28" w:type="dxa"/>
                  </w:tcMar>
                  <w:vAlign w:val="center"/>
                </w:tcPr>
                <w:p w14:paraId="379D9657">
                  <w:pPr>
                    <w:autoSpaceDE w:val="0"/>
                    <w:autoSpaceDN w:val="0"/>
                    <w:adjustRightInd w:val="0"/>
                    <w:snapToGrid w:val="0"/>
                    <w:spacing w:line="240" w:lineRule="auto"/>
                    <w:ind w:firstLine="0" w:firstLineChars="0"/>
                    <w:jc w:val="both"/>
                    <w:rPr>
                      <w:rFonts w:hint="default" w:ascii="Times New Roman" w:hAnsi="Times New Roman" w:eastAsia="宋体" w:cs="Times New Roman"/>
                      <w:b w:val="0"/>
                      <w:bCs/>
                      <w:color w:val="auto"/>
                      <w:spacing w:val="4"/>
                      <w:sz w:val="21"/>
                      <w:szCs w:val="21"/>
                    </w:rPr>
                  </w:pPr>
                </w:p>
              </w:tc>
              <w:tc>
                <w:tcPr>
                  <w:tcW w:w="3890" w:type="dxa"/>
                  <w:tcBorders>
                    <w:tl2br w:val="nil"/>
                    <w:tr2bl w:val="nil"/>
                  </w:tcBorders>
                  <w:noWrap w:val="0"/>
                  <w:tcMar>
                    <w:left w:w="28" w:type="dxa"/>
                    <w:right w:w="28" w:type="dxa"/>
                  </w:tcMar>
                  <w:vAlign w:val="center"/>
                </w:tcPr>
                <w:p w14:paraId="443EE6F7">
                  <w:pPr>
                    <w:numPr>
                      <w:ilvl w:val="0"/>
                      <w:numId w:val="0"/>
                    </w:numPr>
                    <w:jc w:val="both"/>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三</w:t>
                  </w:r>
                  <w:r>
                    <w:rPr>
                      <w:rFonts w:hint="eastAsia" w:ascii="Times New Roman" w:hAnsi="Times New Roman" w:eastAsia="宋体" w:cs="Times New Roman"/>
                      <w:color w:val="auto"/>
                      <w:szCs w:val="21"/>
                      <w:lang w:eastAsia="zh-CN"/>
                    </w:rPr>
                    <w:t>）加强空间管控，严守生态保护红线。</w:t>
                  </w:r>
                </w:p>
                <w:p w14:paraId="690EF3A2">
                  <w:pPr>
                    <w:numPr>
                      <w:ilvl w:val="0"/>
                      <w:numId w:val="0"/>
                    </w:numPr>
                    <w:ind w:left="0" w:leftChars="0" w:firstLine="420" w:firstLineChars="200"/>
                    <w:jc w:val="both"/>
                    <w:rPr>
                      <w:rFonts w:hint="default" w:ascii="Times New Roman" w:hAnsi="Times New Roman" w:eastAsia="宋体" w:cs="Times New Roman"/>
                      <w:b w:val="0"/>
                      <w:bCs/>
                      <w:color w:val="auto"/>
                      <w:spacing w:val="4"/>
                      <w:sz w:val="21"/>
                      <w:szCs w:val="21"/>
                      <w:lang w:val="en-US" w:eastAsia="zh-CN"/>
                    </w:rPr>
                  </w:pPr>
                  <w:r>
                    <w:rPr>
                      <w:rFonts w:hint="eastAsia" w:ascii="Times New Roman" w:hAnsi="Times New Roman" w:eastAsia="宋体" w:cs="Times New Roman"/>
                      <w:color w:val="auto"/>
                      <w:szCs w:val="21"/>
                      <w:lang w:eastAsia="zh-CN"/>
                    </w:rPr>
                    <w:t>坚持生态“红线”即底线的思维，入园企业必须符合《中华人民共和国黄河保护法》《关于“十四五”推进沿黄重点地区工业项目入园及严控高污染、高耗水、高耗能项目的通知》《黄河流域水资源节约集约利用实施方案》《陕西省黄河流域生态保护和高质量发展规划》《陕西省黄河流域生态环境保护规划》等相关要求。规划实施过程中要开展水资源论证，充分考虑水资源、水环境承载能力，以水定产。积极推进经开区环保基础设施建设，尽快建成周原工业园、科技园区污水管网和县功工业园污水集中处理及配套设施，在科技园区（西区）和科技园区（东区）禁止新建“两高一资”项目。严格控制高耗水、高污染行业发展，新建、改建、扩建重点行业建设项目实行主要污染物排放减量置换。结合区域大气环境质量目标的要求，进一步优化区内能源结构、提升清洁能源使用率，尽快解决规划区的大气环境质量不达标问题；加强经开区的绿色生态建设，使大气环境质量在达标基础上进一步优化，为经开区的发展腾出环境容量。按照分类管理、循环利用的要求，抓好固体废物和危险废物管理。</w:t>
                  </w:r>
                </w:p>
              </w:tc>
              <w:tc>
                <w:tcPr>
                  <w:tcW w:w="2600" w:type="dxa"/>
                  <w:tcBorders>
                    <w:tl2br w:val="nil"/>
                    <w:tr2bl w:val="nil"/>
                  </w:tcBorders>
                  <w:noWrap w:val="0"/>
                  <w:tcMar>
                    <w:left w:w="28" w:type="dxa"/>
                    <w:right w:w="28" w:type="dxa"/>
                  </w:tcMar>
                  <w:vAlign w:val="center"/>
                </w:tcPr>
                <w:p w14:paraId="6EC4821C">
                  <w:pPr>
                    <w:jc w:val="both"/>
                    <w:rPr>
                      <w:rFonts w:hint="default" w:ascii="Times New Roman" w:hAnsi="Times New Roman" w:eastAsia="宋体" w:cs="Times New Roman"/>
                      <w:b w:val="0"/>
                      <w:bCs/>
                      <w:color w:val="auto"/>
                      <w:spacing w:val="4"/>
                      <w:sz w:val="21"/>
                      <w:szCs w:val="21"/>
                      <w:lang w:val="en-US" w:eastAsia="zh-CN"/>
                    </w:rPr>
                  </w:pPr>
                  <w:r>
                    <w:rPr>
                      <w:rFonts w:ascii="Times New Roman" w:hAnsi="Times New Roman" w:eastAsia="宋体"/>
                      <w:color w:val="auto"/>
                      <w:szCs w:val="21"/>
                    </w:rPr>
                    <w:t>本项目</w:t>
                  </w:r>
                  <w:r>
                    <w:rPr>
                      <w:rFonts w:hint="eastAsia" w:ascii="Times New Roman" w:hAnsi="Times New Roman" w:eastAsia="宋体"/>
                      <w:color w:val="auto"/>
                      <w:szCs w:val="21"/>
                      <w:lang w:val="en-US" w:eastAsia="zh-CN"/>
                    </w:rPr>
                    <w:t>运营期用水由园区管网供给，不涉及地下水</w:t>
                  </w:r>
                  <w:r>
                    <w:rPr>
                      <w:rFonts w:hint="eastAsia"/>
                      <w:color w:val="auto"/>
                      <w:szCs w:val="21"/>
                      <w:lang w:val="en-US" w:eastAsia="zh-CN"/>
                    </w:rPr>
                    <w:t>取用。</w:t>
                  </w:r>
                  <w:r>
                    <w:rPr>
                      <w:rFonts w:hint="eastAsia" w:ascii="Times New Roman" w:hAnsi="Times New Roman" w:eastAsia="宋体"/>
                      <w:color w:val="auto"/>
                      <w:szCs w:val="21"/>
                      <w:lang w:val="en-US" w:eastAsia="zh-CN"/>
                    </w:rPr>
                    <w:t>项目厂区全部采用电能为清洁能源。本项目没有生产废水。项目不属于</w:t>
                  </w:r>
                  <w:r>
                    <w:rPr>
                      <w:rFonts w:hint="eastAsia" w:ascii="Times New Roman" w:hAnsi="Times New Roman" w:eastAsia="宋体" w:cs="Times New Roman"/>
                      <w:color w:val="auto"/>
                      <w:szCs w:val="21"/>
                      <w:lang w:eastAsia="zh-CN"/>
                    </w:rPr>
                    <w:t>“两高一资”项目；</w:t>
                  </w:r>
                  <w:r>
                    <w:rPr>
                      <w:rFonts w:hint="eastAsia" w:ascii="Times New Roman" w:hAnsi="Times New Roman" w:eastAsia="宋体" w:cs="Times New Roman"/>
                      <w:color w:val="auto"/>
                      <w:szCs w:val="21"/>
                      <w:lang w:val="en-US" w:eastAsia="zh-CN"/>
                    </w:rPr>
                    <w:t>运营期</w:t>
                  </w:r>
                  <w:r>
                    <w:rPr>
                      <w:rFonts w:ascii="Times New Roman" w:hAnsi="Times New Roman" w:eastAsia="宋体"/>
                      <w:color w:val="auto"/>
                      <w:sz w:val="21"/>
                      <w:szCs w:val="21"/>
                    </w:rPr>
                    <w:t>固体废物的贮存满足相关标准规定</w:t>
                  </w:r>
                  <w:r>
                    <w:rPr>
                      <w:rFonts w:hint="eastAsia" w:ascii="Times New Roman" w:hAnsi="Times New Roman" w:eastAsia="宋体"/>
                      <w:color w:val="auto"/>
                      <w:sz w:val="21"/>
                      <w:szCs w:val="21"/>
                      <w:lang w:val="en-US" w:eastAsia="zh-CN"/>
                    </w:rPr>
                    <w:t>建设</w:t>
                  </w:r>
                  <w:r>
                    <w:rPr>
                      <w:rFonts w:ascii="Times New Roman" w:hAnsi="Times New Roman" w:eastAsia="宋体"/>
                      <w:color w:val="auto"/>
                      <w:sz w:val="21"/>
                      <w:szCs w:val="21"/>
                    </w:rPr>
                    <w:t>的要求</w:t>
                  </w:r>
                  <w:r>
                    <w:rPr>
                      <w:rFonts w:hint="eastAsia"/>
                      <w:color w:val="auto"/>
                      <w:sz w:val="21"/>
                      <w:szCs w:val="21"/>
                      <w:lang w:eastAsia="zh-CN"/>
                    </w:rPr>
                    <w:t>，</w:t>
                  </w:r>
                  <w:r>
                    <w:rPr>
                      <w:rFonts w:ascii="Times New Roman" w:hAnsi="Times New Roman" w:eastAsia="宋体"/>
                      <w:color w:val="auto"/>
                      <w:sz w:val="21"/>
                      <w:szCs w:val="21"/>
                    </w:rPr>
                    <w:t>可以有效防止二次污染</w:t>
                  </w:r>
                  <w:r>
                    <w:rPr>
                      <w:rFonts w:hint="eastAsia"/>
                      <w:color w:val="auto"/>
                      <w:sz w:val="21"/>
                      <w:szCs w:val="21"/>
                      <w:lang w:eastAsia="zh-CN"/>
                    </w:rPr>
                    <w:t>。</w:t>
                  </w:r>
                  <w:r>
                    <w:rPr>
                      <w:rFonts w:ascii="Times New Roman" w:hAnsi="Times New Roman" w:eastAsia="宋体"/>
                      <w:color w:val="auto"/>
                      <w:sz w:val="21"/>
                      <w:szCs w:val="21"/>
                    </w:rPr>
                    <w:t>固体废物的利用和处理处置满足</w:t>
                  </w:r>
                  <w:r>
                    <w:rPr>
                      <w:rFonts w:hint="eastAsia" w:ascii="Times New Roman" w:hAnsi="Times New Roman" w:eastAsia="宋体"/>
                      <w:color w:val="auto"/>
                      <w:sz w:val="21"/>
                      <w:szCs w:val="21"/>
                      <w:lang w:eastAsia="zh-CN"/>
                    </w:rPr>
                    <w:t>“</w:t>
                  </w:r>
                  <w:r>
                    <w:rPr>
                      <w:rFonts w:ascii="Times New Roman" w:hAnsi="Times New Roman" w:eastAsia="宋体"/>
                      <w:color w:val="auto"/>
                      <w:sz w:val="21"/>
                      <w:szCs w:val="21"/>
                    </w:rPr>
                    <w:t>一般固体废物及危险废物妥善处置</w:t>
                  </w:r>
                  <w:r>
                    <w:rPr>
                      <w:rFonts w:hint="eastAsia" w:ascii="Times New Roman" w:hAnsi="Times New Roman" w:eastAsia="宋体"/>
                      <w:color w:val="auto"/>
                      <w:sz w:val="21"/>
                      <w:szCs w:val="21"/>
                      <w:lang w:eastAsia="zh-CN"/>
                    </w:rPr>
                    <w:t>”</w:t>
                  </w:r>
                  <w:r>
                    <w:rPr>
                      <w:rFonts w:ascii="Times New Roman" w:hAnsi="Times New Roman" w:eastAsia="宋体"/>
                      <w:color w:val="auto"/>
                      <w:sz w:val="21"/>
                      <w:szCs w:val="21"/>
                    </w:rPr>
                    <w:t>的要求，</w:t>
                  </w:r>
                  <w:r>
                    <w:rPr>
                      <w:rFonts w:hint="eastAsia" w:ascii="Times New Roman" w:hAnsi="Times New Roman" w:eastAsia="宋体"/>
                      <w:color w:val="auto"/>
                      <w:sz w:val="21"/>
                      <w:szCs w:val="21"/>
                      <w:lang w:val="en-US" w:eastAsia="zh-CN"/>
                    </w:rPr>
                    <w:t>同时</w:t>
                  </w:r>
                  <w:r>
                    <w:rPr>
                      <w:rFonts w:hint="eastAsia" w:ascii="Times New Roman" w:hAnsi="Times New Roman" w:eastAsia="宋体"/>
                      <w:color w:val="auto"/>
                      <w:sz w:val="21"/>
                      <w:szCs w:val="22"/>
                      <w:lang w:val="en-US" w:eastAsia="zh-CN"/>
                    </w:rPr>
                    <w:t>满足</w:t>
                  </w:r>
                  <w:r>
                    <w:rPr>
                      <w:rFonts w:hint="eastAsia" w:ascii="Times New Roman" w:hAnsi="Times New Roman" w:eastAsia="宋体"/>
                      <w:color w:val="auto"/>
                      <w:sz w:val="21"/>
                      <w:szCs w:val="22"/>
                      <w:lang w:eastAsia="zh-CN"/>
                    </w:rPr>
                    <w:t>“</w:t>
                  </w:r>
                  <w:r>
                    <w:rPr>
                      <w:rFonts w:ascii="Times New Roman" w:hAnsi="Times New Roman" w:eastAsia="宋体"/>
                      <w:color w:val="auto"/>
                      <w:sz w:val="21"/>
                      <w:szCs w:val="22"/>
                    </w:rPr>
                    <w:t>资源化、减量化、无害化</w:t>
                  </w:r>
                  <w:r>
                    <w:rPr>
                      <w:rFonts w:hint="eastAsia" w:ascii="Times New Roman" w:hAnsi="Times New Roman" w:eastAsia="宋体"/>
                      <w:color w:val="auto"/>
                      <w:sz w:val="21"/>
                      <w:szCs w:val="22"/>
                      <w:lang w:eastAsia="zh-CN"/>
                    </w:rPr>
                    <w:t>”</w:t>
                  </w:r>
                  <w:r>
                    <w:rPr>
                      <w:rFonts w:ascii="Times New Roman" w:hAnsi="Times New Roman" w:eastAsia="宋体"/>
                      <w:color w:val="auto"/>
                      <w:sz w:val="21"/>
                      <w:szCs w:val="22"/>
                    </w:rPr>
                    <w:t>的治理原则</w:t>
                  </w:r>
                </w:p>
              </w:tc>
              <w:tc>
                <w:tcPr>
                  <w:tcW w:w="557" w:type="dxa"/>
                  <w:tcBorders>
                    <w:tl2br w:val="nil"/>
                    <w:tr2bl w:val="nil"/>
                  </w:tcBorders>
                  <w:noWrap w:val="0"/>
                  <w:tcMar>
                    <w:left w:w="28" w:type="dxa"/>
                    <w:right w:w="28" w:type="dxa"/>
                  </w:tcMar>
                  <w:vAlign w:val="center"/>
                </w:tcPr>
                <w:p w14:paraId="4ED8AA9C">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符合</w:t>
                  </w:r>
                </w:p>
              </w:tc>
            </w:tr>
            <w:tr w14:paraId="7540C4B3">
              <w:tblPrEx>
                <w:tblBorders>
                  <w:top w:val="single" w:color="000000" w:themeColor="text1" w:sz="12" w:space="0"/>
                  <w:left w:val="single" w:color="000000" w:themeColor="text1" w:sz="12" w:space="0"/>
                  <w:bottom w:val="single" w:color="000000" w:themeColor="text1" w:sz="12" w:space="0"/>
                  <w:right w:val="single" w:color="000000" w:themeColor="text1" w:sz="12" w:space="0"/>
                  <w:insideH w:val="single" w:color="000000" w:themeColor="text1" w:sz="4" w:space="0"/>
                  <w:insideV w:val="single" w:color="000000" w:themeColor="text1" w:sz="4" w:space="0"/>
                </w:tblBorders>
                <w:tblCellMar>
                  <w:top w:w="0" w:type="dxa"/>
                  <w:left w:w="0" w:type="dxa"/>
                  <w:bottom w:w="0" w:type="dxa"/>
                  <w:right w:w="0" w:type="dxa"/>
                </w:tblCellMar>
              </w:tblPrEx>
              <w:trPr>
                <w:trHeight w:val="90" w:hRule="atLeast"/>
                <w:jc w:val="center"/>
              </w:trPr>
              <w:tc>
                <w:tcPr>
                  <w:tcW w:w="751" w:type="dxa"/>
                  <w:vMerge w:val="continue"/>
                  <w:tcBorders>
                    <w:tl2br w:val="nil"/>
                    <w:tr2bl w:val="nil"/>
                  </w:tcBorders>
                  <w:noWrap w:val="0"/>
                  <w:tcMar>
                    <w:left w:w="28" w:type="dxa"/>
                    <w:right w:w="28" w:type="dxa"/>
                  </w:tcMar>
                  <w:vAlign w:val="center"/>
                </w:tcPr>
                <w:p w14:paraId="3118525A">
                  <w:pPr>
                    <w:autoSpaceDE w:val="0"/>
                    <w:autoSpaceDN w:val="0"/>
                    <w:adjustRightInd w:val="0"/>
                    <w:snapToGrid w:val="0"/>
                    <w:spacing w:line="240" w:lineRule="auto"/>
                    <w:ind w:firstLine="0" w:firstLineChars="0"/>
                    <w:jc w:val="both"/>
                    <w:rPr>
                      <w:rFonts w:hint="default" w:ascii="Times New Roman" w:hAnsi="Times New Roman" w:eastAsia="宋体" w:cs="Times New Roman"/>
                      <w:b w:val="0"/>
                      <w:bCs/>
                      <w:color w:val="auto"/>
                      <w:spacing w:val="4"/>
                      <w:sz w:val="21"/>
                      <w:szCs w:val="21"/>
                    </w:rPr>
                  </w:pPr>
                </w:p>
              </w:tc>
              <w:tc>
                <w:tcPr>
                  <w:tcW w:w="3890" w:type="dxa"/>
                  <w:tcBorders>
                    <w:tl2br w:val="nil"/>
                    <w:tr2bl w:val="nil"/>
                  </w:tcBorders>
                  <w:noWrap w:val="0"/>
                  <w:tcMar>
                    <w:left w:w="28" w:type="dxa"/>
                    <w:right w:w="28" w:type="dxa"/>
                  </w:tcMar>
                  <w:vAlign w:val="center"/>
                </w:tcPr>
                <w:p w14:paraId="3808F760">
                  <w:pPr>
                    <w:numPr>
                      <w:ilvl w:val="0"/>
                      <w:numId w:val="0"/>
                    </w:numPr>
                    <w:jc w:val="both"/>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四</w:t>
                  </w:r>
                  <w:r>
                    <w:rPr>
                      <w:rFonts w:hint="eastAsia" w:ascii="Times New Roman" w:hAnsi="Times New Roman" w:eastAsia="宋体" w:cs="Times New Roman"/>
                      <w:color w:val="auto"/>
                      <w:szCs w:val="21"/>
                      <w:lang w:eastAsia="zh-CN"/>
                    </w:rPr>
                    <w:t>）加强环境影响跟踪监测和风险防控，适时对总体规划进行调整。</w:t>
                  </w:r>
                </w:p>
                <w:p w14:paraId="6C704313">
                  <w:pPr>
                    <w:numPr>
                      <w:ilvl w:val="0"/>
                      <w:numId w:val="0"/>
                    </w:numPr>
                    <w:ind w:left="0" w:leftChars="0" w:firstLine="420" w:firstLineChars="200"/>
                    <w:jc w:val="both"/>
                    <w:rPr>
                      <w:rFonts w:hint="default" w:ascii="Times New Roman" w:hAnsi="Times New Roman" w:eastAsia="宋体" w:cs="Times New Roman"/>
                      <w:b w:val="0"/>
                      <w:bCs/>
                      <w:color w:val="auto"/>
                      <w:spacing w:val="4"/>
                      <w:sz w:val="21"/>
                      <w:szCs w:val="21"/>
                      <w:lang w:val="en-US" w:eastAsia="zh-CN"/>
                    </w:rPr>
                  </w:pPr>
                  <w:r>
                    <w:rPr>
                      <w:rFonts w:hint="eastAsia" w:ascii="Times New Roman" w:hAnsi="Times New Roman" w:eastAsia="宋体" w:cs="Times New Roman"/>
                      <w:color w:val="auto"/>
                      <w:szCs w:val="21"/>
                      <w:lang w:eastAsia="zh-CN"/>
                    </w:rPr>
                    <w:t>根据经开区功能分区、产业布局、重点企业分布、特征污染物的排放种类和状况、环境敏感目标分布等情况，建立包括环境空气、地表水、地下水和土壤等环境要素的监控体系，明确责任主体。尽快启动三个园区各环境要素的监测工作，做好经开区内环境的长期跟踪监测与管理，根据监测结果并结合环境影响、区域污染物削减措施实施的效果等适时优化、调整总体规划。尽快编制经开区环境风险应急预案，健全区域风险防范体系和生态安全保障体系，加强经开区内重要风险源的管控。</w:t>
                  </w:r>
                </w:p>
              </w:tc>
              <w:tc>
                <w:tcPr>
                  <w:tcW w:w="2600" w:type="dxa"/>
                  <w:tcBorders>
                    <w:tl2br w:val="nil"/>
                    <w:tr2bl w:val="nil"/>
                  </w:tcBorders>
                  <w:noWrap w:val="0"/>
                  <w:tcMar>
                    <w:left w:w="28" w:type="dxa"/>
                    <w:right w:w="28" w:type="dxa"/>
                  </w:tcMar>
                  <w:vAlign w:val="center"/>
                </w:tcPr>
                <w:p w14:paraId="412E413E">
                  <w:pPr>
                    <w:jc w:val="both"/>
                    <w:rPr>
                      <w:rFonts w:hint="default" w:ascii="Times New Roman" w:hAnsi="Times New Roman" w:eastAsia="宋体" w:cs="Times New Roman"/>
                      <w:b w:val="0"/>
                      <w:bCs/>
                      <w:color w:val="auto"/>
                      <w:spacing w:val="4"/>
                      <w:sz w:val="21"/>
                      <w:szCs w:val="21"/>
                      <w:lang w:val="en-US" w:eastAsia="zh-CN"/>
                    </w:rPr>
                  </w:pPr>
                  <w:r>
                    <w:rPr>
                      <w:rFonts w:hint="eastAsia" w:ascii="Times New Roman" w:hAnsi="Times New Roman" w:eastAsia="宋体" w:cs="Times New Roman"/>
                      <w:color w:val="auto"/>
                      <w:sz w:val="21"/>
                      <w:szCs w:val="21"/>
                      <w:lang w:val="en-US" w:eastAsia="zh-CN"/>
                    </w:rPr>
                    <w:t>本项目严格按照</w:t>
                  </w:r>
                  <w:r>
                    <w:rPr>
                      <w:rFonts w:hint="default" w:ascii="Times New Roman" w:hAnsi="Times New Roman" w:eastAsia="宋体" w:cs="Times New Roman"/>
                      <w:color w:val="auto"/>
                      <w:sz w:val="21"/>
                      <w:szCs w:val="21"/>
                    </w:rPr>
                    <w:t>《排污许可证申请与核发技术规范》</w:t>
                  </w:r>
                  <w:r>
                    <w:rPr>
                      <w:rFonts w:ascii="Times New Roman" w:hAnsi="Times New Roman" w:eastAsia="宋体"/>
                      <w:color w:val="auto"/>
                      <w:sz w:val="21"/>
                      <w:szCs w:val="20"/>
                    </w:rPr>
                    <w:t>中相关要求</w:t>
                  </w:r>
                  <w:r>
                    <w:rPr>
                      <w:rFonts w:hint="eastAsia" w:ascii="Times New Roman" w:hAnsi="Times New Roman" w:eastAsia="宋体"/>
                      <w:color w:val="auto"/>
                      <w:sz w:val="21"/>
                      <w:szCs w:val="20"/>
                      <w:lang w:val="en-US" w:eastAsia="zh-CN"/>
                    </w:rPr>
                    <w:t>制定污染源监测计划，落实监测要求；</w:t>
                  </w:r>
                  <w:r>
                    <w:rPr>
                      <w:rFonts w:hint="eastAsia" w:ascii="Times New Roman" w:hAnsi="Times New Roman" w:eastAsia="宋体" w:cs="Times New Roman"/>
                      <w:color w:val="auto"/>
                      <w:sz w:val="21"/>
                      <w:szCs w:val="21"/>
                      <w:lang w:val="en-US" w:eastAsia="zh-CN"/>
                    </w:rPr>
                    <w:t>严格落实分区防渗要求，建立应急物资库，建立环境风险管理制度，日常巡检，</w:t>
                  </w:r>
                  <w:r>
                    <w:rPr>
                      <w:rFonts w:hint="default" w:ascii="Times New Roman" w:hAnsi="Times New Roman" w:eastAsia="宋体" w:cs="Times New Roman"/>
                      <w:b w:val="0"/>
                      <w:bCs w:val="0"/>
                      <w:color w:val="auto"/>
                      <w:sz w:val="21"/>
                      <w:szCs w:val="21"/>
                      <w:lang w:val="en-US" w:eastAsia="zh-CN"/>
                    </w:rPr>
                    <w:t>编制突发环境事件应急预案并备案</w:t>
                  </w:r>
                  <w:r>
                    <w:rPr>
                      <w:rFonts w:hint="eastAsia" w:ascii="Times New Roman" w:hAnsi="Times New Roman" w:eastAsia="宋体" w:cs="Times New Roman"/>
                      <w:color w:val="auto"/>
                      <w:sz w:val="21"/>
                      <w:szCs w:val="21"/>
                      <w:lang w:val="en-US" w:eastAsia="zh-CN"/>
                    </w:rPr>
                    <w:t>。</w:t>
                  </w:r>
                </w:p>
              </w:tc>
              <w:tc>
                <w:tcPr>
                  <w:tcW w:w="557" w:type="dxa"/>
                  <w:tcBorders>
                    <w:tl2br w:val="nil"/>
                    <w:tr2bl w:val="nil"/>
                  </w:tcBorders>
                  <w:noWrap w:val="0"/>
                  <w:tcMar>
                    <w:left w:w="28" w:type="dxa"/>
                    <w:right w:w="28" w:type="dxa"/>
                  </w:tcMar>
                  <w:vAlign w:val="center"/>
                </w:tcPr>
                <w:p w14:paraId="135A0D1D">
                  <w:pPr>
                    <w:autoSpaceDE w:val="0"/>
                    <w:autoSpaceDN w:val="0"/>
                    <w:adjustRightInd w:val="0"/>
                    <w:snapToGrid w:val="0"/>
                    <w:spacing w:line="24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eastAsia="zh-CN"/>
                    </w:rPr>
                    <w:t>符合</w:t>
                  </w:r>
                </w:p>
              </w:tc>
            </w:tr>
          </w:tbl>
          <w:p w14:paraId="384BEA8B">
            <w:pPr>
              <w:keepNext w:val="0"/>
              <w:keepLines w:val="0"/>
              <w:pageBreakBefore w:val="0"/>
              <w:widowControl w:val="0"/>
              <w:kinsoku/>
              <w:wordWrap/>
              <w:overflowPunct/>
              <w:topLinePunct w:val="0"/>
              <w:bidi w:val="0"/>
              <w:adjustRightInd/>
              <w:snapToGrid/>
              <w:spacing w:line="360" w:lineRule="auto"/>
              <w:ind w:firstLine="480" w:firstLineChars="200"/>
              <w:jc w:val="both"/>
              <w:textAlignment w:val="auto"/>
              <w:rPr>
                <w:rFonts w:hint="default"/>
                <w:color w:val="auto"/>
                <w:lang w:val="en-US" w:eastAsia="zh-CN"/>
              </w:rPr>
            </w:pPr>
            <w:r>
              <w:rPr>
                <w:rFonts w:hint="default" w:eastAsia="宋体"/>
                <w:color w:val="auto"/>
                <w:kern w:val="0"/>
                <w:sz w:val="24"/>
                <w:lang w:val="en-US" w:eastAsia="zh-CN"/>
              </w:rPr>
              <w:t>综上所述，本项目建设符合《陕西陈仓经济技术开发区总体规划（2022-2035年）》《陕西陈仓经济技术开发区总体规划（2022-2035年）环境影响报告书》以及审查意见的相关要求。</w:t>
            </w:r>
          </w:p>
        </w:tc>
      </w:tr>
      <w:tr w14:paraId="5A57179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8" w:type="dxa"/>
            <w:noWrap w:val="0"/>
            <w:vAlign w:val="center"/>
          </w:tcPr>
          <w:p w14:paraId="35DD1E4D">
            <w:pPr>
              <w:autoSpaceDE w:val="0"/>
              <w:autoSpaceDN w:val="0"/>
              <w:adjustRightInd w:val="0"/>
              <w:snapToGrid w:val="0"/>
              <w:jc w:val="center"/>
              <w:rPr>
                <w:color w:val="auto"/>
                <w:kern w:val="0"/>
                <w:sz w:val="24"/>
              </w:rPr>
            </w:pPr>
            <w:r>
              <w:rPr>
                <w:color w:val="auto"/>
                <w:kern w:val="0"/>
                <w:sz w:val="24"/>
              </w:rPr>
              <w:t>其他符合性分析</w:t>
            </w:r>
          </w:p>
        </w:tc>
        <w:tc>
          <w:tcPr>
            <w:tcW w:w="8288" w:type="dxa"/>
            <w:gridSpan w:val="4"/>
            <w:noWrap w:val="0"/>
            <w:vAlign w:val="center"/>
          </w:tcPr>
          <w:p w14:paraId="225E1800">
            <w:pPr>
              <w:spacing w:line="360" w:lineRule="auto"/>
              <w:ind w:firstLine="482" w:firstLineChars="200"/>
              <w:rPr>
                <w:b/>
                <w:bCs w:val="0"/>
                <w:color w:val="auto"/>
                <w:sz w:val="24"/>
              </w:rPr>
            </w:pPr>
            <w:r>
              <w:rPr>
                <w:rFonts w:hint="eastAsia"/>
                <w:b/>
                <w:bCs w:val="0"/>
                <w:color w:val="auto"/>
                <w:sz w:val="24"/>
                <w:lang w:val="en-US" w:eastAsia="zh-CN"/>
              </w:rPr>
              <w:t>1.</w:t>
            </w:r>
            <w:r>
              <w:rPr>
                <w:rFonts w:hint="default" w:ascii="Times New Roman" w:hAnsi="Times New Roman" w:eastAsia="宋体" w:cs="Times New Roman"/>
                <w:b/>
                <w:bCs w:val="0"/>
                <w:color w:val="auto"/>
                <w:kern w:val="24"/>
                <w:sz w:val="24"/>
                <w:szCs w:val="24"/>
              </w:rPr>
              <w:t>“三线一单”符合性分析</w:t>
            </w:r>
          </w:p>
          <w:p w14:paraId="30593602">
            <w:pPr>
              <w:adjustRightInd w:val="0"/>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根据《陕西省“三线一单”生态环境分区管理应用技术指南》进行建设项目与“三线一单”生态环境分区管控符合性分析，采用“一图、一表、一说明”的形式表达（详见附件）。</w:t>
            </w:r>
          </w:p>
          <w:p w14:paraId="7E73A1CC">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4"/>
                <w:szCs w:val="24"/>
                <w:lang w:val="en-US" w:eastAsia="zh-CN"/>
              </w:rPr>
            </w:pPr>
            <w:r>
              <w:rPr>
                <w:rFonts w:hint="eastAsia" w:cs="Times New Roman"/>
                <w:caps w:val="0"/>
                <w:smallCaps w:val="0"/>
                <w:color w:val="auto"/>
                <w:spacing w:val="0"/>
                <w:w w:val="100"/>
                <w:sz w:val="24"/>
                <w:szCs w:val="24"/>
                <w:lang w:val="en-US" w:eastAsia="zh-CN"/>
              </w:rPr>
              <w:t>（1）</w:t>
            </w:r>
            <w:r>
              <w:rPr>
                <w:rFonts w:hint="default" w:ascii="Times New Roman" w:hAnsi="Times New Roman" w:cs="Times New Roman"/>
                <w:caps w:val="0"/>
                <w:smallCaps w:val="0"/>
                <w:color w:val="auto"/>
                <w:spacing w:val="0"/>
                <w:w w:val="100"/>
                <w:sz w:val="24"/>
                <w:szCs w:val="24"/>
                <w:lang w:val="en-US" w:eastAsia="zh-CN"/>
              </w:rPr>
              <w:t>“一图”</w:t>
            </w:r>
          </w:p>
          <w:p w14:paraId="01C174DE">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1"/>
                <w:szCs w:val="21"/>
                <w:lang w:val="en-US" w:eastAsia="zh-CN"/>
              </w:rPr>
            </w:pPr>
            <w:r>
              <w:rPr>
                <w:rFonts w:hint="default" w:ascii="Times New Roman" w:hAnsi="Times New Roman" w:cs="Times New Roman"/>
                <w:caps w:val="0"/>
                <w:smallCaps w:val="0"/>
                <w:color w:val="auto"/>
                <w:spacing w:val="0"/>
                <w:w w:val="100"/>
                <w:sz w:val="24"/>
                <w:szCs w:val="24"/>
                <w:lang w:val="en-US" w:eastAsia="zh-CN"/>
              </w:rPr>
              <w:t>根据陕西省“三线一单”数据应用管理平台，形成对照分析示意图，图中所示本项目位于重点管控单元，管控单元对照分析示意图见下图：</w:t>
            </w:r>
          </w:p>
          <w:p w14:paraId="596548B0">
            <w:pPr>
              <w:autoSpaceDE w:val="0"/>
              <w:autoSpaceDN w:val="0"/>
              <w:adjustRightInd w:val="0"/>
              <w:snapToGrid w:val="0"/>
              <w:spacing w:line="360" w:lineRule="auto"/>
              <w:jc w:val="center"/>
              <w:rPr>
                <w:rFonts w:hint="eastAsia" w:ascii="Times New Roman" w:eastAsia="宋体"/>
                <w:color w:val="auto"/>
                <w:sz w:val="24"/>
                <w:szCs w:val="24"/>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665408" behindDoc="0" locked="0" layoutInCell="1" allowOverlap="1">
                      <wp:simplePos x="0" y="0"/>
                      <wp:positionH relativeFrom="column">
                        <wp:posOffset>1074420</wp:posOffset>
                      </wp:positionH>
                      <wp:positionV relativeFrom="paragraph">
                        <wp:posOffset>892810</wp:posOffset>
                      </wp:positionV>
                      <wp:extent cx="799465" cy="304165"/>
                      <wp:effectExtent l="5080" t="4445" r="452755" b="15240"/>
                      <wp:wrapNone/>
                      <wp:docPr id="120" name="圆角矩形标注 120"/>
                      <wp:cNvGraphicFramePr/>
                      <a:graphic xmlns:a="http://schemas.openxmlformats.org/drawingml/2006/main">
                        <a:graphicData uri="http://schemas.microsoft.com/office/word/2010/wordprocessingShape">
                          <wps:wsp>
                            <wps:cNvSpPr/>
                            <wps:spPr>
                              <a:xfrm>
                                <a:off x="0" y="0"/>
                                <a:ext cx="799465" cy="304165"/>
                              </a:xfrm>
                              <a:prstGeom prst="wedgeRoundRectCallout">
                                <a:avLst>
                                  <a:gd name="adj1" fmla="val 105440"/>
                                  <a:gd name="adj2" fmla="val -43945"/>
                                  <a:gd name="adj3" fmla="val 16667"/>
                                </a:avLst>
                              </a:prstGeom>
                              <a:solidFill>
                                <a:schemeClr val="bg1"/>
                              </a:solidFill>
                              <a:ln w="635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4D3969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84.6pt;margin-top:70.3pt;height:23.95pt;width:62.95pt;z-index:251665408;v-text-anchor:middle;mso-width-relative:page;mso-height-relative:page;" fillcolor="#FFFFFF [3212]" filled="t" stroked="t" coordsize="21600,21600" o:gfxdata="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" adj="33575,1308,14400">
                      <v:fill on="t" focussize="0,0"/>
                      <v:stroke weight="0.5pt" color="#000000 [3213]" joinstyle="round"/>
                      <v:imagedata o:title=""/>
                      <o:lock v:ext="edit" aspectratio="f"/>
                      <v:textbox>
                        <w:txbxContent>
                          <w:p w14:paraId="4D3969CD">
                            <w:pPr>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项目位置</w:t>
                            </w:r>
                          </w:p>
                        </w:txbxContent>
                      </v:textbox>
                    </v:shape>
                  </w:pict>
                </mc:Fallback>
              </mc:AlternateContent>
            </w:r>
            <w:r>
              <w:rPr>
                <w:color w:val="auto"/>
                <w:sz w:val="21"/>
              </w:rPr>
              <mc:AlternateContent>
                <mc:Choice Requires="wpg">
                  <w:drawing>
                    <wp:anchor distT="0" distB="0" distL="114300" distR="114300" simplePos="0" relativeHeight="251664384" behindDoc="0" locked="0" layoutInCell="1" allowOverlap="1">
                      <wp:simplePos x="0" y="0"/>
                      <wp:positionH relativeFrom="column">
                        <wp:posOffset>4367530</wp:posOffset>
                      </wp:positionH>
                      <wp:positionV relativeFrom="paragraph">
                        <wp:posOffset>26670</wp:posOffset>
                      </wp:positionV>
                      <wp:extent cx="711200" cy="3185795"/>
                      <wp:effectExtent l="0" t="0" r="12700" b="14605"/>
                      <wp:wrapNone/>
                      <wp:docPr id="97" name="组合 97"/>
                      <wp:cNvGraphicFramePr/>
                      <a:graphic xmlns:a="http://schemas.openxmlformats.org/drawingml/2006/main">
                        <a:graphicData uri="http://schemas.microsoft.com/office/word/2010/wordprocessingGroup">
                          <wpg:wgp>
                            <wpg:cNvGrpSpPr/>
                            <wpg:grpSpPr>
                              <a:xfrm>
                                <a:off x="0" y="0"/>
                                <a:ext cx="711200" cy="3185795"/>
                                <a:chOff x="8878" y="38602"/>
                                <a:chExt cx="1470" cy="5517"/>
                              </a:xfrm>
                            </wpg:grpSpPr>
                            <pic:pic xmlns:pic="http://schemas.openxmlformats.org/drawingml/2006/picture">
                              <pic:nvPicPr>
                                <pic:cNvPr id="98" name="图片 3" descr="517c7c2a-57f2-4b7c-95d4-2952c27297e4"/>
                                <pic:cNvPicPr>
                                  <a:picLocks noChangeAspect="1"/>
                                </pic:cNvPicPr>
                              </pic:nvPicPr>
                              <pic:blipFill>
                                <a:blip r:embed="rId15"/>
                                <a:stretch>
                                  <a:fillRect/>
                                </a:stretch>
                              </pic:blipFill>
                              <pic:spPr>
                                <a:xfrm>
                                  <a:off x="9402" y="38602"/>
                                  <a:ext cx="746" cy="758"/>
                                </a:xfrm>
                                <a:prstGeom prst="rect">
                                  <a:avLst/>
                                </a:prstGeom>
                                <a:noFill/>
                                <a:ln>
                                  <a:noFill/>
                                </a:ln>
                              </pic:spPr>
                            </pic:pic>
                            <pic:pic xmlns:pic="http://schemas.openxmlformats.org/drawingml/2006/picture">
                              <pic:nvPicPr>
                                <pic:cNvPr id="99" name="图片 3"/>
                                <pic:cNvPicPr>
                                  <a:picLocks noChangeAspect="1"/>
                                </pic:cNvPicPr>
                              </pic:nvPicPr>
                              <pic:blipFill>
                                <a:blip r:embed="rId16"/>
                                <a:stretch>
                                  <a:fillRect/>
                                </a:stretch>
                              </pic:blipFill>
                              <pic:spPr>
                                <a:xfrm>
                                  <a:off x="8878" y="43205"/>
                                  <a:ext cx="1470" cy="915"/>
                                </a:xfrm>
                                <a:prstGeom prst="rect">
                                  <a:avLst/>
                                </a:prstGeom>
                                <a:noFill/>
                                <a:ln>
                                  <a:noFill/>
                                </a:ln>
                              </pic:spPr>
                            </pic:pic>
                          </wpg:wgp>
                        </a:graphicData>
                      </a:graphic>
                    </wp:anchor>
                  </w:drawing>
                </mc:Choice>
                <mc:Fallback>
                  <w:pict>
                    <v:group id="_x0000_s1026" o:spid="_x0000_s1026" o:spt="203" style="position:absolute;left:0pt;margin-left:343.9pt;margin-top:2.1pt;height:250.85pt;width:56pt;z-index:251664384;mso-width-relative:page;mso-height-relative:page;" coordorigin="8878,38602" coordsize="1470,5517" o:gfxdata="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">
                      <o:lock v:ext="edit" aspectratio="f"/>
                      <v:shape id="图片 3" o:spid="_x0000_s1026" o:spt="75" alt="517c7c2a-57f2-4b7c-95d4-2952c27297e4" type="#_x0000_t75" style="position:absolute;left:9402;top:38602;height:758;width:746;" filled="f" o:preferrelative="t" stroked="f" coordsize="21600,21600" o:gfxdata="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nHS0LgAAADbAAAA&#10;DwAAAAAAAAABACAAAAAiAAAAZHJzL2Rvd25yZXYueG1sUEsBAhQAFAAAAAgAh07iQDMvBZ47AAAA&#10;OQAAABAAAAAAAAAAAQAgAAAABwEAAGRycy9zaGFwZXhtbC54bWxQSwUGAAAAAAYABgBbAQAAsQMA&#10;AAAA&#10;">
                        <v:fill on="f" focussize="0,0"/>
                        <v:stroke on="f"/>
                        <v:imagedata r:id="rId15" o:title=""/>
                        <o:lock v:ext="edit" aspectratio="t"/>
                      </v:shape>
                      <v:shape id="图片 3" o:spid="_x0000_s1026" o:spt="75" type="#_x0000_t75" style="position:absolute;left:8878;top:43205;height:915;width:1470;" filled="f" o:preferrelative="t" stroked="f" coordsize="21600,21600" o:gfxdata="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nqw8bsAAADb&#10;AAAADwAAAAAAAAABACAAAAAiAAAAZHJzL2Rvd25yZXYueG1sUEsBAhQAFAAAAAgAh07iQDMvBZ47&#10;AAAAOQAAABAAAAAAAAAAAQAgAAAACgEAAGRycy9zaGFwZXhtbC54bWxQSwUGAAAAAAYABgBbAQAA&#10;tAMAAAAA&#10;">
                        <v:fill on="f" focussize="0,0"/>
                        <v:stroke on="f"/>
                        <v:imagedata r:id="rId16" o:title=""/>
                        <o:lock v:ext="edit" aspectratio="t"/>
                      </v:shape>
                    </v:group>
                  </w:pict>
                </mc:Fallback>
              </mc:AlternateContent>
            </w:r>
            <w:r>
              <w:rPr>
                <w:color w:val="auto"/>
              </w:rPr>
              <w:drawing>
                <wp:inline distT="0" distB="0" distL="114300" distR="114300">
                  <wp:extent cx="5122545" cy="3223895"/>
                  <wp:effectExtent l="12700" t="12700" r="27305" b="2095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7"/>
                          <a:stretch>
                            <a:fillRect/>
                          </a:stretch>
                        </pic:blipFill>
                        <pic:spPr>
                          <a:xfrm>
                            <a:off x="0" y="0"/>
                            <a:ext cx="5122545" cy="3223895"/>
                          </a:xfrm>
                          <a:prstGeom prst="rect">
                            <a:avLst/>
                          </a:prstGeom>
                          <a:noFill/>
                          <a:ln w="12700">
                            <a:solidFill>
                              <a:schemeClr val="tx1"/>
                            </a:solidFill>
                          </a:ln>
                        </pic:spPr>
                      </pic:pic>
                    </a:graphicData>
                  </a:graphic>
                </wp:inline>
              </w:drawing>
            </w:r>
          </w:p>
          <w:p w14:paraId="476D44B1">
            <w:pPr>
              <w:pStyle w:val="31"/>
              <w:bidi w:val="0"/>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图1-</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 xml:space="preserve">  本项目与环境管控单元对照分析示意图</w:t>
            </w:r>
          </w:p>
          <w:p w14:paraId="4B397BE5">
            <w:pPr>
              <w:autoSpaceDE w:val="0"/>
              <w:autoSpaceDN w:val="0"/>
              <w:adjustRightInd w:val="0"/>
              <w:snapToGrid w:val="0"/>
              <w:spacing w:line="360" w:lineRule="auto"/>
              <w:ind w:firstLine="480" w:firstLineChars="200"/>
              <w:jc w:val="both"/>
              <w:rPr>
                <w:rFonts w:hint="default" w:ascii="Times New Roman" w:hAnsi="Times New Roman" w:eastAsia="宋体" w:cs="Times New Roman"/>
                <w:caps w:val="0"/>
                <w:smallCaps w:val="0"/>
                <w:color w:val="auto"/>
                <w:spacing w:val="0"/>
                <w:w w:val="100"/>
                <w:sz w:val="24"/>
                <w:szCs w:val="24"/>
                <w:lang w:val="en-US" w:eastAsia="zh-CN"/>
              </w:rPr>
            </w:pPr>
            <w:r>
              <w:rPr>
                <w:rFonts w:hint="eastAsia" w:cs="Times New Roman"/>
                <w:color w:val="auto"/>
                <w:sz w:val="24"/>
                <w:szCs w:val="24"/>
                <w:lang w:val="en-US" w:eastAsia="zh-CN"/>
              </w:rPr>
              <w:t>（2）</w:t>
            </w:r>
            <w:r>
              <w:rPr>
                <w:rFonts w:hint="default" w:ascii="Times New Roman" w:hAnsi="Times New Roman" w:cs="Times New Roman"/>
                <w:color w:val="auto"/>
                <w:sz w:val="24"/>
                <w:szCs w:val="24"/>
                <w:lang w:val="en-US" w:eastAsia="zh-CN"/>
              </w:rPr>
              <w:t>“一表”</w:t>
            </w:r>
          </w:p>
          <w:p w14:paraId="35E7A75D">
            <w:pPr>
              <w:autoSpaceDE w:val="0"/>
              <w:autoSpaceDN w:val="0"/>
              <w:adjustRightInd w:val="0"/>
              <w:snapToGrid w:val="0"/>
              <w:spacing w:line="360" w:lineRule="auto"/>
              <w:ind w:firstLine="480" w:firstLineChars="200"/>
              <w:jc w:val="both"/>
              <w:rPr>
                <w:rFonts w:hint="default" w:ascii="Times New Roman" w:hAnsi="Times New Roman" w:cs="Times New Roman"/>
                <w:caps w:val="0"/>
                <w:smallCaps w:val="0"/>
                <w:color w:val="auto"/>
                <w:spacing w:val="0"/>
                <w:w w:val="100"/>
                <w:sz w:val="24"/>
                <w:szCs w:val="24"/>
                <w:lang w:val="en-US" w:eastAsia="zh-CN"/>
              </w:rPr>
            </w:pPr>
            <w:r>
              <w:rPr>
                <w:rFonts w:hint="default" w:ascii="Times New Roman" w:hAnsi="Times New Roman" w:eastAsia="宋体" w:cs="Times New Roman"/>
                <w:caps w:val="0"/>
                <w:smallCaps w:val="0"/>
                <w:color w:val="auto"/>
                <w:spacing w:val="0"/>
                <w:w w:val="100"/>
                <w:sz w:val="24"/>
                <w:szCs w:val="24"/>
                <w:lang w:val="en-US" w:eastAsia="zh-CN"/>
              </w:rPr>
              <w:t>经查阅陕西省</w:t>
            </w:r>
            <w:r>
              <w:rPr>
                <w:rFonts w:hint="default" w:ascii="Times New Roman" w:hAnsi="Times New Roman" w:cs="Times New Roman"/>
                <w:caps w:val="0"/>
                <w:smallCaps w:val="0"/>
                <w:color w:val="auto"/>
                <w:spacing w:val="0"/>
                <w:w w:val="100"/>
                <w:sz w:val="24"/>
                <w:szCs w:val="24"/>
                <w:lang w:val="en-US" w:eastAsia="zh-CN"/>
              </w:rPr>
              <w:t>“</w:t>
            </w:r>
            <w:r>
              <w:rPr>
                <w:rFonts w:hint="default" w:ascii="Times New Roman" w:hAnsi="Times New Roman" w:eastAsia="宋体" w:cs="Times New Roman"/>
                <w:caps w:val="0"/>
                <w:smallCaps w:val="0"/>
                <w:color w:val="auto"/>
                <w:spacing w:val="0"/>
                <w:w w:val="100"/>
                <w:sz w:val="24"/>
                <w:szCs w:val="24"/>
                <w:lang w:val="en-US" w:eastAsia="zh-CN"/>
              </w:rPr>
              <w:t>三线一单</w:t>
            </w:r>
            <w:r>
              <w:rPr>
                <w:rFonts w:hint="default" w:ascii="Times New Roman" w:hAnsi="Times New Roman" w:cs="Times New Roman"/>
                <w:caps w:val="0"/>
                <w:smallCaps w:val="0"/>
                <w:color w:val="auto"/>
                <w:spacing w:val="0"/>
                <w:w w:val="100"/>
                <w:sz w:val="24"/>
                <w:szCs w:val="24"/>
                <w:lang w:val="en-US" w:eastAsia="zh-CN"/>
              </w:rPr>
              <w:t>”</w:t>
            </w:r>
            <w:r>
              <w:rPr>
                <w:rFonts w:hint="default" w:ascii="Times New Roman" w:hAnsi="Times New Roman" w:eastAsia="宋体" w:cs="Times New Roman"/>
                <w:caps w:val="0"/>
                <w:smallCaps w:val="0"/>
                <w:color w:val="auto"/>
                <w:spacing w:val="0"/>
                <w:w w:val="100"/>
                <w:sz w:val="24"/>
                <w:szCs w:val="24"/>
                <w:lang w:val="en-US" w:eastAsia="zh-CN"/>
              </w:rPr>
              <w:t>数据应用系统（V1.0），</w:t>
            </w:r>
            <w:r>
              <w:rPr>
                <w:rFonts w:hint="default" w:ascii="Times New Roman" w:hAnsi="Times New Roman" w:cs="Times New Roman"/>
                <w:caps w:val="0"/>
                <w:smallCaps w:val="0"/>
                <w:color w:val="auto"/>
                <w:spacing w:val="0"/>
                <w:w w:val="100"/>
                <w:sz w:val="24"/>
                <w:szCs w:val="24"/>
                <w:lang w:eastAsia="zh-CN"/>
              </w:rPr>
              <w:t>本项目不涉及优先保护单元</w:t>
            </w:r>
            <w:r>
              <w:rPr>
                <w:rFonts w:hint="default" w:ascii="Times New Roman" w:hAnsi="Times New Roman" w:cs="Times New Roman"/>
                <w:caps w:val="0"/>
                <w:smallCaps w:val="0"/>
                <w:color w:val="auto"/>
                <w:spacing w:val="0"/>
                <w:w w:val="100"/>
                <w:sz w:val="24"/>
                <w:szCs w:val="24"/>
                <w:lang w:val="en-US" w:eastAsia="zh-CN"/>
              </w:rPr>
              <w:t>，不涉及一般管控单元</w:t>
            </w:r>
            <w:r>
              <w:rPr>
                <w:rFonts w:hint="default" w:ascii="Times New Roman" w:hAnsi="Times New Roman" w:cs="Times New Roman"/>
                <w:caps w:val="0"/>
                <w:smallCaps w:val="0"/>
                <w:color w:val="auto"/>
                <w:spacing w:val="0"/>
                <w:w w:val="100"/>
                <w:sz w:val="24"/>
                <w:szCs w:val="24"/>
                <w:lang w:eastAsia="zh-CN"/>
              </w:rPr>
              <w:t>，</w:t>
            </w:r>
            <w:r>
              <w:rPr>
                <w:rFonts w:hint="default" w:ascii="Times New Roman" w:hAnsi="Times New Roman" w:eastAsia="宋体" w:cs="Times New Roman"/>
                <w:caps w:val="0"/>
                <w:smallCaps w:val="0"/>
                <w:color w:val="auto"/>
                <w:spacing w:val="0"/>
                <w:w w:val="100"/>
                <w:sz w:val="24"/>
                <w:szCs w:val="24"/>
                <w:lang w:val="en-US" w:eastAsia="zh-CN"/>
              </w:rPr>
              <w:t>项目范围涉及的生态环境</w:t>
            </w:r>
            <w:r>
              <w:rPr>
                <w:rFonts w:hint="default" w:ascii="Times New Roman" w:hAnsi="Times New Roman" w:eastAsia="宋体" w:cs="Times New Roman"/>
                <w:b w:val="0"/>
                <w:bCs w:val="0"/>
                <w:color w:val="auto"/>
                <w:sz w:val="24"/>
                <w:szCs w:val="24"/>
                <w:lang w:val="en-US" w:eastAsia="zh-CN"/>
              </w:rPr>
              <w:t>管控</w:t>
            </w:r>
            <w:r>
              <w:rPr>
                <w:rFonts w:hint="default" w:ascii="Times New Roman" w:hAnsi="Times New Roman" w:eastAsia="宋体" w:cs="Times New Roman"/>
                <w:caps w:val="0"/>
                <w:smallCaps w:val="0"/>
                <w:color w:val="auto"/>
                <w:spacing w:val="0"/>
                <w:w w:val="100"/>
                <w:sz w:val="24"/>
                <w:szCs w:val="24"/>
                <w:lang w:val="en-US" w:eastAsia="zh-CN"/>
              </w:rPr>
              <w:t>单元准入清单及符合性说明详见下表</w:t>
            </w:r>
            <w:r>
              <w:rPr>
                <w:rFonts w:hint="default" w:ascii="Times New Roman" w:hAnsi="Times New Roman" w:cs="Times New Roman"/>
                <w:caps w:val="0"/>
                <w:smallCaps w:val="0"/>
                <w:color w:val="auto"/>
                <w:spacing w:val="0"/>
                <w:w w:val="100"/>
                <w:sz w:val="24"/>
                <w:szCs w:val="24"/>
                <w:lang w:val="en-US" w:eastAsia="zh-CN"/>
              </w:rPr>
              <w:t>：</w:t>
            </w:r>
          </w:p>
          <w:p w14:paraId="71A0C135">
            <w:pPr>
              <w:autoSpaceDE w:val="0"/>
              <w:autoSpaceDN w:val="0"/>
              <w:adjustRightInd w:val="0"/>
              <w:snapToGrid w:val="0"/>
              <w:jc w:val="center"/>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rPr>
              <w:t>表</w:t>
            </w:r>
            <w:r>
              <w:rPr>
                <w:rFonts w:hint="default" w:ascii="Times New Roman" w:hAnsi="Times New Roman" w:cs="Times New Roman"/>
                <w:b/>
                <w:bCs w:val="0"/>
                <w:color w:val="auto"/>
                <w:sz w:val="21"/>
                <w:szCs w:val="21"/>
                <w:lang w:val="en-US" w:eastAsia="zh-CN"/>
              </w:rPr>
              <w:t>1-</w:t>
            </w:r>
            <w:r>
              <w:rPr>
                <w:rFonts w:hint="eastAsia" w:ascii="Times New Roman" w:hAnsi="Times New Roman" w:cs="Times New Roman"/>
                <w:b/>
                <w:bCs w:val="0"/>
                <w:color w:val="auto"/>
                <w:sz w:val="21"/>
                <w:szCs w:val="21"/>
                <w:lang w:val="en-US" w:eastAsia="zh-CN"/>
              </w:rPr>
              <w:t>3</w:t>
            </w:r>
            <w:r>
              <w:rPr>
                <w:rFonts w:hint="default" w:ascii="Times New Roman" w:hAnsi="Times New Roman" w:cs="Times New Roman"/>
                <w:b/>
                <w:bCs w:val="0"/>
                <w:color w:val="auto"/>
                <w:sz w:val="21"/>
                <w:szCs w:val="21"/>
              </w:rPr>
              <w:t xml:space="preserve">  </w:t>
            </w:r>
            <w:r>
              <w:rPr>
                <w:rFonts w:hint="default" w:ascii="Times New Roman" w:hAnsi="Times New Roman" w:cs="Times New Roman"/>
                <w:b/>
                <w:bCs w:val="0"/>
                <w:color w:val="auto"/>
                <w:sz w:val="21"/>
                <w:szCs w:val="21"/>
                <w:lang w:val="en-US" w:eastAsia="zh-CN"/>
              </w:rPr>
              <w:t>项目与环境管控单元涉及情况</w:t>
            </w:r>
          </w:p>
          <w:tbl>
            <w:tblPr>
              <w:tblStyle w:val="23"/>
              <w:tblW w:w="4998" w:type="pct"/>
              <w:tblInd w:w="-1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9"/>
              <w:gridCol w:w="772"/>
              <w:gridCol w:w="706"/>
              <w:gridCol w:w="3585"/>
              <w:gridCol w:w="2227"/>
            </w:tblGrid>
            <w:tr w14:paraId="1B213C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65" w:type="pct"/>
                  <w:tcBorders>
                    <w:tl2br w:val="nil"/>
                    <w:tr2bl w:val="nil"/>
                  </w:tcBorders>
                  <w:noWrap w:val="0"/>
                  <w:vAlign w:val="center"/>
                </w:tcPr>
                <w:p w14:paraId="693E4800">
                  <w:pPr>
                    <w:tabs>
                      <w:tab w:val="left" w:pos="1393"/>
                    </w:tabs>
                    <w:adjustRightInd w:val="0"/>
                    <w:snapToGrid w:val="0"/>
                    <w:jc w:val="both"/>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sz w:val="21"/>
                      <w:szCs w:val="21"/>
                      <w:shd w:val="clear" w:color="auto" w:fill="auto"/>
                      <w:lang w:val="en-US" w:eastAsia="zh-CN"/>
                    </w:rPr>
                    <w:t>环境管控单元名称</w:t>
                  </w:r>
                </w:p>
              </w:tc>
              <w:tc>
                <w:tcPr>
                  <w:tcW w:w="480" w:type="pct"/>
                  <w:tcBorders>
                    <w:tl2br w:val="nil"/>
                    <w:tr2bl w:val="nil"/>
                  </w:tcBorders>
                  <w:noWrap w:val="0"/>
                  <w:vAlign w:val="center"/>
                </w:tcPr>
                <w:p w14:paraId="32420A75">
                  <w:pPr>
                    <w:tabs>
                      <w:tab w:val="left" w:pos="1393"/>
                    </w:tabs>
                    <w:adjustRightInd w:val="0"/>
                    <w:snapToGrid w:val="0"/>
                    <w:jc w:val="both"/>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sz w:val="21"/>
                      <w:szCs w:val="21"/>
                      <w:shd w:val="clear" w:color="auto" w:fill="auto"/>
                      <w:lang w:val="en-US" w:eastAsia="zh-CN"/>
                    </w:rPr>
                    <w:t>单元要素属性</w:t>
                  </w:r>
                </w:p>
              </w:tc>
              <w:tc>
                <w:tcPr>
                  <w:tcW w:w="439" w:type="pct"/>
                  <w:tcBorders>
                    <w:tl2br w:val="nil"/>
                    <w:tr2bl w:val="nil"/>
                  </w:tcBorders>
                  <w:noWrap w:val="0"/>
                  <w:vAlign w:val="center"/>
                </w:tcPr>
                <w:p w14:paraId="10B5F925">
                  <w:pPr>
                    <w:autoSpaceDE w:val="0"/>
                    <w:autoSpaceDN w:val="0"/>
                    <w:adjustRightInd w:val="0"/>
                    <w:snapToGrid w:val="0"/>
                    <w:jc w:val="both"/>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sz w:val="21"/>
                      <w:szCs w:val="21"/>
                      <w:shd w:val="clear" w:color="auto" w:fill="auto"/>
                      <w:lang w:val="en-US" w:eastAsia="zh-CN"/>
                    </w:rPr>
                    <w:t>管控要求分类</w:t>
                  </w:r>
                </w:p>
              </w:tc>
              <w:tc>
                <w:tcPr>
                  <w:tcW w:w="2229" w:type="pct"/>
                  <w:tcBorders>
                    <w:tl2br w:val="nil"/>
                    <w:tr2bl w:val="nil"/>
                  </w:tcBorders>
                  <w:noWrap w:val="0"/>
                  <w:vAlign w:val="center"/>
                </w:tcPr>
                <w:p w14:paraId="7551F930">
                  <w:pPr>
                    <w:autoSpaceDE w:val="0"/>
                    <w:autoSpaceDN w:val="0"/>
                    <w:adjustRightInd w:val="0"/>
                    <w:snapToGrid w:val="0"/>
                    <w:jc w:val="both"/>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sz w:val="21"/>
                      <w:szCs w:val="21"/>
                      <w:shd w:val="clear" w:color="auto" w:fill="auto"/>
                      <w:lang w:val="en-US" w:eastAsia="zh-CN"/>
                    </w:rPr>
                    <w:t>管控要求</w:t>
                  </w:r>
                </w:p>
              </w:tc>
              <w:tc>
                <w:tcPr>
                  <w:tcW w:w="1385" w:type="pct"/>
                  <w:tcBorders>
                    <w:tl2br w:val="nil"/>
                    <w:tr2bl w:val="nil"/>
                  </w:tcBorders>
                  <w:noWrap w:val="0"/>
                  <w:vAlign w:val="center"/>
                </w:tcPr>
                <w:p w14:paraId="3B937F23">
                  <w:pPr>
                    <w:autoSpaceDE w:val="0"/>
                    <w:autoSpaceDN w:val="0"/>
                    <w:adjustRightInd w:val="0"/>
                    <w:snapToGrid w:val="0"/>
                    <w:jc w:val="both"/>
                    <w:rPr>
                      <w:rFonts w:hint="default" w:ascii="Times New Roman" w:hAnsi="Times New Roman" w:cs="Times New Roman"/>
                      <w:b/>
                      <w:bCs/>
                      <w:color w:val="auto"/>
                      <w:sz w:val="21"/>
                      <w:szCs w:val="21"/>
                      <w:shd w:val="clear" w:color="auto" w:fill="auto"/>
                      <w:lang w:val="en-US" w:eastAsia="zh-CN"/>
                    </w:rPr>
                  </w:pPr>
                  <w:r>
                    <w:rPr>
                      <w:rFonts w:hint="default" w:ascii="Times New Roman" w:hAnsi="Times New Roman" w:cs="Times New Roman"/>
                      <w:b/>
                      <w:bCs/>
                      <w:color w:val="auto"/>
                      <w:sz w:val="21"/>
                      <w:szCs w:val="21"/>
                      <w:shd w:val="clear" w:color="auto" w:fill="auto"/>
                      <w:lang w:val="en-US" w:eastAsia="zh-CN"/>
                    </w:rPr>
                    <w:t>与本项目符合性</w:t>
                  </w:r>
                </w:p>
              </w:tc>
            </w:tr>
            <w:tr w14:paraId="6605F3E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208" w:hRule="atLeast"/>
              </w:trPr>
              <w:tc>
                <w:tcPr>
                  <w:tcW w:w="465" w:type="pct"/>
                  <w:vMerge w:val="restart"/>
                  <w:tcBorders>
                    <w:tl2br w:val="nil"/>
                    <w:tr2bl w:val="nil"/>
                  </w:tcBorders>
                  <w:noWrap w:val="0"/>
                  <w:vAlign w:val="center"/>
                </w:tcPr>
                <w:p w14:paraId="7887DA29">
                  <w:pPr>
                    <w:widowControl/>
                    <w:adjustRightInd w:val="0"/>
                    <w:snapToGrid w:val="0"/>
                    <w:jc w:val="both"/>
                    <w:rPr>
                      <w:rFonts w:hint="default" w:ascii="Times New Roman" w:hAnsi="Times New Roman" w:eastAsia="宋体" w:cs="Times New Roman"/>
                      <w:color w:val="auto"/>
                      <w:sz w:val="21"/>
                      <w:szCs w:val="21"/>
                      <w:shd w:val="clear" w:color="auto" w:fill="auto"/>
                      <w:lang w:val="en-US" w:eastAsia="zh-CN"/>
                    </w:rPr>
                  </w:pPr>
                  <w:r>
                    <w:rPr>
                      <w:rFonts w:hint="default" w:ascii="Times New Roman" w:hAnsi="Times New Roman" w:cs="Times New Roman"/>
                      <w:color w:val="auto"/>
                      <w:sz w:val="21"/>
                      <w:szCs w:val="21"/>
                      <w:shd w:val="clear" w:color="auto" w:fill="auto"/>
                      <w:lang w:val="en-US" w:eastAsia="zh-CN"/>
                    </w:rPr>
                    <w:t>陕西省宝鸡市陈仓区重点管控单元9</w:t>
                  </w:r>
                </w:p>
              </w:tc>
              <w:tc>
                <w:tcPr>
                  <w:tcW w:w="480" w:type="pct"/>
                  <w:vMerge w:val="restart"/>
                  <w:tcBorders>
                    <w:tl2br w:val="nil"/>
                    <w:tr2bl w:val="nil"/>
                  </w:tcBorders>
                  <w:noWrap w:val="0"/>
                  <w:vAlign w:val="center"/>
                </w:tcPr>
                <w:p w14:paraId="53D59525">
                  <w:pPr>
                    <w:widowControl/>
                    <w:adjustRightInd w:val="0"/>
                    <w:snapToGrid w:val="0"/>
                    <w:jc w:val="both"/>
                    <w:rPr>
                      <w:rFonts w:hint="default" w:ascii="Times New Roman" w:hAnsi="Times New Roman" w:cs="Times New Roman"/>
                      <w:color w:val="auto"/>
                      <w:sz w:val="21"/>
                      <w:szCs w:val="21"/>
                      <w:shd w:val="clear" w:color="auto" w:fill="auto"/>
                      <w:lang w:val="en-US"/>
                    </w:rPr>
                  </w:pPr>
                  <w:r>
                    <w:rPr>
                      <w:rFonts w:hint="default" w:ascii="Times New Roman" w:hAnsi="Times New Roman" w:eastAsia="宋体" w:cs="Times New Roman"/>
                      <w:color w:val="auto"/>
                      <w:sz w:val="21"/>
                      <w:szCs w:val="21"/>
                      <w:shd w:val="clear" w:color="auto" w:fill="auto"/>
                      <w:lang w:val="en-US" w:eastAsia="zh-CN"/>
                    </w:rPr>
                    <w:t>大气环境受体敏感重点管控区、水环境城镇生活污染重点管控区、生态用水补给区管控区、土地资源重点管控区、高污染燃料禁燃区、陈仓科技工业园</w:t>
                  </w:r>
                </w:p>
              </w:tc>
              <w:tc>
                <w:tcPr>
                  <w:tcW w:w="439" w:type="pct"/>
                  <w:tcBorders>
                    <w:tl2br w:val="nil"/>
                    <w:tr2bl w:val="nil"/>
                  </w:tcBorders>
                  <w:noWrap w:val="0"/>
                  <w:vAlign w:val="center"/>
                </w:tcPr>
                <w:p w14:paraId="57DB8527">
                  <w:pPr>
                    <w:autoSpaceDE w:val="0"/>
                    <w:autoSpaceDN w:val="0"/>
                    <w:adjustRightInd w:val="0"/>
                    <w:snapToGrid w:val="0"/>
                    <w:jc w:val="both"/>
                    <w:rPr>
                      <w:rFonts w:hint="default" w:ascii="Times New Roman" w:hAnsi="Times New Roman" w:eastAsia="宋体" w:cs="Times New Roman"/>
                      <w:bCs/>
                      <w:color w:val="auto"/>
                      <w:kern w:val="2"/>
                      <w:sz w:val="21"/>
                      <w:szCs w:val="21"/>
                      <w:shd w:val="clear" w:color="auto" w:fill="auto"/>
                      <w:lang w:val="en-US" w:eastAsia="zh-CN" w:bidi="ar-SA"/>
                    </w:rPr>
                  </w:pPr>
                  <w:r>
                    <w:rPr>
                      <w:rFonts w:hint="default" w:ascii="Times New Roman" w:hAnsi="Times New Roman" w:cs="Times New Roman"/>
                      <w:bCs/>
                      <w:color w:val="auto"/>
                      <w:sz w:val="21"/>
                      <w:szCs w:val="21"/>
                      <w:shd w:val="clear" w:color="auto" w:fill="auto"/>
                      <w:lang w:val="en-US" w:eastAsia="zh-CN"/>
                    </w:rPr>
                    <w:t>空间布局约束</w:t>
                  </w:r>
                </w:p>
              </w:tc>
              <w:tc>
                <w:tcPr>
                  <w:tcW w:w="2229" w:type="pct"/>
                  <w:tcBorders>
                    <w:tl2br w:val="nil"/>
                    <w:tr2bl w:val="nil"/>
                  </w:tcBorders>
                  <w:noWrap w:val="0"/>
                  <w:vAlign w:val="center"/>
                </w:tcPr>
                <w:p w14:paraId="0EA0F0CE">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r>
                    <w:rPr>
                      <w:rFonts w:hint="default" w:ascii="Times New Roman" w:hAnsi="Times New Roman" w:eastAsia="宋体" w:cs="Times New Roman"/>
                      <w:color w:val="auto"/>
                      <w:kern w:val="0"/>
                      <w:sz w:val="21"/>
                      <w:szCs w:val="21"/>
                      <w:lang w:val="en-US" w:eastAsia="zh-CN" w:bidi="ar"/>
                    </w:rPr>
                    <w:t>1.严格控制新增《陕西省</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项目管理暂行目录》行业项目（民生等项目除外，后续对</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范围国家如有新规定的，从其规定）。</w:t>
                  </w:r>
                </w:p>
                <w:p w14:paraId="66BF73E9">
                  <w:pPr>
                    <w:keepNext w:val="0"/>
                    <w:keepLines w:val="0"/>
                    <w:widowControl/>
                    <w:numPr>
                      <w:ilvl w:val="0"/>
                      <w:numId w:val="1"/>
                    </w:numPr>
                    <w:suppressLineNumbers w:val="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kern w:val="0"/>
                      <w:sz w:val="21"/>
                      <w:szCs w:val="21"/>
                      <w:lang w:val="en-US" w:eastAsia="zh-CN" w:bidi="ar"/>
                    </w:rPr>
                    <w:t>严禁新增钢铁、焦化、水泥熟料、平板玻璃、电解铝、氧化铝、煤化工产能。3.推动重污染企业搬迁入园或依法关闭，实施工业企业退城搬迁改造。4.新建商住楼必须设置专用烟道，配套安装高效油烟净化设施。</w:t>
                  </w:r>
                </w:p>
                <w:p w14:paraId="6B83A482">
                  <w:pPr>
                    <w:keepNext w:val="0"/>
                    <w:keepLines w:val="0"/>
                    <w:widowControl/>
                    <w:suppressLineNumbers w:val="0"/>
                    <w:jc w:val="left"/>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1.持续推进城中村、老旧城区、</w:t>
                  </w:r>
                  <w:r>
                    <w:rPr>
                      <w:rFonts w:hint="eastAsia" w:cs="Times New Roman"/>
                      <w:b w:val="0"/>
                      <w:bCs w:val="0"/>
                      <w:color w:val="auto"/>
                      <w:kern w:val="0"/>
                      <w:sz w:val="21"/>
                      <w:szCs w:val="21"/>
                      <w:lang w:val="en-US" w:eastAsia="zh-CN" w:bidi="ar"/>
                    </w:rPr>
                    <w:t>城乡接合部</w:t>
                  </w:r>
                  <w:r>
                    <w:rPr>
                      <w:rFonts w:hint="default" w:ascii="Times New Roman" w:hAnsi="Times New Roman" w:cs="Times New Roman"/>
                      <w:b w:val="0"/>
                      <w:bCs w:val="0"/>
                      <w:color w:val="auto"/>
                      <w:kern w:val="0"/>
                      <w:sz w:val="21"/>
                      <w:szCs w:val="21"/>
                      <w:lang w:val="en-US" w:eastAsia="zh-CN" w:bidi="ar"/>
                    </w:rPr>
                    <w:t>污水截流、收集和城市雨污管道新建、改建。到2025年底，基本实现城市和县城建成区内生活污水全收集。</w:t>
                  </w:r>
                </w:p>
                <w:p w14:paraId="2277CBB8">
                  <w:pPr>
                    <w:numPr>
                      <w:ilvl w:val="0"/>
                      <w:numId w:val="0"/>
                    </w:numPr>
                    <w:autoSpaceDE w:val="0"/>
                    <w:autoSpaceDN w:val="0"/>
                    <w:adjustRightInd w:val="0"/>
                    <w:snapToGrid w:val="0"/>
                    <w:jc w:val="both"/>
                    <w:rPr>
                      <w:rFonts w:hint="default" w:ascii="Times New Roman" w:hAnsi="Times New Roman" w:cs="Times New Roman"/>
                      <w:color w:val="auto"/>
                      <w:sz w:val="21"/>
                      <w:szCs w:val="21"/>
                      <w:lang w:val="en-US" w:eastAsia="zh-CN"/>
                    </w:rPr>
                  </w:pPr>
                  <w:r>
                    <w:rPr>
                      <w:rFonts w:hint="default" w:ascii="Times New Roman" w:hAnsi="Times New Roman" w:cs="Times New Roman"/>
                      <w:b/>
                      <w:bCs/>
                      <w:color w:val="auto"/>
                      <w:kern w:val="0"/>
                      <w:sz w:val="21"/>
                      <w:szCs w:val="21"/>
                      <w:lang w:val="en-US" w:eastAsia="zh-CN" w:bidi="ar"/>
                    </w:rPr>
                    <w:t>陈仓科技</w:t>
                  </w:r>
                  <w:r>
                    <w:rPr>
                      <w:rFonts w:hint="eastAsia" w:cs="Times New Roman"/>
                      <w:b/>
                      <w:bCs/>
                      <w:color w:val="auto"/>
                      <w:kern w:val="0"/>
                      <w:sz w:val="21"/>
                      <w:szCs w:val="21"/>
                      <w:lang w:val="en-US" w:eastAsia="zh-CN" w:bidi="ar"/>
                    </w:rPr>
                    <w:t>工业园</w:t>
                  </w:r>
                  <w:r>
                    <w:rPr>
                      <w:rFonts w:hint="default" w:ascii="Times New Roman" w:hAnsi="Times New Roman" w:cs="Times New Roman"/>
                      <w:b/>
                      <w:bCs/>
                      <w:color w:val="auto"/>
                      <w:kern w:val="0"/>
                      <w:sz w:val="21"/>
                      <w:szCs w:val="21"/>
                      <w:lang w:val="en-US" w:eastAsia="zh-CN" w:bidi="ar"/>
                    </w:rPr>
                    <w:t>：</w:t>
                  </w:r>
                  <w:r>
                    <w:rPr>
                      <w:rFonts w:hint="default" w:ascii="Times New Roman" w:hAnsi="Times New Roman" w:cs="Times New Roman"/>
                      <w:b w:val="0"/>
                      <w:bCs w:val="0"/>
                      <w:color w:val="auto"/>
                      <w:kern w:val="0"/>
                      <w:sz w:val="21"/>
                      <w:szCs w:val="21"/>
                      <w:lang w:val="en-US" w:eastAsia="zh-CN" w:bidi="ar"/>
                    </w:rPr>
                    <w:t>1.执行宝鸡市生态环境要素分区总体准入清单中“5.1大气环境受体敏感重点管控区的空间布局约束”；2.执行宝鸡市生态环境要素分区总体准入清单中“5.3大气环境布局敏感重点管控区的空间布局约束”；3.执行宝鸡市生态环境要素分区总体准入清单中“5.5水环境工业污染重点管控区的空间布局约束”；4.执行宝鸡市生态环境要素分区总体准入清单中“5.9建设用地污染风险重点管控区的空间布局约束”；5.农用地优先保护区执行宝鸡市生态环境要素分区总体准入清单中“4.2农用地优先保护区的空间布局约束”</w:t>
                  </w:r>
                </w:p>
              </w:tc>
              <w:tc>
                <w:tcPr>
                  <w:tcW w:w="1385" w:type="pct"/>
                  <w:tcBorders>
                    <w:tl2br w:val="nil"/>
                    <w:tr2bl w:val="nil"/>
                  </w:tcBorders>
                  <w:noWrap w:val="0"/>
                  <w:vAlign w:val="center"/>
                </w:tcPr>
                <w:p w14:paraId="509278FA">
                  <w:pPr>
                    <w:numPr>
                      <w:ilvl w:val="0"/>
                      <w:numId w:val="0"/>
                    </w:numPr>
                    <w:autoSpaceDE w:val="0"/>
                    <w:autoSpaceDN w:val="0"/>
                    <w:adjustRightInd w:val="0"/>
                    <w:snapToGrid w:val="0"/>
                    <w:jc w:val="both"/>
                    <w:rPr>
                      <w:rFonts w:hint="default" w:ascii="Times New Roman" w:hAnsi="Times New Roman" w:cs="Times New Roman"/>
                      <w:bCs/>
                      <w:color w:val="auto"/>
                      <w:sz w:val="21"/>
                      <w:szCs w:val="21"/>
                      <w:shd w:val="clear" w:color="auto" w:fill="auto"/>
                      <w:lang w:val="en-US" w:eastAsia="zh-CN"/>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4F405F1D">
                  <w:pPr>
                    <w:numPr>
                      <w:ilvl w:val="0"/>
                      <w:numId w:val="0"/>
                    </w:numPr>
                    <w:autoSpaceDE w:val="0"/>
                    <w:autoSpaceDN w:val="0"/>
                    <w:adjustRightInd w:val="0"/>
                    <w:snapToGrid w:val="0"/>
                    <w:jc w:val="both"/>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bCs/>
                      <w:color w:val="auto"/>
                      <w:sz w:val="21"/>
                      <w:szCs w:val="21"/>
                      <w:shd w:val="clear" w:color="auto" w:fill="auto"/>
                      <w:lang w:val="en-US" w:eastAsia="zh-CN"/>
                    </w:rPr>
                    <w:t>1.本项目</w:t>
                  </w:r>
                  <w:r>
                    <w:rPr>
                      <w:rFonts w:hint="default" w:ascii="Times New Roman" w:hAnsi="Times New Roman" w:cs="Times New Roman"/>
                      <w:color w:val="auto"/>
                      <w:szCs w:val="21"/>
                    </w:rPr>
                    <w:t>属于C3259其他有色金属压延加工</w:t>
                  </w:r>
                  <w:r>
                    <w:rPr>
                      <w:rFonts w:hint="default" w:ascii="Times New Roman" w:hAnsi="Times New Roman" w:cs="Times New Roman"/>
                      <w:color w:val="auto"/>
                      <w:sz w:val="21"/>
                      <w:szCs w:val="21"/>
                      <w:lang w:val="en-US" w:eastAsia="zh-CN"/>
                    </w:rPr>
                    <w:t>，</w:t>
                  </w:r>
                  <w:r>
                    <w:rPr>
                      <w:rFonts w:hint="default" w:ascii="Times New Roman" w:hAnsi="Times New Roman" w:cs="Times New Roman"/>
                      <w:bCs/>
                      <w:color w:val="auto"/>
                      <w:sz w:val="21"/>
                      <w:szCs w:val="21"/>
                      <w:shd w:val="clear" w:color="auto" w:fill="auto"/>
                      <w:lang w:val="en-US" w:eastAsia="zh-CN"/>
                    </w:rPr>
                    <w:t>经查阅《陕西省“两高”项目管理暂行目录》（2022年版）</w:t>
                  </w:r>
                  <w:r>
                    <w:rPr>
                      <w:rFonts w:hint="default" w:ascii="Times New Roman" w:hAnsi="Times New Roman" w:eastAsia="宋体" w:cs="Times New Roman"/>
                      <w:color w:val="auto"/>
                      <w:kern w:val="0"/>
                      <w:sz w:val="21"/>
                      <w:szCs w:val="21"/>
                      <w:lang w:val="en-US" w:eastAsia="zh-CN" w:bidi="ar"/>
                    </w:rPr>
                    <w:t>，本项目不属于</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两高</w:t>
                  </w:r>
                  <w:r>
                    <w:rPr>
                      <w:rFonts w:hint="default" w:ascii="Times New Roman" w:hAnsi="Times New Roman" w:cs="Times New Roman"/>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行业项目。</w:t>
                  </w:r>
                </w:p>
                <w:p w14:paraId="6BBFCCAC">
                  <w:pPr>
                    <w:numPr>
                      <w:ilvl w:val="0"/>
                      <w:numId w:val="0"/>
                    </w:numPr>
                    <w:autoSpaceDE w:val="0"/>
                    <w:autoSpaceDN w:val="0"/>
                    <w:adjustRightInd w:val="0"/>
                    <w:snapToGrid w:val="0"/>
                    <w:jc w:val="both"/>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2.本项目</w:t>
                  </w:r>
                  <w:r>
                    <w:rPr>
                      <w:rFonts w:hint="default" w:ascii="Times New Roman" w:hAnsi="Times New Roman" w:eastAsia="宋体" w:cs="Times New Roman"/>
                      <w:color w:val="auto"/>
                      <w:kern w:val="0"/>
                      <w:sz w:val="21"/>
                      <w:szCs w:val="21"/>
                      <w:lang w:val="en-US" w:eastAsia="zh-CN" w:bidi="ar"/>
                    </w:rPr>
                    <w:t>不属于钢铁、焦化、水泥熟料、平板玻璃、电解铝、氧化铝、煤化工产能</w:t>
                  </w:r>
                  <w:r>
                    <w:rPr>
                      <w:rFonts w:hint="default" w:ascii="Times New Roman" w:hAnsi="Times New Roman" w:cs="Times New Roman"/>
                      <w:color w:val="auto"/>
                      <w:kern w:val="0"/>
                      <w:sz w:val="21"/>
                      <w:szCs w:val="21"/>
                      <w:lang w:val="en-US" w:eastAsia="zh-CN" w:bidi="ar"/>
                    </w:rPr>
                    <w:t>；本项目不属于</w:t>
                  </w:r>
                  <w:r>
                    <w:rPr>
                      <w:rFonts w:hint="default" w:ascii="Times New Roman" w:hAnsi="Times New Roman" w:cs="Times New Roman"/>
                      <w:b w:val="0"/>
                      <w:bCs w:val="0"/>
                      <w:color w:val="auto"/>
                      <w:kern w:val="0"/>
                      <w:sz w:val="21"/>
                      <w:szCs w:val="21"/>
                      <w:lang w:val="en-US" w:eastAsia="zh-CN" w:bidi="ar"/>
                    </w:rPr>
                    <w:t>化学制浆造纸、化工、印染、果汁和淀粉加工等高耗水、高污染项目，符合要求。</w:t>
                  </w:r>
                </w:p>
                <w:p w14:paraId="4087244C">
                  <w:pPr>
                    <w:numPr>
                      <w:ilvl w:val="0"/>
                      <w:numId w:val="0"/>
                    </w:numPr>
                    <w:autoSpaceDE w:val="0"/>
                    <w:autoSpaceDN w:val="0"/>
                    <w:adjustRightInd w:val="0"/>
                    <w:snapToGrid w:val="0"/>
                    <w:jc w:val="both"/>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val="0"/>
                      <w:bCs w:val="0"/>
                      <w:color w:val="auto"/>
                      <w:kern w:val="0"/>
                      <w:sz w:val="21"/>
                      <w:szCs w:val="21"/>
                      <w:lang w:val="en-US" w:eastAsia="zh-CN" w:bidi="ar"/>
                    </w:rPr>
                    <w:t>3.本项目所处地位于陈仓科技工业园内，符合要求；</w:t>
                  </w:r>
                </w:p>
                <w:p w14:paraId="539A24B6">
                  <w:pPr>
                    <w:numPr>
                      <w:ilvl w:val="0"/>
                      <w:numId w:val="0"/>
                    </w:numPr>
                    <w:autoSpaceDE w:val="0"/>
                    <w:autoSpaceDN w:val="0"/>
                    <w:adjustRightInd w:val="0"/>
                    <w:snapToGrid w:val="0"/>
                    <w:jc w:val="both"/>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val="0"/>
                      <w:bCs w:val="0"/>
                      <w:color w:val="auto"/>
                      <w:kern w:val="0"/>
                      <w:sz w:val="21"/>
                      <w:szCs w:val="21"/>
                      <w:lang w:val="en-US" w:eastAsia="zh-CN" w:bidi="ar"/>
                    </w:rPr>
                    <w:t>4.不涉及商住楼及油烟。</w:t>
                  </w:r>
                </w:p>
                <w:p w14:paraId="6FF07587">
                  <w:pPr>
                    <w:numPr>
                      <w:ilvl w:val="0"/>
                      <w:numId w:val="0"/>
                    </w:numPr>
                    <w:autoSpaceDE w:val="0"/>
                    <w:autoSpaceDN w:val="0"/>
                    <w:adjustRightInd w:val="0"/>
                    <w:snapToGrid w:val="0"/>
                    <w:jc w:val="both"/>
                    <w:rPr>
                      <w:rFonts w:hint="default" w:ascii="Times New Roman" w:hAnsi="Times New Roman" w:eastAsia="宋体" w:cs="Times New Roman"/>
                      <w:b/>
                      <w:bCs/>
                      <w:color w:val="auto"/>
                      <w:sz w:val="21"/>
                      <w:szCs w:val="21"/>
                      <w:shd w:val="clear" w:color="auto" w:fill="auto"/>
                      <w:lang w:val="en-US" w:eastAsia="zh-CN"/>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本项目生活污水经化粪池处理后拉运处理。</w:t>
                  </w:r>
                  <w:r>
                    <w:rPr>
                      <w:rFonts w:hint="default" w:ascii="Times New Roman" w:hAnsi="Times New Roman" w:cs="Times New Roman"/>
                      <w:b/>
                      <w:bCs/>
                      <w:color w:val="auto"/>
                      <w:kern w:val="0"/>
                      <w:sz w:val="21"/>
                      <w:szCs w:val="21"/>
                      <w:lang w:val="en-US" w:eastAsia="zh-CN" w:bidi="ar"/>
                    </w:rPr>
                    <w:t>陈仓科技</w:t>
                  </w:r>
                  <w:r>
                    <w:rPr>
                      <w:rFonts w:hint="eastAsia" w:cs="Times New Roman"/>
                      <w:b/>
                      <w:bCs/>
                      <w:color w:val="auto"/>
                      <w:kern w:val="0"/>
                      <w:sz w:val="21"/>
                      <w:szCs w:val="21"/>
                      <w:lang w:val="en-US" w:eastAsia="zh-CN" w:bidi="ar"/>
                    </w:rPr>
                    <w:t>工业园</w:t>
                  </w:r>
                  <w:r>
                    <w:rPr>
                      <w:rFonts w:hint="default" w:ascii="Times New Roman" w:hAnsi="Times New Roman" w:cs="Times New Roman"/>
                      <w:b/>
                      <w:bCs/>
                      <w:color w:val="auto"/>
                      <w:kern w:val="0"/>
                      <w:sz w:val="21"/>
                      <w:szCs w:val="21"/>
                      <w:lang w:val="en-US" w:eastAsia="zh-CN" w:bidi="ar"/>
                    </w:rPr>
                    <w:t>：</w:t>
                  </w:r>
                  <w:r>
                    <w:rPr>
                      <w:rFonts w:hint="default" w:ascii="Times New Roman" w:hAnsi="Times New Roman" w:cs="Times New Roman"/>
                      <w:b w:val="0"/>
                      <w:bCs w:val="0"/>
                      <w:color w:val="auto"/>
                      <w:kern w:val="0"/>
                      <w:sz w:val="21"/>
                      <w:szCs w:val="21"/>
                      <w:lang w:val="en-US" w:eastAsia="zh-CN" w:bidi="ar"/>
                    </w:rPr>
                    <w:t>严格按照宝鸡市生态环境要素进行建设并执行相关规定。</w:t>
                  </w:r>
                </w:p>
              </w:tc>
            </w:tr>
            <w:tr w14:paraId="5D1D35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6" w:hRule="atLeast"/>
              </w:trPr>
              <w:tc>
                <w:tcPr>
                  <w:tcW w:w="465" w:type="pct"/>
                  <w:vMerge w:val="continue"/>
                  <w:tcBorders>
                    <w:tl2br w:val="nil"/>
                    <w:tr2bl w:val="nil"/>
                  </w:tcBorders>
                  <w:noWrap w:val="0"/>
                  <w:vAlign w:val="center"/>
                </w:tcPr>
                <w:p w14:paraId="3B21AA93">
                  <w:pPr>
                    <w:widowControl/>
                    <w:adjustRightInd w:val="0"/>
                    <w:snapToGrid w:val="0"/>
                    <w:jc w:val="both"/>
                    <w:rPr>
                      <w:rFonts w:hint="default" w:ascii="Times New Roman" w:hAnsi="Times New Roman" w:cs="Times New Roman"/>
                      <w:color w:val="auto"/>
                      <w:sz w:val="21"/>
                      <w:szCs w:val="21"/>
                      <w:shd w:val="clear" w:color="auto" w:fill="auto"/>
                    </w:rPr>
                  </w:pPr>
                </w:p>
              </w:tc>
              <w:tc>
                <w:tcPr>
                  <w:tcW w:w="480" w:type="pct"/>
                  <w:vMerge w:val="continue"/>
                  <w:tcBorders>
                    <w:tl2br w:val="nil"/>
                    <w:tr2bl w:val="nil"/>
                  </w:tcBorders>
                  <w:noWrap w:val="0"/>
                  <w:vAlign w:val="center"/>
                </w:tcPr>
                <w:p w14:paraId="47674EC0">
                  <w:pPr>
                    <w:widowControl/>
                    <w:adjustRightInd w:val="0"/>
                    <w:snapToGrid w:val="0"/>
                    <w:jc w:val="both"/>
                    <w:rPr>
                      <w:rFonts w:hint="default" w:ascii="Times New Roman" w:hAnsi="Times New Roman" w:cs="Times New Roman"/>
                      <w:color w:val="auto"/>
                      <w:sz w:val="21"/>
                      <w:szCs w:val="21"/>
                      <w:shd w:val="clear" w:color="auto" w:fill="auto"/>
                    </w:rPr>
                  </w:pPr>
                </w:p>
              </w:tc>
              <w:tc>
                <w:tcPr>
                  <w:tcW w:w="439" w:type="pct"/>
                  <w:tcBorders>
                    <w:tl2br w:val="nil"/>
                    <w:tr2bl w:val="nil"/>
                  </w:tcBorders>
                  <w:noWrap w:val="0"/>
                  <w:vAlign w:val="center"/>
                </w:tcPr>
                <w:p w14:paraId="6BF6146E">
                  <w:pPr>
                    <w:autoSpaceDE w:val="0"/>
                    <w:autoSpaceDN w:val="0"/>
                    <w:adjustRightInd w:val="0"/>
                    <w:snapToGrid w:val="0"/>
                    <w:jc w:val="both"/>
                    <w:rPr>
                      <w:rFonts w:hint="default" w:ascii="Times New Roman" w:hAnsi="Times New Roman" w:eastAsia="宋体" w:cs="Times New Roman"/>
                      <w:bCs/>
                      <w:color w:val="auto"/>
                      <w:kern w:val="2"/>
                      <w:sz w:val="21"/>
                      <w:szCs w:val="21"/>
                      <w:shd w:val="clear" w:color="auto" w:fill="auto"/>
                      <w:lang w:val="en-US" w:eastAsia="zh-CN" w:bidi="ar-SA"/>
                    </w:rPr>
                  </w:pPr>
                  <w:r>
                    <w:rPr>
                      <w:rFonts w:hint="default" w:ascii="Times New Roman" w:hAnsi="Times New Roman" w:cs="Times New Roman"/>
                      <w:bCs/>
                      <w:color w:val="auto"/>
                      <w:sz w:val="21"/>
                      <w:szCs w:val="21"/>
                      <w:shd w:val="clear" w:color="auto" w:fill="auto"/>
                    </w:rPr>
                    <w:t>污染物排放管控</w:t>
                  </w:r>
                </w:p>
              </w:tc>
              <w:tc>
                <w:tcPr>
                  <w:tcW w:w="2229" w:type="pct"/>
                  <w:tcBorders>
                    <w:tl2br w:val="nil"/>
                    <w:tr2bl w:val="nil"/>
                  </w:tcBorders>
                  <w:noWrap w:val="0"/>
                  <w:vAlign w:val="center"/>
                </w:tcPr>
                <w:p w14:paraId="2F1FC418">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11563D82">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5.市辖区及开发区新、改、扩建涉气重点行业企业应达到环保绩效A级、绩效引领性水平。</w:t>
                  </w:r>
                </w:p>
                <w:p w14:paraId="20B2F90A">
                  <w:pPr>
                    <w:keepNext w:val="0"/>
                    <w:keepLines w:val="0"/>
                    <w:widowControl/>
                    <w:suppressLineNumbers w:val="0"/>
                    <w:jc w:val="left"/>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1.</w:t>
                  </w:r>
                  <w:r>
                    <w:rPr>
                      <w:rFonts w:hint="default" w:ascii="Times New Roman" w:hAnsi="Times New Roman" w:eastAsia="宋体" w:cs="Times New Roman"/>
                      <w:color w:val="auto"/>
                      <w:kern w:val="0"/>
                      <w:sz w:val="21"/>
                      <w:szCs w:val="21"/>
                      <w:lang w:val="en-US" w:eastAsia="zh-CN" w:bidi="ar"/>
                    </w:rPr>
                    <w:t>加强城镇污水收集处理设施建设与提标改造。全省黄河流域城镇生活污水处理达到《陕西省黄河流域污水综合排放标准》（DB61/224-2018）加强城镇生活污水处理，提高对生活污水的处理能力，排放限值要求。2.城镇新区管网建设及老旧城区管网升级改造中实行雨污分流，鼓励推进初期雨水收集、处理和资源化利用，建设人工湿地水质净化工程，对处理达标后的尾水进一步净化。3.污水处理厂出水用于绿化、农灌等用途的，合理确定管控要求，确保达到相应污水再生利用标准。</w:t>
                  </w:r>
                </w:p>
                <w:p w14:paraId="0FA41CB1">
                  <w:pPr>
                    <w:keepNext w:val="0"/>
                    <w:keepLines w:val="0"/>
                    <w:widowControl/>
                    <w:suppressLineNumbers w:val="0"/>
                    <w:jc w:val="left"/>
                    <w:rPr>
                      <w:rFonts w:hint="default" w:ascii="Times New Roman" w:hAnsi="Times New Roman" w:cs="Times New Roman"/>
                      <w:color w:val="auto"/>
                      <w:sz w:val="21"/>
                      <w:szCs w:val="21"/>
                      <w:lang w:val="en-US" w:eastAsia="zh-CN"/>
                    </w:rPr>
                  </w:pPr>
                  <w:r>
                    <w:rPr>
                      <w:rFonts w:hint="default" w:ascii="Times New Roman" w:hAnsi="Times New Roman" w:eastAsia="宋体" w:cs="Times New Roman"/>
                      <w:b/>
                      <w:bCs/>
                      <w:color w:val="auto"/>
                      <w:kern w:val="0"/>
                      <w:sz w:val="21"/>
                      <w:szCs w:val="21"/>
                      <w:lang w:val="en-US" w:eastAsia="zh-CN" w:bidi="ar"/>
                    </w:rPr>
                    <w:t>陈仓科技工业园</w:t>
                  </w:r>
                  <w:r>
                    <w:rPr>
                      <w:rFonts w:hint="eastAsia" w:cs="Times New Roman"/>
                      <w:b/>
                      <w:bCs/>
                      <w:color w:val="auto"/>
                      <w:kern w:val="0"/>
                      <w:sz w:val="21"/>
                      <w:szCs w:val="21"/>
                      <w:lang w:val="en-US" w:eastAsia="zh-CN" w:bidi="ar"/>
                    </w:rPr>
                    <w:t>：</w:t>
                  </w:r>
                  <w:r>
                    <w:rPr>
                      <w:rFonts w:hint="default" w:ascii="Times New Roman" w:hAnsi="Times New Roman" w:eastAsia="宋体" w:cs="Times New Roman"/>
                      <w:color w:val="auto"/>
                      <w:kern w:val="0"/>
                      <w:sz w:val="21"/>
                      <w:szCs w:val="21"/>
                      <w:lang w:val="en-US" w:eastAsia="zh-CN" w:bidi="ar"/>
                    </w:rPr>
                    <w:t>1.执行宝鸡市生态环境要素分区总体准入清单中“5.1 大气环境受体敏感重点管控区的污染物排放管控”；2.执行宝鸡市生态环境要素分区总体准入清单中“5.3 大气环境布局敏感重点管控区的污染物排放管控”；3.执行宝鸡市生态环境要素分区总体准入清单中“5.5 水环境工业污染重点管控区的污染物排放管控”。</w:t>
                  </w:r>
                </w:p>
              </w:tc>
              <w:tc>
                <w:tcPr>
                  <w:tcW w:w="1385" w:type="pct"/>
                  <w:tcBorders>
                    <w:tl2br w:val="nil"/>
                    <w:tr2bl w:val="nil"/>
                  </w:tcBorders>
                  <w:noWrap w:val="0"/>
                  <w:vAlign w:val="center"/>
                </w:tcPr>
                <w:p w14:paraId="274949FB">
                  <w:pPr>
                    <w:autoSpaceDE w:val="0"/>
                    <w:autoSpaceDN w:val="0"/>
                    <w:adjustRightInd w:val="0"/>
                    <w:snapToGrid w:val="0"/>
                    <w:jc w:val="both"/>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b/>
                      <w:bCs/>
                      <w:color w:val="auto"/>
                      <w:kern w:val="0"/>
                      <w:sz w:val="21"/>
                      <w:szCs w:val="21"/>
                      <w:lang w:val="en-US" w:eastAsia="zh-CN" w:bidi="ar"/>
                    </w:rPr>
                    <w:t>大气环境受体敏感重点管控区：</w:t>
                  </w:r>
                </w:p>
                <w:p w14:paraId="144E08FE">
                  <w:pPr>
                    <w:autoSpaceDE w:val="0"/>
                    <w:autoSpaceDN w:val="0"/>
                    <w:adjustRightInd w:val="0"/>
                    <w:snapToGrid w:val="0"/>
                    <w:jc w:val="both"/>
                    <w:rPr>
                      <w:rFonts w:hint="default" w:ascii="Times New Roman" w:hAnsi="Times New Roman" w:cs="Times New Roman"/>
                      <w:color w:val="auto"/>
                      <w:kern w:val="0"/>
                      <w:sz w:val="21"/>
                      <w:szCs w:val="21"/>
                      <w:lang w:val="en-US" w:eastAsia="zh-CN" w:bidi="ar"/>
                    </w:rPr>
                  </w:pPr>
                  <w:r>
                    <w:rPr>
                      <w:rFonts w:hint="default" w:ascii="Times New Roman" w:hAnsi="Times New Roman" w:cs="Times New Roman"/>
                      <w:snapToGrid w:val="0"/>
                      <w:color w:val="auto"/>
                      <w:sz w:val="21"/>
                      <w:szCs w:val="21"/>
                      <w:lang w:val="en-US" w:eastAsia="zh-CN"/>
                    </w:rPr>
                    <w:t>经查阅《重污染天气重点行业应急减排措施制定技术指南（2020年修订版）》，本项目虽不属于指南中三十九个涉气重点行业企业</w:t>
                  </w:r>
                  <w:r>
                    <w:rPr>
                      <w:rFonts w:hint="default" w:ascii="Times New Roman" w:hAnsi="Times New Roman" w:cs="Times New Roman"/>
                      <w:color w:val="auto"/>
                      <w:kern w:val="0"/>
                      <w:sz w:val="21"/>
                      <w:szCs w:val="21"/>
                      <w:lang w:val="en-US" w:eastAsia="zh-CN" w:bidi="ar"/>
                    </w:rPr>
                    <w:t>；</w:t>
                  </w:r>
                </w:p>
                <w:p w14:paraId="25FAB928">
                  <w:pPr>
                    <w:autoSpaceDE w:val="0"/>
                    <w:autoSpaceDN w:val="0"/>
                    <w:adjustRightInd w:val="0"/>
                    <w:snapToGrid w:val="0"/>
                    <w:jc w:val="both"/>
                    <w:rPr>
                      <w:rFonts w:hint="default" w:ascii="Times New Roman" w:hAnsi="Times New Roman" w:cs="Times New Roman"/>
                      <w:b w:val="0"/>
                      <w:bCs w:val="0"/>
                      <w:color w:val="auto"/>
                      <w:kern w:val="0"/>
                      <w:sz w:val="21"/>
                      <w:szCs w:val="21"/>
                      <w:lang w:val="en-US" w:eastAsia="zh-CN" w:bidi="ar"/>
                    </w:rPr>
                  </w:pPr>
                  <w:r>
                    <w:rPr>
                      <w:rFonts w:hint="default" w:ascii="Times New Roman" w:hAnsi="Times New Roman" w:cs="Times New Roman"/>
                      <w:b/>
                      <w:bCs/>
                      <w:color w:val="auto"/>
                      <w:kern w:val="0"/>
                      <w:sz w:val="21"/>
                      <w:szCs w:val="21"/>
                      <w:lang w:val="en-US" w:eastAsia="zh-CN" w:bidi="ar"/>
                    </w:rPr>
                    <w:t>水环境工业污染重点管控区：</w:t>
                  </w:r>
                  <w:r>
                    <w:rPr>
                      <w:rFonts w:hint="default" w:ascii="Times New Roman" w:hAnsi="Times New Roman" w:cs="Times New Roman"/>
                      <w:b w:val="0"/>
                      <w:bCs w:val="0"/>
                      <w:color w:val="auto"/>
                      <w:kern w:val="0"/>
                      <w:sz w:val="21"/>
                      <w:szCs w:val="21"/>
                      <w:lang w:val="en-US" w:eastAsia="zh-CN" w:bidi="ar"/>
                    </w:rPr>
                    <w:t>本项目生活污水经化粪池处理后拉运处理。</w:t>
                  </w:r>
                </w:p>
                <w:p w14:paraId="5DEF86D5">
                  <w:pPr>
                    <w:autoSpaceDE w:val="0"/>
                    <w:autoSpaceDN w:val="0"/>
                    <w:adjustRightInd w:val="0"/>
                    <w:snapToGrid w:val="0"/>
                    <w:jc w:val="both"/>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eastAsia="宋体" w:cs="Times New Roman"/>
                      <w:b/>
                      <w:bCs/>
                      <w:color w:val="auto"/>
                      <w:kern w:val="0"/>
                      <w:sz w:val="21"/>
                      <w:szCs w:val="21"/>
                      <w:lang w:val="en-US" w:eastAsia="zh-CN" w:bidi="ar"/>
                    </w:rPr>
                    <w:t>陈仓科技工业园</w:t>
                  </w:r>
                  <w:r>
                    <w:rPr>
                      <w:rFonts w:hint="default" w:ascii="Times New Roman" w:hAnsi="Times New Roman" w:eastAsia="宋体" w:cs="Times New Roman"/>
                      <w:color w:val="auto"/>
                      <w:kern w:val="0"/>
                      <w:sz w:val="21"/>
                      <w:szCs w:val="21"/>
                      <w:lang w:val="en-US" w:eastAsia="zh-CN" w:bidi="ar"/>
                    </w:rPr>
                    <w:t>：</w:t>
                  </w:r>
                  <w:r>
                    <w:rPr>
                      <w:rFonts w:hint="default" w:ascii="Times New Roman" w:hAnsi="Times New Roman" w:cs="Times New Roman"/>
                      <w:b w:val="0"/>
                      <w:bCs w:val="0"/>
                      <w:color w:val="auto"/>
                      <w:kern w:val="0"/>
                      <w:sz w:val="21"/>
                      <w:szCs w:val="21"/>
                      <w:lang w:val="en-US" w:eastAsia="zh-CN" w:bidi="ar"/>
                    </w:rPr>
                    <w:t>严格按照宝鸡市生态环境要素进行建设及执行相关要求。</w:t>
                  </w:r>
                </w:p>
              </w:tc>
            </w:tr>
            <w:tr w14:paraId="3273A3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4" w:hRule="atLeast"/>
              </w:trPr>
              <w:tc>
                <w:tcPr>
                  <w:tcW w:w="465" w:type="pct"/>
                  <w:vMerge w:val="continue"/>
                  <w:tcBorders>
                    <w:tl2br w:val="nil"/>
                    <w:tr2bl w:val="nil"/>
                  </w:tcBorders>
                  <w:noWrap w:val="0"/>
                  <w:vAlign w:val="center"/>
                </w:tcPr>
                <w:p w14:paraId="7EC5E7FE">
                  <w:pPr>
                    <w:widowControl/>
                    <w:adjustRightInd w:val="0"/>
                    <w:snapToGrid w:val="0"/>
                    <w:jc w:val="both"/>
                    <w:rPr>
                      <w:rFonts w:hint="default" w:ascii="Times New Roman" w:hAnsi="Times New Roman" w:cs="Times New Roman"/>
                      <w:color w:val="auto"/>
                      <w:sz w:val="21"/>
                      <w:szCs w:val="21"/>
                      <w:shd w:val="clear" w:color="auto" w:fill="auto"/>
                    </w:rPr>
                  </w:pPr>
                </w:p>
              </w:tc>
              <w:tc>
                <w:tcPr>
                  <w:tcW w:w="480" w:type="pct"/>
                  <w:vMerge w:val="continue"/>
                  <w:tcBorders>
                    <w:tl2br w:val="nil"/>
                    <w:tr2bl w:val="nil"/>
                  </w:tcBorders>
                  <w:noWrap w:val="0"/>
                  <w:vAlign w:val="center"/>
                </w:tcPr>
                <w:p w14:paraId="11C1D607">
                  <w:pPr>
                    <w:widowControl/>
                    <w:adjustRightInd w:val="0"/>
                    <w:snapToGrid w:val="0"/>
                    <w:jc w:val="both"/>
                    <w:rPr>
                      <w:rFonts w:hint="default" w:ascii="Times New Roman" w:hAnsi="Times New Roman" w:cs="Times New Roman"/>
                      <w:color w:val="auto"/>
                      <w:sz w:val="21"/>
                      <w:szCs w:val="21"/>
                      <w:shd w:val="clear" w:color="auto" w:fill="auto"/>
                    </w:rPr>
                  </w:pPr>
                </w:p>
              </w:tc>
              <w:tc>
                <w:tcPr>
                  <w:tcW w:w="439" w:type="pct"/>
                  <w:tcBorders>
                    <w:tl2br w:val="nil"/>
                    <w:tr2bl w:val="nil"/>
                  </w:tcBorders>
                  <w:noWrap w:val="0"/>
                  <w:vAlign w:val="center"/>
                </w:tcPr>
                <w:p w14:paraId="70B16FBE">
                  <w:pPr>
                    <w:autoSpaceDE w:val="0"/>
                    <w:autoSpaceDN w:val="0"/>
                    <w:adjustRightInd w:val="0"/>
                    <w:snapToGrid w:val="0"/>
                    <w:jc w:val="both"/>
                    <w:rPr>
                      <w:rFonts w:hint="default" w:ascii="Times New Roman" w:hAnsi="Times New Roman" w:eastAsia="宋体" w:cs="Times New Roman"/>
                      <w:bCs/>
                      <w:color w:val="auto"/>
                      <w:sz w:val="21"/>
                      <w:szCs w:val="21"/>
                      <w:shd w:val="clear" w:color="auto" w:fill="auto"/>
                      <w:lang w:val="en-US" w:eastAsia="zh-CN"/>
                    </w:rPr>
                  </w:pPr>
                  <w:r>
                    <w:rPr>
                      <w:rFonts w:hint="eastAsia" w:ascii="Times New Roman" w:hAnsi="Times New Roman" w:cs="Times New Roman"/>
                      <w:bCs/>
                      <w:color w:val="auto"/>
                      <w:sz w:val="21"/>
                      <w:szCs w:val="21"/>
                      <w:shd w:val="clear" w:color="auto" w:fill="auto"/>
                      <w:lang w:val="en-US" w:eastAsia="zh-CN"/>
                    </w:rPr>
                    <w:t>环境风险防控环境风险防控</w:t>
                  </w:r>
                </w:p>
              </w:tc>
              <w:tc>
                <w:tcPr>
                  <w:tcW w:w="2229" w:type="pct"/>
                  <w:tcBorders>
                    <w:tl2br w:val="nil"/>
                    <w:tr2bl w:val="nil"/>
                  </w:tcBorders>
                  <w:noWrap w:val="0"/>
                  <w:vAlign w:val="center"/>
                </w:tcPr>
                <w:p w14:paraId="28FA9D51">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eastAsia" w:cs="Times New Roman"/>
                      <w:b/>
                      <w:bCs/>
                      <w:color w:val="auto"/>
                      <w:kern w:val="0"/>
                      <w:sz w:val="21"/>
                      <w:szCs w:val="21"/>
                      <w:lang w:val="en-US" w:eastAsia="zh-CN" w:bidi="ar"/>
                    </w:rPr>
                    <w:t>陈仓科技工业园：</w:t>
                  </w:r>
                  <w:r>
                    <w:rPr>
                      <w:rFonts w:hint="eastAsia" w:ascii="Times New Roman" w:hAnsi="Times New Roman" w:eastAsia="宋体" w:cs="Times New Roman"/>
                      <w:color w:val="auto"/>
                      <w:kern w:val="0"/>
                      <w:sz w:val="21"/>
                      <w:szCs w:val="21"/>
                      <w:lang w:val="en-US" w:eastAsia="zh-CN" w:bidi="ar"/>
                    </w:rPr>
                    <w:t>1.执行宝鸡市生态环境要素分区总体准入清单中“5.9</w:t>
                  </w:r>
                </w:p>
                <w:p w14:paraId="29623F65">
                  <w:pPr>
                    <w:keepNext w:val="0"/>
                    <w:keepLines w:val="0"/>
                    <w:widowControl/>
                    <w:suppressLineNumbers w:val="0"/>
                    <w:jc w:val="left"/>
                    <w:rPr>
                      <w:rFonts w:hint="eastAsia" w:ascii="Times New Roman" w:hAnsi="Times New Roman" w:eastAsia="宋体" w:cs="Times New Roman"/>
                      <w:color w:val="auto"/>
                      <w:kern w:val="0"/>
                      <w:sz w:val="21"/>
                      <w:szCs w:val="21"/>
                      <w:lang w:val="en-US" w:eastAsia="zh-CN" w:bidi="ar"/>
                    </w:rPr>
                  </w:pPr>
                  <w:r>
                    <w:rPr>
                      <w:rFonts w:hint="eastAsia" w:ascii="Times New Roman" w:hAnsi="Times New Roman" w:eastAsia="宋体" w:cs="Times New Roman"/>
                      <w:color w:val="auto"/>
                      <w:kern w:val="0"/>
                      <w:sz w:val="21"/>
                      <w:szCs w:val="21"/>
                      <w:lang w:val="en-US" w:eastAsia="zh-CN" w:bidi="ar"/>
                    </w:rPr>
                    <w:t>建设用地污染风险重点管控区的环境风险防控”。</w:t>
                  </w:r>
                </w:p>
              </w:tc>
              <w:tc>
                <w:tcPr>
                  <w:tcW w:w="1385" w:type="pct"/>
                  <w:tcBorders>
                    <w:tl2br w:val="nil"/>
                    <w:tr2bl w:val="nil"/>
                  </w:tcBorders>
                  <w:noWrap w:val="0"/>
                  <w:vAlign w:val="center"/>
                </w:tcPr>
                <w:p w14:paraId="19023430">
                  <w:pPr>
                    <w:autoSpaceDE w:val="0"/>
                    <w:autoSpaceDN w:val="0"/>
                    <w:adjustRightInd w:val="0"/>
                    <w:snapToGrid w:val="0"/>
                    <w:jc w:val="both"/>
                    <w:rPr>
                      <w:rFonts w:hint="default" w:ascii="Times New Roman" w:hAnsi="Times New Roman" w:eastAsia="宋体" w:cs="Times New Roman"/>
                      <w:b/>
                      <w:bCs/>
                      <w:color w:val="auto"/>
                      <w:kern w:val="0"/>
                      <w:sz w:val="21"/>
                      <w:szCs w:val="21"/>
                      <w:lang w:val="en-US" w:eastAsia="zh-CN" w:bidi="ar"/>
                    </w:rPr>
                  </w:pPr>
                  <w:r>
                    <w:rPr>
                      <w:rFonts w:hint="default" w:ascii="Times New Roman" w:hAnsi="Times New Roman" w:eastAsia="宋体" w:cs="Times New Roman"/>
                      <w:color w:val="auto"/>
                      <w:kern w:val="0"/>
                      <w:sz w:val="21"/>
                      <w:szCs w:val="21"/>
                      <w:lang w:val="en-US" w:eastAsia="zh-CN" w:bidi="ar"/>
                    </w:rPr>
                    <w:t>陈仓科技工业园：</w:t>
                  </w:r>
                  <w:r>
                    <w:rPr>
                      <w:rFonts w:hint="default" w:ascii="Times New Roman" w:hAnsi="Times New Roman" w:cs="Times New Roman"/>
                      <w:b w:val="0"/>
                      <w:bCs w:val="0"/>
                      <w:color w:val="auto"/>
                      <w:kern w:val="0"/>
                      <w:sz w:val="21"/>
                      <w:szCs w:val="21"/>
                      <w:lang w:val="en-US" w:eastAsia="zh-CN" w:bidi="ar"/>
                    </w:rPr>
                    <w:t>严格按照宝鸡市生态环境要素进行建设及执行相关要求。</w:t>
                  </w:r>
                </w:p>
              </w:tc>
            </w:tr>
            <w:tr w14:paraId="2D2C3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465" w:hRule="atLeast"/>
              </w:trPr>
              <w:tc>
                <w:tcPr>
                  <w:tcW w:w="465" w:type="pct"/>
                  <w:vMerge w:val="continue"/>
                  <w:tcBorders>
                    <w:tl2br w:val="nil"/>
                    <w:tr2bl w:val="nil"/>
                  </w:tcBorders>
                  <w:noWrap w:val="0"/>
                  <w:vAlign w:val="center"/>
                </w:tcPr>
                <w:p w14:paraId="7D4C6FA2">
                  <w:pPr>
                    <w:widowControl/>
                    <w:adjustRightInd w:val="0"/>
                    <w:snapToGrid w:val="0"/>
                    <w:jc w:val="both"/>
                    <w:rPr>
                      <w:rFonts w:hint="default" w:ascii="Times New Roman" w:hAnsi="Times New Roman" w:cs="Times New Roman"/>
                      <w:color w:val="auto"/>
                      <w:sz w:val="21"/>
                      <w:szCs w:val="21"/>
                      <w:shd w:val="clear" w:color="auto" w:fill="auto"/>
                    </w:rPr>
                  </w:pPr>
                </w:p>
              </w:tc>
              <w:tc>
                <w:tcPr>
                  <w:tcW w:w="480" w:type="pct"/>
                  <w:vMerge w:val="continue"/>
                  <w:tcBorders>
                    <w:tl2br w:val="nil"/>
                    <w:tr2bl w:val="nil"/>
                  </w:tcBorders>
                  <w:noWrap w:val="0"/>
                  <w:vAlign w:val="center"/>
                </w:tcPr>
                <w:p w14:paraId="0FCED00A">
                  <w:pPr>
                    <w:widowControl/>
                    <w:adjustRightInd w:val="0"/>
                    <w:snapToGrid w:val="0"/>
                    <w:jc w:val="both"/>
                    <w:rPr>
                      <w:rFonts w:hint="default" w:ascii="Times New Roman" w:hAnsi="Times New Roman" w:cs="Times New Roman"/>
                      <w:color w:val="auto"/>
                      <w:sz w:val="21"/>
                      <w:szCs w:val="21"/>
                      <w:shd w:val="clear" w:color="auto" w:fill="auto"/>
                    </w:rPr>
                  </w:pPr>
                </w:p>
              </w:tc>
              <w:tc>
                <w:tcPr>
                  <w:tcW w:w="439" w:type="pct"/>
                  <w:tcBorders>
                    <w:tl2br w:val="nil"/>
                    <w:tr2bl w:val="nil"/>
                  </w:tcBorders>
                  <w:noWrap w:val="0"/>
                  <w:vAlign w:val="center"/>
                </w:tcPr>
                <w:p w14:paraId="38F9A870">
                  <w:pPr>
                    <w:autoSpaceDE w:val="0"/>
                    <w:autoSpaceDN w:val="0"/>
                    <w:adjustRightInd w:val="0"/>
                    <w:snapToGrid w:val="0"/>
                    <w:jc w:val="both"/>
                    <w:rPr>
                      <w:rFonts w:hint="default" w:ascii="Times New Roman" w:hAnsi="Times New Roman" w:eastAsia="宋体" w:cs="Times New Roman"/>
                      <w:bCs/>
                      <w:color w:val="auto"/>
                      <w:sz w:val="21"/>
                      <w:szCs w:val="21"/>
                      <w:shd w:val="clear" w:color="auto" w:fill="auto"/>
                      <w:lang w:val="en-US" w:eastAsia="zh-CN"/>
                    </w:rPr>
                  </w:pPr>
                  <w:r>
                    <w:rPr>
                      <w:rFonts w:hint="default" w:ascii="Times New Roman" w:hAnsi="Times New Roman" w:cs="Times New Roman"/>
                      <w:bCs/>
                      <w:color w:val="auto"/>
                      <w:sz w:val="21"/>
                      <w:szCs w:val="21"/>
                      <w:shd w:val="clear" w:color="auto" w:fill="auto"/>
                      <w:lang w:val="en-US" w:eastAsia="zh-CN"/>
                    </w:rPr>
                    <w:t>资源开发效率要求</w:t>
                  </w:r>
                </w:p>
              </w:tc>
              <w:tc>
                <w:tcPr>
                  <w:tcW w:w="2229" w:type="pct"/>
                  <w:tcBorders>
                    <w:tl2br w:val="nil"/>
                    <w:tr2bl w:val="nil"/>
                  </w:tcBorders>
                  <w:noWrap w:val="0"/>
                  <w:vAlign w:val="center"/>
                </w:tcPr>
                <w:p w14:paraId="56477BF3">
                  <w:pPr>
                    <w:keepNext w:val="0"/>
                    <w:keepLines w:val="0"/>
                    <w:pageBreakBefore w:val="0"/>
                    <w:widowControl/>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snapToGrid w:val="0"/>
                      <w:color w:val="auto"/>
                      <w:kern w:val="0"/>
                      <w:sz w:val="21"/>
                      <w:szCs w:val="21"/>
                      <w:lang w:val="en-US" w:eastAsia="zh-CN" w:bidi="ar"/>
                    </w:rPr>
                    <w:t>生态用水补给区管控分区：</w:t>
                  </w:r>
                  <w:r>
                    <w:rPr>
                      <w:rFonts w:hint="default" w:ascii="Times New Roman" w:hAnsi="Times New Roman" w:eastAsia="宋体" w:cs="Times New Roman"/>
                      <w:snapToGrid w:val="0"/>
                      <w:color w:val="auto"/>
                      <w:kern w:val="0"/>
                      <w:sz w:val="21"/>
                      <w:szCs w:val="21"/>
                      <w:lang w:val="en-US" w:eastAsia="zh-CN" w:bidi="ar"/>
                    </w:rPr>
                    <w:t>1.加强生态流量日常监管，提高枯水期和关键期生态流量，探索生态流量联合监管机制，维持河道生态系统稳定。</w:t>
                  </w:r>
                </w:p>
                <w:p w14:paraId="362AB818">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napToGrid w:val="0"/>
                      <w:color w:val="auto"/>
                      <w:kern w:val="0"/>
                      <w:sz w:val="21"/>
                      <w:szCs w:val="21"/>
                      <w:lang w:val="en-US" w:eastAsia="zh-CN" w:bidi="ar"/>
                    </w:rPr>
                  </w:pPr>
                  <w:r>
                    <w:rPr>
                      <w:rFonts w:hint="eastAsia" w:ascii="Times New Roman" w:hAnsi="Times New Roman" w:eastAsia="宋体" w:cs="Times New Roman"/>
                      <w:snapToGrid w:val="0"/>
                      <w:color w:val="auto"/>
                      <w:kern w:val="0"/>
                      <w:sz w:val="21"/>
                      <w:szCs w:val="21"/>
                      <w:lang w:val="en-US" w:eastAsia="zh-CN" w:bidi="ar"/>
                    </w:rPr>
                    <w:t>2.</w:t>
                  </w:r>
                  <w:r>
                    <w:rPr>
                      <w:rFonts w:hint="default" w:ascii="Times New Roman" w:hAnsi="Times New Roman" w:eastAsia="宋体" w:cs="Times New Roman"/>
                      <w:snapToGrid w:val="0"/>
                      <w:color w:val="auto"/>
                      <w:kern w:val="0"/>
                      <w:sz w:val="21"/>
                      <w:szCs w:val="21"/>
                      <w:lang w:val="en-US" w:eastAsia="zh-CN" w:bidi="ar"/>
                    </w:rPr>
                    <w:t>水资源配置应首先考虑生态用水，保护修复水生态环境。已成工程通过水源置换、退减被挤占的河道内生态环境用水，规划工程应在保障河道生态环境用水的前提下，进行合理开发。3.在保护生态环境和水资源可持续利用的前提下，确保河道内生态用水的要求并兼顾河道内生产用水需求，合理确定河道外用水消耗量不超过河流水系的水资源可利用量。严格执行用水总量指标，在用水总量控制的前提下，逐步退还被挤占的河道内生态环境用水。4.将河湖生态流量保障目标落实纳入水资源调度方案和年度调度计划，以重要水利水电工程和水资源配置工程为重点，实施水资源统一调度，落实水利水电工程生态流量下泄措施。</w:t>
                  </w:r>
                </w:p>
                <w:p w14:paraId="29201F20">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土地资源重点管控区：</w:t>
                  </w:r>
                  <w:r>
                    <w:rPr>
                      <w:rFonts w:hint="default" w:ascii="Times New Roman" w:hAnsi="Times New Roman" w:eastAsia="宋体" w:cs="Times New Roman"/>
                      <w:snapToGrid w:val="0"/>
                      <w:color w:val="auto"/>
                      <w:kern w:val="0"/>
                      <w:sz w:val="21"/>
                      <w:szCs w:val="21"/>
                      <w:lang w:val="en-US" w:eastAsia="zh-CN" w:bidi="ar"/>
                    </w:rPr>
                    <w:t>1.按照布局集中、用地集约、产业集聚、效益集显的原则，重点依托省级以上开发区、县域工业集中区等，推进战略性新兴产业、先进制造业、生产性服务业等产业项目在工业产业区块内集中布局。严格控制在园区外安排新增工业用地。确需在园区外安排重大或有特殊工艺要求工业项目的，须加强科学论证。2.严格用地准入管理。严格执行自然资源开发利用限制和禁止目录、建设用地定额标准和市场准入负面清单。</w:t>
                  </w:r>
                </w:p>
                <w:p w14:paraId="34D30E7D">
                  <w:pPr>
                    <w:keepNext w:val="0"/>
                    <w:keepLines w:val="0"/>
                    <w:pageBreakBefore w:val="0"/>
                    <w:widowControl/>
                    <w:numPr>
                      <w:ilvl w:val="0"/>
                      <w:numId w:val="0"/>
                    </w:numPr>
                    <w:suppressLineNumbers w:val="0"/>
                    <w:kinsoku/>
                    <w:wordWrap/>
                    <w:overflowPunct/>
                    <w:topLinePunct w:val="0"/>
                    <w:autoSpaceDE/>
                    <w:autoSpaceDN/>
                    <w:bidi w:val="0"/>
                    <w:adjustRightInd/>
                    <w:snapToGrid/>
                    <w:spacing w:line="240" w:lineRule="auto"/>
                    <w:jc w:val="both"/>
                    <w:textAlignment w:val="auto"/>
                    <w:rPr>
                      <w:rFonts w:hint="default" w:ascii="Times New Roman" w:hAnsi="Times New Roman" w:eastAsia="宋体" w:cs="Times New Roman"/>
                      <w:snapToGrid w:val="0"/>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高污染燃料禁燃区：</w:t>
                  </w:r>
                  <w:r>
                    <w:rPr>
                      <w:rFonts w:hint="default" w:ascii="Times New Roman" w:hAnsi="Times New Roman" w:eastAsia="宋体" w:cs="Times New Roman"/>
                      <w:snapToGrid w:val="0"/>
                      <w:color w:val="auto"/>
                      <w:kern w:val="0"/>
                      <w:sz w:val="21"/>
                      <w:szCs w:val="21"/>
                      <w:lang w:val="en-US" w:eastAsia="zh-CN" w:bidi="ar"/>
                    </w:rPr>
                    <w:t>1.禁止销售、燃用高污染燃料（35蒸吨及以上锅炉、火力发电企业机组除外）。2.高污染燃料禁燃区执行Ⅲ类（严格）要求，禁止使用煤炭及其制品、石油焦、油页岩、原油、重油、渣油、煤焦油以及非专用锅炉或未配置高效除尘设施的专用锅炉燃用的生物质成型燃料。3.禁止新建、扩建燃用高污染燃料的锅炉、窑炉、炉灶等设施，不得将其他燃料燃用设施改造为高污染燃料燃用设施。禁燃区内集中供热企业必须使用符合《商品煤质量管理暂行办法》的燃煤，发电企业必须使用符合商品煤质量发电煤粉锅炉用煤（GB/T7562-2018）标准的燃煤，不得擅自改用其它类型的高污染燃料，高效除尘、脱硫、脱硝设施必须正常稳定运行，确保大气污染物达标排放。禁止生产、销售和使用高污染燃料。禁止露天烧烤，禁止焦（木）炭烧烤，禁止焚烧垃圾（树叶、杂草）、沥青、油毡、橡胶、皮革等可产生有毒、有害烟尘和恶臭气体的物质。</w:t>
                  </w:r>
                </w:p>
                <w:p w14:paraId="4D2F489D">
                  <w:pPr>
                    <w:keepNext w:val="0"/>
                    <w:keepLines w:val="0"/>
                    <w:widowControl/>
                    <w:suppressLineNumbers w:val="0"/>
                    <w:jc w:val="both"/>
                    <w:rPr>
                      <w:rFonts w:hint="default" w:ascii="Times New Roman" w:hAnsi="Times New Roman" w:cs="Times New Roman"/>
                      <w:b/>
                      <w:bCs/>
                      <w:color w:val="auto"/>
                      <w:kern w:val="0"/>
                      <w:sz w:val="21"/>
                      <w:szCs w:val="21"/>
                      <w:lang w:val="en-US" w:eastAsia="zh-CN" w:bidi="ar"/>
                    </w:rPr>
                  </w:pPr>
                  <w:r>
                    <w:rPr>
                      <w:rFonts w:hint="default" w:ascii="Times New Roman" w:hAnsi="Times New Roman" w:eastAsia="宋体" w:cs="Times New Roman"/>
                      <w:b/>
                      <w:bCs/>
                      <w:snapToGrid w:val="0"/>
                      <w:color w:val="auto"/>
                      <w:kern w:val="0"/>
                      <w:sz w:val="21"/>
                      <w:szCs w:val="21"/>
                      <w:lang w:val="en-US" w:eastAsia="zh-CN" w:bidi="ar"/>
                    </w:rPr>
                    <w:t>陈仓科技工业园</w:t>
                  </w:r>
                  <w:r>
                    <w:rPr>
                      <w:rFonts w:hint="eastAsia" w:eastAsia="宋体" w:cs="Times New Roman"/>
                      <w:snapToGrid w:val="0"/>
                      <w:color w:val="auto"/>
                      <w:kern w:val="0"/>
                      <w:sz w:val="21"/>
                      <w:szCs w:val="21"/>
                      <w:lang w:val="en-US" w:eastAsia="zh-CN" w:bidi="ar"/>
                    </w:rPr>
                    <w:t>：</w:t>
                  </w:r>
                  <w:r>
                    <w:rPr>
                      <w:rFonts w:hint="default" w:ascii="Times New Roman" w:hAnsi="Times New Roman" w:eastAsia="宋体" w:cs="Times New Roman"/>
                      <w:snapToGrid w:val="0"/>
                      <w:color w:val="auto"/>
                      <w:kern w:val="0"/>
                      <w:sz w:val="21"/>
                      <w:szCs w:val="21"/>
                      <w:lang w:val="en-US" w:eastAsia="zh-CN" w:bidi="ar"/>
                    </w:rPr>
                    <w:t>1.执行宝鸡市生态环境要素分区总体准入清单中“5.10 生态用水补给区管控分区的资源利用效率要求”；2.执行宝鸡市生态环境要素分区总体准入清单中“5.12 土地资源重点管控区的资源利用效率要求”；3.执行宝鸡市生态环境要素分区总体准入清单中“5.13 高污染燃料禁燃区的资源利用效率要求”。</w:t>
                  </w:r>
                </w:p>
              </w:tc>
              <w:tc>
                <w:tcPr>
                  <w:tcW w:w="1385" w:type="pct"/>
                  <w:tcBorders>
                    <w:tl2br w:val="nil"/>
                    <w:tr2bl w:val="nil"/>
                  </w:tcBorders>
                  <w:noWrap w:val="0"/>
                  <w:vAlign w:val="center"/>
                </w:tcPr>
                <w:p w14:paraId="35A45DD0">
                  <w:pPr>
                    <w:autoSpaceDE w:val="0"/>
                    <w:autoSpaceDN w:val="0"/>
                    <w:adjustRightInd w:val="0"/>
                    <w:snapToGrid w:val="0"/>
                    <w:jc w:val="both"/>
                    <w:rPr>
                      <w:rFonts w:hint="default" w:ascii="Times New Roman" w:hAnsi="Times New Roman" w:eastAsia="宋体" w:cs="Times New Roman"/>
                      <w:snapToGrid w:val="0"/>
                      <w:color w:val="auto"/>
                      <w:sz w:val="21"/>
                      <w:szCs w:val="21"/>
                      <w:lang w:val="en-US" w:eastAsia="zh-CN"/>
                    </w:rPr>
                  </w:pPr>
                  <w:r>
                    <w:rPr>
                      <w:rFonts w:hint="default" w:ascii="Times New Roman" w:hAnsi="Times New Roman" w:eastAsia="宋体" w:cs="Times New Roman"/>
                      <w:i w:val="0"/>
                      <w:iCs w:val="0"/>
                      <w:color w:val="auto"/>
                      <w:sz w:val="21"/>
                      <w:szCs w:val="21"/>
                      <w:u w:val="none"/>
                      <w:lang w:val="en-US" w:eastAsia="zh-CN"/>
                    </w:rPr>
                    <w:t>本项目运营期</w:t>
                  </w:r>
                  <w:r>
                    <w:rPr>
                      <w:rFonts w:hint="eastAsia" w:ascii="Times New Roman" w:hAnsi="Times New Roman" w:cs="Times New Roman"/>
                      <w:color w:val="auto"/>
                      <w:spacing w:val="8"/>
                      <w:sz w:val="21"/>
                      <w:szCs w:val="21"/>
                      <w:lang w:val="en-US" w:eastAsia="zh-CN"/>
                    </w:rPr>
                    <w:t>生活污水经化粪池处理后拉运处理；</w:t>
                  </w:r>
                  <w:r>
                    <w:rPr>
                      <w:rFonts w:hint="default" w:ascii="Times New Roman" w:hAnsi="Times New Roman" w:eastAsia="宋体" w:cs="Times New Roman"/>
                      <w:i w:val="0"/>
                      <w:iCs w:val="0"/>
                      <w:color w:val="auto"/>
                      <w:sz w:val="21"/>
                      <w:szCs w:val="21"/>
                      <w:u w:val="none"/>
                      <w:lang w:val="en-US" w:eastAsia="zh-CN"/>
                    </w:rPr>
                    <w:t>固废回收利用，严格执行规划要求</w:t>
                  </w:r>
                  <w:r>
                    <w:rPr>
                      <w:rFonts w:hint="eastAsia" w:ascii="Times New Roman" w:hAnsi="Times New Roman" w:eastAsia="宋体" w:cs="Times New Roman"/>
                      <w:i w:val="0"/>
                      <w:iCs w:val="0"/>
                      <w:color w:val="auto"/>
                      <w:sz w:val="21"/>
                      <w:szCs w:val="21"/>
                      <w:u w:val="none"/>
                      <w:lang w:val="en-US" w:eastAsia="zh-CN"/>
                    </w:rPr>
                    <w:t>；项目位于陈仓</w:t>
                  </w:r>
                  <w:r>
                    <w:rPr>
                      <w:rFonts w:hint="eastAsia" w:cs="Times New Roman"/>
                      <w:i w:val="0"/>
                      <w:iCs w:val="0"/>
                      <w:color w:val="auto"/>
                      <w:sz w:val="21"/>
                      <w:szCs w:val="21"/>
                      <w:u w:val="none"/>
                      <w:lang w:val="en-US" w:eastAsia="zh-CN"/>
                    </w:rPr>
                    <w:t>科技工业园内</w:t>
                  </w:r>
                  <w:r>
                    <w:rPr>
                      <w:rFonts w:hint="eastAsia" w:ascii="Times New Roman" w:hAnsi="Times New Roman" w:eastAsia="宋体" w:cs="Times New Roman"/>
                      <w:i w:val="0"/>
                      <w:iCs w:val="0"/>
                      <w:color w:val="auto"/>
                      <w:sz w:val="21"/>
                      <w:szCs w:val="21"/>
                      <w:u w:val="none"/>
                      <w:lang w:val="en-US" w:eastAsia="zh-CN"/>
                    </w:rPr>
                    <w:t>，属于建设用地</w:t>
                  </w:r>
                  <w:r>
                    <w:rPr>
                      <w:rFonts w:hint="default" w:ascii="Times New Roman" w:hAnsi="Times New Roman" w:eastAsia="宋体" w:cs="Times New Roman"/>
                      <w:i w:val="0"/>
                      <w:iCs w:val="0"/>
                      <w:color w:val="auto"/>
                      <w:sz w:val="21"/>
                      <w:szCs w:val="21"/>
                      <w:u w:val="none"/>
                      <w:lang w:val="en-US" w:eastAsia="zh-CN"/>
                    </w:rPr>
                    <w:t>。</w:t>
                  </w:r>
                  <w:r>
                    <w:rPr>
                      <w:rFonts w:hint="eastAsia" w:ascii="Times New Roman" w:hAnsi="Times New Roman" w:eastAsia="宋体" w:cs="Times New Roman"/>
                      <w:i w:val="0"/>
                      <w:iCs w:val="0"/>
                      <w:color w:val="auto"/>
                      <w:sz w:val="21"/>
                      <w:szCs w:val="21"/>
                      <w:u w:val="none"/>
                      <w:lang w:val="en-US" w:eastAsia="zh-CN"/>
                    </w:rPr>
                    <w:t>生产使用电能，不涉及高污染燃料的使用；</w:t>
                  </w:r>
                </w:p>
              </w:tc>
            </w:tr>
          </w:tbl>
          <w:p w14:paraId="39ECA7AE">
            <w:pPr>
              <w:spacing w:line="360" w:lineRule="auto"/>
              <w:ind w:firstLine="480" w:firstLineChars="200"/>
              <w:rPr>
                <w:rFonts w:hint="default" w:ascii="Times New Roman" w:hAnsi="Times New Roman" w:eastAsia="宋体" w:cs="Times New Roman"/>
                <w:b w:val="0"/>
                <w:bCs/>
                <w:color w:val="auto"/>
                <w:sz w:val="24"/>
                <w:szCs w:val="24"/>
                <w:highlight w:val="none"/>
                <w:lang w:eastAsia="zh-CN"/>
              </w:rPr>
            </w:pPr>
            <w:r>
              <w:rPr>
                <w:rFonts w:hint="default" w:ascii="Times New Roman" w:hAnsi="Times New Roman" w:cs="Times New Roman"/>
                <w:b w:val="0"/>
                <w:bCs/>
                <w:color w:val="auto"/>
                <w:sz w:val="24"/>
                <w:szCs w:val="24"/>
                <w:highlight w:val="none"/>
                <w:lang w:eastAsia="zh-CN"/>
              </w:rPr>
              <w:t>（3）“</w:t>
            </w:r>
            <w:r>
              <w:rPr>
                <w:rFonts w:hint="default" w:ascii="Times New Roman" w:hAnsi="Times New Roman" w:cs="Times New Roman"/>
                <w:b w:val="0"/>
                <w:bCs/>
                <w:color w:val="auto"/>
                <w:sz w:val="24"/>
                <w:szCs w:val="24"/>
                <w:highlight w:val="none"/>
                <w:lang w:val="en-US" w:eastAsia="zh-CN"/>
              </w:rPr>
              <w:t>一说明</w:t>
            </w:r>
            <w:r>
              <w:rPr>
                <w:rFonts w:hint="default" w:ascii="Times New Roman" w:hAnsi="Times New Roman" w:cs="Times New Roman"/>
                <w:b w:val="0"/>
                <w:bCs/>
                <w:color w:val="auto"/>
                <w:sz w:val="24"/>
                <w:szCs w:val="24"/>
                <w:highlight w:val="none"/>
                <w:lang w:eastAsia="zh-CN"/>
              </w:rPr>
              <w:t>”</w:t>
            </w:r>
          </w:p>
          <w:p w14:paraId="7BCA9878">
            <w:pPr>
              <w:spacing w:line="360" w:lineRule="auto"/>
              <w:ind w:firstLine="480" w:firstLineChars="200"/>
              <w:rPr>
                <w:rFonts w:hint="default" w:ascii="Times New Roman" w:hAnsi="Times New Roman" w:cs="Times New Roman"/>
                <w:b w:val="0"/>
                <w:bCs/>
                <w:color w:val="auto"/>
                <w:sz w:val="24"/>
                <w:szCs w:val="24"/>
                <w:highlight w:val="none"/>
                <w:lang w:val="en-US" w:eastAsia="zh-CN"/>
              </w:rPr>
            </w:pPr>
            <w:r>
              <w:rPr>
                <w:rFonts w:hint="default" w:ascii="Times New Roman" w:hAnsi="Times New Roman" w:cs="Times New Roman"/>
                <w:b w:val="0"/>
                <w:bCs/>
                <w:color w:val="auto"/>
                <w:sz w:val="24"/>
                <w:szCs w:val="24"/>
                <w:highlight w:val="none"/>
                <w:lang w:val="en-US" w:eastAsia="zh-CN"/>
              </w:rPr>
              <w:t>根据上文分析，项目位于环境管控重点管控单元，项目所在地不涉及生态红线，重点管控单元以优化空间布局、提升资源利用效率、加强污染物减排治理和环境风险防控为重点，解决突出生态环境问题。本项目运营期采取环评报告提出的相应环保治理措施后，各污染物可以做到达标排放，符合方案要求。综上，建设项目符合陕西省“三线一单”管控要求。</w:t>
            </w:r>
          </w:p>
          <w:p w14:paraId="1ABF7150">
            <w:pPr>
              <w:spacing w:line="360" w:lineRule="auto"/>
              <w:ind w:firstLine="482" w:firstLineChars="200"/>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2.项目与相关生态环境保护法律法规和政策、生态环境保护规划的符合性分析：</w:t>
            </w:r>
          </w:p>
          <w:p w14:paraId="4843B51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1-4</w:t>
            </w:r>
            <w:r>
              <w:rPr>
                <w:rFonts w:hint="default" w:ascii="Times New Roman" w:hAnsi="Times New Roman" w:eastAsia="宋体" w:cs="Times New Roman"/>
                <w:b/>
                <w:bCs/>
                <w:color w:val="auto"/>
                <w:sz w:val="21"/>
                <w:szCs w:val="21"/>
                <w:lang w:val="en-US" w:eastAsia="zh-CN"/>
              </w:rPr>
              <w:t xml:space="preserve">  项目与生态环境保护法律法规政策相符性分析表</w:t>
            </w:r>
          </w:p>
          <w:tbl>
            <w:tblPr>
              <w:tblStyle w:val="2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3"/>
              <w:gridCol w:w="3561"/>
              <w:gridCol w:w="2604"/>
              <w:gridCol w:w="885"/>
            </w:tblGrid>
            <w:tr w14:paraId="32F4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noWrap w:val="0"/>
                  <w:vAlign w:val="center"/>
                </w:tcPr>
                <w:p w14:paraId="57740984">
                  <w:pPr>
                    <w:autoSpaceDE w:val="0"/>
                    <w:autoSpaceDN w:val="0"/>
                    <w:adjustRightInd w:val="0"/>
                    <w:snapToGrid w:val="0"/>
                    <w:jc w:val="center"/>
                    <w:rPr>
                      <w:b/>
                      <w:bCs w:val="0"/>
                      <w:color w:val="auto"/>
                      <w:kern w:val="0"/>
                      <w:szCs w:val="21"/>
                    </w:rPr>
                  </w:pPr>
                  <w:r>
                    <w:rPr>
                      <w:b/>
                      <w:bCs w:val="0"/>
                      <w:color w:val="auto"/>
                      <w:kern w:val="0"/>
                      <w:szCs w:val="21"/>
                    </w:rPr>
                    <w:t>政策名称</w:t>
                  </w:r>
                </w:p>
              </w:tc>
              <w:tc>
                <w:tcPr>
                  <w:tcW w:w="2210" w:type="pct"/>
                  <w:noWrap w:val="0"/>
                  <w:vAlign w:val="center"/>
                </w:tcPr>
                <w:p w14:paraId="3818B896">
                  <w:pPr>
                    <w:autoSpaceDE w:val="0"/>
                    <w:autoSpaceDN w:val="0"/>
                    <w:adjustRightInd w:val="0"/>
                    <w:snapToGrid w:val="0"/>
                    <w:jc w:val="center"/>
                    <w:rPr>
                      <w:b/>
                      <w:bCs w:val="0"/>
                      <w:color w:val="auto"/>
                      <w:kern w:val="0"/>
                      <w:szCs w:val="21"/>
                    </w:rPr>
                  </w:pPr>
                  <w:r>
                    <w:rPr>
                      <w:b/>
                      <w:bCs w:val="0"/>
                      <w:color w:val="auto"/>
                      <w:kern w:val="0"/>
                      <w:szCs w:val="21"/>
                    </w:rPr>
                    <w:t>政策要求</w:t>
                  </w:r>
                </w:p>
              </w:tc>
              <w:tc>
                <w:tcPr>
                  <w:tcW w:w="1616" w:type="pct"/>
                  <w:noWrap w:val="0"/>
                  <w:vAlign w:val="center"/>
                </w:tcPr>
                <w:p w14:paraId="4280A657">
                  <w:pPr>
                    <w:autoSpaceDE w:val="0"/>
                    <w:autoSpaceDN w:val="0"/>
                    <w:adjustRightInd w:val="0"/>
                    <w:snapToGrid w:val="0"/>
                    <w:jc w:val="center"/>
                    <w:rPr>
                      <w:rFonts w:hint="eastAsia"/>
                      <w:b/>
                      <w:bCs w:val="0"/>
                      <w:color w:val="auto"/>
                      <w:kern w:val="0"/>
                      <w:szCs w:val="21"/>
                    </w:rPr>
                  </w:pPr>
                  <w:r>
                    <w:rPr>
                      <w:b/>
                      <w:bCs w:val="0"/>
                      <w:color w:val="auto"/>
                      <w:kern w:val="0"/>
                      <w:szCs w:val="21"/>
                    </w:rPr>
                    <w:t>本项目</w:t>
                  </w:r>
                  <w:r>
                    <w:rPr>
                      <w:rFonts w:hint="eastAsia"/>
                      <w:b/>
                      <w:bCs w:val="0"/>
                      <w:color w:val="auto"/>
                      <w:kern w:val="0"/>
                      <w:szCs w:val="21"/>
                    </w:rPr>
                    <w:t>情况</w:t>
                  </w:r>
                </w:p>
              </w:tc>
              <w:tc>
                <w:tcPr>
                  <w:tcW w:w="549" w:type="pct"/>
                  <w:noWrap w:val="0"/>
                  <w:vAlign w:val="center"/>
                </w:tcPr>
                <w:p w14:paraId="5B9A05D5">
                  <w:pPr>
                    <w:autoSpaceDE w:val="0"/>
                    <w:autoSpaceDN w:val="0"/>
                    <w:adjustRightInd w:val="0"/>
                    <w:snapToGrid w:val="0"/>
                    <w:jc w:val="center"/>
                    <w:rPr>
                      <w:b/>
                      <w:bCs w:val="0"/>
                      <w:color w:val="auto"/>
                      <w:kern w:val="0"/>
                      <w:szCs w:val="21"/>
                    </w:rPr>
                  </w:pPr>
                  <w:r>
                    <w:rPr>
                      <w:b/>
                      <w:bCs w:val="0"/>
                      <w:color w:val="auto"/>
                      <w:kern w:val="0"/>
                      <w:szCs w:val="21"/>
                    </w:rPr>
                    <w:t>符合性</w:t>
                  </w:r>
                </w:p>
              </w:tc>
            </w:tr>
            <w:tr w14:paraId="43BC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noWrap w:val="0"/>
                  <w:vAlign w:val="center"/>
                </w:tcPr>
                <w:p w14:paraId="4CB46454">
                  <w:pPr>
                    <w:pStyle w:val="18"/>
                    <w:adjustRightInd w:val="0"/>
                    <w:snapToGrid w:val="0"/>
                    <w:ind w:left="0" w:leftChars="0" w:firstLine="0" w:firstLineChars="0"/>
                    <w:jc w:val="center"/>
                    <w:rPr>
                      <w:rFonts w:ascii="Times New Roman" w:hAnsi="Times New Roman" w:eastAsia="宋体" w:cs="Times New Roman"/>
                      <w:color w:val="auto"/>
                      <w:kern w:val="2"/>
                      <w:sz w:val="21"/>
                      <w:szCs w:val="21"/>
                      <w:lang w:val="en-US" w:eastAsia="zh-CN" w:bidi="ar-SA"/>
                    </w:rPr>
                  </w:pPr>
                  <w:r>
                    <w:rPr>
                      <w:rFonts w:ascii="Times New Roman" w:hAnsi="Times New Roman"/>
                      <w:color w:val="auto"/>
                      <w:szCs w:val="21"/>
                    </w:rPr>
                    <w:fldChar w:fldCharType="begin"/>
                  </w:r>
                  <w:r>
                    <w:rPr>
                      <w:rFonts w:ascii="Times New Roman" w:hAnsi="Times New Roman"/>
                      <w:color w:val="auto"/>
                      <w:szCs w:val="21"/>
                    </w:rPr>
                    <w:instrText xml:space="preserve"> HYPERLINK "http://www.so.com/link?m=apDMzikHK1dcv5w1mKomoWn2qX0w9Quf0bkSouhhIGOW3%2B7BmVwE9bmklZR4yM1vpund%2FLyLjVn8xLFMO8M7v8LjKXXwJGMDpYDha9wYyyVeU%2Fs8zJ42Q7kDU6vbVhAVQa9pd2el%2FWr5gtLCBHbCO3YDXD4csoPZ4fvXuYRDq9DOUqfFTJkzEDowszYUSGz%2BklxoYLe%2BrGDWNELcrS614EZHLG53%2B9%2FrfLh0Vw5hSoAq%2F1hb3tDMmUcADD8%2FCKY3pUVL6TErXtV6V9giXgV9EvQbRIbj7Ybqs4UgwbbBNWOU%3D" \t "_blank" </w:instrText>
                  </w:r>
                  <w:r>
                    <w:rPr>
                      <w:rFonts w:ascii="Times New Roman" w:hAnsi="Times New Roman"/>
                      <w:color w:val="auto"/>
                      <w:szCs w:val="21"/>
                    </w:rPr>
                    <w:fldChar w:fldCharType="separate"/>
                  </w:r>
                  <w:r>
                    <w:rPr>
                      <w:rFonts w:ascii="Times New Roman" w:hAnsi="Times New Roman"/>
                      <w:color w:val="auto"/>
                      <w:szCs w:val="21"/>
                    </w:rPr>
                    <w:t>《</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十四五</w:t>
                  </w:r>
                  <w:r>
                    <w:rPr>
                      <w:rFonts w:hint="eastAsia" w:ascii="Times New Roman" w:hAnsi="Times New Roman"/>
                      <w:color w:val="auto"/>
                      <w:szCs w:val="21"/>
                      <w:lang w:eastAsia="zh-CN"/>
                    </w:rPr>
                    <w:t>”</w:t>
                  </w:r>
                  <w:r>
                    <w:rPr>
                      <w:rFonts w:hint="eastAsia" w:ascii="Times New Roman" w:hAnsi="Times New Roman"/>
                      <w:color w:val="auto"/>
                      <w:szCs w:val="21"/>
                      <w:lang w:val="en-US" w:eastAsia="zh-CN"/>
                    </w:rPr>
                    <w:t>节能减排综合工作方案</w:t>
                  </w:r>
                  <w:r>
                    <w:rPr>
                      <w:rFonts w:ascii="Times New Roman" w:hAnsi="Times New Roman"/>
                      <w:color w:val="auto"/>
                      <w:szCs w:val="21"/>
                    </w:rPr>
                    <w:t>》</w:t>
                  </w:r>
                  <w:r>
                    <w:rPr>
                      <w:rFonts w:ascii="Times New Roman" w:hAnsi="Times New Roman"/>
                      <w:color w:val="auto"/>
                      <w:szCs w:val="21"/>
                    </w:rPr>
                    <w:fldChar w:fldCharType="end"/>
                  </w:r>
                </w:p>
              </w:tc>
              <w:tc>
                <w:tcPr>
                  <w:tcW w:w="2210" w:type="pct"/>
                  <w:noWrap w:val="0"/>
                  <w:vAlign w:val="center"/>
                </w:tcPr>
                <w:p w14:paraId="4E96BF4E">
                  <w:pPr>
                    <w:pStyle w:val="45"/>
                    <w:adjustRightInd w:val="0"/>
                    <w:snapToGrid w:val="0"/>
                    <w:rPr>
                      <w:rFonts w:hint="default" w:ascii="Times New Roman" w:hAnsi="Times New Roman" w:eastAsia="宋体" w:cs="Times New Roman"/>
                      <w:color w:val="auto"/>
                      <w:kern w:val="2"/>
                      <w:sz w:val="21"/>
                      <w:szCs w:val="20"/>
                      <w:lang w:val="en-US" w:eastAsia="zh-CN" w:bidi="ar-SA"/>
                    </w:rPr>
                  </w:pPr>
                  <w:r>
                    <w:rPr>
                      <w:rFonts w:hint="default"/>
                      <w:color w:val="auto"/>
                      <w:lang w:val="en-US" w:eastAsia="zh-CN"/>
                    </w:rPr>
                    <w:t>根据国家产业规划、产业政策、节能审查、环境影响评价审批等政策规定，对在建、拟建、建成的高耗能高排放项目（以</w:t>
                  </w:r>
                  <w:r>
                    <w:rPr>
                      <w:rFonts w:hint="eastAsia"/>
                      <w:color w:val="auto"/>
                      <w:lang w:val="en-US" w:eastAsia="zh-CN"/>
                    </w:rPr>
                    <w:t>下简</w:t>
                  </w:r>
                  <w:r>
                    <w:rPr>
                      <w:rFonts w:hint="default"/>
                      <w:color w:val="auto"/>
                      <w:lang w:val="en-US" w:eastAsia="zh-CN"/>
                    </w:rPr>
                    <w:t>称“两高”项目）开展评估检查，建立工作清单，明确处置意见，严禁违规“两高”项目建设、运行，坚决拿下不符合要求的“两高”项目。加强对“两高”项目节能审查、环境影响评价审批程序和结果执行的监督评估，对审批能力不适应的依法依规调整上收审批权。</w:t>
                  </w:r>
                </w:p>
              </w:tc>
              <w:tc>
                <w:tcPr>
                  <w:tcW w:w="1616" w:type="pct"/>
                  <w:noWrap w:val="0"/>
                  <w:vAlign w:val="center"/>
                </w:tcPr>
                <w:p w14:paraId="063C672A">
                  <w:pPr>
                    <w:autoSpaceDE w:val="0"/>
                    <w:autoSpaceDN w:val="0"/>
                    <w:adjustRightInd w:val="0"/>
                    <w:snapToGrid w:val="0"/>
                    <w:jc w:val="center"/>
                    <w:rPr>
                      <w:rFonts w:hint="default"/>
                      <w:bCs/>
                      <w:color w:val="auto"/>
                      <w:kern w:val="0"/>
                      <w:szCs w:val="21"/>
                      <w:lang w:val="en-US"/>
                    </w:rPr>
                  </w:pPr>
                  <w:r>
                    <w:rPr>
                      <w:rFonts w:hint="eastAsia" w:ascii="Times New Roman" w:hAnsi="Times New Roman" w:cs="Times New Roman"/>
                      <w:bCs/>
                      <w:color w:val="auto"/>
                      <w:kern w:val="2"/>
                      <w:sz w:val="21"/>
                      <w:szCs w:val="21"/>
                      <w:lang w:val="en-US" w:eastAsia="zh-CN" w:bidi="ar-SA"/>
                    </w:rPr>
                    <w:t>本项目为</w:t>
                  </w:r>
                  <w:r>
                    <w:rPr>
                      <w:rFonts w:hint="eastAsia" w:cs="Times New Roman"/>
                      <w:bCs/>
                      <w:color w:val="auto"/>
                      <w:kern w:val="2"/>
                      <w:sz w:val="21"/>
                      <w:szCs w:val="21"/>
                      <w:lang w:val="en-US" w:eastAsia="zh-CN" w:bidi="ar-SA"/>
                    </w:rPr>
                    <w:t>C3259其他有色金属压延加工</w:t>
                  </w:r>
                  <w:r>
                    <w:rPr>
                      <w:rFonts w:hint="eastAsia" w:ascii="Times New Roman" w:hAnsi="Times New Roman" w:cs="Times New Roman"/>
                      <w:bCs/>
                      <w:color w:val="auto"/>
                      <w:kern w:val="2"/>
                      <w:sz w:val="21"/>
                      <w:szCs w:val="21"/>
                      <w:lang w:val="en-US" w:eastAsia="zh-CN" w:bidi="ar-SA"/>
                    </w:rPr>
                    <w:t>，经查阅</w:t>
                  </w:r>
                  <w:r>
                    <w:rPr>
                      <w:rFonts w:hint="eastAsia"/>
                      <w:bCs/>
                      <w:color w:val="auto"/>
                      <w:shd w:val="clear" w:color="auto" w:fill="auto"/>
                      <w:lang w:val="en-US" w:eastAsia="zh-CN"/>
                    </w:rPr>
                    <w:t>《陕西省“两高”项目管理暂行目录》（2022年版），可知本项目不属于“两高”行业项目。</w:t>
                  </w:r>
                </w:p>
              </w:tc>
              <w:tc>
                <w:tcPr>
                  <w:tcW w:w="549" w:type="pct"/>
                  <w:noWrap w:val="0"/>
                  <w:vAlign w:val="center"/>
                </w:tcPr>
                <w:p w14:paraId="458B6233">
                  <w:pPr>
                    <w:autoSpaceDE w:val="0"/>
                    <w:autoSpaceDN w:val="0"/>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符合</w:t>
                  </w:r>
                </w:p>
              </w:tc>
            </w:tr>
            <w:tr w14:paraId="106CF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noWrap w:val="0"/>
                  <w:vAlign w:val="center"/>
                </w:tcPr>
                <w:p w14:paraId="73657243">
                  <w:pPr>
                    <w:topLinePunct/>
                    <w:adjustRightInd w:val="0"/>
                    <w:jc w:val="center"/>
                    <w:rPr>
                      <w:rFonts w:ascii="宋体" w:hAnsi="宋体" w:eastAsia="宋体" w:cs="宋体"/>
                      <w:color w:val="auto"/>
                      <w:kern w:val="2"/>
                      <w:sz w:val="21"/>
                      <w:szCs w:val="24"/>
                      <w:lang w:val="en-US" w:eastAsia="zh-CN" w:bidi="ar-SA"/>
                    </w:rPr>
                  </w:pPr>
                  <w:r>
                    <w:rPr>
                      <w:rFonts w:hint="eastAsia" w:ascii="Times New Roman" w:hAnsi="Times New Roman" w:eastAsiaTheme="minorEastAsia"/>
                      <w:color w:val="auto"/>
                      <w:szCs w:val="21"/>
                    </w:rPr>
                    <w:t>《工业炉窑大气污染综合治理方案》环大气〔2019〕56号</w:t>
                  </w:r>
                </w:p>
                <w:p w14:paraId="41F95F17">
                  <w:pPr>
                    <w:autoSpaceDE w:val="0"/>
                    <w:autoSpaceDN w:val="0"/>
                    <w:adjustRightInd w:val="0"/>
                    <w:snapToGrid w:val="0"/>
                    <w:jc w:val="center"/>
                    <w:rPr>
                      <w:bCs/>
                      <w:color w:val="auto"/>
                      <w:kern w:val="0"/>
                      <w:szCs w:val="21"/>
                    </w:rPr>
                  </w:pPr>
                </w:p>
              </w:tc>
              <w:tc>
                <w:tcPr>
                  <w:tcW w:w="2210" w:type="pct"/>
                  <w:noWrap w:val="0"/>
                  <w:vAlign w:val="center"/>
                </w:tcPr>
                <w:p w14:paraId="0E5CFA02">
                  <w:pPr>
                    <w:topLinePunct/>
                    <w:adjustRightInd w:val="0"/>
                    <w:jc w:val="center"/>
                    <w:rPr>
                      <w:rFonts w:hint="eastAsia" w:ascii="Times New Roman" w:hAnsi="Times New Roman" w:cs="Times New Roman" w:eastAsiaTheme="minorEastAsia"/>
                      <w:bCs/>
                      <w:color w:val="auto"/>
                      <w:kern w:val="2"/>
                      <w:sz w:val="21"/>
                      <w:szCs w:val="21"/>
                      <w:lang w:val="en-US" w:eastAsia="zh-CN" w:bidi="ar-SA"/>
                    </w:rPr>
                  </w:pPr>
                  <w:r>
                    <w:rPr>
                      <w:rFonts w:ascii="Times New Roman" w:hAnsi="Times New Roman" w:eastAsiaTheme="minorEastAsia"/>
                      <w:bCs/>
                      <w:color w:val="auto"/>
                      <w:szCs w:val="21"/>
                    </w:rPr>
                    <w:t>重点区域严格控制涉工业炉窑建设项目，严禁新增钢铁、焦化、电解铝、铸造、水泥和平板玻璃等产能</w:t>
                  </w:r>
                </w:p>
              </w:tc>
              <w:tc>
                <w:tcPr>
                  <w:tcW w:w="1616" w:type="pct"/>
                  <w:noWrap w:val="0"/>
                  <w:vAlign w:val="center"/>
                </w:tcPr>
                <w:p w14:paraId="58792C65">
                  <w:pPr>
                    <w:pStyle w:val="72"/>
                    <w:spacing w:line="240" w:lineRule="auto"/>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本项目为C3259其他有色金属压延加工，不属于钢铁、焦化、电解铝、铸造、水泥和平板玻璃等产能的项目。</w:t>
                  </w:r>
                </w:p>
              </w:tc>
              <w:tc>
                <w:tcPr>
                  <w:tcW w:w="549" w:type="pct"/>
                  <w:noWrap w:val="0"/>
                  <w:vAlign w:val="center"/>
                </w:tcPr>
                <w:p w14:paraId="2A91B68E">
                  <w:pPr>
                    <w:autoSpaceDE w:val="0"/>
                    <w:autoSpaceDN w:val="0"/>
                    <w:adjustRightInd w:val="0"/>
                    <w:snapToGrid w:val="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符合</w:t>
                  </w:r>
                </w:p>
              </w:tc>
            </w:tr>
            <w:tr w14:paraId="61001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noWrap w:val="0"/>
                  <w:vAlign w:val="center"/>
                </w:tcPr>
                <w:p w14:paraId="360F6EF8">
                  <w:pPr>
                    <w:autoSpaceDE w:val="0"/>
                    <w:autoSpaceDN w:val="0"/>
                    <w:adjustRightInd w:val="0"/>
                    <w:snapToGrid w:val="0"/>
                    <w:jc w:val="center"/>
                    <w:rPr>
                      <w:bCs/>
                      <w:color w:val="auto"/>
                      <w:kern w:val="0"/>
                      <w:szCs w:val="21"/>
                    </w:rPr>
                  </w:pPr>
                </w:p>
              </w:tc>
              <w:tc>
                <w:tcPr>
                  <w:tcW w:w="2210" w:type="pct"/>
                  <w:noWrap w:val="0"/>
                  <w:vAlign w:val="center"/>
                </w:tcPr>
                <w:p w14:paraId="521E8B69">
                  <w:pPr>
                    <w:topLinePunct/>
                    <w:adjustRightInd w:val="0"/>
                    <w:jc w:val="center"/>
                    <w:rPr>
                      <w:rFonts w:hint="eastAsia" w:ascii="Times New Roman" w:hAnsi="Times New Roman" w:cs="Times New Roman" w:eastAsiaTheme="minorEastAsia"/>
                      <w:bCs/>
                      <w:color w:val="auto"/>
                      <w:kern w:val="2"/>
                      <w:sz w:val="21"/>
                      <w:szCs w:val="21"/>
                      <w:lang w:val="en-US" w:eastAsia="zh-CN" w:bidi="ar-SA"/>
                    </w:rPr>
                  </w:pPr>
                  <w:r>
                    <w:rPr>
                      <w:rFonts w:ascii="Times New Roman" w:hAnsi="Times New Roman" w:eastAsiaTheme="minorEastAsia"/>
                      <w:bCs/>
                      <w:color w:val="auto"/>
                      <w:szCs w:val="21"/>
                    </w:rPr>
                    <w:t>加快淘汰燃煤工业炉窑。重点区域取缔燃煤热风炉，基本淘汰热电联产供热管网覆盖范围内的燃煤加热、烘干炉（窑）</w:t>
                  </w:r>
                </w:p>
              </w:tc>
              <w:tc>
                <w:tcPr>
                  <w:tcW w:w="1616" w:type="pct"/>
                  <w:noWrap w:val="0"/>
                  <w:vAlign w:val="center"/>
                </w:tcPr>
                <w:p w14:paraId="436E2525">
                  <w:pPr>
                    <w:pStyle w:val="72"/>
                    <w:spacing w:line="240" w:lineRule="auto"/>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本项目预热炉、加热炉均为电炉，不使用燃煤作为能源进行生产</w:t>
                  </w:r>
                </w:p>
              </w:tc>
              <w:tc>
                <w:tcPr>
                  <w:tcW w:w="549" w:type="pct"/>
                  <w:noWrap w:val="0"/>
                  <w:vAlign w:val="center"/>
                </w:tcPr>
                <w:p w14:paraId="428297F2">
                  <w:pPr>
                    <w:autoSpaceDE w:val="0"/>
                    <w:autoSpaceDN w:val="0"/>
                    <w:adjustRightInd w:val="0"/>
                    <w:snapToGrid w:val="0"/>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符合</w:t>
                  </w:r>
                </w:p>
              </w:tc>
            </w:tr>
            <w:tr w14:paraId="3614D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noWrap w:val="0"/>
                  <w:vAlign w:val="center"/>
                </w:tcPr>
                <w:p w14:paraId="0F541B0C">
                  <w:pPr>
                    <w:autoSpaceDE w:val="0"/>
                    <w:autoSpaceDN w:val="0"/>
                    <w:adjustRightInd w:val="0"/>
                    <w:snapToGrid w:val="0"/>
                    <w:jc w:val="center"/>
                    <w:rPr>
                      <w:bCs/>
                      <w:color w:val="auto"/>
                      <w:kern w:val="0"/>
                      <w:szCs w:val="21"/>
                    </w:rPr>
                  </w:pPr>
                </w:p>
              </w:tc>
              <w:tc>
                <w:tcPr>
                  <w:tcW w:w="2210" w:type="pct"/>
                  <w:noWrap w:val="0"/>
                  <w:vAlign w:val="center"/>
                </w:tcPr>
                <w:p w14:paraId="195B9A40">
                  <w:pPr>
                    <w:topLinePunct/>
                    <w:adjustRightInd w:val="0"/>
                    <w:jc w:val="center"/>
                    <w:rPr>
                      <w:rFonts w:hint="eastAsia" w:ascii="Times New Roman" w:hAnsi="Times New Roman" w:eastAsiaTheme="minorEastAsia"/>
                      <w:bCs/>
                      <w:color w:val="auto"/>
                      <w:szCs w:val="21"/>
                    </w:rPr>
                  </w:pPr>
                  <w:r>
                    <w:rPr>
                      <w:rFonts w:hint="eastAsia" w:ascii="Times New Roman" w:hAnsi="Times New Roman" w:eastAsiaTheme="minorEastAsia"/>
                      <w:bCs/>
                      <w:color w:val="auto"/>
                      <w:szCs w:val="21"/>
                    </w:rPr>
                    <w:t>实施污染深度治理。推进工业炉</w:t>
                  </w:r>
                </w:p>
                <w:p w14:paraId="34EE81D5">
                  <w:pPr>
                    <w:topLinePunct/>
                    <w:adjustRightInd w:val="0"/>
                    <w:jc w:val="center"/>
                    <w:rPr>
                      <w:rFonts w:hint="eastAsia" w:ascii="Times New Roman" w:hAnsi="Times New Roman" w:cs="Times New Roman" w:eastAsiaTheme="minorEastAsia"/>
                      <w:bCs/>
                      <w:color w:val="auto"/>
                      <w:kern w:val="2"/>
                      <w:sz w:val="21"/>
                      <w:szCs w:val="21"/>
                      <w:lang w:val="en-US" w:eastAsia="zh-CN" w:bidi="ar-SA"/>
                    </w:rPr>
                  </w:pPr>
                  <w:r>
                    <w:rPr>
                      <w:rFonts w:hint="eastAsia" w:ascii="Times New Roman" w:hAnsi="Times New Roman" w:eastAsiaTheme="minorEastAsia"/>
                      <w:bCs/>
                      <w:color w:val="auto"/>
                      <w:szCs w:val="21"/>
                    </w:rPr>
                    <w:t>窑全面达标排放。</w:t>
                  </w:r>
                </w:p>
              </w:tc>
              <w:tc>
                <w:tcPr>
                  <w:tcW w:w="1616" w:type="pct"/>
                  <w:noWrap w:val="0"/>
                  <w:vAlign w:val="center"/>
                </w:tcPr>
                <w:p w14:paraId="213B4178">
                  <w:pPr>
                    <w:pStyle w:val="72"/>
                    <w:spacing w:line="240" w:lineRule="auto"/>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本项目使用电炉进行生产，加热过程无废气产生</w:t>
                  </w:r>
                </w:p>
              </w:tc>
              <w:tc>
                <w:tcPr>
                  <w:tcW w:w="549" w:type="pct"/>
                  <w:noWrap w:val="0"/>
                  <w:vAlign w:val="center"/>
                </w:tcPr>
                <w:p w14:paraId="08B78787">
                  <w:pPr>
                    <w:autoSpaceDE w:val="0"/>
                    <w:autoSpaceDN w:val="0"/>
                    <w:adjustRightInd w:val="0"/>
                    <w:snapToGrid w:val="0"/>
                    <w:jc w:val="center"/>
                    <w:rPr>
                      <w:rFonts w:hint="default" w:ascii="Times New Roman" w:hAnsi="Times New Roman" w:eastAsia="宋体" w:cs="Times New Roman"/>
                      <w:bCs/>
                      <w:color w:val="auto"/>
                      <w:kern w:val="0"/>
                      <w:sz w:val="21"/>
                      <w:szCs w:val="21"/>
                      <w:lang w:val="en-US" w:eastAsia="zh-CN" w:bidi="ar-SA"/>
                    </w:rPr>
                  </w:pPr>
                  <w:r>
                    <w:rPr>
                      <w:rFonts w:hint="eastAsia" w:cs="Times New Roman"/>
                      <w:bCs/>
                      <w:color w:val="auto"/>
                      <w:kern w:val="0"/>
                      <w:sz w:val="21"/>
                      <w:szCs w:val="21"/>
                      <w:lang w:val="en-US" w:eastAsia="zh-CN" w:bidi="ar-SA"/>
                    </w:rPr>
                    <w:t>符合</w:t>
                  </w:r>
                </w:p>
              </w:tc>
            </w:tr>
            <w:tr w14:paraId="13527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noWrap w:val="0"/>
                  <w:vAlign w:val="center"/>
                </w:tcPr>
                <w:p w14:paraId="0A991BAE">
                  <w:pPr>
                    <w:topLinePunct/>
                    <w:adjustRightInd w:val="0"/>
                    <w:jc w:val="center"/>
                    <w:rPr>
                      <w:bCs/>
                      <w:color w:val="auto"/>
                      <w:kern w:val="0"/>
                      <w:szCs w:val="21"/>
                    </w:rPr>
                  </w:pPr>
                  <w:r>
                    <w:rPr>
                      <w:rFonts w:hint="eastAsia" w:ascii="Times New Roman" w:hAnsi="Times New Roman" w:cs="Times New Roman"/>
                      <w:color w:val="auto"/>
                      <w:sz w:val="21"/>
                      <w:szCs w:val="21"/>
                      <w:lang w:val="en-US" w:eastAsia="zh-Hans"/>
                    </w:rPr>
                    <w:t>《</w:t>
                  </w:r>
                  <w:r>
                    <w:rPr>
                      <w:rFonts w:hint="eastAsia" w:ascii="Times New Roman" w:hAnsi="Times New Roman" w:eastAsia="宋体" w:cs="Times New Roman"/>
                      <w:color w:val="auto"/>
                      <w:sz w:val="21"/>
                      <w:szCs w:val="21"/>
                      <w:lang w:val="en-US" w:eastAsia="zh-CN"/>
                    </w:rPr>
                    <w:t>宝鸡市</w:t>
                  </w:r>
                  <w:r>
                    <w:rPr>
                      <w:rFonts w:hint="eastAsia" w:ascii="Times New Roman" w:hAnsi="Times New Roman" w:cs="Times New Roman"/>
                      <w:color w:val="auto"/>
                      <w:sz w:val="21"/>
                      <w:szCs w:val="21"/>
                      <w:lang w:val="en-US" w:eastAsia="zh-Hans"/>
                    </w:rPr>
                    <w:t>工业炉窑大气污染综合治理实施方案》</w:t>
                  </w:r>
                </w:p>
              </w:tc>
              <w:tc>
                <w:tcPr>
                  <w:tcW w:w="2210" w:type="pct"/>
                  <w:noWrap w:val="0"/>
                  <w:vAlign w:val="center"/>
                </w:tcPr>
                <w:p w14:paraId="33DBC9F0">
                  <w:pPr>
                    <w:jc w:val="center"/>
                    <w:rPr>
                      <w:rFonts w:hint="default" w:ascii="Times New Roman" w:hAnsi="Times New Roman" w:eastAsia="宋体" w:cs="Times New Roman"/>
                      <w:color w:val="auto"/>
                      <w:kern w:val="2"/>
                      <w:sz w:val="21"/>
                      <w:szCs w:val="21"/>
                      <w:shd w:val="clear" w:color="auto" w:fill="FFFFFF"/>
                      <w:lang w:val="en-US" w:eastAsia="zh-CN" w:bidi="ar-SA"/>
                    </w:rPr>
                  </w:pPr>
                  <w:r>
                    <w:rPr>
                      <w:rFonts w:hint="eastAsia" w:ascii="Times New Roman" w:hAnsi="Times New Roman" w:eastAsia="宋体"/>
                      <w:color w:val="auto"/>
                      <w:spacing w:val="8"/>
                      <w:szCs w:val="21"/>
                      <w:shd w:val="clear" w:color="auto" w:fill="FFFFFF"/>
                    </w:rPr>
                    <w:t>新建涉工业炉窑的建设项目，原则上要入园区，配套建设高效环保治理设施</w:t>
                  </w:r>
                </w:p>
              </w:tc>
              <w:tc>
                <w:tcPr>
                  <w:tcW w:w="1616" w:type="pct"/>
                  <w:vMerge w:val="restart"/>
                  <w:noWrap w:val="0"/>
                  <w:vAlign w:val="center"/>
                </w:tcPr>
                <w:p w14:paraId="10984FE7">
                  <w:pPr>
                    <w:pStyle w:val="72"/>
                    <w:spacing w:line="240" w:lineRule="auto"/>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本项目位于陈仓区科技工业园内，符合要求。本项目为C3259其他有色金属压延加工，不属于钢铁、焦化、电解铝、铸造、水泥和平板玻璃等产能的项目。</w:t>
                  </w:r>
                </w:p>
              </w:tc>
              <w:tc>
                <w:tcPr>
                  <w:tcW w:w="549" w:type="pct"/>
                  <w:vMerge w:val="restart"/>
                  <w:noWrap w:val="0"/>
                  <w:vAlign w:val="center"/>
                </w:tcPr>
                <w:p w14:paraId="79FC441B">
                  <w:pPr>
                    <w:autoSpaceDE w:val="0"/>
                    <w:autoSpaceDN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符合</w:t>
                  </w:r>
                </w:p>
              </w:tc>
            </w:tr>
            <w:tr w14:paraId="3E090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noWrap w:val="0"/>
                  <w:vAlign w:val="center"/>
                </w:tcPr>
                <w:p w14:paraId="45196EF9">
                  <w:pPr>
                    <w:autoSpaceDE w:val="0"/>
                    <w:autoSpaceDN w:val="0"/>
                    <w:adjustRightInd w:val="0"/>
                    <w:snapToGrid w:val="0"/>
                    <w:jc w:val="center"/>
                    <w:rPr>
                      <w:rFonts w:hint="default"/>
                      <w:bCs/>
                      <w:color w:val="auto"/>
                      <w:kern w:val="0"/>
                      <w:szCs w:val="21"/>
                      <w:lang w:eastAsia="zh-Hans"/>
                    </w:rPr>
                  </w:pPr>
                </w:p>
              </w:tc>
              <w:tc>
                <w:tcPr>
                  <w:tcW w:w="2210" w:type="pct"/>
                  <w:noWrap w:val="0"/>
                  <w:vAlign w:val="center"/>
                </w:tcPr>
                <w:p w14:paraId="3315F719">
                  <w:pPr>
                    <w:bidi w:val="0"/>
                    <w:jc w:val="center"/>
                    <w:rPr>
                      <w:rFonts w:hint="default" w:ascii="Calibri" w:hAnsi="Calibri" w:eastAsia="Calibri" w:cs="Times New Roman"/>
                      <w:color w:val="auto"/>
                      <w:kern w:val="2"/>
                      <w:sz w:val="21"/>
                      <w:szCs w:val="24"/>
                      <w:lang w:val="en-US" w:eastAsia="zh-CN" w:bidi="ar-SA"/>
                    </w:rPr>
                  </w:pPr>
                  <w:r>
                    <w:rPr>
                      <w:rFonts w:hint="eastAsia"/>
                      <w:color w:val="auto"/>
                    </w:rPr>
                    <w:t>严格控制涉工业炉窑建设项目，严禁新增焦化、铸造、水泥等产能</w:t>
                  </w:r>
                </w:p>
              </w:tc>
              <w:tc>
                <w:tcPr>
                  <w:tcW w:w="1616" w:type="pct"/>
                  <w:vMerge w:val="continue"/>
                  <w:noWrap w:val="0"/>
                  <w:vAlign w:val="center"/>
                </w:tcPr>
                <w:p w14:paraId="1795064C">
                  <w:pPr>
                    <w:pStyle w:val="72"/>
                    <w:spacing w:line="240" w:lineRule="auto"/>
                    <w:ind w:left="0" w:leftChars="0" w:firstLine="0" w:firstLineChars="0"/>
                    <w:jc w:val="center"/>
                    <w:rPr>
                      <w:rFonts w:hint="eastAsia" w:ascii="Times New Roman" w:hAnsi="Times New Roman" w:eastAsia="宋体" w:cs="Times New Roman"/>
                      <w:bCs/>
                      <w:color w:val="auto"/>
                      <w:kern w:val="2"/>
                      <w:sz w:val="21"/>
                      <w:szCs w:val="21"/>
                      <w:lang w:val="en-US" w:eastAsia="zh-CN" w:bidi="ar-SA"/>
                    </w:rPr>
                  </w:pPr>
                </w:p>
              </w:tc>
              <w:tc>
                <w:tcPr>
                  <w:tcW w:w="549" w:type="pct"/>
                  <w:vMerge w:val="continue"/>
                  <w:noWrap w:val="0"/>
                  <w:vAlign w:val="center"/>
                </w:tcPr>
                <w:p w14:paraId="6DF30563">
                  <w:pPr>
                    <w:autoSpaceDE w:val="0"/>
                    <w:autoSpaceDN w:val="0"/>
                    <w:adjustRightInd w:val="0"/>
                    <w:snapToGrid w:val="0"/>
                    <w:jc w:val="center"/>
                    <w:rPr>
                      <w:rFonts w:hint="eastAsia"/>
                      <w:bCs/>
                      <w:color w:val="auto"/>
                      <w:kern w:val="0"/>
                      <w:szCs w:val="21"/>
                      <w:lang w:eastAsia="zh-CN"/>
                    </w:rPr>
                  </w:pPr>
                </w:p>
              </w:tc>
            </w:tr>
            <w:tr w14:paraId="2E9CF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noWrap w:val="0"/>
                  <w:vAlign w:val="center"/>
                </w:tcPr>
                <w:p w14:paraId="3E98E0D8">
                  <w:pPr>
                    <w:jc w:val="center"/>
                    <w:rPr>
                      <w:rFonts w:hint="eastAsia" w:ascii="Times New Roman" w:hAnsi="Times New Roman" w:cs="Times New Roman" w:eastAsiaTheme="minorEastAsia"/>
                      <w:color w:val="auto"/>
                      <w:kern w:val="2"/>
                      <w:sz w:val="21"/>
                      <w:szCs w:val="24"/>
                      <w:lang w:val="en-US" w:eastAsia="zh-CN" w:bidi="ar-SA"/>
                    </w:rPr>
                  </w:pPr>
                  <w:r>
                    <w:rPr>
                      <w:rFonts w:hint="eastAsia" w:ascii="Times New Roman" w:hAnsi="Times New Roman" w:eastAsiaTheme="minorEastAsia"/>
                      <w:color w:val="auto"/>
                    </w:rPr>
                    <w:t>《宝鸡市水污染防治工作方案》</w:t>
                  </w:r>
                </w:p>
              </w:tc>
              <w:tc>
                <w:tcPr>
                  <w:tcW w:w="2210" w:type="pct"/>
                  <w:noWrap w:val="0"/>
                  <w:vAlign w:val="center"/>
                </w:tcPr>
                <w:p w14:paraId="2D8C4AA8">
                  <w:pPr>
                    <w:jc w:val="center"/>
                    <w:rPr>
                      <w:rFonts w:hint="default" w:ascii="Times New Roman" w:hAnsi="Times New Roman" w:cs="Times New Roman" w:eastAsiaTheme="minorEastAsia"/>
                      <w:color w:val="auto"/>
                      <w:kern w:val="2"/>
                      <w:sz w:val="21"/>
                      <w:szCs w:val="24"/>
                      <w:lang w:val="en-US" w:eastAsia="zh-CN" w:bidi="ar-SA"/>
                    </w:rPr>
                  </w:pPr>
                  <w:r>
                    <w:rPr>
                      <w:rFonts w:ascii="Times New Roman" w:hAnsi="Times New Roman" w:eastAsiaTheme="minorEastAsia"/>
                      <w:color w:val="auto"/>
                    </w:rPr>
                    <w:t>集中治理工业集聚区水污染。强化高新技术开发区、经济技术开发区、工业园区等工业集聚区污染治理。集聚区内工业废水必须经预处理达到集中处理要求后，方可进入污水集中处理设施</w:t>
                  </w:r>
                </w:p>
              </w:tc>
              <w:tc>
                <w:tcPr>
                  <w:tcW w:w="1616" w:type="pct"/>
                  <w:noWrap w:val="0"/>
                  <w:vAlign w:val="center"/>
                </w:tcPr>
                <w:p w14:paraId="1226E42B">
                  <w:pPr>
                    <w:pStyle w:val="72"/>
                    <w:spacing w:line="240" w:lineRule="auto"/>
                    <w:ind w:left="0" w:leftChars="0" w:firstLine="0" w:firstLineChars="0"/>
                    <w:jc w:val="center"/>
                    <w:rPr>
                      <w:rFonts w:hint="default" w:ascii="Times New Roman" w:hAnsi="Times New Roman"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本项目废水仅涉及生活污水，经化粪池收集后定期清运，不外排</w:t>
                  </w:r>
                </w:p>
              </w:tc>
              <w:tc>
                <w:tcPr>
                  <w:tcW w:w="549" w:type="pct"/>
                  <w:noWrap w:val="0"/>
                  <w:vAlign w:val="center"/>
                </w:tcPr>
                <w:p w14:paraId="486C537D">
                  <w:pPr>
                    <w:autoSpaceDE w:val="0"/>
                    <w:autoSpaceDN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符合</w:t>
                  </w:r>
                </w:p>
              </w:tc>
            </w:tr>
            <w:tr w14:paraId="6B2F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restart"/>
                  <w:noWrap w:val="0"/>
                  <w:vAlign w:val="center"/>
                </w:tcPr>
                <w:p w14:paraId="245F6515">
                  <w:pPr>
                    <w:pStyle w:val="18"/>
                    <w:adjustRightInd w:val="0"/>
                    <w:snapToGrid w:val="0"/>
                    <w:ind w:left="0" w:leftChars="0" w:firstLine="0" w:firstLineChars="0"/>
                    <w:jc w:val="center"/>
                    <w:rPr>
                      <w:rFonts w:hint="eastAsia" w:ascii="Times New Roman Regular" w:hAnsi="Times New Roman Regular" w:cs="Times New Roman Regular"/>
                      <w:color w:val="auto"/>
                      <w:kern w:val="0"/>
                      <w:sz w:val="21"/>
                      <w:szCs w:val="21"/>
                      <w:lang w:eastAsia="zh-CN"/>
                    </w:rPr>
                  </w:pPr>
                  <w:r>
                    <w:rPr>
                      <w:rFonts w:hint="eastAsia" w:ascii="Times New Roman Regular" w:hAnsi="Times New Roman Regular" w:cs="Times New Roman Regular"/>
                      <w:color w:val="auto"/>
                      <w:kern w:val="0"/>
                      <w:sz w:val="21"/>
                      <w:szCs w:val="21"/>
                      <w:lang w:eastAsia="zh-CN"/>
                    </w:rPr>
                    <w:t>《宝鸡市陈仓</w:t>
                  </w:r>
                </w:p>
                <w:p w14:paraId="1C7DD3CB">
                  <w:pPr>
                    <w:pStyle w:val="18"/>
                    <w:adjustRightInd w:val="0"/>
                    <w:snapToGrid w:val="0"/>
                    <w:ind w:left="0" w:leftChars="0" w:firstLine="0" w:firstLineChars="0"/>
                    <w:jc w:val="center"/>
                    <w:rPr>
                      <w:rFonts w:hint="eastAsia" w:ascii="Times New Roman Regular" w:hAnsi="Times New Roman Regular" w:cs="Times New Roman Regular"/>
                      <w:color w:val="auto"/>
                      <w:kern w:val="0"/>
                      <w:sz w:val="21"/>
                      <w:szCs w:val="21"/>
                      <w:lang w:eastAsia="zh-CN"/>
                    </w:rPr>
                  </w:pPr>
                  <w:r>
                    <w:rPr>
                      <w:rFonts w:hint="eastAsia" w:ascii="Times New Roman Regular" w:hAnsi="Times New Roman Regular" w:cs="Times New Roman Regular"/>
                      <w:color w:val="auto"/>
                      <w:kern w:val="0"/>
                      <w:sz w:val="21"/>
                      <w:szCs w:val="21"/>
                      <w:lang w:eastAsia="zh-CN"/>
                    </w:rPr>
                    <w:t>区大气污染治</w:t>
                  </w:r>
                </w:p>
                <w:p w14:paraId="4C949041">
                  <w:pPr>
                    <w:pStyle w:val="18"/>
                    <w:adjustRightInd w:val="0"/>
                    <w:snapToGrid w:val="0"/>
                    <w:ind w:left="0" w:leftChars="0" w:firstLine="0" w:firstLineChars="0"/>
                    <w:jc w:val="center"/>
                    <w:rPr>
                      <w:rFonts w:hint="eastAsia" w:ascii="Times New Roman Regular" w:hAnsi="Times New Roman Regular" w:cs="Times New Roman Regular"/>
                      <w:color w:val="auto"/>
                      <w:kern w:val="0"/>
                      <w:sz w:val="21"/>
                      <w:szCs w:val="21"/>
                      <w:lang w:eastAsia="zh-CN"/>
                    </w:rPr>
                  </w:pPr>
                  <w:r>
                    <w:rPr>
                      <w:rFonts w:hint="eastAsia" w:ascii="Times New Roman Regular" w:hAnsi="Times New Roman Regular" w:cs="Times New Roman Regular"/>
                      <w:color w:val="auto"/>
                      <w:kern w:val="0"/>
                      <w:sz w:val="21"/>
                      <w:szCs w:val="21"/>
                      <w:lang w:eastAsia="zh-CN"/>
                    </w:rPr>
                    <w:t>理专项行动方</w:t>
                  </w:r>
                </w:p>
                <w:p w14:paraId="79662CE0">
                  <w:pPr>
                    <w:pStyle w:val="18"/>
                    <w:adjustRightInd w:val="0"/>
                    <w:snapToGrid w:val="0"/>
                    <w:ind w:left="0" w:leftChars="0" w:firstLine="0" w:firstLineChars="0"/>
                    <w:jc w:val="center"/>
                    <w:rPr>
                      <w:rFonts w:hint="eastAsia" w:ascii="Times New Roman Regular" w:hAnsi="Times New Roman Regular" w:cs="Times New Roman Regular"/>
                      <w:color w:val="auto"/>
                      <w:kern w:val="0"/>
                      <w:sz w:val="21"/>
                      <w:szCs w:val="21"/>
                      <w:lang w:eastAsia="zh-CN"/>
                    </w:rPr>
                  </w:pPr>
                  <w:r>
                    <w:rPr>
                      <w:rFonts w:hint="eastAsia" w:ascii="Times New Roman Regular" w:hAnsi="Times New Roman Regular" w:cs="Times New Roman Regular"/>
                      <w:color w:val="auto"/>
                      <w:kern w:val="0"/>
                      <w:sz w:val="21"/>
                      <w:szCs w:val="21"/>
                      <w:lang w:eastAsia="zh-CN"/>
                    </w:rPr>
                    <w:t>案（2023-2027</w:t>
                  </w:r>
                </w:p>
                <w:p w14:paraId="3D32E130">
                  <w:pPr>
                    <w:pStyle w:val="18"/>
                    <w:adjustRightInd w:val="0"/>
                    <w:snapToGrid w:val="0"/>
                    <w:ind w:left="0" w:leftChars="0" w:firstLine="0" w:firstLineChars="0"/>
                    <w:jc w:val="center"/>
                    <w:rPr>
                      <w:rFonts w:hint="eastAsia" w:ascii="Times New Roman Regular" w:hAnsi="Times New Roman Regular" w:cs="Times New Roman Regular"/>
                      <w:color w:val="auto"/>
                      <w:kern w:val="0"/>
                      <w:sz w:val="21"/>
                      <w:szCs w:val="21"/>
                      <w:lang w:eastAsia="zh-CN"/>
                    </w:rPr>
                  </w:pPr>
                  <w:r>
                    <w:rPr>
                      <w:rFonts w:hint="eastAsia" w:ascii="Times New Roman Regular" w:hAnsi="Times New Roman Regular" w:cs="Times New Roman Regular"/>
                      <w:color w:val="auto"/>
                      <w:kern w:val="0"/>
                      <w:sz w:val="21"/>
                      <w:szCs w:val="21"/>
                      <w:lang w:eastAsia="zh-CN"/>
                    </w:rPr>
                    <w:t>年）》宝陈发</w:t>
                  </w:r>
                </w:p>
                <w:p w14:paraId="02CAC8DD">
                  <w:pPr>
                    <w:pStyle w:val="18"/>
                    <w:adjustRightInd w:val="0"/>
                    <w:snapToGrid w:val="0"/>
                    <w:ind w:left="0" w:leftChars="0" w:firstLine="0" w:firstLineChars="0"/>
                    <w:jc w:val="center"/>
                    <w:rPr>
                      <w:rFonts w:hint="eastAsia"/>
                      <w:bCs/>
                      <w:color w:val="auto"/>
                      <w:kern w:val="0"/>
                      <w:szCs w:val="21"/>
                      <w:lang w:eastAsia="zh-CN"/>
                    </w:rPr>
                  </w:pPr>
                  <w:r>
                    <w:rPr>
                      <w:rFonts w:hint="eastAsia" w:ascii="Times New Roman Regular" w:hAnsi="Times New Roman Regular" w:cs="Times New Roman Regular"/>
                      <w:color w:val="auto"/>
                      <w:kern w:val="0"/>
                      <w:sz w:val="21"/>
                      <w:szCs w:val="21"/>
                      <w:lang w:eastAsia="zh-CN"/>
                    </w:rPr>
                    <w:t>〔2023〕6 号</w:t>
                  </w:r>
                </w:p>
              </w:tc>
              <w:tc>
                <w:tcPr>
                  <w:tcW w:w="2210" w:type="pct"/>
                  <w:noWrap w:val="0"/>
                  <w:vAlign w:val="center"/>
                </w:tcPr>
                <w:p w14:paraId="5BF79B2A">
                  <w:pPr>
                    <w:jc w:val="center"/>
                    <w:rPr>
                      <w:rFonts w:hint="default" w:ascii="Times New Roman" w:hAnsi="Times New Roman" w:eastAsia="Calibri" w:cs="Times New Roman"/>
                      <w:color w:val="auto"/>
                      <w:kern w:val="2"/>
                      <w:sz w:val="21"/>
                      <w:szCs w:val="21"/>
                      <w:lang w:val="en-US" w:eastAsia="zh-CN" w:bidi="ar-SA"/>
                    </w:rPr>
                  </w:pPr>
                  <w:r>
                    <w:rPr>
                      <w:rFonts w:hint="eastAsia" w:eastAsia="Calibri" w:cs="Times New Roman"/>
                      <w:color w:val="auto"/>
                      <w:kern w:val="2"/>
                      <w:sz w:val="21"/>
                      <w:szCs w:val="21"/>
                      <w:lang w:val="en-US" w:eastAsia="zh-CN" w:bidi="ar-SA"/>
                    </w:rPr>
                    <w:t>严格执行《产业结构调整指导目录》，坚决遏制“两高”项目盲目发展，严格落实国家产业规划、产业政策、“三线一单”、规划环评及产能置换、煤炭消费减量替代、区域污染物削减等要求，严禁不符合规定的建设项目</w:t>
                  </w:r>
                </w:p>
              </w:tc>
              <w:tc>
                <w:tcPr>
                  <w:tcW w:w="1616" w:type="pct"/>
                  <w:noWrap w:val="0"/>
                  <w:vAlign w:val="center"/>
                </w:tcPr>
                <w:p w14:paraId="5C8E8597">
                  <w:pPr>
                    <w:autoSpaceDE w:val="0"/>
                    <w:autoSpaceDN w:val="0"/>
                    <w:adjustRightInd w:val="0"/>
                    <w:snapToGrid w:val="0"/>
                    <w:jc w:val="center"/>
                    <w:rPr>
                      <w:rFonts w:hint="eastAsia"/>
                      <w:bCs/>
                      <w:color w:val="auto"/>
                      <w:kern w:val="0"/>
                      <w:szCs w:val="21"/>
                      <w:lang w:eastAsia="zh-CN"/>
                    </w:rPr>
                  </w:pPr>
                  <w:r>
                    <w:rPr>
                      <w:rFonts w:hint="eastAsia" w:ascii="Times New Roman" w:hAnsi="Times New Roman" w:cs="Times New Roman"/>
                      <w:bCs/>
                      <w:color w:val="auto"/>
                      <w:kern w:val="2"/>
                      <w:sz w:val="21"/>
                      <w:szCs w:val="21"/>
                      <w:lang w:val="en-US" w:eastAsia="zh-CN" w:bidi="ar-SA"/>
                    </w:rPr>
                    <w:t>经查阅</w:t>
                  </w:r>
                  <w:r>
                    <w:rPr>
                      <w:rFonts w:hint="eastAsia"/>
                      <w:bCs/>
                      <w:color w:val="auto"/>
                      <w:shd w:val="clear" w:color="auto" w:fill="auto"/>
                      <w:lang w:val="en-US" w:eastAsia="zh-CN"/>
                    </w:rPr>
                    <w:t>《陕西省“两高”项目管理暂行目录》（2022年版）可知，本项目不属于“两高”行业项目。经查阅《产业结构调整指导目录（2024年本）》，本项目不属于鼓励类、限制类及淘汰类，为允许类。</w:t>
                  </w:r>
                </w:p>
              </w:tc>
              <w:tc>
                <w:tcPr>
                  <w:tcW w:w="549" w:type="pct"/>
                  <w:vMerge w:val="restart"/>
                  <w:noWrap w:val="0"/>
                  <w:vAlign w:val="center"/>
                </w:tcPr>
                <w:p w14:paraId="147ED5D7">
                  <w:pPr>
                    <w:autoSpaceDE w:val="0"/>
                    <w:autoSpaceDN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符合</w:t>
                  </w:r>
                </w:p>
              </w:tc>
            </w:tr>
            <w:tr w14:paraId="178AA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noWrap w:val="0"/>
                  <w:vAlign w:val="center"/>
                </w:tcPr>
                <w:p w14:paraId="5E991112">
                  <w:pPr>
                    <w:pStyle w:val="18"/>
                    <w:adjustRightInd w:val="0"/>
                    <w:snapToGrid w:val="0"/>
                    <w:ind w:left="0" w:leftChars="0" w:firstLine="0" w:firstLineChars="0"/>
                    <w:jc w:val="center"/>
                    <w:rPr>
                      <w:rFonts w:hint="eastAsia" w:ascii="Times New Roman" w:hAnsi="Times New Roman" w:cs="Times New Roman"/>
                      <w:color w:val="auto"/>
                      <w:kern w:val="2"/>
                      <w:sz w:val="21"/>
                      <w:szCs w:val="21"/>
                      <w:lang w:val="en-US" w:eastAsia="zh-CN" w:bidi="ar-SA"/>
                    </w:rPr>
                  </w:pPr>
                </w:p>
              </w:tc>
              <w:tc>
                <w:tcPr>
                  <w:tcW w:w="2210" w:type="pct"/>
                  <w:noWrap w:val="0"/>
                  <w:vAlign w:val="center"/>
                </w:tcPr>
                <w:p w14:paraId="237498C3">
                  <w:pPr>
                    <w:jc w:val="center"/>
                    <w:rPr>
                      <w:rFonts w:hint="eastAsia" w:ascii="Times New Roman" w:hAnsi="Times New Roman" w:eastAsia="宋体" w:cs="Times New Roman"/>
                      <w:color w:val="auto"/>
                      <w:kern w:val="2"/>
                      <w:sz w:val="21"/>
                      <w:szCs w:val="21"/>
                      <w:lang w:val="en-US" w:eastAsia="zh-CN" w:bidi="ar-SA"/>
                    </w:rPr>
                  </w:pPr>
                  <w:r>
                    <w:rPr>
                      <w:rFonts w:hint="eastAsia"/>
                      <w:color w:val="auto"/>
                    </w:rPr>
                    <w:t>市辖区及开发区新、改、扩建涉</w:t>
                  </w:r>
                  <w:r>
                    <w:rPr>
                      <w:rFonts w:hint="eastAsia" w:ascii="Times New Roman" w:hAnsi="Times New Roman" w:eastAsia="宋体" w:cs="Times New Roman"/>
                      <w:color w:val="auto"/>
                      <w:sz w:val="21"/>
                      <w:szCs w:val="24"/>
                      <w:lang w:val="en-GB" w:eastAsia="zh-CN"/>
                    </w:rPr>
                    <w:t>气重点行业企业应达到环保绩效A级</w:t>
                  </w:r>
                </w:p>
              </w:tc>
              <w:tc>
                <w:tcPr>
                  <w:tcW w:w="1616" w:type="pct"/>
                  <w:noWrap w:val="0"/>
                  <w:vAlign w:val="center"/>
                </w:tcPr>
                <w:p w14:paraId="1973B39A">
                  <w:pPr>
                    <w:autoSpaceDE w:val="0"/>
                    <w:autoSpaceDN w:val="0"/>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snapToGrid w:val="0"/>
                      <w:color w:val="auto"/>
                      <w:szCs w:val="21"/>
                      <w:lang w:val="en-US" w:eastAsia="zh-CN"/>
                    </w:rPr>
                    <w:t>经查阅《重污染天气重点行业应急减排措施制定技术指南（2020年修订版）》，本项目不属于重点行业企业，无需达到环保绩效A级、绩效引领性水平</w:t>
                  </w:r>
                </w:p>
              </w:tc>
              <w:tc>
                <w:tcPr>
                  <w:tcW w:w="549" w:type="pct"/>
                  <w:vMerge w:val="continue"/>
                  <w:noWrap w:val="0"/>
                  <w:vAlign w:val="center"/>
                </w:tcPr>
                <w:p w14:paraId="147262F1">
                  <w:pPr>
                    <w:autoSpaceDE w:val="0"/>
                    <w:autoSpaceDN w:val="0"/>
                    <w:adjustRightInd w:val="0"/>
                    <w:snapToGrid w:val="0"/>
                    <w:jc w:val="center"/>
                    <w:rPr>
                      <w:rFonts w:hint="eastAsia"/>
                      <w:bCs/>
                      <w:color w:val="auto"/>
                      <w:kern w:val="0"/>
                      <w:szCs w:val="21"/>
                      <w:lang w:eastAsia="zh-CN"/>
                    </w:rPr>
                  </w:pPr>
                </w:p>
              </w:tc>
            </w:tr>
            <w:tr w14:paraId="2A4470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noWrap w:val="0"/>
                  <w:vAlign w:val="center"/>
                </w:tcPr>
                <w:p w14:paraId="025BC404">
                  <w:pPr>
                    <w:pStyle w:val="18"/>
                    <w:adjustRightInd w:val="0"/>
                    <w:snapToGrid w:val="0"/>
                    <w:ind w:left="0" w:leftChars="0" w:firstLine="0" w:firstLineChars="0"/>
                    <w:jc w:val="center"/>
                    <w:rPr>
                      <w:rFonts w:hint="eastAsia" w:ascii="Times New Roman" w:hAnsi="Times New Roman" w:cs="Times New Roman"/>
                      <w:color w:val="auto"/>
                      <w:kern w:val="2"/>
                      <w:sz w:val="21"/>
                      <w:szCs w:val="21"/>
                      <w:lang w:val="en-US" w:eastAsia="zh-CN" w:bidi="ar-SA"/>
                    </w:rPr>
                  </w:pPr>
                </w:p>
              </w:tc>
              <w:tc>
                <w:tcPr>
                  <w:tcW w:w="2210" w:type="pct"/>
                  <w:noWrap w:val="0"/>
                  <w:vAlign w:val="center"/>
                </w:tcPr>
                <w:p w14:paraId="35F163C2">
                  <w:pPr>
                    <w:jc w:val="center"/>
                    <w:rPr>
                      <w:rFonts w:hint="eastAsia" w:ascii="Times New Roman" w:hAnsi="Times New Roman" w:eastAsia="Calibri" w:cs="Times New Roman"/>
                      <w:color w:val="auto"/>
                      <w:kern w:val="2"/>
                      <w:sz w:val="21"/>
                      <w:szCs w:val="21"/>
                      <w:lang w:val="en-US" w:eastAsia="zh-CN" w:bidi="ar-SA"/>
                    </w:rPr>
                  </w:pPr>
                  <w:r>
                    <w:rPr>
                      <w:rFonts w:hint="eastAsia" w:ascii="Times New Roman" w:hAnsi="Times New Roman" w:cs="Times New Roman"/>
                      <w:color w:val="auto"/>
                      <w:sz w:val="21"/>
                      <w:szCs w:val="21"/>
                      <w:lang w:val="en-US" w:eastAsia="zh-Hans"/>
                    </w:rPr>
                    <w:t>深化工业污染治理。动态巩固固定污染源排污许可管理全覆盖，强化排污许可一证式监管，持续推进重点涉气固定污染源治理</w:t>
                  </w:r>
                </w:p>
              </w:tc>
              <w:tc>
                <w:tcPr>
                  <w:tcW w:w="1616" w:type="pct"/>
                  <w:noWrap w:val="0"/>
                  <w:vAlign w:val="center"/>
                </w:tcPr>
                <w:p w14:paraId="7E94DAC2">
                  <w:pPr>
                    <w:autoSpaceDE w:val="0"/>
                    <w:autoSpaceDN w:val="0"/>
                    <w:adjustRightInd w:val="0"/>
                    <w:snapToGrid w:val="0"/>
                    <w:jc w:val="center"/>
                    <w:rPr>
                      <w:rFonts w:hint="default" w:ascii="Times New Roman" w:hAnsi="Times New Roman" w:cs="Times New Roman"/>
                      <w:bCs/>
                      <w:color w:val="auto"/>
                      <w:kern w:val="2"/>
                      <w:sz w:val="21"/>
                      <w:szCs w:val="21"/>
                      <w:lang w:val="en-US" w:eastAsia="zh-CN" w:bidi="ar-SA"/>
                    </w:rPr>
                  </w:pPr>
                  <w:r>
                    <w:rPr>
                      <w:rFonts w:hint="eastAsia" w:cs="Times New Roman"/>
                      <w:bCs/>
                      <w:color w:val="auto"/>
                      <w:kern w:val="2"/>
                      <w:sz w:val="21"/>
                      <w:szCs w:val="21"/>
                      <w:lang w:val="en-US" w:eastAsia="zh-CN" w:bidi="ar-SA"/>
                    </w:rPr>
                    <w:t>要求企业后续严格落实排污许可相关要求</w:t>
                  </w:r>
                </w:p>
              </w:tc>
              <w:tc>
                <w:tcPr>
                  <w:tcW w:w="549" w:type="pct"/>
                  <w:noWrap w:val="0"/>
                  <w:vAlign w:val="center"/>
                </w:tcPr>
                <w:p w14:paraId="49ADCB5F">
                  <w:pPr>
                    <w:autoSpaceDE w:val="0"/>
                    <w:autoSpaceDN w:val="0"/>
                    <w:adjustRightInd w:val="0"/>
                    <w:snapToGrid w:val="0"/>
                    <w:jc w:val="center"/>
                    <w:rPr>
                      <w:rFonts w:hint="default"/>
                      <w:bCs/>
                      <w:color w:val="auto"/>
                      <w:kern w:val="0"/>
                      <w:szCs w:val="21"/>
                      <w:lang w:val="en-US" w:eastAsia="zh-CN"/>
                    </w:rPr>
                  </w:pPr>
                  <w:r>
                    <w:rPr>
                      <w:rFonts w:hint="eastAsia"/>
                      <w:bCs/>
                      <w:color w:val="auto"/>
                      <w:kern w:val="0"/>
                      <w:szCs w:val="21"/>
                      <w:lang w:val="en-US" w:eastAsia="zh-CN"/>
                    </w:rPr>
                    <w:t>符合</w:t>
                  </w:r>
                </w:p>
              </w:tc>
            </w:tr>
            <w:tr w14:paraId="08CD60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vMerge w:val="continue"/>
                  <w:noWrap w:val="0"/>
                  <w:vAlign w:val="center"/>
                </w:tcPr>
                <w:p w14:paraId="39DB9B26">
                  <w:pPr>
                    <w:pStyle w:val="18"/>
                    <w:adjustRightInd w:val="0"/>
                    <w:snapToGrid w:val="0"/>
                    <w:ind w:leftChars="0" w:firstLine="0" w:firstLineChars="0"/>
                    <w:jc w:val="center"/>
                    <w:rPr>
                      <w:rFonts w:ascii="Times New Roman" w:hAnsi="Times New Roman"/>
                      <w:color w:val="auto"/>
                      <w:szCs w:val="21"/>
                    </w:rPr>
                  </w:pPr>
                </w:p>
              </w:tc>
              <w:tc>
                <w:tcPr>
                  <w:tcW w:w="2210" w:type="pct"/>
                  <w:noWrap w:val="0"/>
                  <w:vAlign w:val="center"/>
                </w:tcPr>
                <w:p w14:paraId="2FD2972E">
                  <w:pPr>
                    <w:bidi w:val="0"/>
                    <w:jc w:val="center"/>
                    <w:rPr>
                      <w:rFonts w:hint="default" w:ascii="Times New Roman" w:hAnsi="Times New Roman" w:eastAsia="Calibri" w:cs="Times New Roman"/>
                      <w:color w:val="auto"/>
                      <w:kern w:val="2"/>
                      <w:sz w:val="21"/>
                      <w:szCs w:val="21"/>
                      <w:lang w:val="en-US" w:eastAsia="zh-CN" w:bidi="ar-SA"/>
                    </w:rPr>
                  </w:pPr>
                  <w:r>
                    <w:rPr>
                      <w:rFonts w:hint="eastAsia"/>
                      <w:color w:val="auto"/>
                      <w:lang w:val="en-US" w:eastAsia="zh-Hans"/>
                    </w:rPr>
                    <w:t>产业发展结构调整。严禁新增钢铁、焦化、水泥熟料、平板玻璃、电解铝、氧化铝、煤化工产能</w:t>
                  </w:r>
                  <w:r>
                    <w:rPr>
                      <w:rFonts w:hint="eastAsia"/>
                      <w:color w:val="auto"/>
                      <w:lang w:val="en-US" w:eastAsia="zh-CN"/>
                    </w:rPr>
                    <w:t>，</w:t>
                  </w:r>
                  <w:r>
                    <w:rPr>
                      <w:rFonts w:hint="eastAsia"/>
                      <w:color w:val="auto"/>
                      <w:lang w:val="en-US" w:eastAsia="zh-Hans"/>
                    </w:rPr>
                    <w:t>合理控制煤制油气产能规模</w:t>
                  </w:r>
                  <w:r>
                    <w:rPr>
                      <w:rFonts w:hint="eastAsia"/>
                      <w:color w:val="auto"/>
                      <w:lang w:val="en-US" w:eastAsia="zh-CN"/>
                    </w:rPr>
                    <w:t>，</w:t>
                  </w:r>
                  <w:r>
                    <w:rPr>
                      <w:rFonts w:hint="eastAsia"/>
                      <w:color w:val="auto"/>
                      <w:lang w:val="en-US" w:eastAsia="zh-Hans"/>
                    </w:rPr>
                    <w:t>严控新增炼油产能</w:t>
                  </w:r>
                </w:p>
              </w:tc>
              <w:tc>
                <w:tcPr>
                  <w:tcW w:w="1616" w:type="pct"/>
                  <w:noWrap w:val="0"/>
                  <w:vAlign w:val="center"/>
                </w:tcPr>
                <w:p w14:paraId="103F3267">
                  <w:pPr>
                    <w:pStyle w:val="45"/>
                    <w:adjustRightInd w:val="0"/>
                    <w:snapToGrid w:val="0"/>
                    <w:rPr>
                      <w:rFonts w:hint="default" w:eastAsia="宋体"/>
                      <w:snapToGrid w:val="0"/>
                      <w:color w:val="auto"/>
                      <w:szCs w:val="21"/>
                      <w:lang w:val="en-US" w:eastAsia="zh-CN"/>
                    </w:rPr>
                  </w:pPr>
                  <w:r>
                    <w:rPr>
                      <w:rFonts w:hint="eastAsia"/>
                      <w:snapToGrid w:val="0"/>
                      <w:color w:val="auto"/>
                      <w:szCs w:val="21"/>
                      <w:lang w:val="en-US" w:eastAsia="zh-CN"/>
                    </w:rPr>
                    <w:t>本项目为</w:t>
                  </w:r>
                  <w:r>
                    <w:rPr>
                      <w:rFonts w:hint="eastAsia"/>
                      <w:color w:val="auto"/>
                      <w:lang w:val="en-US" w:eastAsia="zh-CN"/>
                    </w:rPr>
                    <w:t>金属丝绳及其制品制造</w:t>
                  </w:r>
                  <w:r>
                    <w:rPr>
                      <w:rFonts w:hint="eastAsia"/>
                      <w:snapToGrid w:val="0"/>
                      <w:color w:val="auto"/>
                      <w:szCs w:val="21"/>
                      <w:lang w:val="en-US" w:eastAsia="zh-CN"/>
                    </w:rPr>
                    <w:t>，不属于</w:t>
                  </w:r>
                  <w:r>
                    <w:rPr>
                      <w:rFonts w:hint="eastAsia"/>
                      <w:color w:val="auto"/>
                      <w:lang w:val="en-US" w:eastAsia="zh-Hans"/>
                    </w:rPr>
                    <w:t>钢铁、焦化、水泥熟料、平板玻璃、电解铝、氧化铝、煤化工产能</w:t>
                  </w:r>
                </w:p>
              </w:tc>
              <w:tc>
                <w:tcPr>
                  <w:tcW w:w="549" w:type="pct"/>
                  <w:noWrap w:val="0"/>
                  <w:vAlign w:val="center"/>
                </w:tcPr>
                <w:p w14:paraId="0349801B">
                  <w:pPr>
                    <w:pStyle w:val="45"/>
                    <w:adjustRightInd w:val="0"/>
                    <w:snapToGrid w:val="0"/>
                    <w:rPr>
                      <w:rFonts w:hint="default" w:eastAsia="宋体"/>
                      <w:color w:val="auto"/>
                      <w:szCs w:val="21"/>
                      <w:lang w:val="en-US" w:eastAsia="zh-CN"/>
                    </w:rPr>
                  </w:pPr>
                  <w:r>
                    <w:rPr>
                      <w:rFonts w:hint="eastAsia"/>
                      <w:color w:val="auto"/>
                      <w:szCs w:val="21"/>
                      <w:lang w:val="en-US" w:eastAsia="zh-CN"/>
                    </w:rPr>
                    <w:t>符合</w:t>
                  </w:r>
                </w:p>
              </w:tc>
            </w:tr>
            <w:tr w14:paraId="6D141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22" w:type="pct"/>
                  <w:noWrap w:val="0"/>
                  <w:vAlign w:val="center"/>
                </w:tcPr>
                <w:p w14:paraId="05AB83AD">
                  <w:pPr>
                    <w:pStyle w:val="18"/>
                    <w:adjustRightInd w:val="0"/>
                    <w:snapToGrid w:val="0"/>
                    <w:ind w:leftChars="0" w:firstLine="0" w:firstLineChars="0"/>
                    <w:jc w:val="center"/>
                    <w:rPr>
                      <w:rFonts w:hint="eastAsia" w:ascii="Times New Roman" w:hAnsi="Times New Roman" w:eastAsia="宋体"/>
                      <w:color w:val="auto"/>
                      <w:szCs w:val="21"/>
                      <w:lang w:eastAsia="zh-CN"/>
                    </w:rPr>
                  </w:pPr>
                  <w:r>
                    <w:rPr>
                      <w:rFonts w:hint="eastAsia" w:ascii="Times New Roman" w:hAnsi="Times New Roman"/>
                      <w:color w:val="auto"/>
                      <w:szCs w:val="21"/>
                      <w:lang w:eastAsia="zh-CN"/>
                    </w:rPr>
                    <w:t>《宝鸡市环境空气质量限期达标规划（2023—2030年）》</w:t>
                  </w:r>
                </w:p>
              </w:tc>
              <w:tc>
                <w:tcPr>
                  <w:tcW w:w="2210" w:type="pct"/>
                  <w:noWrap w:val="0"/>
                  <w:vAlign w:val="center"/>
                </w:tcPr>
                <w:p w14:paraId="4631AE29">
                  <w:pPr>
                    <w:pStyle w:val="45"/>
                    <w:adjustRightInd w:val="0"/>
                    <w:snapToGrid w:val="0"/>
                    <w:rPr>
                      <w:rFonts w:hint="eastAsia"/>
                      <w:snapToGrid w:val="0"/>
                      <w:color w:val="auto"/>
                      <w:szCs w:val="21"/>
                      <w:lang w:val="en-US" w:eastAsia="zh-CN"/>
                    </w:rPr>
                  </w:pPr>
                  <w:r>
                    <w:rPr>
                      <w:rFonts w:hint="eastAsia"/>
                      <w:snapToGrid w:val="0"/>
                      <w:color w:val="auto"/>
                      <w:szCs w:val="21"/>
                      <w:lang w:val="en-US" w:eastAsia="zh-CN"/>
                    </w:rPr>
                    <w:t>坚决遏制“两高”项目盲目发展。严格能耗、环保、质量、安全、技术等综合标准，严禁新增钢铁、焦化、水泥熟料、平板玻璃、电解铝、氧化铝、煤化工产能，合理控制煤制油气产能规模，严控新增炼油产能。不得违规新增化工园区。严格执行《产业结构调整指导目录》，坚决遏制“两高”项目盲目发展</w:t>
                  </w:r>
                </w:p>
              </w:tc>
              <w:tc>
                <w:tcPr>
                  <w:tcW w:w="1616" w:type="pct"/>
                  <w:noWrap w:val="0"/>
                  <w:vAlign w:val="center"/>
                </w:tcPr>
                <w:p w14:paraId="3A605413">
                  <w:pPr>
                    <w:pStyle w:val="45"/>
                    <w:adjustRightInd w:val="0"/>
                    <w:snapToGrid w:val="0"/>
                    <w:rPr>
                      <w:rFonts w:hint="default"/>
                      <w:snapToGrid w:val="0"/>
                      <w:color w:val="auto"/>
                      <w:szCs w:val="21"/>
                      <w:lang w:val="en-US" w:eastAsia="zh-CN"/>
                    </w:rPr>
                  </w:pPr>
                  <w:r>
                    <w:rPr>
                      <w:rFonts w:hint="eastAsia" w:ascii="Times New Roman" w:hAnsi="Times New Roman" w:cs="Times New Roman"/>
                      <w:bCs/>
                      <w:color w:val="auto"/>
                      <w:kern w:val="2"/>
                      <w:sz w:val="21"/>
                      <w:szCs w:val="21"/>
                      <w:lang w:val="en-US" w:eastAsia="zh-CN" w:bidi="ar-SA"/>
                    </w:rPr>
                    <w:t>本项目为金属丝绳及其制品制造，经查阅</w:t>
                  </w:r>
                  <w:r>
                    <w:rPr>
                      <w:rFonts w:hint="eastAsia"/>
                      <w:bCs/>
                      <w:color w:val="auto"/>
                      <w:shd w:val="clear" w:color="auto" w:fill="auto"/>
                      <w:lang w:val="en-US" w:eastAsia="zh-CN"/>
                    </w:rPr>
                    <w:t>《陕西省“两高”项目管理暂行目录》（2022年版）可知，本项目不属于“两高”行业项目，经查阅《产业结构调整指导目录（2024年本）》，本项目不属于鼓励类、限制类及淘汰类，为允许类</w:t>
                  </w:r>
                </w:p>
              </w:tc>
              <w:tc>
                <w:tcPr>
                  <w:tcW w:w="549" w:type="pct"/>
                  <w:noWrap w:val="0"/>
                  <w:vAlign w:val="center"/>
                </w:tcPr>
                <w:p w14:paraId="28954E77">
                  <w:pPr>
                    <w:pStyle w:val="45"/>
                    <w:adjustRightInd w:val="0"/>
                    <w:snapToGrid w:val="0"/>
                    <w:rPr>
                      <w:rFonts w:hint="default"/>
                      <w:color w:val="auto"/>
                      <w:szCs w:val="21"/>
                      <w:lang w:val="en-US" w:eastAsia="zh-CN"/>
                    </w:rPr>
                  </w:pPr>
                  <w:r>
                    <w:rPr>
                      <w:rFonts w:hint="eastAsia"/>
                      <w:color w:val="auto"/>
                      <w:szCs w:val="21"/>
                      <w:lang w:val="en-US" w:eastAsia="zh-CN"/>
                    </w:rPr>
                    <w:t>符合</w:t>
                  </w:r>
                </w:p>
              </w:tc>
            </w:tr>
          </w:tbl>
          <w:p w14:paraId="53CB37C4">
            <w:pPr>
              <w:spacing w:line="360" w:lineRule="auto"/>
              <w:ind w:firstLine="482" w:firstLineChars="200"/>
              <w:rPr>
                <w:rFonts w:hint="eastAsia" w:ascii="Times New Roman" w:hAnsi="Times New Roman" w:eastAsia="宋体" w:cs="Times New Roman"/>
                <w:b/>
                <w:bCs w:val="0"/>
                <w:color w:val="auto"/>
                <w:sz w:val="24"/>
                <w:lang w:val="en-US" w:eastAsia="zh-CN"/>
              </w:rPr>
            </w:pPr>
            <w:r>
              <w:rPr>
                <w:rFonts w:hint="eastAsia" w:ascii="Times New Roman" w:hAnsi="Times New Roman" w:eastAsia="宋体" w:cs="Times New Roman"/>
                <w:b/>
                <w:bCs w:val="0"/>
                <w:color w:val="auto"/>
                <w:sz w:val="24"/>
                <w:lang w:val="en-US" w:eastAsia="zh-CN"/>
              </w:rPr>
              <w:t>3.项目与生态环境保护规划相符性分析</w:t>
            </w:r>
          </w:p>
          <w:p w14:paraId="70A14E3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w:t>
            </w:r>
            <w:r>
              <w:rPr>
                <w:rFonts w:hint="eastAsia" w:ascii="Times New Roman" w:hAnsi="Times New Roman" w:eastAsia="宋体" w:cs="Times New Roman"/>
                <w:b/>
                <w:bCs/>
                <w:color w:val="auto"/>
                <w:sz w:val="21"/>
                <w:szCs w:val="21"/>
                <w:lang w:val="en-US" w:eastAsia="zh-CN"/>
              </w:rPr>
              <w:t>1-5</w:t>
            </w:r>
            <w:r>
              <w:rPr>
                <w:rFonts w:hint="default" w:ascii="Times New Roman" w:hAnsi="Times New Roman" w:eastAsia="宋体" w:cs="Times New Roman"/>
                <w:b/>
                <w:bCs/>
                <w:color w:val="auto"/>
                <w:sz w:val="21"/>
                <w:szCs w:val="21"/>
                <w:lang w:val="en-US" w:eastAsia="zh-CN"/>
              </w:rPr>
              <w:t xml:space="preserve">  项目与生态环境保护规划相符性分析表</w:t>
            </w:r>
          </w:p>
          <w:tbl>
            <w:tblPr>
              <w:tblStyle w:val="23"/>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3"/>
              <w:gridCol w:w="3479"/>
              <w:gridCol w:w="2598"/>
              <w:gridCol w:w="887"/>
            </w:tblGrid>
            <w:tr w14:paraId="63D4B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noWrap w:val="0"/>
                  <w:vAlign w:val="center"/>
                </w:tcPr>
                <w:p w14:paraId="647FAA09">
                  <w:pPr>
                    <w:autoSpaceDE w:val="0"/>
                    <w:autoSpaceDN w:val="0"/>
                    <w:adjustRightInd w:val="0"/>
                    <w:snapToGrid w:val="0"/>
                    <w:jc w:val="center"/>
                    <w:rPr>
                      <w:b/>
                      <w:bCs w:val="0"/>
                      <w:color w:val="auto"/>
                      <w:kern w:val="0"/>
                      <w:szCs w:val="21"/>
                    </w:rPr>
                  </w:pPr>
                  <w:r>
                    <w:rPr>
                      <w:b/>
                      <w:bCs w:val="0"/>
                      <w:color w:val="auto"/>
                      <w:kern w:val="0"/>
                      <w:szCs w:val="21"/>
                    </w:rPr>
                    <w:t>政策名称</w:t>
                  </w:r>
                </w:p>
              </w:tc>
              <w:tc>
                <w:tcPr>
                  <w:tcW w:w="2159" w:type="pct"/>
                  <w:noWrap w:val="0"/>
                  <w:vAlign w:val="center"/>
                </w:tcPr>
                <w:p w14:paraId="1ACDC9FD">
                  <w:pPr>
                    <w:autoSpaceDE w:val="0"/>
                    <w:autoSpaceDN w:val="0"/>
                    <w:adjustRightInd w:val="0"/>
                    <w:snapToGrid w:val="0"/>
                    <w:jc w:val="center"/>
                    <w:rPr>
                      <w:b/>
                      <w:bCs w:val="0"/>
                      <w:color w:val="auto"/>
                      <w:kern w:val="0"/>
                      <w:szCs w:val="21"/>
                    </w:rPr>
                  </w:pPr>
                  <w:r>
                    <w:rPr>
                      <w:b/>
                      <w:bCs w:val="0"/>
                      <w:color w:val="auto"/>
                      <w:kern w:val="0"/>
                      <w:szCs w:val="21"/>
                    </w:rPr>
                    <w:t>政策要求</w:t>
                  </w:r>
                </w:p>
              </w:tc>
              <w:tc>
                <w:tcPr>
                  <w:tcW w:w="1611" w:type="pct"/>
                  <w:noWrap w:val="0"/>
                  <w:vAlign w:val="center"/>
                </w:tcPr>
                <w:p w14:paraId="27CE854E">
                  <w:pPr>
                    <w:autoSpaceDE w:val="0"/>
                    <w:autoSpaceDN w:val="0"/>
                    <w:adjustRightInd w:val="0"/>
                    <w:snapToGrid w:val="0"/>
                    <w:jc w:val="center"/>
                    <w:rPr>
                      <w:b/>
                      <w:bCs w:val="0"/>
                      <w:color w:val="auto"/>
                      <w:kern w:val="0"/>
                      <w:szCs w:val="21"/>
                    </w:rPr>
                  </w:pPr>
                  <w:r>
                    <w:rPr>
                      <w:b/>
                      <w:bCs w:val="0"/>
                      <w:color w:val="auto"/>
                      <w:kern w:val="0"/>
                      <w:szCs w:val="21"/>
                    </w:rPr>
                    <w:t>本</w:t>
                  </w:r>
                  <w:r>
                    <w:rPr>
                      <w:rFonts w:hint="eastAsia"/>
                      <w:b/>
                      <w:bCs w:val="0"/>
                      <w:color w:val="auto"/>
                      <w:kern w:val="0"/>
                      <w:szCs w:val="21"/>
                      <w:lang w:eastAsia="zh-CN"/>
                    </w:rPr>
                    <w:t>项目情况</w:t>
                  </w:r>
                </w:p>
              </w:tc>
              <w:tc>
                <w:tcPr>
                  <w:tcW w:w="550" w:type="pct"/>
                  <w:noWrap w:val="0"/>
                  <w:vAlign w:val="center"/>
                </w:tcPr>
                <w:p w14:paraId="0B19716E">
                  <w:pPr>
                    <w:autoSpaceDE w:val="0"/>
                    <w:autoSpaceDN w:val="0"/>
                    <w:adjustRightInd w:val="0"/>
                    <w:snapToGrid w:val="0"/>
                    <w:jc w:val="center"/>
                    <w:rPr>
                      <w:b/>
                      <w:bCs w:val="0"/>
                      <w:color w:val="auto"/>
                      <w:kern w:val="0"/>
                      <w:szCs w:val="21"/>
                    </w:rPr>
                  </w:pPr>
                  <w:r>
                    <w:rPr>
                      <w:b/>
                      <w:bCs w:val="0"/>
                      <w:color w:val="auto"/>
                      <w:kern w:val="0"/>
                      <w:szCs w:val="21"/>
                    </w:rPr>
                    <w:t>符合性</w:t>
                  </w:r>
                </w:p>
              </w:tc>
            </w:tr>
            <w:tr w14:paraId="4E46A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restart"/>
                  <w:noWrap w:val="0"/>
                  <w:vAlign w:val="center"/>
                </w:tcPr>
                <w:p w14:paraId="3383D439">
                  <w:pPr>
                    <w:autoSpaceDE w:val="0"/>
                    <w:autoSpaceDN w:val="0"/>
                    <w:adjustRightInd w:val="0"/>
                    <w:snapToGrid w:val="0"/>
                    <w:jc w:val="center"/>
                    <w:rPr>
                      <w:rFonts w:hint="eastAsia" w:eastAsia="宋体"/>
                      <w:bCs/>
                      <w:color w:val="auto"/>
                      <w:kern w:val="0"/>
                      <w:szCs w:val="21"/>
                      <w:lang w:eastAsia="zh-CN"/>
                    </w:rPr>
                  </w:pPr>
                  <w:r>
                    <w:rPr>
                      <w:rFonts w:hint="eastAsia"/>
                      <w:bCs/>
                      <w:color w:val="auto"/>
                      <w:kern w:val="0"/>
                      <w:szCs w:val="21"/>
                      <w:lang w:eastAsia="zh-CN"/>
                    </w:rPr>
                    <w:t>《</w:t>
                  </w:r>
                  <w:r>
                    <w:rPr>
                      <w:rFonts w:hint="eastAsia"/>
                      <w:bCs/>
                      <w:color w:val="auto"/>
                      <w:kern w:val="0"/>
                      <w:szCs w:val="21"/>
                      <w:lang w:val="en-US" w:eastAsia="zh-CN"/>
                    </w:rPr>
                    <w:t>宝鸡市“十四五”生态环境保护规划</w:t>
                  </w:r>
                  <w:r>
                    <w:rPr>
                      <w:rFonts w:hint="eastAsia"/>
                      <w:bCs/>
                      <w:color w:val="auto"/>
                      <w:kern w:val="0"/>
                      <w:szCs w:val="21"/>
                      <w:lang w:eastAsia="zh-CN"/>
                    </w:rPr>
                    <w:t>》</w:t>
                  </w:r>
                </w:p>
              </w:tc>
              <w:tc>
                <w:tcPr>
                  <w:tcW w:w="2159" w:type="pct"/>
                  <w:noWrap w:val="0"/>
                  <w:vAlign w:val="center"/>
                </w:tcPr>
                <w:p w14:paraId="24A644B1">
                  <w:pPr>
                    <w:autoSpaceDE w:val="0"/>
                    <w:autoSpaceDN w:val="0"/>
                    <w:adjustRightInd w:val="0"/>
                    <w:snapToGrid w:val="0"/>
                    <w:jc w:val="center"/>
                    <w:rPr>
                      <w:bCs/>
                      <w:color w:val="auto"/>
                      <w:kern w:val="0"/>
                      <w:szCs w:val="21"/>
                    </w:rPr>
                  </w:pPr>
                  <w:r>
                    <w:rPr>
                      <w:rFonts w:hint="default" w:ascii="Times New Roman" w:hAnsi="Times New Roman" w:cs="Times New Roman" w:eastAsiaTheme="minorEastAsia"/>
                      <w:color w:val="auto"/>
                      <w:sz w:val="21"/>
                      <w:szCs w:val="21"/>
                    </w:rPr>
                    <w:t>鼓励工业企业污水近零排放，降低污染负荷。</w:t>
                  </w:r>
                  <w:r>
                    <w:rPr>
                      <w:bCs/>
                      <w:color w:val="auto"/>
                      <w:kern w:val="0"/>
                      <w:szCs w:val="21"/>
                      <w:lang w:eastAsia="zh-CN"/>
                    </w:rPr>
                    <w:t>加快工业聚集区污水集中处理设施建设和升级改造，新建、升级的污水处理设施应同步规划、同步建设污水、垃圾集中处理的污染处理设施，提高污水集中处理能力。</w:t>
                  </w:r>
                </w:p>
              </w:tc>
              <w:tc>
                <w:tcPr>
                  <w:tcW w:w="1611" w:type="pct"/>
                  <w:noWrap w:val="0"/>
                  <w:vAlign w:val="center"/>
                </w:tcPr>
                <w:p w14:paraId="367919E4">
                  <w:pPr>
                    <w:autoSpaceDE w:val="0"/>
                    <w:autoSpaceDN w:val="0"/>
                    <w:adjustRightInd w:val="0"/>
                    <w:snapToGrid w:val="0"/>
                    <w:jc w:val="center"/>
                    <w:rPr>
                      <w:rFonts w:hint="default"/>
                      <w:bCs/>
                      <w:color w:val="auto"/>
                      <w:kern w:val="0"/>
                      <w:szCs w:val="21"/>
                      <w:lang w:val="en-US"/>
                    </w:rPr>
                  </w:pPr>
                  <w:r>
                    <w:rPr>
                      <w:rFonts w:hint="eastAsia" w:ascii="Times New Roman" w:hAnsi="Times New Roman" w:cs="Times New Roman"/>
                      <w:bCs/>
                      <w:color w:val="auto"/>
                      <w:kern w:val="2"/>
                      <w:sz w:val="21"/>
                      <w:szCs w:val="21"/>
                      <w:lang w:val="en-US" w:eastAsia="zh-CN" w:bidi="ar-SA"/>
                    </w:rPr>
                    <w:t>本项目生活污水，经化粪池收集后</w:t>
                  </w:r>
                  <w:r>
                    <w:rPr>
                      <w:rFonts w:hint="eastAsia" w:cs="Times New Roman"/>
                      <w:bCs/>
                      <w:color w:val="auto"/>
                      <w:kern w:val="2"/>
                      <w:sz w:val="21"/>
                      <w:szCs w:val="21"/>
                      <w:lang w:val="en-US" w:eastAsia="zh-CN" w:bidi="ar-SA"/>
                    </w:rPr>
                    <w:t>定期委托清运施肥，不外排</w:t>
                  </w:r>
                </w:p>
              </w:tc>
              <w:tc>
                <w:tcPr>
                  <w:tcW w:w="550" w:type="pct"/>
                  <w:noWrap w:val="0"/>
                  <w:vAlign w:val="center"/>
                </w:tcPr>
                <w:p w14:paraId="53DA91BA">
                  <w:pPr>
                    <w:autoSpaceDE w:val="0"/>
                    <w:autoSpaceDN w:val="0"/>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符合</w:t>
                  </w:r>
                </w:p>
              </w:tc>
            </w:tr>
            <w:tr w14:paraId="5830C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677" w:type="pct"/>
                  <w:vMerge w:val="continue"/>
                  <w:noWrap w:val="0"/>
                  <w:vAlign w:val="center"/>
                </w:tcPr>
                <w:p w14:paraId="62C79044">
                  <w:pPr>
                    <w:autoSpaceDE w:val="0"/>
                    <w:autoSpaceDN w:val="0"/>
                    <w:adjustRightInd w:val="0"/>
                    <w:snapToGrid w:val="0"/>
                    <w:jc w:val="center"/>
                    <w:rPr>
                      <w:bCs/>
                      <w:color w:val="auto"/>
                      <w:kern w:val="0"/>
                      <w:szCs w:val="21"/>
                    </w:rPr>
                  </w:pPr>
                </w:p>
              </w:tc>
              <w:tc>
                <w:tcPr>
                  <w:tcW w:w="2159" w:type="pct"/>
                  <w:noWrap w:val="0"/>
                  <w:vAlign w:val="center"/>
                </w:tcPr>
                <w:p w14:paraId="618AA8B1">
                  <w:pPr>
                    <w:autoSpaceDE w:val="0"/>
                    <w:autoSpaceDN w:val="0"/>
                    <w:adjustRightInd w:val="0"/>
                    <w:snapToGrid w:val="0"/>
                    <w:jc w:val="center"/>
                    <w:rPr>
                      <w:bCs/>
                      <w:color w:val="auto"/>
                      <w:kern w:val="0"/>
                      <w:szCs w:val="21"/>
                      <w:lang w:eastAsia="zh-CN"/>
                    </w:rPr>
                  </w:pPr>
                  <w:r>
                    <w:rPr>
                      <w:bCs/>
                      <w:color w:val="auto"/>
                      <w:kern w:val="0"/>
                      <w:szCs w:val="21"/>
                      <w:lang w:eastAsia="zh-CN"/>
                    </w:rPr>
                    <w:t>开展造纸、焦化、氮肥、有色金属、印染、农副食品加工、原料药制造、制革、农药、电镀和磷化工等涉水重点行业专项治理。严格禁止新建、扩建化工、印染、果汁和淀粉加工等高耗水、高污染项目。</w:t>
                  </w:r>
                </w:p>
              </w:tc>
              <w:tc>
                <w:tcPr>
                  <w:tcW w:w="1611" w:type="pct"/>
                  <w:noWrap w:val="0"/>
                  <w:vAlign w:val="center"/>
                </w:tcPr>
                <w:p w14:paraId="06964E5A">
                  <w:pPr>
                    <w:autoSpaceDE w:val="0"/>
                    <w:autoSpaceDN w:val="0"/>
                    <w:adjustRightInd w:val="0"/>
                    <w:snapToGrid w:val="0"/>
                    <w:jc w:val="center"/>
                    <w:rPr>
                      <w:bCs/>
                      <w:color w:val="auto"/>
                      <w:kern w:val="0"/>
                      <w:szCs w:val="21"/>
                    </w:rPr>
                  </w:pPr>
                  <w:r>
                    <w:rPr>
                      <w:rFonts w:hint="eastAsia" w:ascii="Times New Roman" w:hAnsi="Times New Roman" w:cs="Times New Roman"/>
                      <w:bCs/>
                      <w:color w:val="auto"/>
                      <w:kern w:val="2"/>
                      <w:sz w:val="21"/>
                      <w:szCs w:val="21"/>
                      <w:lang w:val="en-US" w:eastAsia="zh-CN" w:bidi="ar-SA"/>
                    </w:rPr>
                    <w:t>经查阅</w:t>
                  </w:r>
                  <w:r>
                    <w:rPr>
                      <w:rFonts w:hint="eastAsia"/>
                      <w:bCs/>
                      <w:color w:val="auto"/>
                      <w:shd w:val="clear" w:color="auto" w:fill="auto"/>
                      <w:lang w:val="en-US" w:eastAsia="zh-CN"/>
                    </w:rPr>
                    <w:t>《陕西省“两高”项目管理暂行目录》（2022年版）可知，本项目不属于“两高”行业项目</w:t>
                  </w:r>
                </w:p>
              </w:tc>
              <w:tc>
                <w:tcPr>
                  <w:tcW w:w="550" w:type="pct"/>
                  <w:noWrap w:val="0"/>
                  <w:vAlign w:val="center"/>
                </w:tcPr>
                <w:p w14:paraId="2A4937BD">
                  <w:pPr>
                    <w:autoSpaceDE w:val="0"/>
                    <w:autoSpaceDN w:val="0"/>
                    <w:adjustRightInd w:val="0"/>
                    <w:snapToGrid w:val="0"/>
                    <w:jc w:val="center"/>
                    <w:rPr>
                      <w:rFonts w:hint="eastAsia" w:eastAsia="宋体"/>
                      <w:bCs/>
                      <w:color w:val="auto"/>
                      <w:kern w:val="0"/>
                      <w:szCs w:val="21"/>
                      <w:lang w:val="en-US" w:eastAsia="zh-CN"/>
                    </w:rPr>
                  </w:pPr>
                  <w:r>
                    <w:rPr>
                      <w:rFonts w:hint="eastAsia"/>
                      <w:bCs/>
                      <w:color w:val="auto"/>
                      <w:kern w:val="0"/>
                      <w:szCs w:val="21"/>
                      <w:lang w:val="en-US" w:eastAsia="zh-CN"/>
                    </w:rPr>
                    <w:t>符合</w:t>
                  </w:r>
                </w:p>
              </w:tc>
            </w:tr>
          </w:tbl>
          <w:p w14:paraId="32B75651">
            <w:pPr>
              <w:autoSpaceDE w:val="0"/>
              <w:autoSpaceDN w:val="0"/>
              <w:adjustRightInd w:val="0"/>
              <w:snapToGrid w:val="0"/>
              <w:spacing w:line="360" w:lineRule="auto"/>
              <w:ind w:firstLine="480" w:firstLineChars="200"/>
              <w:rPr>
                <w:rFonts w:hint="default" w:eastAsia="宋体"/>
                <w:b w:val="0"/>
                <w:bCs w:val="0"/>
                <w:color w:val="auto"/>
                <w:kern w:val="0"/>
                <w:sz w:val="24"/>
                <w:szCs w:val="24"/>
                <w:lang w:val="en-US" w:eastAsia="zh-CN"/>
              </w:rPr>
            </w:pPr>
            <w:r>
              <w:rPr>
                <w:rFonts w:hint="eastAsia" w:eastAsia="宋体"/>
                <w:b w:val="0"/>
                <w:bCs w:val="0"/>
                <w:color w:val="auto"/>
                <w:kern w:val="0"/>
                <w:sz w:val="24"/>
                <w:szCs w:val="24"/>
                <w:lang w:val="en-US" w:eastAsia="zh-CN"/>
              </w:rPr>
              <w:t>4.选址合理性分析</w:t>
            </w:r>
          </w:p>
          <w:p w14:paraId="6B196C4C">
            <w:pPr>
              <w:autoSpaceDE w:val="0"/>
              <w:autoSpaceDN w:val="0"/>
              <w:adjustRightInd w:val="0"/>
              <w:snapToGrid w:val="0"/>
              <w:spacing w:line="360" w:lineRule="auto"/>
              <w:ind w:firstLine="480" w:firstLineChars="200"/>
              <w:rPr>
                <w:rFonts w:hint="default"/>
                <w:color w:val="auto"/>
                <w:kern w:val="0"/>
                <w:sz w:val="24"/>
                <w:lang w:val="en-US" w:eastAsia="zh-CN"/>
              </w:rPr>
            </w:pPr>
            <w:r>
              <w:rPr>
                <w:rFonts w:hint="eastAsia"/>
                <w:color w:val="auto"/>
                <w:kern w:val="0"/>
                <w:sz w:val="24"/>
              </w:rPr>
              <w:t>本项目位于陕西省宝鸡市陈仓区科技工业园区内，港务大道27号院8幢厂房</w:t>
            </w:r>
            <w:r>
              <w:rPr>
                <w:rFonts w:hint="eastAsia"/>
                <w:color w:val="auto"/>
                <w:kern w:val="0"/>
                <w:sz w:val="24"/>
                <w:lang w:eastAsia="zh-CN"/>
              </w:rPr>
              <w:t>（</w:t>
            </w:r>
            <w:r>
              <w:rPr>
                <w:rFonts w:hint="eastAsia"/>
                <w:color w:val="auto"/>
                <w:kern w:val="0"/>
                <w:sz w:val="24"/>
              </w:rPr>
              <w:t>陕西机器人智能制造产业园</w:t>
            </w:r>
            <w:r>
              <w:rPr>
                <w:rFonts w:hint="eastAsia"/>
                <w:color w:val="auto"/>
                <w:kern w:val="0"/>
                <w:sz w:val="24"/>
                <w:lang w:eastAsia="zh-CN"/>
              </w:rPr>
              <w:t>），根据建设单位提供的资料，不动产登记证书陕（202</w:t>
            </w:r>
            <w:r>
              <w:rPr>
                <w:rFonts w:hint="eastAsia"/>
                <w:color w:val="auto"/>
                <w:kern w:val="0"/>
                <w:sz w:val="24"/>
                <w:lang w:val="en-US" w:eastAsia="zh-CN"/>
              </w:rPr>
              <w:t>0</w:t>
            </w:r>
            <w:r>
              <w:rPr>
                <w:rFonts w:hint="eastAsia"/>
                <w:color w:val="auto"/>
                <w:kern w:val="0"/>
                <w:sz w:val="24"/>
                <w:lang w:eastAsia="zh-CN"/>
              </w:rPr>
              <w:t>）宝鸡市不动产权第</w:t>
            </w:r>
            <w:r>
              <w:rPr>
                <w:rFonts w:hint="eastAsia"/>
                <w:color w:val="auto"/>
                <w:kern w:val="0"/>
                <w:sz w:val="24"/>
                <w:lang w:val="en-US" w:eastAsia="zh-CN"/>
              </w:rPr>
              <w:t>0192241号</w:t>
            </w:r>
            <w:r>
              <w:rPr>
                <w:rFonts w:hint="eastAsia"/>
                <w:color w:val="auto"/>
                <w:kern w:val="0"/>
                <w:sz w:val="24"/>
                <w:lang w:eastAsia="zh-CN"/>
              </w:rPr>
              <w:t>，项目租赁宝鸡中集高科置业有限责任公司标准化厂房，厂房用地类型属于国有建设用地，土地用途为工业用地，土地性质及场地租赁合同详见附件</w:t>
            </w:r>
            <w:r>
              <w:rPr>
                <w:rFonts w:hint="eastAsia"/>
                <w:color w:val="auto"/>
                <w:kern w:val="0"/>
                <w:sz w:val="24"/>
                <w:lang w:val="en-US" w:eastAsia="zh-CN"/>
              </w:rPr>
              <w:t>。</w:t>
            </w:r>
          </w:p>
          <w:p w14:paraId="78FE46D5">
            <w:pPr>
              <w:autoSpaceDE w:val="0"/>
              <w:autoSpaceDN w:val="0"/>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经现场勘查，项目东侧为同园区内的标准化生产厂房，项目西侧为厂区内内部道路及空地，北侧为同园区内部道路及厂界，厂界外为加油站，项目南侧为内部道路及标准化生产厂房，路网完善、交通便利。</w:t>
            </w:r>
          </w:p>
          <w:p w14:paraId="0E8D38C7">
            <w:pPr>
              <w:autoSpaceDE w:val="0"/>
              <w:autoSpaceDN w:val="0"/>
              <w:adjustRightInd w:val="0"/>
              <w:snapToGrid w:val="0"/>
              <w:spacing w:line="360" w:lineRule="auto"/>
              <w:ind w:firstLine="480" w:firstLineChars="200"/>
              <w:rPr>
                <w:rFonts w:hint="eastAsia"/>
                <w:color w:val="auto"/>
                <w:sz w:val="24"/>
                <w:lang w:val="en-US" w:eastAsia="zh-CN"/>
              </w:rPr>
            </w:pPr>
            <w:r>
              <w:rPr>
                <w:rFonts w:hint="eastAsia"/>
                <w:color w:val="auto"/>
                <w:sz w:val="24"/>
                <w:lang w:val="en-US" w:eastAsia="zh-CN"/>
              </w:rPr>
              <w:t>项目厂界外50m范围无声环境保护目标，距项目最近的敏感目标为项目西北侧五一村，距本项目约176m，本项目生产过程中的废气主要是拉丝粉尘，经过环保设备处理后可达标排放，对周边大气环境影响较小；厂界噪声均能达标排放，不会造成二次污染。对周边环境不会产生明显不利影响。</w:t>
            </w:r>
          </w:p>
          <w:p w14:paraId="0DC5234F">
            <w:pPr>
              <w:autoSpaceDE w:val="0"/>
              <w:autoSpaceDN w:val="0"/>
              <w:adjustRightInd w:val="0"/>
              <w:snapToGrid w:val="0"/>
              <w:spacing w:line="360" w:lineRule="auto"/>
              <w:ind w:firstLine="480" w:firstLineChars="200"/>
              <w:rPr>
                <w:rFonts w:hint="eastAsia"/>
                <w:color w:val="auto"/>
                <w:sz w:val="24"/>
              </w:rPr>
            </w:pPr>
            <w:r>
              <w:rPr>
                <w:rFonts w:hint="eastAsia"/>
                <w:color w:val="auto"/>
                <w:sz w:val="24"/>
                <w:lang w:val="en-US" w:eastAsia="zh-CN"/>
              </w:rPr>
              <w:t>本项目</w:t>
            </w:r>
            <w:r>
              <w:rPr>
                <w:rFonts w:hint="eastAsia"/>
                <w:color w:val="auto"/>
                <w:sz w:val="24"/>
              </w:rPr>
              <w:t>厂界500m内无自然保护区、风景名胜区等，无地下水集中式或分散式饮用水水源和热水、矿泉水、温泉等特殊地下水资源，故本项目的建设不存在制约因素。</w:t>
            </w:r>
          </w:p>
          <w:p w14:paraId="208D5DAA">
            <w:pPr>
              <w:autoSpaceDE w:val="0"/>
              <w:autoSpaceDN w:val="0"/>
              <w:adjustRightInd w:val="0"/>
              <w:snapToGrid w:val="0"/>
              <w:spacing w:line="360" w:lineRule="auto"/>
              <w:ind w:firstLine="480" w:firstLineChars="200"/>
              <w:rPr>
                <w:rFonts w:hint="eastAsia" w:eastAsia="宋体"/>
                <w:color w:val="auto"/>
                <w:kern w:val="0"/>
                <w:szCs w:val="21"/>
                <w:lang w:val="en-US" w:eastAsia="zh-CN"/>
              </w:rPr>
            </w:pPr>
            <w:r>
              <w:rPr>
                <w:rFonts w:hint="eastAsia" w:ascii="宋体" w:hAnsi="宋体" w:cs="宋体"/>
                <w:color w:val="auto"/>
                <w:sz w:val="24"/>
              </w:rPr>
              <w:t>综上所述，从环境保护角度分析，项目选址合理可行。</w:t>
            </w:r>
          </w:p>
          <w:p w14:paraId="40A16338">
            <w:pPr>
              <w:autoSpaceDE w:val="0"/>
              <w:autoSpaceDN w:val="0"/>
              <w:adjustRightInd w:val="0"/>
              <w:snapToGrid w:val="0"/>
              <w:spacing w:line="360" w:lineRule="auto"/>
              <w:ind w:firstLine="420" w:firstLineChars="200"/>
              <w:rPr>
                <w:rFonts w:hint="eastAsia"/>
                <w:color w:val="auto"/>
                <w:kern w:val="0"/>
                <w:szCs w:val="21"/>
                <w:lang w:val="en-US" w:eastAsia="zh-CN"/>
              </w:rPr>
            </w:pPr>
          </w:p>
          <w:p w14:paraId="068465BB">
            <w:pPr>
              <w:autoSpaceDE w:val="0"/>
              <w:autoSpaceDN w:val="0"/>
              <w:adjustRightInd w:val="0"/>
              <w:snapToGrid w:val="0"/>
              <w:spacing w:line="360" w:lineRule="auto"/>
              <w:ind w:firstLine="420" w:firstLineChars="200"/>
              <w:rPr>
                <w:rFonts w:hint="eastAsia"/>
                <w:color w:val="auto"/>
                <w:kern w:val="0"/>
                <w:szCs w:val="21"/>
                <w:lang w:val="en-US" w:eastAsia="zh-CN"/>
              </w:rPr>
            </w:pPr>
          </w:p>
          <w:p w14:paraId="4703973A">
            <w:pPr>
              <w:autoSpaceDE w:val="0"/>
              <w:autoSpaceDN w:val="0"/>
              <w:adjustRightInd w:val="0"/>
              <w:snapToGrid w:val="0"/>
              <w:spacing w:line="360" w:lineRule="auto"/>
              <w:ind w:firstLine="420" w:firstLineChars="200"/>
              <w:rPr>
                <w:rFonts w:hint="eastAsia"/>
                <w:color w:val="auto"/>
                <w:kern w:val="0"/>
                <w:szCs w:val="21"/>
                <w:lang w:val="en-US" w:eastAsia="zh-CN"/>
              </w:rPr>
            </w:pPr>
          </w:p>
          <w:p w14:paraId="316A340B">
            <w:pPr>
              <w:pStyle w:val="21"/>
              <w:rPr>
                <w:rFonts w:hint="eastAsia"/>
                <w:color w:val="auto"/>
                <w:kern w:val="0"/>
                <w:szCs w:val="21"/>
                <w:lang w:val="en-US" w:eastAsia="zh-CN"/>
              </w:rPr>
            </w:pPr>
          </w:p>
          <w:p w14:paraId="5B5B5C39">
            <w:pPr>
              <w:pStyle w:val="21"/>
              <w:rPr>
                <w:rFonts w:hint="eastAsia"/>
                <w:color w:val="auto"/>
                <w:kern w:val="0"/>
                <w:szCs w:val="21"/>
                <w:lang w:val="en-US" w:eastAsia="zh-CN"/>
              </w:rPr>
            </w:pPr>
          </w:p>
          <w:p w14:paraId="2DAB38AA">
            <w:pPr>
              <w:pStyle w:val="21"/>
              <w:rPr>
                <w:rFonts w:hint="eastAsia"/>
                <w:color w:val="auto"/>
                <w:kern w:val="0"/>
                <w:szCs w:val="21"/>
                <w:lang w:val="en-US" w:eastAsia="zh-CN"/>
              </w:rPr>
            </w:pPr>
          </w:p>
          <w:p w14:paraId="5C858117">
            <w:pPr>
              <w:pStyle w:val="21"/>
              <w:rPr>
                <w:rFonts w:hint="eastAsia"/>
                <w:color w:val="auto"/>
                <w:kern w:val="0"/>
                <w:szCs w:val="21"/>
                <w:lang w:val="en-US" w:eastAsia="zh-CN"/>
              </w:rPr>
            </w:pPr>
          </w:p>
          <w:p w14:paraId="475D0271">
            <w:pPr>
              <w:pStyle w:val="21"/>
              <w:rPr>
                <w:rFonts w:hint="eastAsia"/>
                <w:color w:val="auto"/>
                <w:kern w:val="0"/>
                <w:szCs w:val="21"/>
                <w:lang w:val="en-US" w:eastAsia="zh-CN"/>
              </w:rPr>
            </w:pPr>
          </w:p>
          <w:p w14:paraId="3AC052CD">
            <w:pPr>
              <w:pStyle w:val="21"/>
              <w:rPr>
                <w:rFonts w:hint="eastAsia"/>
                <w:color w:val="auto"/>
                <w:kern w:val="0"/>
                <w:szCs w:val="21"/>
                <w:lang w:val="en-US" w:eastAsia="zh-CN"/>
              </w:rPr>
            </w:pPr>
          </w:p>
          <w:p w14:paraId="565DE16E">
            <w:pPr>
              <w:pStyle w:val="21"/>
              <w:rPr>
                <w:rFonts w:hint="eastAsia"/>
                <w:color w:val="auto"/>
                <w:kern w:val="0"/>
                <w:szCs w:val="21"/>
                <w:lang w:val="en-US" w:eastAsia="zh-CN"/>
              </w:rPr>
            </w:pPr>
          </w:p>
          <w:p w14:paraId="5BEA35B1">
            <w:pPr>
              <w:pStyle w:val="21"/>
              <w:rPr>
                <w:rFonts w:hint="eastAsia"/>
                <w:color w:val="auto"/>
                <w:kern w:val="0"/>
                <w:szCs w:val="21"/>
                <w:lang w:val="en-US" w:eastAsia="zh-CN"/>
              </w:rPr>
            </w:pPr>
          </w:p>
          <w:p w14:paraId="579F50A5">
            <w:pPr>
              <w:autoSpaceDE w:val="0"/>
              <w:autoSpaceDN w:val="0"/>
              <w:adjustRightInd w:val="0"/>
              <w:snapToGrid w:val="0"/>
              <w:spacing w:line="360" w:lineRule="auto"/>
              <w:ind w:firstLine="420" w:firstLineChars="200"/>
              <w:rPr>
                <w:rFonts w:hint="eastAsia"/>
                <w:color w:val="auto"/>
                <w:kern w:val="0"/>
                <w:szCs w:val="21"/>
                <w:lang w:val="en-US" w:eastAsia="zh-CN"/>
              </w:rPr>
            </w:pPr>
          </w:p>
          <w:p w14:paraId="54FE7043">
            <w:pPr>
              <w:autoSpaceDE w:val="0"/>
              <w:autoSpaceDN w:val="0"/>
              <w:adjustRightInd w:val="0"/>
              <w:snapToGrid w:val="0"/>
              <w:spacing w:line="360" w:lineRule="auto"/>
              <w:ind w:firstLine="420" w:firstLineChars="200"/>
              <w:rPr>
                <w:rFonts w:hint="eastAsia"/>
                <w:color w:val="auto"/>
                <w:kern w:val="0"/>
                <w:szCs w:val="21"/>
                <w:lang w:val="en-US" w:eastAsia="zh-CN"/>
              </w:rPr>
            </w:pPr>
          </w:p>
          <w:p w14:paraId="6D66FB00">
            <w:pPr>
              <w:autoSpaceDE w:val="0"/>
              <w:autoSpaceDN w:val="0"/>
              <w:adjustRightInd w:val="0"/>
              <w:snapToGrid w:val="0"/>
              <w:spacing w:line="360" w:lineRule="auto"/>
              <w:ind w:firstLine="420" w:firstLineChars="200"/>
              <w:rPr>
                <w:rFonts w:hint="default"/>
                <w:color w:val="auto"/>
                <w:kern w:val="0"/>
                <w:szCs w:val="21"/>
                <w:lang w:val="en-US" w:eastAsia="zh-CN"/>
              </w:rPr>
            </w:pPr>
          </w:p>
          <w:p w14:paraId="7554F8D0">
            <w:pPr>
              <w:autoSpaceDE w:val="0"/>
              <w:autoSpaceDN w:val="0"/>
              <w:adjustRightInd w:val="0"/>
              <w:snapToGrid w:val="0"/>
              <w:spacing w:line="360" w:lineRule="auto"/>
              <w:rPr>
                <w:rFonts w:hint="eastAsia" w:eastAsia="宋体"/>
                <w:color w:val="auto"/>
                <w:kern w:val="0"/>
                <w:szCs w:val="21"/>
                <w:lang w:val="en-US" w:eastAsia="zh-CN"/>
              </w:rPr>
            </w:pPr>
          </w:p>
          <w:p w14:paraId="745612D1">
            <w:pPr>
              <w:autoSpaceDE w:val="0"/>
              <w:autoSpaceDN w:val="0"/>
              <w:adjustRightInd w:val="0"/>
              <w:snapToGrid w:val="0"/>
              <w:spacing w:line="360" w:lineRule="auto"/>
              <w:rPr>
                <w:rFonts w:hint="default" w:eastAsia="宋体"/>
                <w:color w:val="auto"/>
                <w:kern w:val="0"/>
                <w:szCs w:val="21"/>
                <w:lang w:val="en-US" w:eastAsia="zh-CN"/>
              </w:rPr>
            </w:pPr>
          </w:p>
        </w:tc>
      </w:tr>
    </w:tbl>
    <w:p w14:paraId="57A281A2">
      <w:pPr>
        <w:spacing w:line="360" w:lineRule="auto"/>
        <w:outlineLvl w:val="0"/>
        <w:rPr>
          <w:rFonts w:eastAsia="黑体"/>
          <w:color w:val="auto"/>
          <w:sz w:val="30"/>
        </w:rPr>
        <w:sectPr>
          <w:headerReference r:id="rId8" w:type="default"/>
          <w:footerReference r:id="rId9" w:type="default"/>
          <w:pgSz w:w="11905" w:h="16838"/>
          <w:pgMar w:top="1440" w:right="1531" w:bottom="1440"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009D0F7">
      <w:pPr>
        <w:pStyle w:val="19"/>
        <w:spacing w:before="0" w:beforeAutospacing="0" w:after="0" w:afterAutospacing="0" w:line="360" w:lineRule="auto"/>
        <w:jc w:val="center"/>
        <w:outlineLvl w:val="0"/>
        <w:rPr>
          <w:rFonts w:ascii="Times New Roman" w:hAnsi="Times New Roman" w:eastAsia="黑体"/>
          <w:snapToGrid w:val="0"/>
          <w:color w:val="auto"/>
          <w:sz w:val="30"/>
          <w:szCs w:val="30"/>
        </w:rPr>
      </w:pPr>
      <w:bookmarkStart w:id="2" w:name="_Toc75422658"/>
      <w:r>
        <w:rPr>
          <w:rFonts w:ascii="Times New Roman" w:hAnsi="Times New Roman" w:eastAsia="黑体"/>
          <w:snapToGrid w:val="0"/>
          <w:color w:val="auto"/>
          <w:sz w:val="30"/>
          <w:szCs w:val="30"/>
        </w:rPr>
        <w:t>二、建设项目工程分析</w:t>
      </w:r>
      <w:bookmarkEnd w:id="2"/>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313"/>
      </w:tblGrid>
      <w:tr w14:paraId="52E7CB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vAlign w:val="center"/>
          </w:tcPr>
          <w:p w14:paraId="4537CCBF">
            <w:pPr>
              <w:pStyle w:val="1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Cs w:val="24"/>
              </w:rPr>
              <w:t>建设内容</w:t>
            </w:r>
          </w:p>
        </w:tc>
        <w:tc>
          <w:tcPr>
            <w:tcW w:w="8313" w:type="dxa"/>
            <w:noWrap w:val="0"/>
            <w:vAlign w:val="top"/>
          </w:tcPr>
          <w:p w14:paraId="1B406D4D">
            <w:pPr>
              <w:adjustRightInd w:val="0"/>
              <w:snapToGrid w:val="0"/>
              <w:spacing w:line="360" w:lineRule="auto"/>
              <w:ind w:firstLine="420"/>
              <w:jc w:val="left"/>
              <w:rPr>
                <w:b/>
                <w:bCs/>
                <w:color w:val="auto"/>
                <w:sz w:val="24"/>
                <w:szCs w:val="32"/>
              </w:rPr>
            </w:pPr>
            <w:r>
              <w:rPr>
                <w:rFonts w:hint="eastAsia"/>
                <w:b/>
                <w:bCs/>
                <w:color w:val="auto"/>
                <w:sz w:val="24"/>
                <w:szCs w:val="32"/>
              </w:rPr>
              <w:t>1.项目由来</w:t>
            </w:r>
          </w:p>
          <w:p w14:paraId="0111C911">
            <w:pPr>
              <w:adjustRightInd w:val="0"/>
              <w:snapToGrid w:val="0"/>
              <w:spacing w:line="360" w:lineRule="auto"/>
              <w:ind w:firstLine="420"/>
              <w:jc w:val="left"/>
              <w:rPr>
                <w:rFonts w:hint="eastAsia" w:asciiTheme="minorEastAsia" w:hAnsiTheme="minorEastAsia" w:eastAsiaTheme="minorEastAsia" w:cstheme="minorEastAsia"/>
                <w:color w:val="auto"/>
                <w:sz w:val="24"/>
                <w:szCs w:val="32"/>
                <w:lang w:val="en-US" w:eastAsia="zh-CN"/>
              </w:rPr>
            </w:pPr>
            <w:r>
              <w:rPr>
                <w:rFonts w:hint="eastAsia" w:asciiTheme="minorEastAsia" w:hAnsiTheme="minorEastAsia" w:eastAsiaTheme="minorEastAsia" w:cstheme="minorEastAsia"/>
                <w:color w:val="auto"/>
                <w:sz w:val="24"/>
                <w:szCs w:val="32"/>
                <w:lang w:eastAsia="zh-CN"/>
              </w:rPr>
              <w:t>陕西兴硕新材料科技有限公司</w:t>
            </w:r>
            <w:r>
              <w:rPr>
                <w:rFonts w:hint="eastAsia" w:asciiTheme="minorEastAsia" w:hAnsiTheme="minorEastAsia" w:eastAsiaTheme="minorEastAsia" w:cstheme="minorEastAsia"/>
                <w:color w:val="auto"/>
                <w:sz w:val="24"/>
                <w:szCs w:val="32"/>
              </w:rPr>
              <w:t>于</w:t>
            </w:r>
            <w:r>
              <w:rPr>
                <w:rFonts w:hint="eastAsia" w:asciiTheme="minorEastAsia" w:hAnsiTheme="minorEastAsia" w:eastAsiaTheme="minorEastAsia" w:cstheme="minorEastAsia"/>
                <w:color w:val="auto"/>
                <w:sz w:val="24"/>
                <w:szCs w:val="32"/>
                <w:lang w:val="en-US" w:eastAsia="zh-CN"/>
              </w:rPr>
              <w:t>2015</w:t>
            </w:r>
            <w:r>
              <w:rPr>
                <w:rFonts w:hint="eastAsia" w:asciiTheme="minorEastAsia" w:hAnsiTheme="minorEastAsia" w:eastAsiaTheme="minorEastAsia" w:cstheme="minorEastAsia"/>
                <w:color w:val="auto"/>
                <w:sz w:val="24"/>
                <w:szCs w:val="32"/>
              </w:rPr>
              <w:t>年</w:t>
            </w:r>
            <w:r>
              <w:rPr>
                <w:rFonts w:hint="eastAsia" w:asciiTheme="minorEastAsia" w:hAnsiTheme="minorEastAsia" w:eastAsiaTheme="minorEastAsia" w:cstheme="minorEastAsia"/>
                <w:color w:val="auto"/>
                <w:sz w:val="24"/>
                <w:szCs w:val="32"/>
                <w:lang w:val="en-US" w:eastAsia="zh-CN"/>
              </w:rPr>
              <w:t>9</w:t>
            </w:r>
            <w:r>
              <w:rPr>
                <w:rFonts w:hint="eastAsia" w:asciiTheme="minorEastAsia" w:hAnsiTheme="minorEastAsia" w:eastAsiaTheme="minorEastAsia" w:cstheme="minorEastAsia"/>
                <w:color w:val="auto"/>
                <w:sz w:val="24"/>
                <w:szCs w:val="32"/>
              </w:rPr>
              <w:t>月</w:t>
            </w:r>
            <w:r>
              <w:rPr>
                <w:rFonts w:hint="eastAsia" w:asciiTheme="minorEastAsia" w:hAnsiTheme="minorEastAsia" w:eastAsiaTheme="minorEastAsia" w:cstheme="minorEastAsia"/>
                <w:color w:val="auto"/>
                <w:sz w:val="24"/>
                <w:szCs w:val="32"/>
                <w:lang w:val="en-US" w:eastAsia="zh-CN"/>
              </w:rPr>
              <w:t>8日</w:t>
            </w:r>
            <w:r>
              <w:rPr>
                <w:rFonts w:hint="eastAsia" w:asciiTheme="minorEastAsia" w:hAnsiTheme="minorEastAsia" w:eastAsiaTheme="minorEastAsia" w:cstheme="minorEastAsia"/>
                <w:color w:val="auto"/>
                <w:sz w:val="24"/>
                <w:szCs w:val="32"/>
              </w:rPr>
              <w:t>注册成立，</w:t>
            </w:r>
            <w:r>
              <w:rPr>
                <w:rFonts w:hint="eastAsia" w:asciiTheme="minorEastAsia" w:hAnsiTheme="minorEastAsia" w:eastAsiaTheme="minorEastAsia" w:cstheme="minorEastAsia"/>
                <w:color w:val="auto"/>
                <w:sz w:val="24"/>
                <w:szCs w:val="32"/>
                <w:lang w:eastAsia="zh-CN"/>
              </w:rPr>
              <w:t>主要从事有色金属压延加工；有色金属合金制造，高性能有色金属及合金材料销售，新材料技术研发，金属材料销售，新型金属功能材料销售，金属材料制造，</w:t>
            </w:r>
            <w:r>
              <w:rPr>
                <w:rFonts w:hint="eastAsia" w:asciiTheme="minorEastAsia" w:hAnsiTheme="minorEastAsia" w:eastAsiaTheme="minorEastAsia" w:cstheme="minorEastAsia"/>
                <w:color w:val="auto"/>
                <w:sz w:val="24"/>
                <w:szCs w:val="32"/>
                <w:lang w:val="en-US" w:eastAsia="zh-CN"/>
              </w:rPr>
              <w:t>有色金属拉丝生产加工。为了适应生产，整合企业内部资源进行长久生产，陕西兴硕新材料科技有限公司拟租赁宝鸡中集高科置业有限责任公司闲置空厂房，购置加热炉、拉丝机、轧机等生产设备，进行镍钛形状记忆合金生产线的建设。</w:t>
            </w:r>
          </w:p>
          <w:p w14:paraId="71C254AD">
            <w:pPr>
              <w:adjustRightInd w:val="0"/>
              <w:snapToGrid w:val="0"/>
              <w:spacing w:line="360" w:lineRule="auto"/>
              <w:ind w:firstLine="480" w:firstLineChars="200"/>
              <w:jc w:val="left"/>
              <w:rPr>
                <w:rFonts w:hint="eastAsia" w:asciiTheme="minorEastAsia" w:hAnsiTheme="minorEastAsia" w:eastAsiaTheme="minorEastAsia" w:cstheme="minorEastAsia"/>
                <w:color w:val="auto"/>
                <w:sz w:val="24"/>
                <w:szCs w:val="32"/>
                <w:lang w:eastAsia="zh-CN"/>
              </w:rPr>
            </w:pPr>
            <w:r>
              <w:rPr>
                <w:rFonts w:hint="eastAsia" w:asciiTheme="minorEastAsia" w:hAnsiTheme="minorEastAsia" w:eastAsiaTheme="minorEastAsia" w:cstheme="minorEastAsia"/>
                <w:color w:val="auto"/>
                <w:sz w:val="24"/>
                <w:szCs w:val="32"/>
                <w:lang w:eastAsia="zh-CN"/>
              </w:rPr>
              <w:t>根据《中华人民共和国环境保护法》《中华人民共和国环境影响评价法》《建设项目环境保护管理条例》等有关法律法规要求，该项目应进行环境影响评价。对照《建设项目环境影响评价分类管理名录》（2021年版），本项目属于“二十九、有色金属冶炼和压延加工业-65-有色金属压延加工-全部”，因此本项目应编制环境影响报告表。</w:t>
            </w:r>
          </w:p>
          <w:p w14:paraId="2E8BE8D3">
            <w:pPr>
              <w:adjustRightInd w:val="0"/>
              <w:jc w:val="center"/>
              <w:rPr>
                <w:rFonts w:hint="eastAsia"/>
                <w:b/>
                <w:bCs/>
                <w:color w:val="auto"/>
              </w:rPr>
            </w:pPr>
            <w:r>
              <w:rPr>
                <w:rFonts w:hint="eastAsia"/>
                <w:b/>
                <w:bCs/>
                <w:color w:val="auto"/>
              </w:rPr>
              <w:t>表</w:t>
            </w:r>
            <w:r>
              <w:rPr>
                <w:rFonts w:hint="eastAsia"/>
                <w:b/>
                <w:bCs/>
                <w:color w:val="auto"/>
                <w:lang w:val="en-US" w:eastAsia="zh-CN"/>
              </w:rPr>
              <w:t>2-1</w:t>
            </w:r>
            <w:r>
              <w:rPr>
                <w:rFonts w:hint="eastAsia"/>
                <w:b/>
                <w:bCs/>
                <w:color w:val="auto"/>
              </w:rPr>
              <w:t xml:space="preserve">  建设项目环境影响评价分类管理名录（摘录）</w:t>
            </w:r>
          </w:p>
          <w:tbl>
            <w:tblPr>
              <w:tblStyle w:val="23"/>
              <w:tblW w:w="81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
              <w:gridCol w:w="1135"/>
              <w:gridCol w:w="1921"/>
              <w:gridCol w:w="2606"/>
              <w:gridCol w:w="679"/>
              <w:gridCol w:w="1360"/>
            </w:tblGrid>
            <w:tr w14:paraId="4A83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592" w:type="dxa"/>
                  <w:gridSpan w:val="2"/>
                  <w:tcBorders>
                    <w:tl2br w:val="single" w:color="auto" w:sz="4" w:space="0"/>
                  </w:tcBorders>
                  <w:noWrap w:val="0"/>
                  <w:vAlign w:val="top"/>
                </w:tcPr>
                <w:p w14:paraId="22B97A34">
                  <w:pPr>
                    <w:adjustRightInd w:val="0"/>
                    <w:jc w:val="right"/>
                    <w:rPr>
                      <w:rFonts w:hint="eastAsia"/>
                      <w:color w:val="auto"/>
                    </w:rPr>
                  </w:pPr>
                  <w:r>
                    <w:rPr>
                      <w:rFonts w:hint="eastAsia"/>
                      <w:color w:val="auto"/>
                    </w:rPr>
                    <w:t>环评类别</w:t>
                  </w:r>
                </w:p>
                <w:p w14:paraId="78E35022">
                  <w:pPr>
                    <w:adjustRightInd w:val="0"/>
                    <w:jc w:val="left"/>
                    <w:rPr>
                      <w:color w:val="auto"/>
                    </w:rPr>
                  </w:pPr>
                  <w:r>
                    <w:rPr>
                      <w:rFonts w:hint="eastAsia"/>
                      <w:color w:val="auto"/>
                    </w:rPr>
                    <w:t>项目分类</w:t>
                  </w:r>
                </w:p>
              </w:tc>
              <w:tc>
                <w:tcPr>
                  <w:tcW w:w="1921" w:type="dxa"/>
                  <w:noWrap w:val="0"/>
                  <w:vAlign w:val="center"/>
                </w:tcPr>
                <w:p w14:paraId="43340B62">
                  <w:pPr>
                    <w:adjustRightInd w:val="0"/>
                    <w:jc w:val="center"/>
                    <w:rPr>
                      <w:color w:val="auto"/>
                    </w:rPr>
                  </w:pPr>
                  <w:r>
                    <w:rPr>
                      <w:rFonts w:hint="eastAsia"/>
                      <w:color w:val="auto"/>
                    </w:rPr>
                    <w:t>报告书</w:t>
                  </w:r>
                </w:p>
              </w:tc>
              <w:tc>
                <w:tcPr>
                  <w:tcW w:w="2606" w:type="dxa"/>
                  <w:shd w:val="clear" w:color="auto" w:fill="D7D7D7" w:themeFill="background1" w:themeFillShade="D8"/>
                  <w:noWrap w:val="0"/>
                  <w:vAlign w:val="center"/>
                </w:tcPr>
                <w:p w14:paraId="057BFE3C">
                  <w:pPr>
                    <w:adjustRightInd w:val="0"/>
                    <w:jc w:val="center"/>
                    <w:rPr>
                      <w:color w:val="auto"/>
                    </w:rPr>
                  </w:pPr>
                  <w:r>
                    <w:rPr>
                      <w:rFonts w:hint="eastAsia"/>
                      <w:color w:val="auto"/>
                    </w:rPr>
                    <w:t>报告表</w:t>
                  </w:r>
                </w:p>
              </w:tc>
              <w:tc>
                <w:tcPr>
                  <w:tcW w:w="679" w:type="dxa"/>
                  <w:noWrap w:val="0"/>
                  <w:vAlign w:val="center"/>
                </w:tcPr>
                <w:p w14:paraId="371E6FEC">
                  <w:pPr>
                    <w:adjustRightInd w:val="0"/>
                    <w:jc w:val="center"/>
                    <w:rPr>
                      <w:color w:val="auto"/>
                    </w:rPr>
                  </w:pPr>
                  <w:r>
                    <w:rPr>
                      <w:rFonts w:hint="eastAsia"/>
                      <w:color w:val="auto"/>
                    </w:rPr>
                    <w:t>登记表</w:t>
                  </w:r>
                </w:p>
              </w:tc>
              <w:tc>
                <w:tcPr>
                  <w:tcW w:w="1360" w:type="dxa"/>
                  <w:noWrap w:val="0"/>
                  <w:vAlign w:val="center"/>
                </w:tcPr>
                <w:p w14:paraId="7072D44E">
                  <w:pPr>
                    <w:adjustRightInd w:val="0"/>
                    <w:jc w:val="center"/>
                    <w:rPr>
                      <w:color w:val="auto"/>
                    </w:rPr>
                  </w:pPr>
                  <w:r>
                    <w:rPr>
                      <w:rFonts w:hint="eastAsia"/>
                      <w:color w:val="auto"/>
                    </w:rPr>
                    <w:t>本栏目环境敏感区含义</w:t>
                  </w:r>
                </w:p>
              </w:tc>
            </w:tr>
            <w:tr w14:paraId="0A721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 w:hRule="atLeast"/>
              </w:trPr>
              <w:tc>
                <w:tcPr>
                  <w:tcW w:w="8158" w:type="dxa"/>
                  <w:gridSpan w:val="6"/>
                  <w:noWrap w:val="0"/>
                  <w:vAlign w:val="center"/>
                </w:tcPr>
                <w:p w14:paraId="134F475F">
                  <w:pPr>
                    <w:pStyle w:val="31"/>
                    <w:bidi w:val="0"/>
                    <w:jc w:val="both"/>
                    <w:rPr>
                      <w:rFonts w:hint="default"/>
                      <w:color w:val="auto"/>
                      <w:lang w:val="en-US" w:eastAsia="zh-CN"/>
                    </w:rPr>
                  </w:pPr>
                  <w:r>
                    <w:rPr>
                      <w:rFonts w:hint="eastAsia"/>
                      <w:color w:val="auto"/>
                    </w:rPr>
                    <w:t>二十九、有色金属冶炼和压延加工业 32</w:t>
                  </w:r>
                </w:p>
              </w:tc>
            </w:tr>
            <w:tr w14:paraId="5BC16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1" w:hRule="atLeast"/>
              </w:trPr>
              <w:tc>
                <w:tcPr>
                  <w:tcW w:w="457" w:type="dxa"/>
                  <w:noWrap w:val="0"/>
                  <w:vAlign w:val="center"/>
                </w:tcPr>
                <w:p w14:paraId="343221CC">
                  <w:pPr>
                    <w:pStyle w:val="31"/>
                    <w:bidi w:val="0"/>
                    <w:rPr>
                      <w:rFonts w:hint="default"/>
                      <w:color w:val="auto"/>
                      <w:lang w:val="en-US" w:eastAsia="zh-CN"/>
                    </w:rPr>
                  </w:pPr>
                  <w:r>
                    <w:rPr>
                      <w:rFonts w:hint="eastAsia"/>
                      <w:color w:val="auto"/>
                      <w:lang w:val="en-US" w:eastAsia="zh-CN"/>
                    </w:rPr>
                    <w:t>65</w:t>
                  </w:r>
                </w:p>
              </w:tc>
              <w:tc>
                <w:tcPr>
                  <w:tcW w:w="1135" w:type="dxa"/>
                  <w:noWrap w:val="0"/>
                  <w:vAlign w:val="center"/>
                </w:tcPr>
                <w:p w14:paraId="2EF0258E">
                  <w:pPr>
                    <w:pStyle w:val="31"/>
                    <w:bidi w:val="0"/>
                    <w:rPr>
                      <w:rFonts w:hint="default"/>
                      <w:color w:val="auto"/>
                      <w:lang w:val="en-US" w:eastAsia="zh-CN"/>
                    </w:rPr>
                  </w:pPr>
                  <w:r>
                    <w:rPr>
                      <w:rFonts w:hint="eastAsia"/>
                      <w:color w:val="auto"/>
                      <w:lang w:val="en-US" w:eastAsia="zh-CN"/>
                    </w:rPr>
                    <w:t>有色金属压延加工 325</w:t>
                  </w:r>
                </w:p>
              </w:tc>
              <w:tc>
                <w:tcPr>
                  <w:tcW w:w="1921" w:type="dxa"/>
                  <w:noWrap w:val="0"/>
                  <w:vAlign w:val="center"/>
                </w:tcPr>
                <w:p w14:paraId="5E0EB554">
                  <w:pPr>
                    <w:pStyle w:val="31"/>
                    <w:bidi w:val="0"/>
                    <w:rPr>
                      <w:rFonts w:hint="default"/>
                      <w:color w:val="auto"/>
                      <w:lang w:val="en-US" w:eastAsia="zh-CN"/>
                    </w:rPr>
                  </w:pPr>
                  <w:r>
                    <w:rPr>
                      <w:rFonts w:hint="eastAsia"/>
                      <w:color w:val="auto"/>
                      <w:lang w:val="en-US" w:eastAsia="zh-CN"/>
                    </w:rPr>
                    <w:t>/</w:t>
                  </w:r>
                </w:p>
              </w:tc>
              <w:tc>
                <w:tcPr>
                  <w:tcW w:w="2606" w:type="dxa"/>
                  <w:shd w:val="clear" w:color="auto" w:fill="D7D7D7" w:themeFill="background1" w:themeFillShade="D8"/>
                  <w:noWrap w:val="0"/>
                  <w:vAlign w:val="center"/>
                </w:tcPr>
                <w:p w14:paraId="3CD83E26">
                  <w:pPr>
                    <w:pStyle w:val="31"/>
                    <w:bidi w:val="0"/>
                    <w:rPr>
                      <w:rFonts w:hint="default"/>
                      <w:color w:val="auto"/>
                      <w:lang w:val="en-US" w:eastAsia="zh-CN"/>
                    </w:rPr>
                  </w:pPr>
                  <w:r>
                    <w:rPr>
                      <w:rFonts w:hint="eastAsia"/>
                      <w:color w:val="auto"/>
                      <w:lang w:val="en-US" w:eastAsia="zh-CN"/>
                    </w:rPr>
                    <w:t>全部</w:t>
                  </w:r>
                </w:p>
              </w:tc>
              <w:tc>
                <w:tcPr>
                  <w:tcW w:w="679" w:type="dxa"/>
                  <w:noWrap w:val="0"/>
                  <w:vAlign w:val="center"/>
                </w:tcPr>
                <w:p w14:paraId="707FCC9B">
                  <w:pPr>
                    <w:pStyle w:val="31"/>
                    <w:bidi w:val="0"/>
                    <w:rPr>
                      <w:rFonts w:hint="default"/>
                      <w:color w:val="auto"/>
                      <w:lang w:val="en-US" w:eastAsia="zh-CN"/>
                    </w:rPr>
                  </w:pPr>
                  <w:r>
                    <w:rPr>
                      <w:rFonts w:hint="eastAsia"/>
                      <w:color w:val="auto"/>
                      <w:lang w:val="en-US" w:eastAsia="zh-CN"/>
                    </w:rPr>
                    <w:t>/</w:t>
                  </w:r>
                </w:p>
              </w:tc>
              <w:tc>
                <w:tcPr>
                  <w:tcW w:w="1360" w:type="dxa"/>
                  <w:noWrap w:val="0"/>
                  <w:vAlign w:val="center"/>
                </w:tcPr>
                <w:p w14:paraId="620B918A">
                  <w:pPr>
                    <w:pStyle w:val="31"/>
                    <w:bidi w:val="0"/>
                    <w:rPr>
                      <w:color w:val="auto"/>
                    </w:rPr>
                  </w:pPr>
                </w:p>
              </w:tc>
            </w:tr>
          </w:tbl>
          <w:p w14:paraId="070B049E">
            <w:pPr>
              <w:adjustRightInd w:val="0"/>
              <w:snapToGrid w:val="0"/>
              <w:spacing w:line="360" w:lineRule="auto"/>
              <w:ind w:firstLine="420"/>
              <w:jc w:val="left"/>
              <w:rPr>
                <w:color w:val="auto"/>
                <w:sz w:val="24"/>
                <w:szCs w:val="32"/>
              </w:rPr>
            </w:pPr>
            <w:r>
              <w:rPr>
                <w:rFonts w:hint="eastAsia"/>
                <w:b/>
                <w:bCs/>
                <w:color w:val="auto"/>
                <w:sz w:val="24"/>
                <w:szCs w:val="32"/>
              </w:rPr>
              <w:t>2.建设内容</w:t>
            </w:r>
            <w:r>
              <w:rPr>
                <w:rFonts w:hint="eastAsia"/>
                <w:b/>
                <w:bCs/>
                <w:color w:val="auto"/>
                <w:sz w:val="24"/>
                <w:szCs w:val="32"/>
                <w:lang w:val="en-US" w:eastAsia="zh-CN"/>
              </w:rPr>
              <w:t>及规模</w:t>
            </w:r>
          </w:p>
          <w:p w14:paraId="2D2C162B">
            <w:pPr>
              <w:adjustRightInd w:val="0"/>
              <w:snapToGrid w:val="0"/>
              <w:spacing w:line="360" w:lineRule="auto"/>
              <w:ind w:firstLine="420"/>
              <w:jc w:val="left"/>
              <w:rPr>
                <w:rFonts w:hint="eastAsia" w:ascii="Times New Roman" w:hAnsi="Times New Roman" w:eastAsia="宋体" w:cs="Times New Roman"/>
                <w:color w:val="auto"/>
                <w:sz w:val="24"/>
                <w:szCs w:val="32"/>
                <w:lang w:val="en-US" w:eastAsia="zh-CN"/>
              </w:rPr>
            </w:pPr>
            <w:r>
              <w:rPr>
                <w:rFonts w:hint="default" w:ascii="Times New Roman" w:hAnsi="Times New Roman" w:eastAsia="宋体" w:cs="Times New Roman"/>
                <w:color w:val="auto"/>
                <w:sz w:val="24"/>
                <w:szCs w:val="32"/>
                <w:lang w:val="en-US" w:eastAsia="zh-CN"/>
              </w:rPr>
              <w:t>本项目租赁现有厂房占地面积</w:t>
            </w:r>
            <w:r>
              <w:rPr>
                <w:rFonts w:hint="eastAsia" w:cs="Times New Roman"/>
                <w:color w:val="auto"/>
                <w:sz w:val="24"/>
                <w:szCs w:val="32"/>
                <w:lang w:val="en-US" w:eastAsia="zh-CN"/>
              </w:rPr>
              <w:t>1774</w:t>
            </w:r>
            <w:r>
              <w:rPr>
                <w:rFonts w:hint="default" w:ascii="Times New Roman" w:hAnsi="Times New Roman" w:eastAsia="宋体" w:cs="Times New Roman"/>
                <w:color w:val="auto"/>
                <w:sz w:val="24"/>
                <w:szCs w:val="32"/>
                <w:lang w:val="en-US" w:eastAsia="zh-CN"/>
              </w:rPr>
              <w:t>m</w:t>
            </w:r>
            <w:r>
              <w:rPr>
                <w:rFonts w:hint="default" w:ascii="Times New Roman" w:hAnsi="Times New Roman" w:eastAsia="宋体" w:cs="Times New Roman"/>
                <w:color w:val="auto"/>
                <w:sz w:val="24"/>
                <w:szCs w:val="32"/>
                <w:vertAlign w:val="superscript"/>
                <w:lang w:val="en-US" w:eastAsia="zh-CN"/>
              </w:rPr>
              <w:t>2</w:t>
            </w:r>
            <w:r>
              <w:rPr>
                <w:rFonts w:hint="default" w:ascii="Times New Roman" w:hAnsi="Times New Roman" w:eastAsia="宋体" w:cs="Times New Roman"/>
                <w:color w:val="auto"/>
                <w:sz w:val="24"/>
                <w:szCs w:val="32"/>
                <w:lang w:val="en-US" w:eastAsia="zh-CN"/>
              </w:rPr>
              <w:t>，在租赁空置厂房中划分生产区、原料区</w:t>
            </w:r>
            <w:r>
              <w:rPr>
                <w:rFonts w:hint="eastAsia" w:ascii="Times New Roman" w:hAnsi="Times New Roman" w:eastAsia="宋体" w:cs="Times New Roman"/>
                <w:color w:val="auto"/>
                <w:sz w:val="24"/>
                <w:szCs w:val="32"/>
                <w:lang w:val="en-US" w:eastAsia="zh-CN"/>
              </w:rPr>
              <w:t>、生产办公区</w:t>
            </w:r>
            <w:r>
              <w:rPr>
                <w:rFonts w:hint="default" w:ascii="Times New Roman" w:hAnsi="Times New Roman" w:eastAsia="宋体" w:cs="Times New Roman"/>
                <w:color w:val="auto"/>
                <w:sz w:val="24"/>
                <w:szCs w:val="32"/>
                <w:lang w:val="en-US" w:eastAsia="zh-CN"/>
              </w:rPr>
              <w:t>等功能区，</w:t>
            </w:r>
          </w:p>
          <w:p w14:paraId="5CFBDCE0">
            <w:pPr>
              <w:adjustRightInd w:val="0"/>
              <w:snapToGrid w:val="0"/>
              <w:jc w:val="center"/>
              <w:rPr>
                <w:b/>
                <w:bCs/>
                <w:color w:val="auto"/>
              </w:rPr>
            </w:pPr>
            <w:r>
              <w:rPr>
                <w:b/>
                <w:bCs/>
                <w:color w:val="auto"/>
              </w:rPr>
              <w:t>表</w:t>
            </w:r>
            <w:r>
              <w:rPr>
                <w:rFonts w:hint="eastAsia"/>
                <w:b/>
                <w:bCs/>
                <w:color w:val="auto"/>
                <w:lang w:val="en-US" w:eastAsia="zh-CN"/>
              </w:rPr>
              <w:t>2-2</w:t>
            </w:r>
            <w:r>
              <w:rPr>
                <w:rFonts w:hint="eastAsia"/>
                <w:b/>
                <w:bCs/>
                <w:color w:val="auto"/>
              </w:rPr>
              <w:t xml:space="preserve"> </w:t>
            </w:r>
            <w:r>
              <w:rPr>
                <w:b/>
                <w:bCs/>
                <w:color w:val="auto"/>
              </w:rPr>
              <w:t xml:space="preserve"> 项目组成一览表</w:t>
            </w:r>
          </w:p>
          <w:tbl>
            <w:tblPr>
              <w:tblStyle w:val="23"/>
              <w:tblW w:w="4998"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2"/>
              <w:gridCol w:w="817"/>
              <w:gridCol w:w="5990"/>
              <w:gridCol w:w="635"/>
            </w:tblGrid>
            <w:tr w14:paraId="13BD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7" w:type="pct"/>
                  <w:noWrap w:val="0"/>
                  <w:vAlign w:val="center"/>
                </w:tcPr>
                <w:p w14:paraId="074BCA57">
                  <w:pPr>
                    <w:adjustRightInd w:val="0"/>
                    <w:snapToGrid w:val="0"/>
                    <w:jc w:val="center"/>
                    <w:rPr>
                      <w:rFonts w:hint="eastAsia"/>
                      <w:color w:val="auto"/>
                    </w:rPr>
                  </w:pPr>
                  <w:r>
                    <w:rPr>
                      <w:rFonts w:hint="eastAsia"/>
                      <w:color w:val="auto"/>
                    </w:rPr>
                    <w:t>名称</w:t>
                  </w:r>
                </w:p>
              </w:tc>
              <w:tc>
                <w:tcPr>
                  <w:tcW w:w="505" w:type="pct"/>
                  <w:noWrap w:val="0"/>
                  <w:vAlign w:val="center"/>
                </w:tcPr>
                <w:p w14:paraId="5E40B420">
                  <w:pPr>
                    <w:adjustRightInd w:val="0"/>
                    <w:snapToGrid w:val="0"/>
                    <w:jc w:val="center"/>
                    <w:rPr>
                      <w:color w:val="auto"/>
                    </w:rPr>
                  </w:pPr>
                  <w:r>
                    <w:rPr>
                      <w:rFonts w:hint="eastAsia"/>
                      <w:color w:val="auto"/>
                    </w:rPr>
                    <w:t>建设项目</w:t>
                  </w:r>
                </w:p>
              </w:tc>
              <w:tc>
                <w:tcPr>
                  <w:tcW w:w="3704" w:type="pct"/>
                  <w:noWrap w:val="0"/>
                  <w:vAlign w:val="center"/>
                </w:tcPr>
                <w:p w14:paraId="01936CFA">
                  <w:pPr>
                    <w:adjustRightInd w:val="0"/>
                    <w:snapToGrid w:val="0"/>
                    <w:jc w:val="center"/>
                    <w:rPr>
                      <w:color w:val="auto"/>
                    </w:rPr>
                  </w:pPr>
                  <w:r>
                    <w:rPr>
                      <w:rFonts w:hint="eastAsia"/>
                      <w:color w:val="auto"/>
                    </w:rPr>
                    <w:t>主要建设内容及规模</w:t>
                  </w:r>
                </w:p>
              </w:tc>
              <w:tc>
                <w:tcPr>
                  <w:tcW w:w="392" w:type="pct"/>
                  <w:noWrap w:val="0"/>
                  <w:vAlign w:val="center"/>
                </w:tcPr>
                <w:p w14:paraId="7426E040">
                  <w:pPr>
                    <w:adjustRightInd w:val="0"/>
                    <w:snapToGrid w:val="0"/>
                    <w:jc w:val="center"/>
                    <w:rPr>
                      <w:color w:val="auto"/>
                    </w:rPr>
                  </w:pPr>
                  <w:r>
                    <w:rPr>
                      <w:rFonts w:hint="eastAsia"/>
                      <w:color w:val="auto"/>
                    </w:rPr>
                    <w:t>备注</w:t>
                  </w:r>
                </w:p>
              </w:tc>
            </w:tr>
            <w:tr w14:paraId="500BF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7" w:type="pct"/>
                  <w:noWrap w:val="0"/>
                  <w:vAlign w:val="center"/>
                </w:tcPr>
                <w:p w14:paraId="25223E7D">
                  <w:pPr>
                    <w:adjustRightInd w:val="0"/>
                    <w:snapToGrid w:val="0"/>
                    <w:jc w:val="center"/>
                    <w:rPr>
                      <w:color w:val="auto"/>
                    </w:rPr>
                  </w:pPr>
                  <w:r>
                    <w:rPr>
                      <w:rFonts w:hint="eastAsia"/>
                      <w:color w:val="auto"/>
                    </w:rPr>
                    <w:t>主体工程</w:t>
                  </w:r>
                </w:p>
              </w:tc>
              <w:tc>
                <w:tcPr>
                  <w:tcW w:w="505" w:type="pct"/>
                  <w:noWrap w:val="0"/>
                  <w:vAlign w:val="center"/>
                </w:tcPr>
                <w:p w14:paraId="784C5A4B">
                  <w:pPr>
                    <w:adjustRightInd w:val="0"/>
                    <w:snapToGrid w:val="0"/>
                    <w:jc w:val="center"/>
                    <w:rPr>
                      <w:rFonts w:hint="default" w:eastAsia="宋体"/>
                      <w:color w:val="auto"/>
                      <w:kern w:val="2"/>
                      <w:sz w:val="21"/>
                      <w:szCs w:val="24"/>
                      <w:lang w:val="en-US" w:eastAsia="zh-CN" w:bidi="ar-SA"/>
                    </w:rPr>
                  </w:pPr>
                  <w:r>
                    <w:rPr>
                      <w:rFonts w:hint="eastAsia"/>
                      <w:color w:val="auto"/>
                      <w:lang w:val="en-US" w:eastAsia="zh-CN"/>
                    </w:rPr>
                    <w:t>生产厂房</w:t>
                  </w:r>
                </w:p>
              </w:tc>
              <w:tc>
                <w:tcPr>
                  <w:tcW w:w="3704" w:type="pct"/>
                  <w:noWrap w:val="0"/>
                  <w:vAlign w:val="center"/>
                </w:tcPr>
                <w:p w14:paraId="40093485">
                  <w:pPr>
                    <w:adjustRightInd w:val="0"/>
                    <w:snapToGrid w:val="0"/>
                    <w:jc w:val="center"/>
                    <w:rPr>
                      <w:rFonts w:hint="default" w:eastAsia="宋体"/>
                      <w:color w:val="auto"/>
                      <w:kern w:val="2"/>
                      <w:sz w:val="21"/>
                      <w:szCs w:val="24"/>
                      <w:lang w:val="en-US" w:eastAsia="zh-CN" w:bidi="ar-SA"/>
                    </w:rPr>
                  </w:pPr>
                  <w:r>
                    <w:rPr>
                      <w:rFonts w:hint="eastAsia"/>
                      <w:color w:val="auto"/>
                      <w:kern w:val="2"/>
                      <w:sz w:val="21"/>
                      <w:szCs w:val="24"/>
                      <w:lang w:val="en-US" w:eastAsia="zh-CN" w:bidi="ar-SA"/>
                    </w:rPr>
                    <w:t>租赁空置厂房，占地1774.31m</w:t>
                  </w:r>
                  <w:r>
                    <w:rPr>
                      <w:rFonts w:hint="eastAsia"/>
                      <w:color w:val="auto"/>
                      <w:kern w:val="2"/>
                      <w:sz w:val="21"/>
                      <w:szCs w:val="24"/>
                      <w:vertAlign w:val="superscript"/>
                      <w:lang w:val="en-US" w:eastAsia="zh-CN" w:bidi="ar-SA"/>
                    </w:rPr>
                    <w:t>2</w:t>
                  </w:r>
                  <w:r>
                    <w:rPr>
                      <w:rFonts w:hint="eastAsia"/>
                      <w:color w:val="auto"/>
                      <w:kern w:val="2"/>
                      <w:sz w:val="21"/>
                      <w:szCs w:val="24"/>
                      <w:vertAlign w:val="baseline"/>
                      <w:lang w:val="en-US" w:eastAsia="zh-CN" w:bidi="ar-SA"/>
                    </w:rPr>
                    <w:t>（74m×24m×12m高）</w:t>
                  </w:r>
                  <w:r>
                    <w:rPr>
                      <w:rFonts w:hint="eastAsia"/>
                      <w:color w:val="auto"/>
                      <w:kern w:val="2"/>
                      <w:sz w:val="21"/>
                      <w:szCs w:val="24"/>
                      <w:lang w:val="en-US" w:eastAsia="zh-CN" w:bidi="ar-SA"/>
                    </w:rPr>
                    <w:t>，钢架结构，厂房内安装加热炉、退火炉、冷拉机、热拉丝机、线切割、无心车、轧扁机等设备</w:t>
                  </w:r>
                </w:p>
              </w:tc>
              <w:tc>
                <w:tcPr>
                  <w:tcW w:w="392" w:type="pct"/>
                  <w:vMerge w:val="restart"/>
                  <w:noWrap w:val="0"/>
                  <w:vAlign w:val="center"/>
                </w:tcPr>
                <w:p w14:paraId="4FA89C27">
                  <w:pPr>
                    <w:adjustRightInd w:val="0"/>
                    <w:snapToGrid w:val="0"/>
                    <w:jc w:val="center"/>
                    <w:rPr>
                      <w:rFonts w:hint="default" w:eastAsia="宋体"/>
                      <w:color w:val="auto"/>
                      <w:lang w:val="en-US" w:eastAsia="zh-CN"/>
                    </w:rPr>
                  </w:pPr>
                  <w:r>
                    <w:rPr>
                      <w:rFonts w:hint="eastAsia"/>
                      <w:color w:val="auto"/>
                      <w:lang w:val="en-US" w:eastAsia="zh-CN"/>
                    </w:rPr>
                    <w:t>新建</w:t>
                  </w:r>
                </w:p>
              </w:tc>
            </w:tr>
            <w:tr w14:paraId="0E7AF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7" w:type="pct"/>
                  <w:vMerge w:val="restart"/>
                  <w:noWrap w:val="0"/>
                  <w:vAlign w:val="center"/>
                </w:tcPr>
                <w:p w14:paraId="075A2D1C">
                  <w:pPr>
                    <w:adjustRightInd w:val="0"/>
                    <w:snapToGrid w:val="0"/>
                    <w:jc w:val="center"/>
                    <w:rPr>
                      <w:rFonts w:hint="eastAsia" w:eastAsia="宋体"/>
                      <w:color w:val="auto"/>
                      <w:lang w:eastAsia="zh-CN"/>
                    </w:rPr>
                  </w:pPr>
                  <w:r>
                    <w:rPr>
                      <w:rFonts w:hint="eastAsia"/>
                      <w:color w:val="auto"/>
                      <w:lang w:eastAsia="zh-CN"/>
                    </w:rPr>
                    <w:t>辅助工程</w:t>
                  </w:r>
                </w:p>
              </w:tc>
              <w:tc>
                <w:tcPr>
                  <w:tcW w:w="505" w:type="pct"/>
                  <w:noWrap w:val="0"/>
                  <w:vAlign w:val="center"/>
                </w:tcPr>
                <w:p w14:paraId="0F01A984">
                  <w:pPr>
                    <w:adjustRightInd w:val="0"/>
                    <w:snapToGrid w:val="0"/>
                    <w:jc w:val="center"/>
                    <w:rPr>
                      <w:rFonts w:hint="default"/>
                      <w:color w:val="auto"/>
                      <w:lang w:val="en-US" w:eastAsia="zh-CN"/>
                    </w:rPr>
                  </w:pPr>
                  <w:r>
                    <w:rPr>
                      <w:rFonts w:hint="eastAsia"/>
                      <w:color w:val="auto"/>
                      <w:lang w:val="en-US" w:eastAsia="zh-CN"/>
                    </w:rPr>
                    <w:t>原料区</w:t>
                  </w:r>
                </w:p>
              </w:tc>
              <w:tc>
                <w:tcPr>
                  <w:tcW w:w="3704" w:type="pct"/>
                  <w:noWrap w:val="0"/>
                  <w:vAlign w:val="center"/>
                </w:tcPr>
                <w:p w14:paraId="5C33A942">
                  <w:pPr>
                    <w:adjustRightInd w:val="0"/>
                    <w:snapToGrid w:val="0"/>
                    <w:jc w:val="center"/>
                    <w:rPr>
                      <w:rFonts w:hint="default"/>
                      <w:color w:val="auto"/>
                      <w:kern w:val="2"/>
                      <w:sz w:val="21"/>
                      <w:szCs w:val="24"/>
                      <w:lang w:val="en-US" w:eastAsia="zh-CN" w:bidi="ar-SA"/>
                    </w:rPr>
                  </w:pPr>
                  <w:r>
                    <w:rPr>
                      <w:rFonts w:hint="eastAsia"/>
                      <w:color w:val="auto"/>
                      <w:kern w:val="2"/>
                      <w:sz w:val="21"/>
                      <w:szCs w:val="24"/>
                      <w:lang w:val="en-US" w:eastAsia="zh-CN" w:bidi="ar-SA"/>
                    </w:rPr>
                    <w:t>租赁空置厂房，在厂房内占地约36m</w:t>
                  </w:r>
                  <w:r>
                    <w:rPr>
                      <w:rFonts w:hint="eastAsia"/>
                      <w:color w:val="auto"/>
                      <w:kern w:val="2"/>
                      <w:sz w:val="21"/>
                      <w:szCs w:val="24"/>
                      <w:vertAlign w:val="superscript"/>
                      <w:lang w:val="en-US" w:eastAsia="zh-CN" w:bidi="ar-SA"/>
                    </w:rPr>
                    <w:t>2</w:t>
                  </w:r>
                  <w:r>
                    <w:rPr>
                      <w:rFonts w:hint="eastAsia"/>
                      <w:color w:val="auto"/>
                      <w:kern w:val="2"/>
                      <w:sz w:val="21"/>
                      <w:szCs w:val="24"/>
                      <w:lang w:val="en-US" w:eastAsia="zh-CN" w:bidi="ar-SA"/>
                    </w:rPr>
                    <w:t>，位于厂房内西侧，用于堆放原料、辅助材料。</w:t>
                  </w:r>
                </w:p>
              </w:tc>
              <w:tc>
                <w:tcPr>
                  <w:tcW w:w="392" w:type="pct"/>
                  <w:vMerge w:val="continue"/>
                  <w:noWrap w:val="0"/>
                  <w:vAlign w:val="center"/>
                </w:tcPr>
                <w:p w14:paraId="281FB6DD">
                  <w:pPr>
                    <w:adjustRightInd w:val="0"/>
                    <w:snapToGrid w:val="0"/>
                    <w:jc w:val="center"/>
                    <w:rPr>
                      <w:rFonts w:hint="default"/>
                      <w:color w:val="auto"/>
                      <w:lang w:val="en-US" w:eastAsia="zh-CN"/>
                    </w:rPr>
                  </w:pPr>
                </w:p>
              </w:tc>
            </w:tr>
            <w:tr w14:paraId="7641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7" w:type="pct"/>
                  <w:vMerge w:val="continue"/>
                  <w:noWrap w:val="0"/>
                  <w:vAlign w:val="center"/>
                </w:tcPr>
                <w:p w14:paraId="7494F3D7">
                  <w:pPr>
                    <w:adjustRightInd w:val="0"/>
                    <w:snapToGrid w:val="0"/>
                    <w:jc w:val="center"/>
                    <w:rPr>
                      <w:rFonts w:hint="eastAsia"/>
                      <w:color w:val="auto"/>
                    </w:rPr>
                  </w:pPr>
                </w:p>
              </w:tc>
              <w:tc>
                <w:tcPr>
                  <w:tcW w:w="505" w:type="pct"/>
                  <w:noWrap w:val="0"/>
                  <w:vAlign w:val="center"/>
                </w:tcPr>
                <w:p w14:paraId="0CB6E82E">
                  <w:pPr>
                    <w:adjustRightInd w:val="0"/>
                    <w:snapToGrid w:val="0"/>
                    <w:jc w:val="center"/>
                    <w:rPr>
                      <w:rFonts w:hint="default"/>
                      <w:color w:val="auto"/>
                      <w:lang w:val="en-US" w:eastAsia="zh-CN"/>
                    </w:rPr>
                  </w:pPr>
                  <w:r>
                    <w:rPr>
                      <w:rFonts w:hint="eastAsia"/>
                      <w:color w:val="auto"/>
                      <w:lang w:val="en-US" w:eastAsia="zh-CN"/>
                    </w:rPr>
                    <w:t>成品区</w:t>
                  </w:r>
                </w:p>
              </w:tc>
              <w:tc>
                <w:tcPr>
                  <w:tcW w:w="3704" w:type="pct"/>
                  <w:noWrap w:val="0"/>
                  <w:vAlign w:val="center"/>
                </w:tcPr>
                <w:p w14:paraId="0091BE60">
                  <w:pPr>
                    <w:adjustRightInd w:val="0"/>
                    <w:snapToGrid w:val="0"/>
                    <w:jc w:val="center"/>
                    <w:rPr>
                      <w:rFonts w:hint="default"/>
                      <w:color w:val="auto"/>
                      <w:kern w:val="2"/>
                      <w:sz w:val="21"/>
                      <w:szCs w:val="24"/>
                      <w:lang w:val="en-US" w:eastAsia="zh-CN" w:bidi="ar-SA"/>
                    </w:rPr>
                  </w:pPr>
                  <w:r>
                    <w:rPr>
                      <w:rFonts w:hint="eastAsia"/>
                      <w:color w:val="auto"/>
                      <w:kern w:val="2"/>
                      <w:sz w:val="21"/>
                      <w:szCs w:val="24"/>
                      <w:lang w:val="en-US" w:eastAsia="zh-CN" w:bidi="ar-SA"/>
                    </w:rPr>
                    <w:t>租赁空置厂房，在厂房内占地约104m</w:t>
                  </w:r>
                  <w:r>
                    <w:rPr>
                      <w:rFonts w:hint="eastAsia"/>
                      <w:color w:val="auto"/>
                      <w:kern w:val="2"/>
                      <w:sz w:val="21"/>
                      <w:szCs w:val="24"/>
                      <w:vertAlign w:val="superscript"/>
                      <w:lang w:val="en-US" w:eastAsia="zh-CN" w:bidi="ar-SA"/>
                    </w:rPr>
                    <w:t>2</w:t>
                  </w:r>
                  <w:r>
                    <w:rPr>
                      <w:rFonts w:hint="eastAsia"/>
                      <w:color w:val="auto"/>
                      <w:kern w:val="2"/>
                      <w:sz w:val="21"/>
                      <w:szCs w:val="24"/>
                      <w:lang w:val="en-US" w:eastAsia="zh-CN" w:bidi="ar-SA"/>
                    </w:rPr>
                    <w:t>，位于厂房内东侧，用于堆放加工完成的产品。</w:t>
                  </w:r>
                </w:p>
              </w:tc>
              <w:tc>
                <w:tcPr>
                  <w:tcW w:w="392" w:type="pct"/>
                  <w:vMerge w:val="continue"/>
                  <w:noWrap w:val="0"/>
                  <w:vAlign w:val="center"/>
                </w:tcPr>
                <w:p w14:paraId="223EA01C">
                  <w:pPr>
                    <w:adjustRightInd w:val="0"/>
                    <w:snapToGrid w:val="0"/>
                    <w:jc w:val="center"/>
                    <w:rPr>
                      <w:rFonts w:hint="eastAsia"/>
                      <w:color w:val="auto"/>
                      <w:lang w:val="en-US" w:eastAsia="zh-CN"/>
                    </w:rPr>
                  </w:pPr>
                </w:p>
              </w:tc>
            </w:tr>
            <w:tr w14:paraId="2E116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7" w:type="pct"/>
                  <w:vMerge w:val="continue"/>
                  <w:noWrap w:val="0"/>
                  <w:vAlign w:val="center"/>
                </w:tcPr>
                <w:p w14:paraId="68ABEF55">
                  <w:pPr>
                    <w:adjustRightInd w:val="0"/>
                    <w:snapToGrid w:val="0"/>
                    <w:jc w:val="center"/>
                    <w:rPr>
                      <w:rFonts w:hint="eastAsia"/>
                      <w:color w:val="auto"/>
                    </w:rPr>
                  </w:pPr>
                </w:p>
              </w:tc>
              <w:tc>
                <w:tcPr>
                  <w:tcW w:w="505" w:type="pct"/>
                  <w:noWrap w:val="0"/>
                  <w:vAlign w:val="center"/>
                </w:tcPr>
                <w:p w14:paraId="6036A8F0">
                  <w:pPr>
                    <w:adjustRightInd w:val="0"/>
                    <w:snapToGrid w:val="0"/>
                    <w:jc w:val="center"/>
                    <w:rPr>
                      <w:rFonts w:hint="default"/>
                      <w:color w:val="auto"/>
                      <w:lang w:val="en-US" w:eastAsia="zh-CN"/>
                    </w:rPr>
                  </w:pPr>
                  <w:r>
                    <w:rPr>
                      <w:rFonts w:hint="eastAsia"/>
                      <w:color w:val="auto"/>
                      <w:lang w:val="en-US" w:eastAsia="zh-CN"/>
                    </w:rPr>
                    <w:t>办公区</w:t>
                  </w:r>
                </w:p>
              </w:tc>
              <w:tc>
                <w:tcPr>
                  <w:tcW w:w="3704" w:type="pct"/>
                  <w:noWrap w:val="0"/>
                  <w:vAlign w:val="center"/>
                </w:tcPr>
                <w:p w14:paraId="3532087B">
                  <w:pPr>
                    <w:adjustRightInd w:val="0"/>
                    <w:snapToGrid w:val="0"/>
                    <w:jc w:val="center"/>
                    <w:rPr>
                      <w:rFonts w:hint="default" w:eastAsia="宋体"/>
                      <w:color w:val="auto"/>
                      <w:lang w:val="en-US" w:eastAsia="zh-CN"/>
                    </w:rPr>
                  </w:pPr>
                  <w:r>
                    <w:rPr>
                      <w:rFonts w:hint="eastAsia"/>
                      <w:color w:val="auto"/>
                      <w:kern w:val="2"/>
                      <w:sz w:val="21"/>
                      <w:szCs w:val="24"/>
                      <w:lang w:val="en-US" w:eastAsia="zh-CN" w:bidi="ar-SA"/>
                    </w:rPr>
                    <w:t>租赁空置厂房，在厂房内占地约104m</w:t>
                  </w:r>
                  <w:r>
                    <w:rPr>
                      <w:rFonts w:hint="eastAsia"/>
                      <w:color w:val="auto"/>
                      <w:kern w:val="2"/>
                      <w:sz w:val="21"/>
                      <w:szCs w:val="24"/>
                      <w:vertAlign w:val="superscript"/>
                      <w:lang w:val="en-US" w:eastAsia="zh-CN" w:bidi="ar-SA"/>
                    </w:rPr>
                    <w:t>2</w:t>
                  </w:r>
                  <w:r>
                    <w:rPr>
                      <w:rFonts w:hint="eastAsia"/>
                      <w:color w:val="auto"/>
                      <w:kern w:val="2"/>
                      <w:sz w:val="21"/>
                      <w:szCs w:val="24"/>
                      <w:lang w:val="en-US" w:eastAsia="zh-CN" w:bidi="ar-SA"/>
                    </w:rPr>
                    <w:t>，位于厂房内东南侧，用于日常办公。</w:t>
                  </w:r>
                </w:p>
              </w:tc>
              <w:tc>
                <w:tcPr>
                  <w:tcW w:w="392" w:type="pct"/>
                  <w:vMerge w:val="continue"/>
                  <w:noWrap w:val="0"/>
                  <w:vAlign w:val="center"/>
                </w:tcPr>
                <w:p w14:paraId="3DAEB141">
                  <w:pPr>
                    <w:adjustRightInd w:val="0"/>
                    <w:snapToGrid w:val="0"/>
                    <w:jc w:val="center"/>
                    <w:rPr>
                      <w:rFonts w:hint="eastAsia"/>
                      <w:color w:val="auto"/>
                      <w:lang w:val="en-US" w:eastAsia="zh-CN"/>
                    </w:rPr>
                  </w:pPr>
                </w:p>
              </w:tc>
            </w:tr>
            <w:tr w14:paraId="27D79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7" w:type="pct"/>
                  <w:vMerge w:val="restart"/>
                  <w:noWrap w:val="0"/>
                  <w:vAlign w:val="center"/>
                </w:tcPr>
                <w:p w14:paraId="47281FA4">
                  <w:pPr>
                    <w:adjustRightInd w:val="0"/>
                    <w:snapToGrid w:val="0"/>
                    <w:jc w:val="center"/>
                    <w:rPr>
                      <w:rFonts w:hint="eastAsia"/>
                      <w:color w:val="auto"/>
                    </w:rPr>
                  </w:pPr>
                  <w:r>
                    <w:rPr>
                      <w:rFonts w:hint="eastAsia"/>
                      <w:color w:val="auto"/>
                    </w:rPr>
                    <w:t>公用工程</w:t>
                  </w:r>
                </w:p>
              </w:tc>
              <w:tc>
                <w:tcPr>
                  <w:tcW w:w="505" w:type="pct"/>
                  <w:noWrap w:val="0"/>
                  <w:vAlign w:val="center"/>
                </w:tcPr>
                <w:p w14:paraId="1387E23A">
                  <w:pPr>
                    <w:adjustRightInd w:val="0"/>
                    <w:snapToGrid w:val="0"/>
                    <w:jc w:val="center"/>
                    <w:rPr>
                      <w:rFonts w:hint="eastAsia"/>
                      <w:color w:val="auto"/>
                    </w:rPr>
                  </w:pPr>
                  <w:r>
                    <w:rPr>
                      <w:rFonts w:hint="eastAsia"/>
                      <w:color w:val="auto"/>
                    </w:rPr>
                    <w:t>给水</w:t>
                  </w:r>
                </w:p>
              </w:tc>
              <w:tc>
                <w:tcPr>
                  <w:tcW w:w="3704" w:type="pct"/>
                  <w:noWrap w:val="0"/>
                  <w:vAlign w:val="center"/>
                </w:tcPr>
                <w:p w14:paraId="02B4050D">
                  <w:pPr>
                    <w:adjustRightInd w:val="0"/>
                    <w:snapToGrid w:val="0"/>
                    <w:jc w:val="center"/>
                    <w:rPr>
                      <w:rFonts w:hint="default" w:eastAsia="宋体"/>
                      <w:color w:val="auto"/>
                      <w:lang w:val="en-US" w:eastAsia="zh-CN"/>
                    </w:rPr>
                  </w:pPr>
                  <w:r>
                    <w:rPr>
                      <w:rFonts w:hint="eastAsia" w:ascii="宋体" w:hAnsi="宋体" w:cs="宋体"/>
                      <w:color w:val="auto"/>
                      <w:szCs w:val="21"/>
                      <w:lang w:val="en-US" w:eastAsia="zh-CN"/>
                    </w:rPr>
                    <w:t>本项目水源由当地供水管网供给。</w:t>
                  </w:r>
                </w:p>
              </w:tc>
              <w:tc>
                <w:tcPr>
                  <w:tcW w:w="392" w:type="pct"/>
                  <w:vMerge w:val="continue"/>
                  <w:noWrap w:val="0"/>
                  <w:vAlign w:val="center"/>
                </w:tcPr>
                <w:p w14:paraId="769C316A">
                  <w:pPr>
                    <w:adjustRightInd w:val="0"/>
                    <w:snapToGrid w:val="0"/>
                    <w:jc w:val="center"/>
                    <w:rPr>
                      <w:rFonts w:hint="default" w:eastAsia="宋体"/>
                      <w:color w:val="auto"/>
                      <w:lang w:val="en-US" w:eastAsia="zh-CN"/>
                    </w:rPr>
                  </w:pPr>
                </w:p>
              </w:tc>
            </w:tr>
            <w:tr w14:paraId="103F3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7" w:type="pct"/>
                  <w:vMerge w:val="continue"/>
                  <w:noWrap w:val="0"/>
                  <w:vAlign w:val="center"/>
                </w:tcPr>
                <w:p w14:paraId="379D76F6">
                  <w:pPr>
                    <w:adjustRightInd w:val="0"/>
                    <w:snapToGrid w:val="0"/>
                    <w:jc w:val="center"/>
                    <w:rPr>
                      <w:color w:val="auto"/>
                    </w:rPr>
                  </w:pPr>
                </w:p>
              </w:tc>
              <w:tc>
                <w:tcPr>
                  <w:tcW w:w="505" w:type="pct"/>
                  <w:noWrap w:val="0"/>
                  <w:vAlign w:val="center"/>
                </w:tcPr>
                <w:p w14:paraId="3C7890D5">
                  <w:pPr>
                    <w:adjustRightInd w:val="0"/>
                    <w:snapToGrid w:val="0"/>
                    <w:jc w:val="center"/>
                    <w:rPr>
                      <w:rFonts w:hint="eastAsia"/>
                      <w:color w:val="auto"/>
                      <w:kern w:val="2"/>
                      <w:sz w:val="21"/>
                      <w:szCs w:val="24"/>
                      <w:lang w:val="en-US" w:eastAsia="zh-CN" w:bidi="ar-SA"/>
                    </w:rPr>
                  </w:pPr>
                  <w:r>
                    <w:rPr>
                      <w:rFonts w:hint="eastAsia"/>
                      <w:color w:val="auto"/>
                    </w:rPr>
                    <w:t>供电</w:t>
                  </w:r>
                </w:p>
              </w:tc>
              <w:tc>
                <w:tcPr>
                  <w:tcW w:w="3704" w:type="pct"/>
                  <w:noWrap w:val="0"/>
                  <w:vAlign w:val="center"/>
                </w:tcPr>
                <w:p w14:paraId="0E7DCE0A">
                  <w:pPr>
                    <w:adjustRightInd w:val="0"/>
                    <w:snapToGrid w:val="0"/>
                    <w:jc w:val="center"/>
                    <w:rPr>
                      <w:rFonts w:hint="eastAsia" w:eastAsia="宋体"/>
                      <w:color w:val="auto"/>
                      <w:kern w:val="2"/>
                      <w:sz w:val="21"/>
                      <w:szCs w:val="24"/>
                      <w:lang w:val="en-US" w:eastAsia="zh-CN" w:bidi="ar-SA"/>
                    </w:rPr>
                  </w:pPr>
                  <w:r>
                    <w:rPr>
                      <w:rFonts w:hint="eastAsia"/>
                      <w:color w:val="auto"/>
                    </w:rPr>
                    <w:t>电源由供电线网就近接入</w:t>
                  </w:r>
                  <w:r>
                    <w:rPr>
                      <w:rFonts w:hint="eastAsia"/>
                      <w:color w:val="auto"/>
                      <w:lang w:eastAsia="zh-CN"/>
                    </w:rPr>
                    <w:t>。</w:t>
                  </w:r>
                </w:p>
              </w:tc>
              <w:tc>
                <w:tcPr>
                  <w:tcW w:w="392" w:type="pct"/>
                  <w:vMerge w:val="continue"/>
                  <w:noWrap w:val="0"/>
                  <w:vAlign w:val="center"/>
                </w:tcPr>
                <w:p w14:paraId="792299B0">
                  <w:pPr>
                    <w:adjustRightInd w:val="0"/>
                    <w:snapToGrid w:val="0"/>
                    <w:jc w:val="center"/>
                    <w:rPr>
                      <w:rFonts w:hint="default" w:eastAsia="宋体"/>
                      <w:color w:val="auto"/>
                      <w:lang w:val="en-US" w:eastAsia="zh-CN"/>
                    </w:rPr>
                  </w:pPr>
                </w:p>
              </w:tc>
            </w:tr>
            <w:tr w14:paraId="05A48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7" w:type="pct"/>
                  <w:vMerge w:val="continue"/>
                  <w:noWrap w:val="0"/>
                  <w:vAlign w:val="center"/>
                </w:tcPr>
                <w:p w14:paraId="700AD98E">
                  <w:pPr>
                    <w:adjustRightInd w:val="0"/>
                    <w:snapToGrid w:val="0"/>
                    <w:jc w:val="center"/>
                    <w:rPr>
                      <w:color w:val="auto"/>
                    </w:rPr>
                  </w:pPr>
                </w:p>
              </w:tc>
              <w:tc>
                <w:tcPr>
                  <w:tcW w:w="505" w:type="pct"/>
                  <w:noWrap w:val="0"/>
                  <w:vAlign w:val="center"/>
                </w:tcPr>
                <w:p w14:paraId="387AEFED">
                  <w:pPr>
                    <w:adjustRightInd w:val="0"/>
                    <w:snapToGrid w:val="0"/>
                    <w:jc w:val="center"/>
                    <w:rPr>
                      <w:rFonts w:hint="eastAsia"/>
                      <w:color w:val="auto"/>
                      <w:kern w:val="2"/>
                      <w:sz w:val="21"/>
                      <w:szCs w:val="24"/>
                      <w:lang w:val="en-US" w:eastAsia="zh-CN" w:bidi="ar-SA"/>
                    </w:rPr>
                  </w:pPr>
                  <w:r>
                    <w:rPr>
                      <w:rFonts w:hint="eastAsia"/>
                      <w:color w:val="auto"/>
                    </w:rPr>
                    <w:t>排水</w:t>
                  </w:r>
                </w:p>
              </w:tc>
              <w:tc>
                <w:tcPr>
                  <w:tcW w:w="3704" w:type="pct"/>
                  <w:noWrap w:val="0"/>
                  <w:vAlign w:val="center"/>
                </w:tcPr>
                <w:p w14:paraId="0DAB8FE2">
                  <w:pPr>
                    <w:adjustRightInd w:val="0"/>
                    <w:snapToGrid w:val="0"/>
                    <w:jc w:val="center"/>
                    <w:rPr>
                      <w:rFonts w:hint="default" w:eastAsia="宋体"/>
                      <w:color w:val="auto"/>
                      <w:kern w:val="2"/>
                      <w:sz w:val="21"/>
                      <w:szCs w:val="24"/>
                      <w:lang w:val="en-US" w:eastAsia="zh-CN" w:bidi="ar-SA"/>
                    </w:rPr>
                  </w:pPr>
                  <w:r>
                    <w:rPr>
                      <w:rFonts w:hint="eastAsia"/>
                      <w:color w:val="auto"/>
                      <w:kern w:val="2"/>
                      <w:sz w:val="21"/>
                      <w:szCs w:val="24"/>
                      <w:lang w:val="en-US" w:eastAsia="zh-CN" w:bidi="ar-SA"/>
                    </w:rPr>
                    <w:t>雨污分流，生活污水经处理后排入市政污水管网。</w:t>
                  </w:r>
                </w:p>
              </w:tc>
              <w:tc>
                <w:tcPr>
                  <w:tcW w:w="392" w:type="pct"/>
                  <w:vMerge w:val="continue"/>
                  <w:noWrap w:val="0"/>
                  <w:vAlign w:val="center"/>
                </w:tcPr>
                <w:p w14:paraId="37EC2187">
                  <w:pPr>
                    <w:adjustRightInd w:val="0"/>
                    <w:snapToGrid w:val="0"/>
                    <w:jc w:val="center"/>
                    <w:rPr>
                      <w:rFonts w:hint="default" w:eastAsia="宋体"/>
                      <w:color w:val="auto"/>
                      <w:lang w:val="en-US" w:eastAsia="zh-CN"/>
                    </w:rPr>
                  </w:pPr>
                </w:p>
              </w:tc>
            </w:tr>
            <w:tr w14:paraId="76588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7" w:type="pct"/>
                  <w:vMerge w:val="restart"/>
                  <w:noWrap w:val="0"/>
                  <w:vAlign w:val="center"/>
                </w:tcPr>
                <w:p w14:paraId="2C9C9956">
                  <w:pPr>
                    <w:adjustRightInd w:val="0"/>
                    <w:snapToGrid w:val="0"/>
                    <w:jc w:val="center"/>
                    <w:rPr>
                      <w:color w:val="auto"/>
                    </w:rPr>
                  </w:pPr>
                  <w:r>
                    <w:rPr>
                      <w:rFonts w:hint="eastAsia"/>
                      <w:color w:val="auto"/>
                    </w:rPr>
                    <w:t>环保工程</w:t>
                  </w:r>
                </w:p>
              </w:tc>
              <w:tc>
                <w:tcPr>
                  <w:tcW w:w="505" w:type="pct"/>
                  <w:noWrap w:val="0"/>
                  <w:vAlign w:val="center"/>
                </w:tcPr>
                <w:p w14:paraId="0866714E">
                  <w:pPr>
                    <w:adjustRightInd w:val="0"/>
                    <w:snapToGrid w:val="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废气处理措施</w:t>
                  </w:r>
                </w:p>
              </w:tc>
              <w:tc>
                <w:tcPr>
                  <w:tcW w:w="4097" w:type="pct"/>
                  <w:gridSpan w:val="2"/>
                  <w:noWrap w:val="0"/>
                  <w:vAlign w:val="center"/>
                </w:tcPr>
                <w:p w14:paraId="56156332">
                  <w:pPr>
                    <w:adjustRightInd w:val="0"/>
                    <w:snapToGrid w:val="0"/>
                    <w:jc w:val="center"/>
                    <w:rPr>
                      <w:rFonts w:hint="default" w:eastAsia="宋体"/>
                      <w:color w:val="auto"/>
                      <w:lang w:val="en-US" w:eastAsia="zh-CN"/>
                    </w:rPr>
                  </w:pPr>
                  <w:r>
                    <w:rPr>
                      <w:rFonts w:hint="eastAsia"/>
                      <w:color w:val="auto"/>
                      <w:lang w:val="en-US" w:eastAsia="zh-CN"/>
                    </w:rPr>
                    <w:t>拉丝粉尘经厂房阻隔后排放量较小，能够满足排放标准要求。</w:t>
                  </w:r>
                </w:p>
              </w:tc>
            </w:tr>
            <w:tr w14:paraId="3E56D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7" w:type="pct"/>
                  <w:vMerge w:val="continue"/>
                  <w:noWrap w:val="0"/>
                  <w:vAlign w:val="center"/>
                </w:tcPr>
                <w:p w14:paraId="5D664055">
                  <w:pPr>
                    <w:adjustRightInd w:val="0"/>
                    <w:snapToGrid w:val="0"/>
                    <w:jc w:val="center"/>
                    <w:rPr>
                      <w:rFonts w:hint="eastAsia"/>
                      <w:color w:val="auto"/>
                    </w:rPr>
                  </w:pPr>
                </w:p>
              </w:tc>
              <w:tc>
                <w:tcPr>
                  <w:tcW w:w="505" w:type="pct"/>
                  <w:noWrap w:val="0"/>
                  <w:vAlign w:val="center"/>
                </w:tcPr>
                <w:p w14:paraId="09EDF34A">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rPr>
                    <w:t>废水处理措施</w:t>
                  </w:r>
                </w:p>
              </w:tc>
              <w:tc>
                <w:tcPr>
                  <w:tcW w:w="4097" w:type="pct"/>
                  <w:gridSpan w:val="2"/>
                  <w:noWrap w:val="0"/>
                  <w:vAlign w:val="center"/>
                </w:tcPr>
                <w:p w14:paraId="353ED83B">
                  <w:pPr>
                    <w:adjustRightInd w:val="0"/>
                    <w:snapToGrid w:val="0"/>
                    <w:jc w:val="center"/>
                    <w:rPr>
                      <w:rFonts w:hint="eastAsia" w:ascii="Times New Roman" w:hAnsi="Times New Roman" w:eastAsia="宋体" w:cs="Times New Roman"/>
                      <w:color w:val="auto"/>
                      <w:kern w:val="2"/>
                      <w:sz w:val="21"/>
                      <w:szCs w:val="24"/>
                      <w:lang w:val="en-US" w:eastAsia="zh-CN" w:bidi="ar-SA"/>
                    </w:rPr>
                  </w:pPr>
                  <w:r>
                    <w:rPr>
                      <w:rFonts w:hint="eastAsia"/>
                      <w:color w:val="auto"/>
                      <w:szCs w:val="21"/>
                      <w:lang w:val="en-US" w:eastAsia="zh-CN"/>
                    </w:rPr>
                    <w:t>生活污水经化粪池收集后定期清运，不外排；切削液、石墨乳配比用水全部自然蒸发及损耗，无废水产生</w:t>
                  </w:r>
                </w:p>
              </w:tc>
            </w:tr>
            <w:tr w14:paraId="00062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7" w:type="pct"/>
                  <w:vMerge w:val="continue"/>
                  <w:noWrap w:val="0"/>
                  <w:vAlign w:val="center"/>
                </w:tcPr>
                <w:p w14:paraId="2A84B226">
                  <w:pPr>
                    <w:adjustRightInd w:val="0"/>
                    <w:snapToGrid w:val="0"/>
                    <w:jc w:val="center"/>
                    <w:rPr>
                      <w:color w:val="auto"/>
                    </w:rPr>
                  </w:pPr>
                </w:p>
              </w:tc>
              <w:tc>
                <w:tcPr>
                  <w:tcW w:w="505" w:type="pct"/>
                  <w:noWrap w:val="0"/>
                  <w:vAlign w:val="center"/>
                </w:tcPr>
                <w:p w14:paraId="6E229AA6">
                  <w:pPr>
                    <w:adjustRightInd w:val="0"/>
                    <w:snapToGrid w:val="0"/>
                    <w:jc w:val="center"/>
                    <w:rPr>
                      <w:color w:val="auto"/>
                    </w:rPr>
                  </w:pPr>
                  <w:r>
                    <w:rPr>
                      <w:rFonts w:hint="eastAsia"/>
                      <w:color w:val="auto"/>
                    </w:rPr>
                    <w:t>噪声处理措施</w:t>
                  </w:r>
                </w:p>
              </w:tc>
              <w:tc>
                <w:tcPr>
                  <w:tcW w:w="4097" w:type="pct"/>
                  <w:gridSpan w:val="2"/>
                  <w:noWrap w:val="0"/>
                  <w:vAlign w:val="center"/>
                </w:tcPr>
                <w:p w14:paraId="18A06854">
                  <w:pPr>
                    <w:adjustRightInd w:val="0"/>
                    <w:snapToGrid w:val="0"/>
                    <w:jc w:val="center"/>
                    <w:rPr>
                      <w:rFonts w:hint="eastAsia"/>
                      <w:color w:val="auto"/>
                      <w:szCs w:val="21"/>
                    </w:rPr>
                  </w:pPr>
                  <w:r>
                    <w:rPr>
                      <w:rFonts w:hint="eastAsia"/>
                      <w:color w:val="auto"/>
                      <w:lang w:val="en-US" w:eastAsia="zh-CN"/>
                    </w:rPr>
                    <w:t>生产设施置于厂房内，经厂房隔声、距离衰减后满足排放标准。</w:t>
                  </w:r>
                </w:p>
              </w:tc>
            </w:tr>
            <w:tr w14:paraId="1D5EF1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397" w:type="pct"/>
                  <w:vMerge w:val="continue"/>
                  <w:noWrap w:val="0"/>
                  <w:vAlign w:val="center"/>
                </w:tcPr>
                <w:p w14:paraId="06417592">
                  <w:pPr>
                    <w:adjustRightInd w:val="0"/>
                    <w:snapToGrid w:val="0"/>
                    <w:jc w:val="center"/>
                    <w:rPr>
                      <w:color w:val="auto"/>
                    </w:rPr>
                  </w:pPr>
                </w:p>
              </w:tc>
              <w:tc>
                <w:tcPr>
                  <w:tcW w:w="505" w:type="pct"/>
                  <w:noWrap w:val="0"/>
                  <w:vAlign w:val="center"/>
                </w:tcPr>
                <w:p w14:paraId="16CEFDAC">
                  <w:pPr>
                    <w:adjustRightInd w:val="0"/>
                    <w:snapToGrid w:val="0"/>
                    <w:jc w:val="center"/>
                    <w:rPr>
                      <w:color w:val="auto"/>
                    </w:rPr>
                  </w:pPr>
                  <w:r>
                    <w:rPr>
                      <w:rFonts w:hint="eastAsia"/>
                      <w:color w:val="auto"/>
                    </w:rPr>
                    <w:t>固废处理措施</w:t>
                  </w:r>
                </w:p>
              </w:tc>
              <w:tc>
                <w:tcPr>
                  <w:tcW w:w="4097" w:type="pct"/>
                  <w:gridSpan w:val="2"/>
                  <w:noWrap w:val="0"/>
                  <w:vAlign w:val="center"/>
                </w:tcPr>
                <w:p w14:paraId="432B652E">
                  <w:pPr>
                    <w:adjustRightInd w:val="0"/>
                    <w:snapToGrid w:val="0"/>
                    <w:jc w:val="center"/>
                    <w:rPr>
                      <w:rFonts w:hint="eastAsia"/>
                      <w:color w:val="auto"/>
                    </w:rPr>
                  </w:pPr>
                  <w:r>
                    <w:rPr>
                      <w:rFonts w:hint="eastAsia"/>
                      <w:color w:val="auto"/>
                    </w:rPr>
                    <w:t>生活垃圾收集后定期交由环卫部门统一清运；</w:t>
                  </w:r>
                </w:p>
                <w:p w14:paraId="65163556">
                  <w:pPr>
                    <w:adjustRightInd w:val="0"/>
                    <w:snapToGrid w:val="0"/>
                    <w:jc w:val="center"/>
                    <w:rPr>
                      <w:rFonts w:hint="default" w:eastAsia="宋体"/>
                      <w:color w:val="auto"/>
                      <w:lang w:val="en-US" w:eastAsia="zh-CN"/>
                    </w:rPr>
                  </w:pPr>
                  <w:r>
                    <w:rPr>
                      <w:rFonts w:hint="eastAsia"/>
                      <w:color w:val="auto"/>
                      <w:lang w:val="en-US" w:eastAsia="zh-CN"/>
                    </w:rPr>
                    <w:t>废保温材料</w:t>
                  </w:r>
                  <w:r>
                    <w:rPr>
                      <w:rFonts w:hint="eastAsia" w:ascii="Times New Roman" w:hAnsi="Times New Roman"/>
                      <w:bCs/>
                      <w:color w:val="auto"/>
                      <w:kern w:val="0"/>
                      <w:szCs w:val="21"/>
                      <w:lang w:val="en-US" w:eastAsia="zh-CN"/>
                    </w:rPr>
                    <w:t>厂内不储存，由设备厂家定期更换，并回收利用</w:t>
                  </w:r>
                  <w:r>
                    <w:rPr>
                      <w:rFonts w:hint="eastAsia"/>
                      <w:bCs/>
                      <w:color w:val="auto"/>
                      <w:kern w:val="0"/>
                      <w:szCs w:val="21"/>
                      <w:lang w:val="en-US" w:eastAsia="zh-CN"/>
                    </w:rPr>
                    <w:t>；收集粉尘暂存于一般固废暂存区，由供货商回收利用；</w:t>
                  </w:r>
                </w:p>
                <w:p w14:paraId="5D818622">
                  <w:pPr>
                    <w:adjustRightInd w:val="0"/>
                    <w:snapToGrid w:val="0"/>
                    <w:jc w:val="center"/>
                    <w:rPr>
                      <w:rFonts w:hint="eastAsia" w:eastAsia="宋体"/>
                      <w:color w:val="auto"/>
                      <w:lang w:eastAsia="zh-CN"/>
                    </w:rPr>
                  </w:pPr>
                  <w:r>
                    <w:rPr>
                      <w:rFonts w:hint="eastAsia"/>
                      <w:color w:val="auto"/>
                    </w:rPr>
                    <w:t>危险废物</w:t>
                  </w:r>
                  <w:r>
                    <w:rPr>
                      <w:rFonts w:hint="eastAsia"/>
                      <w:color w:val="auto"/>
                      <w:lang w:val="en-US" w:eastAsia="zh-CN"/>
                    </w:rPr>
                    <w:t>设置危险废物贮存库（面积6㎡）对其暂存</w:t>
                  </w:r>
                  <w:r>
                    <w:rPr>
                      <w:rFonts w:hint="eastAsia"/>
                      <w:color w:val="auto"/>
                    </w:rPr>
                    <w:t>，定期交由有资质单位转运处置</w:t>
                  </w:r>
                  <w:r>
                    <w:rPr>
                      <w:rFonts w:hint="eastAsia"/>
                      <w:color w:val="auto"/>
                      <w:lang w:eastAsia="zh-CN"/>
                    </w:rPr>
                    <w:t>。</w:t>
                  </w:r>
                </w:p>
              </w:tc>
            </w:tr>
          </w:tbl>
          <w:p w14:paraId="48D2029C">
            <w:pPr>
              <w:adjustRightInd w:val="0"/>
              <w:snapToGrid w:val="0"/>
              <w:spacing w:line="360" w:lineRule="auto"/>
              <w:ind w:firstLine="482" w:firstLineChars="200"/>
              <w:rPr>
                <w:b/>
                <w:bCs/>
                <w:color w:val="auto"/>
                <w:sz w:val="24"/>
                <w:szCs w:val="32"/>
              </w:rPr>
            </w:pPr>
            <w:r>
              <w:rPr>
                <w:rFonts w:hint="eastAsia"/>
                <w:b/>
                <w:bCs/>
                <w:color w:val="auto"/>
                <w:sz w:val="24"/>
                <w:szCs w:val="32"/>
              </w:rPr>
              <w:t>3.产品方案及规模</w:t>
            </w:r>
          </w:p>
          <w:p w14:paraId="14BBE69D">
            <w:pPr>
              <w:adjustRightInd w:val="0"/>
              <w:snapToGrid w:val="0"/>
              <w:jc w:val="center"/>
              <w:rPr>
                <w:b/>
                <w:bCs/>
                <w:color w:val="auto"/>
              </w:rPr>
            </w:pPr>
            <w:r>
              <w:rPr>
                <w:b/>
                <w:bCs/>
                <w:color w:val="auto"/>
              </w:rPr>
              <w:t>表</w:t>
            </w:r>
            <w:r>
              <w:rPr>
                <w:rFonts w:hint="eastAsia"/>
                <w:b/>
                <w:bCs/>
                <w:color w:val="auto"/>
                <w:lang w:val="en-US" w:eastAsia="zh-CN"/>
              </w:rPr>
              <w:t>2-3</w:t>
            </w:r>
            <w:r>
              <w:rPr>
                <w:rFonts w:hint="eastAsia"/>
                <w:b/>
                <w:bCs/>
                <w:color w:val="auto"/>
              </w:rPr>
              <w:t xml:space="preserve">  产品及产能一览表</w:t>
            </w:r>
          </w:p>
          <w:tbl>
            <w:tblPr>
              <w:tblStyle w:val="2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0"/>
              <w:gridCol w:w="3600"/>
              <w:gridCol w:w="935"/>
              <w:gridCol w:w="1559"/>
            </w:tblGrid>
            <w:tr w14:paraId="2823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0" w:type="pct"/>
                  <w:noWrap w:val="0"/>
                  <w:vAlign w:val="center"/>
                </w:tcPr>
                <w:p w14:paraId="257DE76B">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名称</w:t>
                  </w:r>
                </w:p>
              </w:tc>
              <w:tc>
                <w:tcPr>
                  <w:tcW w:w="2226" w:type="pct"/>
                  <w:noWrap w:val="0"/>
                  <w:vAlign w:val="center"/>
                </w:tcPr>
                <w:p w14:paraId="39EE973A">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规格参数</w:t>
                  </w:r>
                </w:p>
              </w:tc>
              <w:tc>
                <w:tcPr>
                  <w:tcW w:w="578" w:type="pct"/>
                  <w:noWrap w:val="0"/>
                  <w:vAlign w:val="center"/>
                </w:tcPr>
                <w:p w14:paraId="7640508A">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年产量</w:t>
                  </w:r>
                </w:p>
              </w:tc>
              <w:tc>
                <w:tcPr>
                  <w:tcW w:w="964" w:type="pct"/>
                  <w:noWrap w:val="0"/>
                  <w:vAlign w:val="center"/>
                </w:tcPr>
                <w:p w14:paraId="1FCBC45D">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备注</w:t>
                  </w:r>
                </w:p>
              </w:tc>
            </w:tr>
            <w:tr w14:paraId="1595E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0" w:type="pct"/>
                  <w:noWrap w:val="0"/>
                  <w:vAlign w:val="center"/>
                </w:tcPr>
                <w:p w14:paraId="22B924DA">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钛丝（镍钛合金）</w:t>
                  </w:r>
                </w:p>
              </w:tc>
              <w:tc>
                <w:tcPr>
                  <w:tcW w:w="2226" w:type="pct"/>
                  <w:noWrap w:val="0"/>
                  <w:vAlign w:val="center"/>
                </w:tcPr>
                <w:p w14:paraId="5C80BEB3">
                  <w:pPr>
                    <w:adjustRightIn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Φ10~Φ3.0</w:t>
                  </w:r>
                </w:p>
              </w:tc>
              <w:tc>
                <w:tcPr>
                  <w:tcW w:w="578" w:type="pct"/>
                  <w:noWrap w:val="0"/>
                  <w:vAlign w:val="center"/>
                </w:tcPr>
                <w:p w14:paraId="2573D64F">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50t</w:t>
                  </w:r>
                </w:p>
              </w:tc>
              <w:tc>
                <w:tcPr>
                  <w:tcW w:w="964" w:type="pct"/>
                  <w:noWrap w:val="0"/>
                  <w:vAlign w:val="center"/>
                </w:tcPr>
                <w:p w14:paraId="318689C3">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热拉</w:t>
                  </w:r>
                </w:p>
              </w:tc>
            </w:tr>
            <w:tr w14:paraId="1BE6B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0" w:type="pct"/>
                  <w:noWrap w:val="0"/>
                  <w:vAlign w:val="center"/>
                </w:tcPr>
                <w:p w14:paraId="492402D5">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钛丝（镍钛合金）</w:t>
                  </w:r>
                </w:p>
              </w:tc>
              <w:tc>
                <w:tcPr>
                  <w:tcW w:w="2226" w:type="pct"/>
                  <w:noWrap w:val="0"/>
                  <w:vAlign w:val="center"/>
                </w:tcPr>
                <w:p w14:paraId="2620D6DC">
                  <w:pPr>
                    <w:adjustRightInd w:val="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Φ2.0~Φ3.0</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Φ1.5~Φ1.99</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Φ1.0~Φ1.49</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Φ0.8~Φ0.99</w:t>
                  </w:r>
                  <w:r>
                    <w:rPr>
                      <w:rFonts w:hint="eastAsia" w:ascii="Times New Roman" w:hAnsi="Times New Roman" w:eastAsia="宋体" w:cs="Times New Roman"/>
                      <w:color w:val="auto"/>
                      <w:lang w:val="en-US" w:eastAsia="zh-CN"/>
                    </w:rPr>
                    <w:t>、</w:t>
                  </w:r>
                  <w:r>
                    <w:rPr>
                      <w:rFonts w:hint="default" w:ascii="Times New Roman" w:hAnsi="Times New Roman" w:eastAsia="宋体" w:cs="Times New Roman"/>
                      <w:color w:val="auto"/>
                      <w:lang w:val="en-US" w:eastAsia="zh-CN"/>
                    </w:rPr>
                    <w:t>Φ0.1~Φ0.79</w:t>
                  </w:r>
                </w:p>
              </w:tc>
              <w:tc>
                <w:tcPr>
                  <w:tcW w:w="578" w:type="pct"/>
                  <w:noWrap w:val="0"/>
                  <w:vAlign w:val="center"/>
                </w:tcPr>
                <w:p w14:paraId="242FE77D">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40t</w:t>
                  </w:r>
                </w:p>
              </w:tc>
              <w:tc>
                <w:tcPr>
                  <w:tcW w:w="964" w:type="pct"/>
                  <w:noWrap w:val="0"/>
                  <w:vAlign w:val="center"/>
                </w:tcPr>
                <w:p w14:paraId="429A27AC">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冷拉</w:t>
                  </w:r>
                </w:p>
              </w:tc>
            </w:tr>
            <w:tr w14:paraId="327AB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30" w:type="pct"/>
                  <w:noWrap w:val="0"/>
                  <w:vAlign w:val="center"/>
                </w:tcPr>
                <w:p w14:paraId="24415EFC">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记忆丝材（异形状）</w:t>
                  </w:r>
                </w:p>
              </w:tc>
              <w:tc>
                <w:tcPr>
                  <w:tcW w:w="2226" w:type="pct"/>
                  <w:noWrap w:val="0"/>
                  <w:vAlign w:val="center"/>
                </w:tcPr>
                <w:p w14:paraId="282C8708">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Φ3.0~Φ0.1</w:t>
                  </w:r>
                </w:p>
              </w:tc>
              <w:tc>
                <w:tcPr>
                  <w:tcW w:w="578" w:type="pct"/>
                  <w:noWrap w:val="0"/>
                  <w:vAlign w:val="center"/>
                </w:tcPr>
                <w:p w14:paraId="16CB19EF">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964" w:type="pct"/>
                  <w:noWrap w:val="0"/>
                  <w:vAlign w:val="center"/>
                </w:tcPr>
                <w:p w14:paraId="256AE183">
                  <w:pPr>
                    <w:adjustRightInd w:val="0"/>
                    <w:jc w:val="center"/>
                    <w:rPr>
                      <w:rFonts w:hint="eastAsia" w:ascii="Times New Roman" w:hAnsi="Times New Roman" w:eastAsia="宋体" w:cs="Times New Roman"/>
                      <w:color w:val="auto"/>
                      <w:lang w:val="en-US" w:eastAsia="zh-CN"/>
                    </w:rPr>
                  </w:pPr>
                </w:p>
              </w:tc>
            </w:tr>
            <w:tr w14:paraId="7ED2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00" w:type="pct"/>
                  <w:gridSpan w:val="4"/>
                  <w:noWrap w:val="0"/>
                  <w:vAlign w:val="center"/>
                </w:tcPr>
                <w:p w14:paraId="03D3DA27">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注：项目年产量不含钛丝上沾染的碳粉</w:t>
                  </w:r>
                </w:p>
              </w:tc>
            </w:tr>
          </w:tbl>
          <w:p w14:paraId="2B51E6C5">
            <w:pPr>
              <w:adjustRightInd w:val="0"/>
              <w:spacing w:line="360" w:lineRule="auto"/>
              <w:ind w:firstLine="482" w:firstLineChars="200"/>
              <w:rPr>
                <w:b/>
                <w:bCs/>
                <w:color w:val="auto"/>
                <w:sz w:val="24"/>
                <w:szCs w:val="32"/>
              </w:rPr>
            </w:pPr>
            <w:r>
              <w:rPr>
                <w:rFonts w:hint="eastAsia"/>
                <w:b/>
                <w:bCs/>
                <w:color w:val="auto"/>
                <w:sz w:val="24"/>
                <w:szCs w:val="32"/>
              </w:rPr>
              <w:t>4.设施清单</w:t>
            </w:r>
          </w:p>
          <w:p w14:paraId="6B0001C9">
            <w:pPr>
              <w:adjustRightInd w:val="0"/>
              <w:spacing w:line="360" w:lineRule="auto"/>
              <w:ind w:firstLine="480" w:firstLineChars="200"/>
              <w:rPr>
                <w:color w:val="auto"/>
                <w:sz w:val="24"/>
                <w:szCs w:val="32"/>
              </w:rPr>
            </w:pPr>
            <w:r>
              <w:rPr>
                <w:rFonts w:hint="eastAsia"/>
                <w:color w:val="auto"/>
                <w:sz w:val="24"/>
                <w:szCs w:val="32"/>
              </w:rPr>
              <w:t>本项目主要生产设施见下表</w:t>
            </w:r>
            <w:r>
              <w:rPr>
                <w:rFonts w:hint="eastAsia"/>
                <w:color w:val="auto"/>
                <w:sz w:val="24"/>
                <w:szCs w:val="32"/>
                <w:lang w:val="en-US" w:eastAsia="zh-CN"/>
              </w:rPr>
              <w:t>2</w:t>
            </w:r>
            <w:r>
              <w:rPr>
                <w:rFonts w:hint="eastAsia"/>
                <w:bCs/>
                <w:color w:val="auto"/>
                <w:lang w:val="en-US" w:eastAsia="zh-CN"/>
              </w:rPr>
              <w:t>-4</w:t>
            </w:r>
            <w:r>
              <w:rPr>
                <w:rFonts w:hint="eastAsia"/>
                <w:color w:val="auto"/>
                <w:sz w:val="24"/>
                <w:szCs w:val="32"/>
              </w:rPr>
              <w:t>。</w:t>
            </w:r>
          </w:p>
          <w:p w14:paraId="7D9CAE01">
            <w:pPr>
              <w:adjustRightInd w:val="0"/>
              <w:snapToGrid w:val="0"/>
              <w:jc w:val="center"/>
              <w:rPr>
                <w:rFonts w:hint="eastAsia" w:ascii="Times New Roman" w:hAnsi="Times New Roman" w:eastAsia="宋体" w:cs="Times New Roman"/>
                <w:b/>
                <w:bCs/>
                <w:color w:val="auto"/>
              </w:rPr>
            </w:pPr>
            <w:r>
              <w:rPr>
                <w:rFonts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2-4</w:t>
            </w:r>
            <w:r>
              <w:rPr>
                <w:rFonts w:ascii="Times New Roman" w:hAnsi="Times New Roman" w:eastAsia="宋体" w:cs="Times New Roman"/>
                <w:b/>
                <w:bCs/>
                <w:color w:val="auto"/>
              </w:rPr>
              <w:t xml:space="preserve">  </w:t>
            </w:r>
            <w:r>
              <w:rPr>
                <w:rFonts w:hint="eastAsia" w:ascii="Times New Roman" w:hAnsi="Times New Roman" w:eastAsia="宋体" w:cs="Times New Roman"/>
                <w:b/>
                <w:bCs/>
                <w:color w:val="auto"/>
              </w:rPr>
              <w:t>主要生产设施及参数一览表</w:t>
            </w:r>
          </w:p>
          <w:tbl>
            <w:tblPr>
              <w:tblStyle w:val="23"/>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695"/>
              <w:gridCol w:w="1305"/>
              <w:gridCol w:w="690"/>
              <w:gridCol w:w="645"/>
              <w:gridCol w:w="3088"/>
            </w:tblGrid>
            <w:tr w14:paraId="168F61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384299AE">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序号</w:t>
                  </w:r>
                </w:p>
              </w:tc>
              <w:tc>
                <w:tcPr>
                  <w:tcW w:w="1050" w:type="pct"/>
                  <w:tcBorders>
                    <w:tl2br w:val="nil"/>
                    <w:tr2bl w:val="nil"/>
                  </w:tcBorders>
                  <w:vAlign w:val="center"/>
                </w:tcPr>
                <w:p w14:paraId="4E92114D">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设备名称</w:t>
                  </w:r>
                </w:p>
              </w:tc>
              <w:tc>
                <w:tcPr>
                  <w:tcW w:w="808" w:type="pct"/>
                  <w:tcBorders>
                    <w:tl2br w:val="nil"/>
                    <w:tr2bl w:val="nil"/>
                  </w:tcBorders>
                  <w:vAlign w:val="center"/>
                </w:tcPr>
                <w:p w14:paraId="6757DC8F">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设备参数</w:t>
                  </w:r>
                </w:p>
              </w:tc>
              <w:tc>
                <w:tcPr>
                  <w:tcW w:w="427" w:type="pct"/>
                  <w:tcBorders>
                    <w:tl2br w:val="nil"/>
                    <w:tr2bl w:val="nil"/>
                  </w:tcBorders>
                  <w:vAlign w:val="center"/>
                </w:tcPr>
                <w:p w14:paraId="451AB8D2">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数量</w:t>
                  </w:r>
                </w:p>
              </w:tc>
              <w:tc>
                <w:tcPr>
                  <w:tcW w:w="399" w:type="pct"/>
                  <w:tcBorders>
                    <w:tl2br w:val="nil"/>
                    <w:tr2bl w:val="nil"/>
                  </w:tcBorders>
                  <w:vAlign w:val="center"/>
                </w:tcPr>
                <w:p w14:paraId="1C220F2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单位</w:t>
                  </w:r>
                </w:p>
              </w:tc>
              <w:tc>
                <w:tcPr>
                  <w:tcW w:w="1913" w:type="pct"/>
                  <w:tcBorders>
                    <w:tl2br w:val="nil"/>
                    <w:tr2bl w:val="nil"/>
                  </w:tcBorders>
                  <w:vAlign w:val="center"/>
                </w:tcPr>
                <w:p w14:paraId="6D5C59F1">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备注</w:t>
                  </w:r>
                </w:p>
              </w:tc>
            </w:tr>
            <w:tr w14:paraId="3B297F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382F0D00">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1050" w:type="pct"/>
                  <w:tcBorders>
                    <w:tl2br w:val="nil"/>
                    <w:tr2bl w:val="nil"/>
                  </w:tcBorders>
                  <w:vAlign w:val="center"/>
                </w:tcPr>
                <w:p w14:paraId="2E01C0E7">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热拉丝机</w:t>
                  </w:r>
                </w:p>
              </w:tc>
              <w:tc>
                <w:tcPr>
                  <w:tcW w:w="808" w:type="pct"/>
                  <w:tcBorders>
                    <w:tl2br w:val="nil"/>
                    <w:tr2bl w:val="nil"/>
                  </w:tcBorders>
                  <w:vAlign w:val="center"/>
                </w:tcPr>
                <w:p w14:paraId="752EE402">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LD1200</w:t>
                  </w:r>
                </w:p>
              </w:tc>
              <w:tc>
                <w:tcPr>
                  <w:tcW w:w="427" w:type="pct"/>
                  <w:tcBorders>
                    <w:tl2br w:val="nil"/>
                    <w:tr2bl w:val="nil"/>
                  </w:tcBorders>
                  <w:vAlign w:val="center"/>
                </w:tcPr>
                <w:p w14:paraId="2ACC353C">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399" w:type="pct"/>
                  <w:tcBorders>
                    <w:tl2br w:val="nil"/>
                    <w:tr2bl w:val="nil"/>
                  </w:tcBorders>
                  <w:vAlign w:val="center"/>
                </w:tcPr>
                <w:p w14:paraId="79E95D37">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vMerge w:val="restart"/>
                  <w:tcBorders>
                    <w:tl2br w:val="nil"/>
                    <w:tr2bl w:val="nil"/>
                  </w:tcBorders>
                  <w:vAlign w:val="center"/>
                </w:tcPr>
                <w:p w14:paraId="69A928A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热拉丝工序</w:t>
                  </w:r>
                </w:p>
              </w:tc>
            </w:tr>
            <w:tr w14:paraId="148071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77CE2331">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1050" w:type="pct"/>
                  <w:tcBorders>
                    <w:tl2br w:val="nil"/>
                    <w:tr2bl w:val="nil"/>
                  </w:tcBorders>
                  <w:vAlign w:val="center"/>
                </w:tcPr>
                <w:p w14:paraId="2CD30EE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热拉丝机</w:t>
                  </w:r>
                </w:p>
              </w:tc>
              <w:tc>
                <w:tcPr>
                  <w:tcW w:w="808" w:type="pct"/>
                  <w:tcBorders>
                    <w:tl2br w:val="nil"/>
                    <w:tr2bl w:val="nil"/>
                  </w:tcBorders>
                  <w:vAlign w:val="center"/>
                </w:tcPr>
                <w:p w14:paraId="11A8E416">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LD800</w:t>
                  </w:r>
                </w:p>
              </w:tc>
              <w:tc>
                <w:tcPr>
                  <w:tcW w:w="427" w:type="pct"/>
                  <w:tcBorders>
                    <w:tl2br w:val="nil"/>
                    <w:tr2bl w:val="nil"/>
                  </w:tcBorders>
                  <w:vAlign w:val="center"/>
                </w:tcPr>
                <w:p w14:paraId="37805250">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399" w:type="pct"/>
                  <w:tcBorders>
                    <w:tl2br w:val="nil"/>
                    <w:tr2bl w:val="nil"/>
                  </w:tcBorders>
                  <w:vAlign w:val="center"/>
                </w:tcPr>
                <w:p w14:paraId="1525A3C2">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vMerge w:val="continue"/>
                  <w:tcBorders>
                    <w:tl2br w:val="nil"/>
                    <w:tr2bl w:val="nil"/>
                  </w:tcBorders>
                  <w:vAlign w:val="center"/>
                </w:tcPr>
                <w:p w14:paraId="46B68AA5">
                  <w:pPr>
                    <w:adjustRightInd w:val="0"/>
                    <w:jc w:val="center"/>
                    <w:rPr>
                      <w:rFonts w:hint="eastAsia" w:ascii="Times New Roman" w:hAnsi="Times New Roman" w:eastAsia="宋体" w:cs="Times New Roman"/>
                      <w:color w:val="auto"/>
                      <w:lang w:val="en-US" w:eastAsia="zh-CN"/>
                    </w:rPr>
                  </w:pPr>
                </w:p>
              </w:tc>
            </w:tr>
            <w:tr w14:paraId="2A5FC9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41DFD00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1050" w:type="pct"/>
                  <w:tcBorders>
                    <w:tl2br w:val="nil"/>
                    <w:tr2bl w:val="nil"/>
                  </w:tcBorders>
                  <w:vAlign w:val="center"/>
                </w:tcPr>
                <w:p w14:paraId="44E8431E">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热拉丝机</w:t>
                  </w:r>
                </w:p>
              </w:tc>
              <w:tc>
                <w:tcPr>
                  <w:tcW w:w="808" w:type="pct"/>
                  <w:tcBorders>
                    <w:tl2br w:val="nil"/>
                    <w:tr2bl w:val="nil"/>
                  </w:tcBorders>
                  <w:vAlign w:val="center"/>
                </w:tcPr>
                <w:p w14:paraId="5C5356C9">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LD560</w:t>
                  </w:r>
                </w:p>
              </w:tc>
              <w:tc>
                <w:tcPr>
                  <w:tcW w:w="427" w:type="pct"/>
                  <w:tcBorders>
                    <w:tl2br w:val="nil"/>
                    <w:tr2bl w:val="nil"/>
                  </w:tcBorders>
                  <w:vAlign w:val="center"/>
                </w:tcPr>
                <w:p w14:paraId="62F0E7B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399" w:type="pct"/>
                  <w:tcBorders>
                    <w:tl2br w:val="nil"/>
                    <w:tr2bl w:val="nil"/>
                  </w:tcBorders>
                  <w:vAlign w:val="center"/>
                </w:tcPr>
                <w:p w14:paraId="73F3834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vMerge w:val="continue"/>
                  <w:tcBorders>
                    <w:tl2br w:val="nil"/>
                    <w:tr2bl w:val="nil"/>
                  </w:tcBorders>
                  <w:vAlign w:val="center"/>
                </w:tcPr>
                <w:p w14:paraId="5627DD35">
                  <w:pPr>
                    <w:adjustRightInd w:val="0"/>
                    <w:jc w:val="center"/>
                    <w:rPr>
                      <w:rFonts w:hint="eastAsia" w:ascii="Times New Roman" w:hAnsi="Times New Roman" w:eastAsia="宋体" w:cs="Times New Roman"/>
                      <w:color w:val="auto"/>
                      <w:lang w:val="en-US" w:eastAsia="zh-CN"/>
                    </w:rPr>
                  </w:pPr>
                </w:p>
              </w:tc>
            </w:tr>
            <w:tr w14:paraId="7E06765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14A3FD29">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1050" w:type="pct"/>
                  <w:tcBorders>
                    <w:tl2br w:val="nil"/>
                    <w:tr2bl w:val="nil"/>
                  </w:tcBorders>
                  <w:vAlign w:val="center"/>
                </w:tcPr>
                <w:p w14:paraId="55379551">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加热炉</w:t>
                  </w:r>
                </w:p>
              </w:tc>
              <w:tc>
                <w:tcPr>
                  <w:tcW w:w="808" w:type="pct"/>
                  <w:tcBorders>
                    <w:tl2br w:val="nil"/>
                    <w:tr2bl w:val="nil"/>
                  </w:tcBorders>
                  <w:vAlign w:val="center"/>
                </w:tcPr>
                <w:p w14:paraId="3B610AC8">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SK10-9U</w:t>
                  </w:r>
                </w:p>
              </w:tc>
              <w:tc>
                <w:tcPr>
                  <w:tcW w:w="427" w:type="pct"/>
                  <w:tcBorders>
                    <w:tl2br w:val="nil"/>
                    <w:tr2bl w:val="nil"/>
                  </w:tcBorders>
                  <w:vAlign w:val="center"/>
                </w:tcPr>
                <w:p w14:paraId="59546697">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3</w:t>
                  </w:r>
                </w:p>
              </w:tc>
              <w:tc>
                <w:tcPr>
                  <w:tcW w:w="399" w:type="pct"/>
                  <w:tcBorders>
                    <w:tl2br w:val="nil"/>
                    <w:tr2bl w:val="nil"/>
                  </w:tcBorders>
                  <w:vAlign w:val="center"/>
                </w:tcPr>
                <w:p w14:paraId="066E7900">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tcBorders>
                    <w:tl2br w:val="nil"/>
                    <w:tr2bl w:val="nil"/>
                  </w:tcBorders>
                  <w:vAlign w:val="center"/>
                </w:tcPr>
                <w:p w14:paraId="22441B89">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温度：800℃；预热工序</w:t>
                  </w:r>
                </w:p>
              </w:tc>
            </w:tr>
            <w:tr w14:paraId="2278A7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57277CD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p>
              </w:tc>
              <w:tc>
                <w:tcPr>
                  <w:tcW w:w="1050" w:type="pct"/>
                  <w:tcBorders>
                    <w:tl2br w:val="nil"/>
                    <w:tr2bl w:val="nil"/>
                  </w:tcBorders>
                  <w:vAlign w:val="center"/>
                </w:tcPr>
                <w:p w14:paraId="18BF52FD">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加热炉</w:t>
                  </w:r>
                </w:p>
              </w:tc>
              <w:tc>
                <w:tcPr>
                  <w:tcW w:w="808" w:type="pct"/>
                  <w:tcBorders>
                    <w:tl2br w:val="nil"/>
                    <w:tr2bl w:val="nil"/>
                  </w:tcBorders>
                  <w:vAlign w:val="center"/>
                </w:tcPr>
                <w:p w14:paraId="4C578D13">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SK10-9v</w:t>
                  </w:r>
                </w:p>
              </w:tc>
              <w:tc>
                <w:tcPr>
                  <w:tcW w:w="427" w:type="pct"/>
                  <w:tcBorders>
                    <w:tl2br w:val="nil"/>
                    <w:tr2bl w:val="nil"/>
                  </w:tcBorders>
                  <w:vAlign w:val="center"/>
                </w:tcPr>
                <w:p w14:paraId="0F01CE5A">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9" w:type="pct"/>
                  <w:tcBorders>
                    <w:tl2br w:val="nil"/>
                    <w:tr2bl w:val="nil"/>
                  </w:tcBorders>
                  <w:vAlign w:val="center"/>
                </w:tcPr>
                <w:p w14:paraId="4F7E1E6A">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tcBorders>
                    <w:tl2br w:val="nil"/>
                    <w:tr2bl w:val="nil"/>
                  </w:tcBorders>
                  <w:vAlign w:val="center"/>
                </w:tcPr>
                <w:p w14:paraId="162CE593">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温度：800℃；预热工序</w:t>
                  </w:r>
                </w:p>
              </w:tc>
            </w:tr>
            <w:tr w14:paraId="2DF82A3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7B9C07C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p>
              </w:tc>
              <w:tc>
                <w:tcPr>
                  <w:tcW w:w="1050" w:type="pct"/>
                  <w:tcBorders>
                    <w:tl2br w:val="nil"/>
                    <w:tr2bl w:val="nil"/>
                  </w:tcBorders>
                  <w:vAlign w:val="center"/>
                </w:tcPr>
                <w:p w14:paraId="3D88523F">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加热炉</w:t>
                  </w:r>
                </w:p>
              </w:tc>
              <w:tc>
                <w:tcPr>
                  <w:tcW w:w="808" w:type="pct"/>
                  <w:tcBorders>
                    <w:tl2br w:val="nil"/>
                    <w:tr2bl w:val="nil"/>
                  </w:tcBorders>
                  <w:vAlign w:val="center"/>
                </w:tcPr>
                <w:p w14:paraId="02767A4C">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SK10-9w</w:t>
                  </w:r>
                </w:p>
              </w:tc>
              <w:tc>
                <w:tcPr>
                  <w:tcW w:w="427" w:type="pct"/>
                  <w:tcBorders>
                    <w:tl2br w:val="nil"/>
                    <w:tr2bl w:val="nil"/>
                  </w:tcBorders>
                  <w:shd w:val="clear" w:color="auto" w:fill="auto"/>
                  <w:vAlign w:val="center"/>
                </w:tcPr>
                <w:p w14:paraId="0802E852">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399" w:type="pct"/>
                  <w:tcBorders>
                    <w:tl2br w:val="nil"/>
                    <w:tr2bl w:val="nil"/>
                  </w:tcBorders>
                  <w:shd w:val="clear" w:color="auto" w:fill="auto"/>
                  <w:vAlign w:val="center"/>
                </w:tcPr>
                <w:p w14:paraId="675E14BF">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tcBorders>
                    <w:tl2br w:val="nil"/>
                    <w:tr2bl w:val="nil"/>
                  </w:tcBorders>
                  <w:vAlign w:val="center"/>
                </w:tcPr>
                <w:p w14:paraId="6DA0B2A0">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温度：800℃；预热工序</w:t>
                  </w:r>
                </w:p>
              </w:tc>
            </w:tr>
            <w:tr w14:paraId="25C2544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36F360CA">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7</w:t>
                  </w:r>
                </w:p>
              </w:tc>
              <w:tc>
                <w:tcPr>
                  <w:tcW w:w="1050" w:type="pct"/>
                  <w:tcBorders>
                    <w:tl2br w:val="nil"/>
                    <w:tr2bl w:val="nil"/>
                  </w:tcBorders>
                  <w:shd w:val="clear" w:color="auto" w:fill="auto"/>
                  <w:vAlign w:val="center"/>
                </w:tcPr>
                <w:p w14:paraId="7A71051A">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管式加热炉</w:t>
                  </w:r>
                </w:p>
              </w:tc>
              <w:tc>
                <w:tcPr>
                  <w:tcW w:w="808" w:type="pct"/>
                  <w:tcBorders>
                    <w:tl2br w:val="nil"/>
                    <w:tr2bl w:val="nil"/>
                  </w:tcBorders>
                  <w:shd w:val="clear" w:color="auto" w:fill="auto"/>
                  <w:vAlign w:val="center"/>
                </w:tcPr>
                <w:p w14:paraId="17984063">
                  <w:pPr>
                    <w:adjustRightInd w:val="0"/>
                    <w:jc w:val="center"/>
                    <w:rPr>
                      <w:rFonts w:hint="eastAsia"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SK2-8-9</w:t>
                  </w:r>
                </w:p>
              </w:tc>
              <w:tc>
                <w:tcPr>
                  <w:tcW w:w="427" w:type="pct"/>
                  <w:tcBorders>
                    <w:tl2br w:val="nil"/>
                    <w:tr2bl w:val="nil"/>
                  </w:tcBorders>
                  <w:shd w:val="clear" w:color="auto" w:fill="auto"/>
                  <w:vAlign w:val="center"/>
                </w:tcPr>
                <w:p w14:paraId="79F0542F">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p>
              </w:tc>
              <w:tc>
                <w:tcPr>
                  <w:tcW w:w="399" w:type="pct"/>
                  <w:tcBorders>
                    <w:tl2br w:val="nil"/>
                    <w:tr2bl w:val="nil"/>
                  </w:tcBorders>
                  <w:shd w:val="clear" w:color="auto" w:fill="auto"/>
                  <w:vAlign w:val="center"/>
                </w:tcPr>
                <w:p w14:paraId="0AD698A1">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tcBorders>
                    <w:tl2br w:val="nil"/>
                    <w:tr2bl w:val="nil"/>
                  </w:tcBorders>
                  <w:shd w:val="clear" w:color="auto" w:fill="auto"/>
                  <w:vAlign w:val="center"/>
                </w:tcPr>
                <w:p w14:paraId="40DD541A">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温度：800℃；退火、校直工序</w:t>
                  </w:r>
                </w:p>
              </w:tc>
            </w:tr>
            <w:tr w14:paraId="5CB347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7873E87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8</w:t>
                  </w:r>
                </w:p>
              </w:tc>
              <w:tc>
                <w:tcPr>
                  <w:tcW w:w="1050" w:type="pct"/>
                  <w:tcBorders>
                    <w:tl2br w:val="nil"/>
                    <w:tr2bl w:val="nil"/>
                  </w:tcBorders>
                  <w:shd w:val="clear" w:color="auto" w:fill="auto"/>
                  <w:vAlign w:val="center"/>
                </w:tcPr>
                <w:p w14:paraId="69AC4CC3">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箱式电阻炉</w:t>
                  </w:r>
                </w:p>
              </w:tc>
              <w:tc>
                <w:tcPr>
                  <w:tcW w:w="808" w:type="pct"/>
                  <w:tcBorders>
                    <w:tl2br w:val="nil"/>
                    <w:tr2bl w:val="nil"/>
                  </w:tcBorders>
                  <w:shd w:val="clear" w:color="auto" w:fill="auto"/>
                  <w:vAlign w:val="center"/>
                </w:tcPr>
                <w:p w14:paraId="21FDE253">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SX2-8-10</w:t>
                  </w:r>
                </w:p>
              </w:tc>
              <w:tc>
                <w:tcPr>
                  <w:tcW w:w="427" w:type="pct"/>
                  <w:tcBorders>
                    <w:tl2br w:val="nil"/>
                    <w:tr2bl w:val="nil"/>
                  </w:tcBorders>
                  <w:shd w:val="clear" w:color="auto" w:fill="auto"/>
                  <w:vAlign w:val="center"/>
                </w:tcPr>
                <w:p w14:paraId="2EFC2C3E">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399" w:type="pct"/>
                  <w:tcBorders>
                    <w:tl2br w:val="nil"/>
                    <w:tr2bl w:val="nil"/>
                  </w:tcBorders>
                  <w:shd w:val="clear" w:color="auto" w:fill="auto"/>
                  <w:vAlign w:val="center"/>
                </w:tcPr>
                <w:p w14:paraId="554C7A79">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tcBorders>
                    <w:tl2br w:val="nil"/>
                    <w:tr2bl w:val="nil"/>
                  </w:tcBorders>
                  <w:vAlign w:val="center"/>
                </w:tcPr>
                <w:p w14:paraId="096A7322">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温度：800℃；加热</w:t>
                  </w:r>
                </w:p>
              </w:tc>
            </w:tr>
            <w:tr w14:paraId="28FFDC3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60F3572D">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9</w:t>
                  </w:r>
                </w:p>
              </w:tc>
              <w:tc>
                <w:tcPr>
                  <w:tcW w:w="1050" w:type="pct"/>
                  <w:tcBorders>
                    <w:tl2br w:val="nil"/>
                    <w:tr2bl w:val="nil"/>
                  </w:tcBorders>
                  <w:shd w:val="clear" w:color="auto" w:fill="auto"/>
                  <w:vAlign w:val="center"/>
                </w:tcPr>
                <w:p w14:paraId="2267D96D">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冷拉双头拉丝机</w:t>
                  </w:r>
                </w:p>
              </w:tc>
              <w:tc>
                <w:tcPr>
                  <w:tcW w:w="808" w:type="pct"/>
                  <w:tcBorders>
                    <w:tl2br w:val="nil"/>
                    <w:tr2bl w:val="nil"/>
                  </w:tcBorders>
                  <w:shd w:val="clear" w:color="auto" w:fill="auto"/>
                  <w:vAlign w:val="center"/>
                </w:tcPr>
                <w:p w14:paraId="20E2BD4E">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LD500</w:t>
                  </w:r>
                </w:p>
              </w:tc>
              <w:tc>
                <w:tcPr>
                  <w:tcW w:w="427" w:type="pct"/>
                  <w:tcBorders>
                    <w:tl2br w:val="nil"/>
                    <w:tr2bl w:val="nil"/>
                  </w:tcBorders>
                  <w:shd w:val="clear" w:color="auto" w:fill="auto"/>
                  <w:vAlign w:val="center"/>
                </w:tcPr>
                <w:p w14:paraId="4C1516F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399" w:type="pct"/>
                  <w:tcBorders>
                    <w:tl2br w:val="nil"/>
                    <w:tr2bl w:val="nil"/>
                  </w:tcBorders>
                  <w:shd w:val="clear" w:color="auto" w:fill="auto"/>
                  <w:vAlign w:val="center"/>
                </w:tcPr>
                <w:p w14:paraId="62455247">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vMerge w:val="restart"/>
                  <w:tcBorders>
                    <w:tl2br w:val="nil"/>
                    <w:tr2bl w:val="nil"/>
                  </w:tcBorders>
                  <w:vAlign w:val="center"/>
                </w:tcPr>
                <w:p w14:paraId="3E2FB69B">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冷拉丝工序</w:t>
                  </w:r>
                </w:p>
              </w:tc>
            </w:tr>
            <w:tr w14:paraId="14D54F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104A2CFD">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10</w:t>
                  </w:r>
                </w:p>
              </w:tc>
              <w:tc>
                <w:tcPr>
                  <w:tcW w:w="1050" w:type="pct"/>
                  <w:tcBorders>
                    <w:tl2br w:val="nil"/>
                    <w:tr2bl w:val="nil"/>
                  </w:tcBorders>
                  <w:shd w:val="clear" w:color="auto" w:fill="auto"/>
                  <w:vAlign w:val="center"/>
                </w:tcPr>
                <w:p w14:paraId="26BFADA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冷拉机</w:t>
                  </w:r>
                </w:p>
              </w:tc>
              <w:tc>
                <w:tcPr>
                  <w:tcW w:w="808" w:type="pct"/>
                  <w:tcBorders>
                    <w:tl2br w:val="nil"/>
                    <w:tr2bl w:val="nil"/>
                  </w:tcBorders>
                  <w:shd w:val="clear" w:color="auto" w:fill="auto"/>
                  <w:vAlign w:val="center"/>
                </w:tcPr>
                <w:p w14:paraId="6EE241CF">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ZYLS-300/1</w:t>
                  </w:r>
                </w:p>
              </w:tc>
              <w:tc>
                <w:tcPr>
                  <w:tcW w:w="427" w:type="pct"/>
                  <w:tcBorders>
                    <w:tl2br w:val="nil"/>
                    <w:tr2bl w:val="nil"/>
                  </w:tcBorders>
                  <w:shd w:val="clear" w:color="auto" w:fill="auto"/>
                  <w:vAlign w:val="center"/>
                </w:tcPr>
                <w:p w14:paraId="29893053">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20</w:t>
                  </w:r>
                </w:p>
              </w:tc>
              <w:tc>
                <w:tcPr>
                  <w:tcW w:w="399" w:type="pct"/>
                  <w:tcBorders>
                    <w:tl2br w:val="nil"/>
                    <w:tr2bl w:val="nil"/>
                  </w:tcBorders>
                  <w:shd w:val="clear" w:color="auto" w:fill="auto"/>
                  <w:vAlign w:val="center"/>
                </w:tcPr>
                <w:p w14:paraId="0B088F22">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vMerge w:val="continue"/>
                  <w:tcBorders>
                    <w:tl2br w:val="nil"/>
                    <w:tr2bl w:val="nil"/>
                  </w:tcBorders>
                  <w:vAlign w:val="center"/>
                </w:tcPr>
                <w:p w14:paraId="509DE538">
                  <w:pPr>
                    <w:adjustRightInd w:val="0"/>
                    <w:jc w:val="center"/>
                    <w:rPr>
                      <w:rFonts w:hint="eastAsia" w:ascii="Times New Roman" w:hAnsi="Times New Roman" w:eastAsia="宋体" w:cs="Times New Roman"/>
                      <w:color w:val="auto"/>
                      <w:lang w:val="en-US" w:eastAsia="zh-CN"/>
                    </w:rPr>
                  </w:pPr>
                </w:p>
              </w:tc>
            </w:tr>
            <w:tr w14:paraId="4C73D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2130FB4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11</w:t>
                  </w:r>
                </w:p>
              </w:tc>
              <w:tc>
                <w:tcPr>
                  <w:tcW w:w="1050" w:type="pct"/>
                  <w:tcBorders>
                    <w:tl2br w:val="nil"/>
                    <w:tr2bl w:val="nil"/>
                  </w:tcBorders>
                  <w:shd w:val="clear" w:color="auto" w:fill="auto"/>
                  <w:vAlign w:val="center"/>
                </w:tcPr>
                <w:p w14:paraId="362D097C">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无心车床</w:t>
                  </w:r>
                </w:p>
              </w:tc>
              <w:tc>
                <w:tcPr>
                  <w:tcW w:w="808" w:type="pct"/>
                  <w:tcBorders>
                    <w:tl2br w:val="nil"/>
                    <w:tr2bl w:val="nil"/>
                  </w:tcBorders>
                  <w:shd w:val="clear" w:color="auto" w:fill="auto"/>
                  <w:vAlign w:val="center"/>
                </w:tcPr>
                <w:p w14:paraId="23464CEC">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Φ40</w:t>
                  </w:r>
                </w:p>
              </w:tc>
              <w:tc>
                <w:tcPr>
                  <w:tcW w:w="427" w:type="pct"/>
                  <w:tcBorders>
                    <w:tl2br w:val="nil"/>
                    <w:tr2bl w:val="nil"/>
                  </w:tcBorders>
                  <w:shd w:val="clear" w:color="auto" w:fill="auto"/>
                  <w:vAlign w:val="center"/>
                </w:tcPr>
                <w:p w14:paraId="08D23058">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9" w:type="pct"/>
                  <w:tcBorders>
                    <w:tl2br w:val="nil"/>
                    <w:tr2bl w:val="nil"/>
                  </w:tcBorders>
                  <w:shd w:val="clear" w:color="auto" w:fill="auto"/>
                  <w:vAlign w:val="center"/>
                </w:tcPr>
                <w:p w14:paraId="75A1697D">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tcBorders>
                    <w:tl2br w:val="nil"/>
                    <w:tr2bl w:val="nil"/>
                  </w:tcBorders>
                  <w:vAlign w:val="center"/>
                </w:tcPr>
                <w:p w14:paraId="120D4581">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去皮工序</w:t>
                  </w:r>
                </w:p>
              </w:tc>
            </w:tr>
            <w:tr w14:paraId="359B86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0E34978A">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12</w:t>
                  </w:r>
                </w:p>
              </w:tc>
              <w:tc>
                <w:tcPr>
                  <w:tcW w:w="1050" w:type="pct"/>
                  <w:tcBorders>
                    <w:tl2br w:val="nil"/>
                    <w:tr2bl w:val="nil"/>
                  </w:tcBorders>
                  <w:shd w:val="clear" w:color="auto" w:fill="auto"/>
                  <w:vAlign w:val="center"/>
                </w:tcPr>
                <w:p w14:paraId="48483E20">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轧扁机</w:t>
                  </w:r>
                </w:p>
              </w:tc>
              <w:tc>
                <w:tcPr>
                  <w:tcW w:w="808" w:type="pct"/>
                  <w:tcBorders>
                    <w:tl2br w:val="nil"/>
                    <w:tr2bl w:val="nil"/>
                  </w:tcBorders>
                  <w:shd w:val="clear" w:color="auto" w:fill="auto"/>
                  <w:vAlign w:val="center"/>
                </w:tcPr>
                <w:p w14:paraId="7CE10D75">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427" w:type="pct"/>
                  <w:tcBorders>
                    <w:tl2br w:val="nil"/>
                    <w:tr2bl w:val="nil"/>
                  </w:tcBorders>
                  <w:shd w:val="clear" w:color="auto" w:fill="auto"/>
                  <w:vAlign w:val="center"/>
                </w:tcPr>
                <w:p w14:paraId="265D7694">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2</w:t>
                  </w:r>
                </w:p>
              </w:tc>
              <w:tc>
                <w:tcPr>
                  <w:tcW w:w="399" w:type="pct"/>
                  <w:tcBorders>
                    <w:tl2br w:val="nil"/>
                    <w:tr2bl w:val="nil"/>
                  </w:tcBorders>
                  <w:shd w:val="clear" w:color="auto" w:fill="auto"/>
                  <w:vAlign w:val="center"/>
                </w:tcPr>
                <w:p w14:paraId="407CC629">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tcBorders>
                    <w:tl2br w:val="nil"/>
                    <w:tr2bl w:val="nil"/>
                  </w:tcBorders>
                  <w:vAlign w:val="center"/>
                </w:tcPr>
                <w:p w14:paraId="4907A33C">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冷轧工序</w:t>
                  </w:r>
                </w:p>
              </w:tc>
            </w:tr>
            <w:tr w14:paraId="66C63C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1044278B">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13</w:t>
                  </w:r>
                </w:p>
              </w:tc>
              <w:tc>
                <w:tcPr>
                  <w:tcW w:w="1050" w:type="pct"/>
                  <w:tcBorders>
                    <w:tl2br w:val="nil"/>
                    <w:tr2bl w:val="nil"/>
                  </w:tcBorders>
                  <w:shd w:val="clear" w:color="auto" w:fill="auto"/>
                  <w:vAlign w:val="center"/>
                </w:tcPr>
                <w:p w14:paraId="457C57A1">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复绕机</w:t>
                  </w:r>
                </w:p>
              </w:tc>
              <w:tc>
                <w:tcPr>
                  <w:tcW w:w="808" w:type="pct"/>
                  <w:tcBorders>
                    <w:tl2br w:val="nil"/>
                    <w:tr2bl w:val="nil"/>
                  </w:tcBorders>
                  <w:shd w:val="clear" w:color="auto" w:fill="auto"/>
                  <w:vAlign w:val="center"/>
                </w:tcPr>
                <w:p w14:paraId="3017483E">
                  <w:pPr>
                    <w:adjustRightInd w:val="0"/>
                    <w:jc w:val="center"/>
                    <w:rPr>
                      <w:rFonts w:hint="eastAsia" w:ascii="Times New Roman" w:hAnsi="Times New Roman" w:eastAsia="宋体" w:cs="Times New Roman"/>
                      <w:color w:val="auto"/>
                      <w:lang w:val="en-US" w:eastAsia="zh-CN"/>
                    </w:rPr>
                  </w:pPr>
                </w:p>
              </w:tc>
              <w:tc>
                <w:tcPr>
                  <w:tcW w:w="427" w:type="pct"/>
                  <w:tcBorders>
                    <w:tl2br w:val="nil"/>
                    <w:tr2bl w:val="nil"/>
                  </w:tcBorders>
                  <w:shd w:val="clear" w:color="auto" w:fill="auto"/>
                  <w:vAlign w:val="center"/>
                </w:tcPr>
                <w:p w14:paraId="414AEADF">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4</w:t>
                  </w:r>
                </w:p>
              </w:tc>
              <w:tc>
                <w:tcPr>
                  <w:tcW w:w="399" w:type="pct"/>
                  <w:tcBorders>
                    <w:tl2br w:val="nil"/>
                    <w:tr2bl w:val="nil"/>
                  </w:tcBorders>
                  <w:shd w:val="clear" w:color="auto" w:fill="auto"/>
                  <w:vAlign w:val="center"/>
                </w:tcPr>
                <w:p w14:paraId="0EE47B3B">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tcBorders>
                    <w:tl2br w:val="nil"/>
                    <w:tr2bl w:val="nil"/>
                  </w:tcBorders>
                  <w:vAlign w:val="center"/>
                </w:tcPr>
                <w:p w14:paraId="215B30E0">
                  <w:pPr>
                    <w:adjustRightInd w:val="0"/>
                    <w:jc w:val="center"/>
                    <w:rPr>
                      <w:rFonts w:hint="default" w:ascii="Times New Roman" w:hAnsi="Times New Roman" w:eastAsia="宋体" w:cs="Times New Roman"/>
                      <w:color w:val="auto"/>
                      <w:lang w:val="en-US" w:eastAsia="zh-CN"/>
                    </w:rPr>
                  </w:pPr>
                </w:p>
              </w:tc>
            </w:tr>
            <w:tr w14:paraId="55F2646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0ABA1813">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14</w:t>
                  </w:r>
                </w:p>
              </w:tc>
              <w:tc>
                <w:tcPr>
                  <w:tcW w:w="1050" w:type="pct"/>
                  <w:tcBorders>
                    <w:tl2br w:val="nil"/>
                    <w:tr2bl w:val="nil"/>
                  </w:tcBorders>
                  <w:shd w:val="clear" w:color="auto" w:fill="auto"/>
                  <w:vAlign w:val="center"/>
                </w:tcPr>
                <w:p w14:paraId="2B44DFB6">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拉伸机</w:t>
                  </w:r>
                </w:p>
              </w:tc>
              <w:tc>
                <w:tcPr>
                  <w:tcW w:w="808" w:type="pct"/>
                  <w:tcBorders>
                    <w:tl2br w:val="nil"/>
                    <w:tr2bl w:val="nil"/>
                  </w:tcBorders>
                  <w:shd w:val="clear" w:color="auto" w:fill="auto"/>
                  <w:vAlign w:val="center"/>
                </w:tcPr>
                <w:p w14:paraId="6E4BE595">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WDW100D</w:t>
                  </w:r>
                </w:p>
              </w:tc>
              <w:tc>
                <w:tcPr>
                  <w:tcW w:w="427" w:type="pct"/>
                  <w:tcBorders>
                    <w:tl2br w:val="nil"/>
                    <w:tr2bl w:val="nil"/>
                  </w:tcBorders>
                  <w:shd w:val="clear" w:color="auto" w:fill="auto"/>
                  <w:vAlign w:val="center"/>
                </w:tcPr>
                <w:p w14:paraId="229DC463">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9" w:type="pct"/>
                  <w:tcBorders>
                    <w:tl2br w:val="nil"/>
                    <w:tr2bl w:val="nil"/>
                  </w:tcBorders>
                  <w:shd w:val="clear" w:color="auto" w:fill="auto"/>
                  <w:vAlign w:val="center"/>
                </w:tcPr>
                <w:p w14:paraId="6149263D">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vMerge w:val="restart"/>
                  <w:tcBorders>
                    <w:tl2br w:val="nil"/>
                    <w:tr2bl w:val="nil"/>
                  </w:tcBorders>
                  <w:vAlign w:val="center"/>
                </w:tcPr>
                <w:p w14:paraId="42FE34D4">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物理性能检测</w:t>
                  </w:r>
                </w:p>
              </w:tc>
            </w:tr>
            <w:tr w14:paraId="24F825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3DC3CE38">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15</w:t>
                  </w:r>
                </w:p>
              </w:tc>
              <w:tc>
                <w:tcPr>
                  <w:tcW w:w="1050" w:type="pct"/>
                  <w:tcBorders>
                    <w:tl2br w:val="nil"/>
                    <w:tr2bl w:val="nil"/>
                  </w:tcBorders>
                  <w:shd w:val="clear" w:color="auto" w:fill="auto"/>
                  <w:vAlign w:val="center"/>
                </w:tcPr>
                <w:p w14:paraId="4D7CC022">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拉伸机</w:t>
                  </w:r>
                </w:p>
              </w:tc>
              <w:tc>
                <w:tcPr>
                  <w:tcW w:w="808" w:type="pct"/>
                  <w:tcBorders>
                    <w:tl2br w:val="nil"/>
                    <w:tr2bl w:val="nil"/>
                  </w:tcBorders>
                  <w:shd w:val="clear" w:color="auto" w:fill="auto"/>
                  <w:vAlign w:val="center"/>
                </w:tcPr>
                <w:p w14:paraId="35B46CAA">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WDW5D</w:t>
                  </w:r>
                </w:p>
              </w:tc>
              <w:tc>
                <w:tcPr>
                  <w:tcW w:w="427" w:type="pct"/>
                  <w:tcBorders>
                    <w:tl2br w:val="nil"/>
                    <w:tr2bl w:val="nil"/>
                  </w:tcBorders>
                  <w:shd w:val="clear" w:color="auto" w:fill="auto"/>
                  <w:vAlign w:val="center"/>
                </w:tcPr>
                <w:p w14:paraId="05852147">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9" w:type="pct"/>
                  <w:tcBorders>
                    <w:tl2br w:val="nil"/>
                    <w:tr2bl w:val="nil"/>
                  </w:tcBorders>
                  <w:shd w:val="clear" w:color="auto" w:fill="auto"/>
                  <w:vAlign w:val="center"/>
                </w:tcPr>
                <w:p w14:paraId="6B345B9C">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vMerge w:val="continue"/>
                  <w:tcBorders>
                    <w:tl2br w:val="nil"/>
                    <w:tr2bl w:val="nil"/>
                  </w:tcBorders>
                  <w:vAlign w:val="center"/>
                </w:tcPr>
                <w:p w14:paraId="2C201D75">
                  <w:pPr>
                    <w:adjustRightInd w:val="0"/>
                    <w:jc w:val="center"/>
                    <w:rPr>
                      <w:rFonts w:hint="eastAsia" w:ascii="Times New Roman" w:hAnsi="Times New Roman" w:eastAsia="宋体" w:cs="Times New Roman"/>
                      <w:color w:val="auto"/>
                      <w:lang w:val="en-US" w:eastAsia="zh-CN"/>
                    </w:rPr>
                  </w:pPr>
                </w:p>
              </w:tc>
            </w:tr>
            <w:tr w14:paraId="148053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197CE082">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16</w:t>
                  </w:r>
                </w:p>
              </w:tc>
              <w:tc>
                <w:tcPr>
                  <w:tcW w:w="1050" w:type="pct"/>
                  <w:tcBorders>
                    <w:tl2br w:val="nil"/>
                    <w:tr2bl w:val="nil"/>
                  </w:tcBorders>
                  <w:shd w:val="clear" w:color="auto" w:fill="auto"/>
                  <w:vAlign w:val="center"/>
                </w:tcPr>
                <w:p w14:paraId="4DDC1763">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硬度仪</w:t>
                  </w:r>
                </w:p>
              </w:tc>
              <w:tc>
                <w:tcPr>
                  <w:tcW w:w="808" w:type="pct"/>
                  <w:tcBorders>
                    <w:tl2br w:val="nil"/>
                    <w:tr2bl w:val="nil"/>
                  </w:tcBorders>
                  <w:shd w:val="clear" w:color="auto" w:fill="auto"/>
                  <w:vAlign w:val="center"/>
                </w:tcPr>
                <w:p w14:paraId="0478F186">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427" w:type="pct"/>
                  <w:tcBorders>
                    <w:tl2br w:val="nil"/>
                    <w:tr2bl w:val="nil"/>
                  </w:tcBorders>
                  <w:shd w:val="clear" w:color="auto" w:fill="auto"/>
                  <w:vAlign w:val="center"/>
                </w:tcPr>
                <w:p w14:paraId="1457C86A">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9" w:type="pct"/>
                  <w:tcBorders>
                    <w:tl2br w:val="nil"/>
                    <w:tr2bl w:val="nil"/>
                  </w:tcBorders>
                  <w:shd w:val="clear" w:color="auto" w:fill="auto"/>
                  <w:vAlign w:val="center"/>
                </w:tcPr>
                <w:p w14:paraId="5AD69516">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vMerge w:val="continue"/>
                  <w:tcBorders>
                    <w:tl2br w:val="nil"/>
                    <w:tr2bl w:val="nil"/>
                  </w:tcBorders>
                  <w:vAlign w:val="center"/>
                </w:tcPr>
                <w:p w14:paraId="4EEBF87D">
                  <w:pPr>
                    <w:adjustRightInd w:val="0"/>
                    <w:jc w:val="center"/>
                    <w:rPr>
                      <w:rFonts w:hint="eastAsia" w:ascii="Times New Roman" w:hAnsi="Times New Roman" w:eastAsia="宋体" w:cs="Times New Roman"/>
                      <w:color w:val="auto"/>
                      <w:lang w:val="en-US" w:eastAsia="zh-CN"/>
                    </w:rPr>
                  </w:pPr>
                </w:p>
              </w:tc>
            </w:tr>
            <w:tr w14:paraId="2FBE3E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01" w:type="pct"/>
                  <w:tcBorders>
                    <w:tl2br w:val="nil"/>
                    <w:tr2bl w:val="nil"/>
                  </w:tcBorders>
                  <w:vAlign w:val="center"/>
                </w:tcPr>
                <w:p w14:paraId="4E3A9CB4">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17</w:t>
                  </w:r>
                </w:p>
              </w:tc>
              <w:tc>
                <w:tcPr>
                  <w:tcW w:w="1050" w:type="pct"/>
                  <w:tcBorders>
                    <w:tl2br w:val="nil"/>
                    <w:tr2bl w:val="nil"/>
                  </w:tcBorders>
                  <w:shd w:val="clear" w:color="auto" w:fill="auto"/>
                  <w:vAlign w:val="center"/>
                </w:tcPr>
                <w:p w14:paraId="27773EA3">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DSC</w:t>
                  </w:r>
                </w:p>
              </w:tc>
              <w:tc>
                <w:tcPr>
                  <w:tcW w:w="808" w:type="pct"/>
                  <w:tcBorders>
                    <w:tl2br w:val="nil"/>
                    <w:tr2bl w:val="nil"/>
                  </w:tcBorders>
                  <w:shd w:val="clear" w:color="auto" w:fill="auto"/>
                  <w:vAlign w:val="center"/>
                </w:tcPr>
                <w:p w14:paraId="1B7B01D2">
                  <w:pPr>
                    <w:adjustRightInd w:val="0"/>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w:t>
                  </w:r>
                </w:p>
              </w:tc>
              <w:tc>
                <w:tcPr>
                  <w:tcW w:w="427" w:type="pct"/>
                  <w:tcBorders>
                    <w:tl2br w:val="nil"/>
                    <w:tr2bl w:val="nil"/>
                  </w:tcBorders>
                  <w:shd w:val="clear" w:color="auto" w:fill="auto"/>
                  <w:vAlign w:val="center"/>
                </w:tcPr>
                <w:p w14:paraId="16A37281">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399" w:type="pct"/>
                  <w:tcBorders>
                    <w:tl2br w:val="nil"/>
                    <w:tr2bl w:val="nil"/>
                  </w:tcBorders>
                  <w:shd w:val="clear" w:color="auto" w:fill="auto"/>
                  <w:vAlign w:val="center"/>
                </w:tcPr>
                <w:p w14:paraId="6A03B9F6">
                  <w:pPr>
                    <w:adjustRightInd w:val="0"/>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台</w:t>
                  </w:r>
                </w:p>
              </w:tc>
              <w:tc>
                <w:tcPr>
                  <w:tcW w:w="1913" w:type="pct"/>
                  <w:vMerge w:val="continue"/>
                  <w:tcBorders>
                    <w:tl2br w:val="nil"/>
                    <w:tr2bl w:val="nil"/>
                  </w:tcBorders>
                  <w:vAlign w:val="center"/>
                </w:tcPr>
                <w:p w14:paraId="1B59033F">
                  <w:pPr>
                    <w:adjustRightInd w:val="0"/>
                    <w:jc w:val="center"/>
                    <w:rPr>
                      <w:rFonts w:hint="eastAsia" w:ascii="Times New Roman" w:hAnsi="Times New Roman" w:eastAsia="宋体" w:cs="Times New Roman"/>
                      <w:color w:val="auto"/>
                      <w:lang w:val="en-US" w:eastAsia="zh-CN"/>
                    </w:rPr>
                  </w:pPr>
                </w:p>
              </w:tc>
            </w:tr>
          </w:tbl>
          <w:p w14:paraId="52D79513">
            <w:pPr>
              <w:adjustRightInd w:val="0"/>
              <w:snapToGrid w:val="0"/>
              <w:spacing w:line="360" w:lineRule="auto"/>
              <w:ind w:firstLine="420"/>
              <w:jc w:val="left"/>
              <w:rPr>
                <w:b/>
                <w:bCs/>
                <w:color w:val="auto"/>
                <w:sz w:val="24"/>
                <w:szCs w:val="32"/>
              </w:rPr>
            </w:pPr>
            <w:r>
              <w:rPr>
                <w:rFonts w:hint="eastAsia"/>
                <w:b/>
                <w:bCs/>
                <w:color w:val="auto"/>
                <w:sz w:val="24"/>
                <w:szCs w:val="32"/>
              </w:rPr>
              <w:t>5.</w:t>
            </w:r>
            <w:r>
              <w:rPr>
                <w:b/>
                <w:bCs/>
                <w:color w:val="auto"/>
                <w:sz w:val="24"/>
                <w:szCs w:val="32"/>
              </w:rPr>
              <w:t>主要原辅材料及能源</w:t>
            </w:r>
          </w:p>
          <w:p w14:paraId="38980041">
            <w:pPr>
              <w:adjustRightInd w:val="0"/>
              <w:snapToGrid w:val="0"/>
              <w:spacing w:line="360" w:lineRule="auto"/>
              <w:ind w:firstLine="420"/>
              <w:jc w:val="left"/>
              <w:rPr>
                <w:color w:val="auto"/>
                <w:sz w:val="24"/>
                <w:szCs w:val="32"/>
              </w:rPr>
            </w:pPr>
            <w:r>
              <w:rPr>
                <w:rFonts w:hint="eastAsia"/>
                <w:color w:val="auto"/>
                <w:sz w:val="24"/>
                <w:szCs w:val="32"/>
              </w:rPr>
              <w:t>本项目主要原辅材料及能源消耗见下表。</w:t>
            </w:r>
          </w:p>
          <w:p w14:paraId="101B82E9">
            <w:pPr>
              <w:adjustRightInd w:val="0"/>
              <w:snapToGrid w:val="0"/>
              <w:jc w:val="center"/>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2-5</w:t>
            </w:r>
            <w:r>
              <w:rPr>
                <w:rFonts w:hint="eastAsia" w:ascii="Times New Roman" w:hAnsi="Times New Roman" w:eastAsia="宋体" w:cs="Times New Roman"/>
                <w:b/>
                <w:bCs/>
                <w:color w:val="auto"/>
              </w:rPr>
              <w:t xml:space="preserve">  </w:t>
            </w:r>
            <w:r>
              <w:rPr>
                <w:rFonts w:ascii="Times New Roman" w:hAnsi="Times New Roman" w:eastAsia="宋体" w:cs="Times New Roman"/>
                <w:b/>
                <w:bCs/>
                <w:color w:val="auto"/>
              </w:rPr>
              <w:t>主要原</w:t>
            </w:r>
            <w:r>
              <w:rPr>
                <w:rFonts w:hint="eastAsia" w:ascii="Times New Roman" w:hAnsi="Times New Roman" w:eastAsia="宋体" w:cs="Times New Roman"/>
                <w:b/>
                <w:bCs/>
                <w:color w:val="auto"/>
              </w:rPr>
              <w:t>辅</w:t>
            </w:r>
            <w:r>
              <w:rPr>
                <w:rFonts w:ascii="Times New Roman" w:hAnsi="Times New Roman" w:eastAsia="宋体" w:cs="Times New Roman"/>
                <w:b/>
                <w:bCs/>
                <w:color w:val="auto"/>
              </w:rPr>
              <w:t>材料</w:t>
            </w:r>
            <w:r>
              <w:rPr>
                <w:rFonts w:hint="eastAsia" w:ascii="Times New Roman" w:hAnsi="Times New Roman" w:eastAsia="宋体" w:cs="Times New Roman"/>
                <w:b/>
                <w:bCs/>
                <w:color w:val="auto"/>
              </w:rPr>
              <w:t>及能源</w:t>
            </w:r>
            <w:r>
              <w:rPr>
                <w:rFonts w:ascii="Times New Roman" w:hAnsi="Times New Roman" w:eastAsia="宋体" w:cs="Times New Roman"/>
                <w:b/>
                <w:bCs/>
                <w:color w:val="auto"/>
              </w:rPr>
              <w:t>一览表</w:t>
            </w:r>
          </w:p>
          <w:tbl>
            <w:tblPr>
              <w:tblStyle w:val="23"/>
              <w:tblW w:w="809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6"/>
              <w:gridCol w:w="1995"/>
              <w:gridCol w:w="1272"/>
              <w:gridCol w:w="1170"/>
              <w:gridCol w:w="1340"/>
              <w:gridCol w:w="1605"/>
            </w:tblGrid>
            <w:tr w14:paraId="52E3C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6" w:type="dxa"/>
                  <w:noWrap w:val="0"/>
                  <w:vAlign w:val="center"/>
                </w:tcPr>
                <w:p w14:paraId="5B21BEF7">
                  <w:pPr>
                    <w:jc w:val="center"/>
                    <w:rPr>
                      <w:rFonts w:hint="eastAsia" w:eastAsia="宋体"/>
                      <w:color w:val="auto"/>
                      <w:szCs w:val="21"/>
                      <w:lang w:eastAsia="zh-CN"/>
                    </w:rPr>
                  </w:pPr>
                  <w:r>
                    <w:rPr>
                      <w:rFonts w:hint="eastAsia"/>
                      <w:color w:val="auto"/>
                      <w:szCs w:val="21"/>
                      <w:lang w:eastAsia="zh-CN"/>
                    </w:rPr>
                    <w:t>项目</w:t>
                  </w:r>
                </w:p>
              </w:tc>
              <w:tc>
                <w:tcPr>
                  <w:tcW w:w="1995" w:type="dxa"/>
                  <w:noWrap w:val="0"/>
                  <w:vAlign w:val="center"/>
                </w:tcPr>
                <w:p w14:paraId="3F79422E">
                  <w:pPr>
                    <w:jc w:val="center"/>
                    <w:rPr>
                      <w:rFonts w:hint="eastAsia"/>
                      <w:color w:val="auto"/>
                      <w:szCs w:val="21"/>
                    </w:rPr>
                  </w:pPr>
                  <w:r>
                    <w:rPr>
                      <w:rFonts w:hint="eastAsia"/>
                      <w:color w:val="auto"/>
                      <w:szCs w:val="21"/>
                    </w:rPr>
                    <w:t>名称</w:t>
                  </w:r>
                </w:p>
              </w:tc>
              <w:tc>
                <w:tcPr>
                  <w:tcW w:w="1272" w:type="dxa"/>
                  <w:noWrap w:val="0"/>
                  <w:vAlign w:val="center"/>
                </w:tcPr>
                <w:p w14:paraId="04343805">
                  <w:pPr>
                    <w:jc w:val="center"/>
                    <w:rPr>
                      <w:rFonts w:hint="eastAsia"/>
                      <w:color w:val="auto"/>
                      <w:szCs w:val="21"/>
                    </w:rPr>
                  </w:pPr>
                  <w:r>
                    <w:rPr>
                      <w:rFonts w:hint="eastAsia"/>
                      <w:color w:val="auto"/>
                      <w:szCs w:val="21"/>
                    </w:rPr>
                    <w:t>年用量（t）</w:t>
                  </w:r>
                </w:p>
              </w:tc>
              <w:tc>
                <w:tcPr>
                  <w:tcW w:w="1170" w:type="dxa"/>
                  <w:noWrap w:val="0"/>
                  <w:vAlign w:val="center"/>
                </w:tcPr>
                <w:p w14:paraId="230D81D6">
                  <w:pPr>
                    <w:jc w:val="center"/>
                    <w:rPr>
                      <w:rFonts w:hint="default"/>
                      <w:color w:val="auto"/>
                      <w:szCs w:val="21"/>
                      <w:lang w:val="en-US"/>
                    </w:rPr>
                  </w:pPr>
                  <w:r>
                    <w:rPr>
                      <w:rFonts w:hint="eastAsia"/>
                      <w:color w:val="auto"/>
                      <w:szCs w:val="21"/>
                      <w:lang w:val="en-US" w:eastAsia="zh-CN"/>
                    </w:rPr>
                    <w:t>储存方式</w:t>
                  </w:r>
                </w:p>
              </w:tc>
              <w:tc>
                <w:tcPr>
                  <w:tcW w:w="1340" w:type="dxa"/>
                  <w:noWrap w:val="0"/>
                  <w:vAlign w:val="center"/>
                </w:tcPr>
                <w:p w14:paraId="7AE25B04">
                  <w:pPr>
                    <w:jc w:val="center"/>
                    <w:rPr>
                      <w:rFonts w:hint="eastAsia" w:eastAsia="宋体"/>
                      <w:color w:val="auto"/>
                      <w:szCs w:val="21"/>
                      <w:lang w:eastAsia="zh-CN"/>
                    </w:rPr>
                  </w:pPr>
                  <w:r>
                    <w:rPr>
                      <w:rFonts w:hint="eastAsia"/>
                      <w:color w:val="auto"/>
                      <w:szCs w:val="21"/>
                      <w:lang w:val="en-US" w:eastAsia="zh-CN"/>
                    </w:rPr>
                    <w:t>性状</w:t>
                  </w:r>
                </w:p>
              </w:tc>
              <w:tc>
                <w:tcPr>
                  <w:tcW w:w="1605" w:type="dxa"/>
                  <w:noWrap w:val="0"/>
                  <w:vAlign w:val="center"/>
                </w:tcPr>
                <w:p w14:paraId="54FA1825">
                  <w:pPr>
                    <w:jc w:val="center"/>
                    <w:rPr>
                      <w:color w:val="auto"/>
                      <w:szCs w:val="21"/>
                    </w:rPr>
                  </w:pPr>
                  <w:r>
                    <w:rPr>
                      <w:rFonts w:hint="eastAsia"/>
                      <w:color w:val="auto"/>
                      <w:szCs w:val="21"/>
                    </w:rPr>
                    <w:t>最大储存量（t）</w:t>
                  </w:r>
                </w:p>
              </w:tc>
            </w:tr>
            <w:tr w14:paraId="78632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6" w:type="dxa"/>
                  <w:vMerge w:val="restart"/>
                  <w:noWrap w:val="0"/>
                  <w:vAlign w:val="center"/>
                </w:tcPr>
                <w:p w14:paraId="7006FE13">
                  <w:pPr>
                    <w:jc w:val="center"/>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原辅料</w:t>
                  </w:r>
                </w:p>
              </w:tc>
              <w:tc>
                <w:tcPr>
                  <w:tcW w:w="1995" w:type="dxa"/>
                  <w:noWrap w:val="0"/>
                  <w:vAlign w:val="center"/>
                </w:tcPr>
                <w:p w14:paraId="489D7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color w:val="auto"/>
                      <w:lang w:val="en-US" w:eastAsia="zh-CN"/>
                    </w:rPr>
                  </w:pPr>
                  <w:r>
                    <w:rPr>
                      <w:rFonts w:hint="eastAsia"/>
                      <w:color w:val="auto"/>
                      <w:lang w:val="en-US" w:eastAsia="zh-CN"/>
                    </w:rPr>
                    <w:t>钛合金盘条</w:t>
                  </w:r>
                  <w:r>
                    <w:rPr>
                      <w:rFonts w:hint="default"/>
                      <w:color w:val="auto"/>
                      <w:lang w:val="en-US" w:eastAsia="zh-CN"/>
                    </w:rPr>
                    <w:t xml:space="preserve"> </w:t>
                  </w:r>
                </w:p>
              </w:tc>
              <w:tc>
                <w:tcPr>
                  <w:tcW w:w="1272" w:type="dxa"/>
                  <w:noWrap w:val="0"/>
                  <w:vAlign w:val="center"/>
                </w:tcPr>
                <w:p w14:paraId="2EB4B38E">
                  <w:pPr>
                    <w:adjustRightInd w:val="0"/>
                    <w:jc w:val="center"/>
                    <w:rPr>
                      <w:rFonts w:hint="eastAsia"/>
                      <w:color w:val="auto"/>
                      <w:szCs w:val="21"/>
                      <w:lang w:val="en-US" w:eastAsia="zh-CN"/>
                    </w:rPr>
                  </w:pPr>
                  <w:r>
                    <w:rPr>
                      <w:rFonts w:hint="eastAsia" w:cs="Times New Roman"/>
                      <w:color w:val="auto"/>
                      <w:kern w:val="2"/>
                      <w:sz w:val="21"/>
                      <w:szCs w:val="24"/>
                      <w:lang w:val="en-US" w:eastAsia="zh-CN" w:bidi="ar-SA"/>
                    </w:rPr>
                    <w:t>100</w:t>
                  </w:r>
                </w:p>
              </w:tc>
              <w:tc>
                <w:tcPr>
                  <w:tcW w:w="1170" w:type="dxa"/>
                  <w:noWrap w:val="0"/>
                  <w:vAlign w:val="center"/>
                </w:tcPr>
                <w:p w14:paraId="5EB8F2BD">
                  <w:pPr>
                    <w:jc w:val="center"/>
                    <w:rPr>
                      <w:rFonts w:hint="default" w:eastAsia="宋体"/>
                      <w:color w:val="auto"/>
                      <w:szCs w:val="21"/>
                      <w:lang w:val="en-US" w:eastAsia="zh-CN"/>
                    </w:rPr>
                  </w:pPr>
                  <w:r>
                    <w:rPr>
                      <w:rFonts w:hint="eastAsia" w:cs="Times New Roman"/>
                      <w:color w:val="auto"/>
                      <w:sz w:val="21"/>
                      <w:szCs w:val="21"/>
                      <w:lang w:val="en-US" w:eastAsia="zh-CN"/>
                    </w:rPr>
                    <w:t>堆存</w:t>
                  </w:r>
                </w:p>
              </w:tc>
              <w:tc>
                <w:tcPr>
                  <w:tcW w:w="1340" w:type="dxa"/>
                  <w:noWrap w:val="0"/>
                  <w:vAlign w:val="center"/>
                </w:tcPr>
                <w:p w14:paraId="1A40D22A">
                  <w:pPr>
                    <w:jc w:val="center"/>
                    <w:rPr>
                      <w:rFonts w:hint="eastAsia" w:eastAsia="宋体"/>
                      <w:color w:val="auto"/>
                      <w:szCs w:val="21"/>
                      <w:lang w:val="en-US" w:eastAsia="zh-CN"/>
                    </w:rPr>
                  </w:pPr>
                  <w:r>
                    <w:rPr>
                      <w:rFonts w:hint="eastAsia"/>
                      <w:color w:val="auto"/>
                      <w:szCs w:val="21"/>
                      <w:lang w:val="en-US" w:eastAsia="zh-CN"/>
                    </w:rPr>
                    <w:t>固态</w:t>
                  </w:r>
                </w:p>
              </w:tc>
              <w:tc>
                <w:tcPr>
                  <w:tcW w:w="1605" w:type="dxa"/>
                  <w:noWrap w:val="0"/>
                  <w:vAlign w:val="center"/>
                </w:tcPr>
                <w:p w14:paraId="6F01435C">
                  <w:pPr>
                    <w:jc w:val="center"/>
                    <w:rPr>
                      <w:rFonts w:hint="default" w:eastAsia="宋体"/>
                      <w:color w:val="auto"/>
                      <w:szCs w:val="21"/>
                      <w:lang w:val="en-US" w:eastAsia="zh-CN"/>
                    </w:rPr>
                  </w:pPr>
                  <w:r>
                    <w:rPr>
                      <w:rFonts w:hint="eastAsia"/>
                      <w:color w:val="auto"/>
                      <w:szCs w:val="21"/>
                      <w:lang w:val="en-US" w:eastAsia="zh-CN"/>
                    </w:rPr>
                    <w:t>5</w:t>
                  </w:r>
                </w:p>
              </w:tc>
            </w:tr>
            <w:tr w14:paraId="508AA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6" w:type="dxa"/>
                  <w:vMerge w:val="continue"/>
                  <w:noWrap w:val="0"/>
                  <w:vAlign w:val="center"/>
                </w:tcPr>
                <w:p w14:paraId="517CDAF7">
                  <w:pPr>
                    <w:jc w:val="center"/>
                    <w:rPr>
                      <w:rFonts w:hint="default" w:eastAsia="宋体"/>
                      <w:color w:val="auto"/>
                      <w:kern w:val="2"/>
                      <w:sz w:val="21"/>
                      <w:szCs w:val="21"/>
                      <w:lang w:val="en-US" w:eastAsia="zh-CN" w:bidi="ar-SA"/>
                    </w:rPr>
                  </w:pPr>
                </w:p>
              </w:tc>
              <w:tc>
                <w:tcPr>
                  <w:tcW w:w="1995" w:type="dxa"/>
                  <w:noWrap w:val="0"/>
                  <w:vAlign w:val="center"/>
                </w:tcPr>
                <w:p w14:paraId="4789D054">
                  <w:pPr>
                    <w:jc w:val="center"/>
                    <w:rPr>
                      <w:rFonts w:hint="eastAsia"/>
                      <w:color w:val="auto"/>
                      <w:lang w:val="en-US" w:eastAsia="zh-CN"/>
                    </w:rPr>
                  </w:pPr>
                  <w:r>
                    <w:rPr>
                      <w:rFonts w:hint="eastAsia"/>
                      <w:color w:val="auto"/>
                      <w:kern w:val="2"/>
                      <w:sz w:val="21"/>
                      <w:szCs w:val="24"/>
                      <w:lang w:val="en-US" w:eastAsia="zh-CN" w:bidi="ar-SA"/>
                    </w:rPr>
                    <w:t>水性石墨乳</w:t>
                  </w:r>
                </w:p>
              </w:tc>
              <w:tc>
                <w:tcPr>
                  <w:tcW w:w="1272" w:type="dxa"/>
                  <w:noWrap w:val="0"/>
                  <w:vAlign w:val="center"/>
                </w:tcPr>
                <w:p w14:paraId="092C8352">
                  <w:pPr>
                    <w:jc w:val="center"/>
                    <w:rPr>
                      <w:rFonts w:hint="default" w:cs="Times New Roman"/>
                      <w:color w:val="auto"/>
                      <w:kern w:val="2"/>
                      <w:sz w:val="21"/>
                      <w:szCs w:val="24"/>
                      <w:lang w:val="en-US" w:eastAsia="zh-CN" w:bidi="ar-SA"/>
                    </w:rPr>
                  </w:pPr>
                  <w:r>
                    <w:rPr>
                      <w:rFonts w:hint="eastAsia"/>
                      <w:color w:val="auto"/>
                      <w:kern w:val="2"/>
                      <w:sz w:val="21"/>
                      <w:szCs w:val="21"/>
                      <w:lang w:val="en-US" w:eastAsia="zh-CN" w:bidi="ar-SA"/>
                    </w:rPr>
                    <w:t>1.5</w:t>
                  </w:r>
                </w:p>
              </w:tc>
              <w:tc>
                <w:tcPr>
                  <w:tcW w:w="1170" w:type="dxa"/>
                  <w:noWrap w:val="0"/>
                  <w:vAlign w:val="center"/>
                </w:tcPr>
                <w:p w14:paraId="295A51DE">
                  <w:pPr>
                    <w:jc w:val="center"/>
                    <w:rPr>
                      <w:rFonts w:hint="eastAsia" w:cs="Times New Roman"/>
                      <w:color w:val="auto"/>
                      <w:sz w:val="21"/>
                      <w:szCs w:val="21"/>
                      <w:lang w:val="en-US" w:eastAsia="zh-CN"/>
                    </w:rPr>
                  </w:pPr>
                  <w:r>
                    <w:rPr>
                      <w:rFonts w:hint="eastAsia"/>
                      <w:color w:val="auto"/>
                      <w:kern w:val="2"/>
                      <w:sz w:val="21"/>
                      <w:szCs w:val="21"/>
                      <w:lang w:val="en-US" w:eastAsia="zh-CN" w:bidi="ar-SA"/>
                    </w:rPr>
                    <w:t>桶装</w:t>
                  </w:r>
                </w:p>
              </w:tc>
              <w:tc>
                <w:tcPr>
                  <w:tcW w:w="1340" w:type="dxa"/>
                  <w:noWrap w:val="0"/>
                  <w:vAlign w:val="center"/>
                </w:tcPr>
                <w:p w14:paraId="536F41D8">
                  <w:pPr>
                    <w:jc w:val="center"/>
                    <w:rPr>
                      <w:rFonts w:hint="eastAsia"/>
                      <w:color w:val="auto"/>
                      <w:szCs w:val="21"/>
                      <w:lang w:val="en-US" w:eastAsia="zh-CN"/>
                    </w:rPr>
                  </w:pPr>
                  <w:r>
                    <w:rPr>
                      <w:rFonts w:hint="eastAsia"/>
                      <w:color w:val="auto"/>
                      <w:szCs w:val="21"/>
                      <w:lang w:val="en-US" w:eastAsia="zh-CN"/>
                    </w:rPr>
                    <w:t>固态</w:t>
                  </w:r>
                </w:p>
              </w:tc>
              <w:tc>
                <w:tcPr>
                  <w:tcW w:w="1605" w:type="dxa"/>
                  <w:noWrap w:val="0"/>
                  <w:vAlign w:val="center"/>
                </w:tcPr>
                <w:p w14:paraId="7333EC0F">
                  <w:pPr>
                    <w:jc w:val="center"/>
                    <w:rPr>
                      <w:rFonts w:hint="default"/>
                      <w:color w:val="auto"/>
                      <w:szCs w:val="21"/>
                      <w:lang w:val="en-US" w:eastAsia="zh-CN"/>
                    </w:rPr>
                  </w:pPr>
                  <w:r>
                    <w:rPr>
                      <w:rFonts w:hint="eastAsia"/>
                      <w:color w:val="auto"/>
                      <w:szCs w:val="21"/>
                      <w:lang w:val="en-US" w:eastAsia="zh-CN"/>
                    </w:rPr>
                    <w:t>0.1</w:t>
                  </w:r>
                </w:p>
              </w:tc>
            </w:tr>
            <w:tr w14:paraId="6AB4B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6" w:type="dxa"/>
                  <w:vMerge w:val="continue"/>
                  <w:noWrap w:val="0"/>
                  <w:vAlign w:val="center"/>
                </w:tcPr>
                <w:p w14:paraId="57AEAE20">
                  <w:pPr>
                    <w:jc w:val="center"/>
                    <w:rPr>
                      <w:rFonts w:hint="default" w:ascii="Times New Roman" w:hAnsi="Times New Roman" w:eastAsia="宋体" w:cs="Times New Roman"/>
                      <w:color w:val="auto"/>
                      <w:kern w:val="2"/>
                      <w:sz w:val="21"/>
                      <w:szCs w:val="21"/>
                      <w:lang w:val="en-US" w:eastAsia="zh-CN" w:bidi="ar-SA"/>
                    </w:rPr>
                  </w:pPr>
                </w:p>
              </w:tc>
              <w:tc>
                <w:tcPr>
                  <w:tcW w:w="1995" w:type="dxa"/>
                  <w:noWrap w:val="0"/>
                  <w:vAlign w:val="center"/>
                </w:tcPr>
                <w:p w14:paraId="3DAD5406">
                  <w:pPr>
                    <w:jc w:val="center"/>
                    <w:rPr>
                      <w:rFonts w:hint="default"/>
                      <w:color w:val="auto"/>
                      <w:kern w:val="2"/>
                      <w:sz w:val="21"/>
                      <w:szCs w:val="24"/>
                      <w:lang w:val="en-US" w:eastAsia="zh-CN" w:bidi="ar-SA"/>
                    </w:rPr>
                  </w:pPr>
                  <w:r>
                    <w:rPr>
                      <w:rFonts w:hint="eastAsia"/>
                      <w:color w:val="auto"/>
                      <w:kern w:val="2"/>
                      <w:sz w:val="21"/>
                      <w:szCs w:val="24"/>
                      <w:lang w:val="en-US" w:eastAsia="zh-CN" w:bidi="ar-SA"/>
                    </w:rPr>
                    <w:t>氩气</w:t>
                  </w:r>
                </w:p>
              </w:tc>
              <w:tc>
                <w:tcPr>
                  <w:tcW w:w="1272" w:type="dxa"/>
                  <w:noWrap w:val="0"/>
                  <w:vAlign w:val="center"/>
                </w:tcPr>
                <w:p w14:paraId="643856E5">
                  <w:pPr>
                    <w:jc w:val="center"/>
                    <w:rPr>
                      <w:rFonts w:hint="default"/>
                      <w:color w:val="auto"/>
                      <w:kern w:val="2"/>
                      <w:sz w:val="21"/>
                      <w:szCs w:val="21"/>
                      <w:lang w:val="en-US" w:eastAsia="zh-CN" w:bidi="ar-SA"/>
                    </w:rPr>
                  </w:pPr>
                  <w:r>
                    <w:rPr>
                      <w:rFonts w:hint="eastAsia"/>
                      <w:color w:val="auto"/>
                      <w:kern w:val="2"/>
                      <w:sz w:val="21"/>
                      <w:szCs w:val="21"/>
                      <w:lang w:val="en-US" w:eastAsia="zh-CN" w:bidi="ar-SA"/>
                    </w:rPr>
                    <w:t>4000</w:t>
                  </w:r>
                  <w:r>
                    <w:rPr>
                      <w:rFonts w:hint="eastAsia"/>
                      <w:snapToGrid w:val="0"/>
                      <w:color w:val="auto"/>
                      <w:szCs w:val="21"/>
                    </w:rPr>
                    <w:t>L</w:t>
                  </w:r>
                  <w:r>
                    <w:rPr>
                      <w:snapToGrid w:val="0"/>
                      <w:color w:val="auto"/>
                      <w:szCs w:val="21"/>
                    </w:rPr>
                    <w:t>/a</w:t>
                  </w:r>
                </w:p>
              </w:tc>
              <w:tc>
                <w:tcPr>
                  <w:tcW w:w="1170" w:type="dxa"/>
                  <w:noWrap w:val="0"/>
                  <w:vAlign w:val="center"/>
                </w:tcPr>
                <w:p w14:paraId="47CBE3DC">
                  <w:pPr>
                    <w:jc w:val="center"/>
                    <w:rPr>
                      <w:rFonts w:hint="default" w:eastAsia="宋体"/>
                      <w:color w:val="auto"/>
                      <w:kern w:val="2"/>
                      <w:sz w:val="21"/>
                      <w:szCs w:val="21"/>
                      <w:lang w:val="en-US" w:eastAsia="zh-CN" w:bidi="ar-SA"/>
                    </w:rPr>
                  </w:pPr>
                  <w:r>
                    <w:rPr>
                      <w:rFonts w:hint="eastAsia" w:ascii="Times New Roman" w:hAnsi="Times New Roman" w:eastAsia="宋体" w:cs="Times New Roman"/>
                      <w:snapToGrid w:val="0"/>
                      <w:color w:val="auto"/>
                      <w:kern w:val="0"/>
                      <w:szCs w:val="21"/>
                      <w:lang w:val="en-US" w:eastAsia="zh-CN"/>
                    </w:rPr>
                    <w:t>瓶</w:t>
                  </w:r>
                  <w:r>
                    <w:rPr>
                      <w:rFonts w:hint="default" w:ascii="Times New Roman" w:hAnsi="Times New Roman" w:eastAsia="宋体" w:cs="Times New Roman"/>
                      <w:snapToGrid w:val="0"/>
                      <w:color w:val="auto"/>
                      <w:kern w:val="0"/>
                      <w:szCs w:val="21"/>
                      <w:lang w:val="en-US" w:eastAsia="zh-CN"/>
                    </w:rPr>
                    <w:t>装</w:t>
                  </w:r>
                </w:p>
              </w:tc>
              <w:tc>
                <w:tcPr>
                  <w:tcW w:w="1340" w:type="dxa"/>
                  <w:noWrap w:val="0"/>
                  <w:vAlign w:val="center"/>
                </w:tcPr>
                <w:p w14:paraId="48D144F9">
                  <w:pPr>
                    <w:jc w:val="center"/>
                    <w:rPr>
                      <w:rFonts w:hint="default"/>
                      <w:color w:val="auto"/>
                      <w:kern w:val="2"/>
                      <w:sz w:val="21"/>
                      <w:szCs w:val="24"/>
                      <w:lang w:val="en-US" w:eastAsia="zh-CN" w:bidi="ar-SA"/>
                    </w:rPr>
                  </w:pPr>
                  <w:r>
                    <w:rPr>
                      <w:rFonts w:hint="eastAsia"/>
                      <w:color w:val="auto"/>
                      <w:kern w:val="2"/>
                      <w:sz w:val="21"/>
                      <w:szCs w:val="24"/>
                      <w:lang w:val="en-US" w:eastAsia="zh-CN" w:bidi="ar-SA"/>
                    </w:rPr>
                    <w:t>灌装</w:t>
                  </w:r>
                </w:p>
              </w:tc>
              <w:tc>
                <w:tcPr>
                  <w:tcW w:w="1605" w:type="dxa"/>
                  <w:noWrap w:val="0"/>
                  <w:vAlign w:val="center"/>
                </w:tcPr>
                <w:p w14:paraId="1109BC1F">
                  <w:pPr>
                    <w:jc w:val="center"/>
                    <w:rPr>
                      <w:rFonts w:hint="default"/>
                      <w:color w:val="auto"/>
                      <w:kern w:val="2"/>
                      <w:sz w:val="21"/>
                      <w:szCs w:val="21"/>
                      <w:lang w:val="en-US" w:eastAsia="zh-CN" w:bidi="ar-SA"/>
                    </w:rPr>
                  </w:pPr>
                  <w:r>
                    <w:rPr>
                      <w:rFonts w:hint="eastAsia"/>
                      <w:color w:val="auto"/>
                      <w:kern w:val="2"/>
                      <w:sz w:val="21"/>
                      <w:szCs w:val="21"/>
                      <w:lang w:val="en-US" w:eastAsia="zh-CN" w:bidi="ar-SA"/>
                    </w:rPr>
                    <w:t>80L</w:t>
                  </w:r>
                </w:p>
              </w:tc>
            </w:tr>
            <w:tr w14:paraId="579CB1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6" w:type="dxa"/>
                  <w:vMerge w:val="continue"/>
                  <w:noWrap w:val="0"/>
                  <w:vAlign w:val="center"/>
                </w:tcPr>
                <w:p w14:paraId="005F8D3C">
                  <w:pPr>
                    <w:jc w:val="center"/>
                    <w:rPr>
                      <w:rFonts w:hint="default" w:ascii="Times New Roman" w:hAnsi="Times New Roman" w:eastAsia="宋体" w:cs="Times New Roman"/>
                      <w:color w:val="auto"/>
                      <w:kern w:val="2"/>
                      <w:sz w:val="21"/>
                      <w:szCs w:val="21"/>
                      <w:lang w:val="en-US" w:eastAsia="zh-CN" w:bidi="ar-SA"/>
                    </w:rPr>
                  </w:pPr>
                </w:p>
              </w:tc>
              <w:tc>
                <w:tcPr>
                  <w:tcW w:w="1995" w:type="dxa"/>
                  <w:noWrap w:val="0"/>
                  <w:vAlign w:val="center"/>
                </w:tcPr>
                <w:p w14:paraId="7050714A">
                  <w:pPr>
                    <w:jc w:val="center"/>
                    <w:rPr>
                      <w:rFonts w:hint="eastAsia"/>
                      <w:color w:val="auto"/>
                      <w:kern w:val="2"/>
                      <w:sz w:val="21"/>
                      <w:szCs w:val="24"/>
                      <w:lang w:val="en-US" w:eastAsia="zh-CN" w:bidi="ar-SA"/>
                    </w:rPr>
                  </w:pPr>
                  <w:r>
                    <w:rPr>
                      <w:rFonts w:hint="eastAsia"/>
                      <w:b w:val="0"/>
                      <w:bCs w:val="0"/>
                      <w:color w:val="auto"/>
                      <w:kern w:val="2"/>
                      <w:sz w:val="21"/>
                      <w:szCs w:val="24"/>
                      <w:lang w:val="en-US" w:eastAsia="zh-CN" w:bidi="ar-SA"/>
                    </w:rPr>
                    <w:t>硅酸铝耐火纤维棉</w:t>
                  </w:r>
                </w:p>
              </w:tc>
              <w:tc>
                <w:tcPr>
                  <w:tcW w:w="1272" w:type="dxa"/>
                  <w:noWrap w:val="0"/>
                  <w:vAlign w:val="center"/>
                </w:tcPr>
                <w:p w14:paraId="711F90CF">
                  <w:pPr>
                    <w:jc w:val="center"/>
                    <w:rPr>
                      <w:rFonts w:hint="default"/>
                      <w:color w:val="auto"/>
                      <w:kern w:val="2"/>
                      <w:sz w:val="21"/>
                      <w:szCs w:val="21"/>
                      <w:lang w:val="en-US" w:eastAsia="zh-CN" w:bidi="ar-SA"/>
                    </w:rPr>
                  </w:pPr>
                  <w:r>
                    <w:rPr>
                      <w:rFonts w:hint="eastAsia"/>
                      <w:color w:val="auto"/>
                      <w:kern w:val="2"/>
                      <w:sz w:val="21"/>
                      <w:szCs w:val="21"/>
                      <w:lang w:val="en-US" w:eastAsia="zh-CN" w:bidi="ar-SA"/>
                    </w:rPr>
                    <w:t>2</w:t>
                  </w:r>
                </w:p>
              </w:tc>
              <w:tc>
                <w:tcPr>
                  <w:tcW w:w="1170" w:type="dxa"/>
                  <w:noWrap w:val="0"/>
                  <w:vAlign w:val="center"/>
                </w:tcPr>
                <w:p w14:paraId="00B77209">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baseline"/>
                    <w:rPr>
                      <w:rFonts w:hint="eastAsia" w:ascii="Times New Roman" w:hAnsi="Times New Roman" w:eastAsia="宋体" w:cs="Times New Roman"/>
                      <w:snapToGrid w:val="0"/>
                      <w:color w:val="auto"/>
                      <w:kern w:val="0"/>
                      <w:szCs w:val="21"/>
                      <w:lang w:val="en-US" w:eastAsia="zh-CN"/>
                    </w:rPr>
                  </w:pPr>
                  <w:r>
                    <w:rPr>
                      <w:rFonts w:hint="eastAsia"/>
                      <w:color w:val="auto"/>
                      <w:kern w:val="2"/>
                      <w:sz w:val="21"/>
                      <w:szCs w:val="21"/>
                      <w:lang w:val="en-US" w:eastAsia="zh-CN" w:bidi="ar-SA"/>
                    </w:rPr>
                    <w:t>/</w:t>
                  </w:r>
                </w:p>
              </w:tc>
              <w:tc>
                <w:tcPr>
                  <w:tcW w:w="1340" w:type="dxa"/>
                  <w:noWrap w:val="0"/>
                  <w:vAlign w:val="center"/>
                </w:tcPr>
                <w:p w14:paraId="78E9A3A4">
                  <w:pPr>
                    <w:jc w:val="center"/>
                    <w:rPr>
                      <w:rFonts w:hint="eastAsia"/>
                      <w:color w:val="auto"/>
                      <w:kern w:val="2"/>
                      <w:sz w:val="21"/>
                      <w:szCs w:val="24"/>
                      <w:lang w:val="en-US" w:eastAsia="zh-CN" w:bidi="ar-SA"/>
                    </w:rPr>
                  </w:pPr>
                  <w:r>
                    <w:rPr>
                      <w:rFonts w:hint="eastAsia"/>
                      <w:color w:val="auto"/>
                      <w:szCs w:val="21"/>
                      <w:lang w:val="en-US" w:eastAsia="zh-CN"/>
                    </w:rPr>
                    <w:t>固态</w:t>
                  </w:r>
                </w:p>
              </w:tc>
              <w:tc>
                <w:tcPr>
                  <w:tcW w:w="1605" w:type="dxa"/>
                  <w:noWrap w:val="0"/>
                  <w:vAlign w:val="center"/>
                </w:tcPr>
                <w:p w14:paraId="4CDA612C">
                  <w:pPr>
                    <w:jc w:val="center"/>
                    <w:rPr>
                      <w:rFonts w:hint="eastAsia"/>
                      <w:color w:val="auto"/>
                      <w:kern w:val="2"/>
                      <w:sz w:val="21"/>
                      <w:szCs w:val="21"/>
                      <w:lang w:val="en-US" w:eastAsia="zh-CN" w:bidi="ar-SA"/>
                    </w:rPr>
                  </w:pPr>
                  <w:r>
                    <w:rPr>
                      <w:rFonts w:hint="eastAsia"/>
                      <w:color w:val="auto"/>
                      <w:szCs w:val="21"/>
                      <w:lang w:val="en-US" w:eastAsia="zh-CN"/>
                    </w:rPr>
                    <w:t>厂内不储存</w:t>
                  </w:r>
                </w:p>
              </w:tc>
            </w:tr>
            <w:tr w14:paraId="4E8DA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6" w:type="dxa"/>
                  <w:vMerge w:val="continue"/>
                  <w:noWrap w:val="0"/>
                  <w:vAlign w:val="center"/>
                </w:tcPr>
                <w:p w14:paraId="46DD2EF5">
                  <w:pPr>
                    <w:jc w:val="center"/>
                    <w:rPr>
                      <w:rFonts w:hint="default"/>
                      <w:color w:val="auto"/>
                      <w:kern w:val="2"/>
                      <w:sz w:val="21"/>
                      <w:szCs w:val="21"/>
                      <w:lang w:val="en-US" w:eastAsia="zh-CN" w:bidi="ar-SA"/>
                    </w:rPr>
                  </w:pPr>
                </w:p>
              </w:tc>
              <w:tc>
                <w:tcPr>
                  <w:tcW w:w="1995" w:type="dxa"/>
                  <w:noWrap w:val="0"/>
                  <w:vAlign w:val="center"/>
                </w:tcPr>
                <w:p w14:paraId="7C27B85A">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baseline"/>
                    <w:rPr>
                      <w:rFonts w:hint="eastAsia"/>
                      <w:color w:val="auto"/>
                      <w:kern w:val="2"/>
                      <w:sz w:val="21"/>
                      <w:szCs w:val="24"/>
                      <w:lang w:val="en-US" w:eastAsia="zh-CN" w:bidi="ar-SA"/>
                    </w:rPr>
                  </w:pPr>
                  <w:r>
                    <w:rPr>
                      <w:rFonts w:hint="eastAsia"/>
                      <w:b w:val="0"/>
                      <w:bCs w:val="0"/>
                      <w:color w:val="auto"/>
                      <w:kern w:val="2"/>
                      <w:sz w:val="21"/>
                      <w:szCs w:val="24"/>
                      <w:lang w:val="en-US" w:eastAsia="zh-CN" w:bidi="ar-SA"/>
                    </w:rPr>
                    <w:t>润滑油</w:t>
                  </w:r>
                </w:p>
              </w:tc>
              <w:tc>
                <w:tcPr>
                  <w:tcW w:w="1272" w:type="dxa"/>
                  <w:noWrap w:val="0"/>
                  <w:vAlign w:val="center"/>
                </w:tcPr>
                <w:p w14:paraId="40D202FD">
                  <w:pPr>
                    <w:jc w:val="center"/>
                    <w:rPr>
                      <w:rFonts w:hint="default"/>
                      <w:color w:val="auto"/>
                      <w:kern w:val="2"/>
                      <w:sz w:val="21"/>
                      <w:szCs w:val="21"/>
                      <w:lang w:val="en-US" w:eastAsia="zh-CN" w:bidi="ar-SA"/>
                    </w:rPr>
                  </w:pPr>
                  <w:r>
                    <w:rPr>
                      <w:rFonts w:hint="eastAsia"/>
                      <w:color w:val="auto"/>
                      <w:szCs w:val="21"/>
                      <w:lang w:val="en-US" w:eastAsia="zh-CN"/>
                    </w:rPr>
                    <w:t>0.05</w:t>
                  </w:r>
                </w:p>
              </w:tc>
              <w:tc>
                <w:tcPr>
                  <w:tcW w:w="1170" w:type="dxa"/>
                  <w:noWrap w:val="0"/>
                  <w:vAlign w:val="center"/>
                </w:tcPr>
                <w:p w14:paraId="5DD679F4">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baseline"/>
                    <w:rPr>
                      <w:rFonts w:hint="eastAsia"/>
                      <w:color w:val="auto"/>
                      <w:kern w:val="2"/>
                      <w:sz w:val="21"/>
                      <w:szCs w:val="21"/>
                      <w:lang w:val="en-US" w:eastAsia="zh-CN" w:bidi="ar-SA"/>
                    </w:rPr>
                  </w:pPr>
                  <w:r>
                    <w:rPr>
                      <w:rFonts w:hint="eastAsia"/>
                      <w:color w:val="auto"/>
                      <w:kern w:val="2"/>
                      <w:sz w:val="21"/>
                      <w:szCs w:val="21"/>
                      <w:lang w:val="en-US" w:eastAsia="zh-CN" w:bidi="ar-SA"/>
                    </w:rPr>
                    <w:t>桶装</w:t>
                  </w:r>
                </w:p>
              </w:tc>
              <w:tc>
                <w:tcPr>
                  <w:tcW w:w="1340" w:type="dxa"/>
                  <w:noWrap w:val="0"/>
                  <w:vAlign w:val="center"/>
                </w:tcPr>
                <w:p w14:paraId="074D4FF2">
                  <w:pPr>
                    <w:jc w:val="center"/>
                    <w:rPr>
                      <w:rFonts w:hint="default"/>
                      <w:color w:val="auto"/>
                      <w:kern w:val="2"/>
                      <w:sz w:val="21"/>
                      <w:szCs w:val="24"/>
                      <w:lang w:val="en-US" w:eastAsia="zh-CN" w:bidi="ar-SA"/>
                    </w:rPr>
                  </w:pPr>
                  <w:r>
                    <w:rPr>
                      <w:rFonts w:hint="eastAsia"/>
                      <w:color w:val="auto"/>
                      <w:szCs w:val="21"/>
                      <w:lang w:val="en-US" w:eastAsia="zh-CN"/>
                    </w:rPr>
                    <w:t>液态</w:t>
                  </w:r>
                </w:p>
              </w:tc>
              <w:tc>
                <w:tcPr>
                  <w:tcW w:w="1605" w:type="dxa"/>
                  <w:noWrap w:val="0"/>
                  <w:vAlign w:val="center"/>
                </w:tcPr>
                <w:p w14:paraId="2657F6FA">
                  <w:pPr>
                    <w:jc w:val="center"/>
                    <w:rPr>
                      <w:rFonts w:hint="default"/>
                      <w:color w:val="auto"/>
                      <w:kern w:val="2"/>
                      <w:sz w:val="21"/>
                      <w:szCs w:val="21"/>
                      <w:lang w:val="en-US" w:eastAsia="zh-CN" w:bidi="ar-SA"/>
                    </w:rPr>
                  </w:pPr>
                  <w:r>
                    <w:rPr>
                      <w:rFonts w:hint="eastAsia"/>
                      <w:color w:val="auto"/>
                      <w:kern w:val="2"/>
                      <w:sz w:val="21"/>
                      <w:szCs w:val="21"/>
                      <w:lang w:val="en-US" w:eastAsia="zh-CN" w:bidi="ar-SA"/>
                    </w:rPr>
                    <w:t>0.02</w:t>
                  </w:r>
                </w:p>
              </w:tc>
            </w:tr>
            <w:tr w14:paraId="16AC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6" w:type="dxa"/>
                  <w:vMerge w:val="continue"/>
                  <w:noWrap w:val="0"/>
                  <w:vAlign w:val="center"/>
                </w:tcPr>
                <w:p w14:paraId="24B1107B">
                  <w:pPr>
                    <w:jc w:val="center"/>
                    <w:rPr>
                      <w:rFonts w:hint="default" w:ascii="Times New Roman" w:hAnsi="Times New Roman" w:eastAsia="宋体" w:cs="Times New Roman"/>
                      <w:color w:val="auto"/>
                      <w:kern w:val="2"/>
                      <w:sz w:val="21"/>
                      <w:szCs w:val="21"/>
                      <w:lang w:val="en-US" w:eastAsia="zh-CN" w:bidi="ar-SA"/>
                    </w:rPr>
                  </w:pPr>
                </w:p>
              </w:tc>
              <w:tc>
                <w:tcPr>
                  <w:tcW w:w="1995" w:type="dxa"/>
                  <w:noWrap w:val="0"/>
                  <w:vAlign w:val="center"/>
                </w:tcPr>
                <w:p w14:paraId="22B4C07C">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baseline"/>
                    <w:rPr>
                      <w:rFonts w:hint="default"/>
                      <w:color w:val="auto"/>
                      <w:kern w:val="2"/>
                      <w:sz w:val="21"/>
                      <w:szCs w:val="24"/>
                      <w:lang w:val="en-US" w:eastAsia="zh-CN" w:bidi="ar-SA"/>
                    </w:rPr>
                  </w:pPr>
                  <w:r>
                    <w:rPr>
                      <w:rFonts w:hint="eastAsia"/>
                      <w:b w:val="0"/>
                      <w:bCs w:val="0"/>
                      <w:color w:val="auto"/>
                      <w:kern w:val="2"/>
                      <w:sz w:val="21"/>
                      <w:szCs w:val="24"/>
                      <w:lang w:val="en-US" w:eastAsia="zh-CN" w:bidi="ar-SA"/>
                    </w:rPr>
                    <w:t>轧制油</w:t>
                  </w:r>
                </w:p>
              </w:tc>
              <w:tc>
                <w:tcPr>
                  <w:tcW w:w="1272" w:type="dxa"/>
                  <w:noWrap w:val="0"/>
                  <w:vAlign w:val="center"/>
                </w:tcPr>
                <w:p w14:paraId="0CCD25AD">
                  <w:pPr>
                    <w:jc w:val="center"/>
                    <w:rPr>
                      <w:rFonts w:hint="default"/>
                      <w:color w:val="auto"/>
                      <w:kern w:val="2"/>
                      <w:sz w:val="21"/>
                      <w:szCs w:val="21"/>
                      <w:lang w:val="en-US" w:eastAsia="zh-CN" w:bidi="ar-SA"/>
                    </w:rPr>
                  </w:pPr>
                  <w:r>
                    <w:rPr>
                      <w:rFonts w:hint="eastAsia"/>
                      <w:color w:val="auto"/>
                    </w:rPr>
                    <w:t>20</w:t>
                  </w:r>
                  <w:r>
                    <w:rPr>
                      <w:rFonts w:hint="eastAsia"/>
                      <w:snapToGrid w:val="0"/>
                      <w:color w:val="auto"/>
                      <w:szCs w:val="21"/>
                    </w:rPr>
                    <w:t>kg</w:t>
                  </w:r>
                  <w:r>
                    <w:rPr>
                      <w:snapToGrid w:val="0"/>
                      <w:color w:val="auto"/>
                      <w:szCs w:val="21"/>
                    </w:rPr>
                    <w:t>/a</w:t>
                  </w:r>
                </w:p>
              </w:tc>
              <w:tc>
                <w:tcPr>
                  <w:tcW w:w="1170" w:type="dxa"/>
                  <w:noWrap w:val="0"/>
                  <w:vAlign w:val="center"/>
                </w:tcPr>
                <w:p w14:paraId="7C178A38">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jc w:val="center"/>
                    <w:textAlignment w:val="baseline"/>
                    <w:rPr>
                      <w:rFonts w:hint="default" w:eastAsia="宋体"/>
                      <w:color w:val="auto"/>
                      <w:kern w:val="2"/>
                      <w:sz w:val="21"/>
                      <w:szCs w:val="21"/>
                      <w:lang w:val="en-US" w:eastAsia="zh-CN" w:bidi="ar-SA"/>
                    </w:rPr>
                  </w:pPr>
                  <w:r>
                    <w:rPr>
                      <w:rFonts w:hint="eastAsia"/>
                      <w:color w:val="auto"/>
                      <w:kern w:val="2"/>
                      <w:sz w:val="21"/>
                      <w:szCs w:val="21"/>
                      <w:lang w:val="en-US" w:eastAsia="zh-CN" w:bidi="ar-SA"/>
                    </w:rPr>
                    <w:t>桶装</w:t>
                  </w:r>
                </w:p>
              </w:tc>
              <w:tc>
                <w:tcPr>
                  <w:tcW w:w="1340" w:type="dxa"/>
                  <w:noWrap w:val="0"/>
                  <w:vAlign w:val="center"/>
                </w:tcPr>
                <w:p w14:paraId="1C66549E">
                  <w:pPr>
                    <w:jc w:val="center"/>
                    <w:rPr>
                      <w:rFonts w:hint="default"/>
                      <w:color w:val="auto"/>
                      <w:kern w:val="2"/>
                      <w:sz w:val="21"/>
                      <w:szCs w:val="24"/>
                      <w:lang w:val="en-US" w:eastAsia="zh-CN" w:bidi="ar-SA"/>
                    </w:rPr>
                  </w:pPr>
                  <w:r>
                    <w:rPr>
                      <w:rFonts w:hint="eastAsia"/>
                      <w:color w:val="auto"/>
                      <w:szCs w:val="21"/>
                      <w:lang w:val="en-US" w:eastAsia="zh-CN"/>
                    </w:rPr>
                    <w:t>液态</w:t>
                  </w:r>
                </w:p>
              </w:tc>
              <w:tc>
                <w:tcPr>
                  <w:tcW w:w="1605" w:type="dxa"/>
                  <w:noWrap w:val="0"/>
                  <w:vAlign w:val="center"/>
                </w:tcPr>
                <w:p w14:paraId="228D0E85">
                  <w:pPr>
                    <w:jc w:val="center"/>
                    <w:rPr>
                      <w:rFonts w:hint="default"/>
                      <w:color w:val="auto"/>
                      <w:kern w:val="2"/>
                      <w:sz w:val="21"/>
                      <w:szCs w:val="21"/>
                      <w:lang w:val="en-US" w:eastAsia="zh-CN" w:bidi="ar-SA"/>
                    </w:rPr>
                  </w:pPr>
                  <w:r>
                    <w:rPr>
                      <w:rFonts w:hint="eastAsia"/>
                      <w:color w:val="auto"/>
                      <w:szCs w:val="21"/>
                      <w:lang w:val="en-US" w:eastAsia="zh-CN"/>
                    </w:rPr>
                    <w:t>厂内不储存</w:t>
                  </w:r>
                </w:p>
              </w:tc>
            </w:tr>
            <w:tr w14:paraId="49AB7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6" w:type="dxa"/>
                  <w:vMerge w:val="restart"/>
                  <w:noWrap w:val="0"/>
                  <w:vAlign w:val="center"/>
                </w:tcPr>
                <w:p w14:paraId="46AEB6DB">
                  <w:pPr>
                    <w:jc w:val="center"/>
                    <w:rPr>
                      <w:rFonts w:hint="default" w:ascii="Times New Roman" w:hAnsi="Times New Roman" w:eastAsia="宋体" w:cs="Times New Roman"/>
                      <w:color w:val="auto"/>
                      <w:kern w:val="2"/>
                      <w:sz w:val="21"/>
                      <w:szCs w:val="21"/>
                      <w:lang w:val="en-US" w:eastAsia="zh-CN" w:bidi="ar-SA"/>
                    </w:rPr>
                  </w:pPr>
                  <w:r>
                    <w:rPr>
                      <w:rFonts w:hint="eastAsia"/>
                      <w:color w:val="auto"/>
                      <w:kern w:val="2"/>
                      <w:sz w:val="21"/>
                      <w:szCs w:val="21"/>
                      <w:lang w:val="en-US" w:eastAsia="zh-CN" w:bidi="ar-SA"/>
                    </w:rPr>
                    <w:t>能耗</w:t>
                  </w:r>
                </w:p>
              </w:tc>
              <w:tc>
                <w:tcPr>
                  <w:tcW w:w="1995" w:type="dxa"/>
                  <w:noWrap w:val="0"/>
                  <w:vAlign w:val="center"/>
                </w:tcPr>
                <w:p w14:paraId="3C6B7A52">
                  <w:pPr>
                    <w:jc w:val="center"/>
                    <w:rPr>
                      <w:rFonts w:hint="default" w:ascii="Times New Roman" w:hAnsi="Times New Roman" w:eastAsia="宋体" w:cs="Times New Roman"/>
                      <w:b w:val="0"/>
                      <w:bCs w:val="0"/>
                      <w:color w:val="auto"/>
                      <w:kern w:val="2"/>
                      <w:sz w:val="21"/>
                      <w:szCs w:val="24"/>
                      <w:lang w:val="en-US" w:eastAsia="zh-CN" w:bidi="ar-SA"/>
                    </w:rPr>
                  </w:pPr>
                  <w:r>
                    <w:rPr>
                      <w:rFonts w:hint="eastAsia"/>
                      <w:color w:val="auto"/>
                    </w:rPr>
                    <w:t>水</w:t>
                  </w:r>
                </w:p>
              </w:tc>
              <w:tc>
                <w:tcPr>
                  <w:tcW w:w="1272" w:type="dxa"/>
                  <w:noWrap w:val="0"/>
                  <w:vAlign w:val="center"/>
                </w:tcPr>
                <w:p w14:paraId="142D54D3">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50</w:t>
                  </w:r>
                  <w:r>
                    <w:rPr>
                      <w:rFonts w:hint="eastAsia"/>
                      <w:color w:val="auto"/>
                      <w:szCs w:val="21"/>
                    </w:rPr>
                    <w:t>m</w:t>
                  </w:r>
                  <w:r>
                    <w:rPr>
                      <w:rFonts w:hint="eastAsia"/>
                      <w:color w:val="auto"/>
                      <w:szCs w:val="21"/>
                      <w:vertAlign w:val="superscript"/>
                    </w:rPr>
                    <w:t>3</w:t>
                  </w:r>
                </w:p>
              </w:tc>
              <w:tc>
                <w:tcPr>
                  <w:tcW w:w="1170" w:type="dxa"/>
                  <w:noWrap w:val="0"/>
                  <w:vAlign w:val="center"/>
                </w:tcPr>
                <w:p w14:paraId="1BF325BA">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1340" w:type="dxa"/>
                  <w:noWrap w:val="0"/>
                  <w:vAlign w:val="center"/>
                </w:tcPr>
                <w:p w14:paraId="54E291B9">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1605" w:type="dxa"/>
                  <w:noWrap w:val="0"/>
                  <w:vAlign w:val="center"/>
                </w:tcPr>
                <w:p w14:paraId="6E8125D1">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w:t>
                  </w:r>
                </w:p>
              </w:tc>
            </w:tr>
            <w:tr w14:paraId="5A116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716" w:type="dxa"/>
                  <w:vMerge w:val="continue"/>
                  <w:noWrap w:val="0"/>
                  <w:vAlign w:val="center"/>
                </w:tcPr>
                <w:p w14:paraId="2FBD37BE">
                  <w:pPr>
                    <w:jc w:val="center"/>
                    <w:rPr>
                      <w:rFonts w:hint="default" w:ascii="Times New Roman" w:hAnsi="Times New Roman" w:eastAsia="宋体" w:cs="Times New Roman"/>
                      <w:color w:val="auto"/>
                      <w:kern w:val="2"/>
                      <w:sz w:val="21"/>
                      <w:szCs w:val="21"/>
                      <w:lang w:val="en-US" w:eastAsia="zh-CN" w:bidi="ar-SA"/>
                    </w:rPr>
                  </w:pPr>
                </w:p>
              </w:tc>
              <w:tc>
                <w:tcPr>
                  <w:tcW w:w="1995" w:type="dxa"/>
                  <w:noWrap w:val="0"/>
                  <w:vAlign w:val="center"/>
                </w:tcPr>
                <w:p w14:paraId="1DB59683">
                  <w:pPr>
                    <w:jc w:val="center"/>
                    <w:rPr>
                      <w:rFonts w:hint="default" w:ascii="Times New Roman" w:hAnsi="Times New Roman" w:eastAsia="宋体" w:cs="Times New Roman"/>
                      <w:b w:val="0"/>
                      <w:bCs w:val="0"/>
                      <w:color w:val="auto"/>
                      <w:kern w:val="2"/>
                      <w:sz w:val="21"/>
                      <w:szCs w:val="24"/>
                      <w:lang w:val="en-US" w:eastAsia="zh-CN" w:bidi="ar-SA"/>
                    </w:rPr>
                  </w:pPr>
                  <w:r>
                    <w:rPr>
                      <w:rFonts w:hint="eastAsia"/>
                      <w:color w:val="auto"/>
                    </w:rPr>
                    <w:t>电</w:t>
                  </w:r>
                </w:p>
              </w:tc>
              <w:tc>
                <w:tcPr>
                  <w:tcW w:w="1272" w:type="dxa"/>
                  <w:noWrap w:val="0"/>
                  <w:vAlign w:val="center"/>
                </w:tcPr>
                <w:p w14:paraId="13D3035A">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20</w:t>
                  </w:r>
                  <w:r>
                    <w:rPr>
                      <w:rFonts w:hint="eastAsia"/>
                      <w:color w:val="auto"/>
                      <w:szCs w:val="21"/>
                    </w:rPr>
                    <w:t>万</w:t>
                  </w:r>
                  <w:r>
                    <w:rPr>
                      <w:rFonts w:hint="eastAsia"/>
                      <w:color w:val="auto"/>
                      <w:szCs w:val="21"/>
                      <w:lang w:eastAsia="zh-CN"/>
                    </w:rPr>
                    <w:t>kW·h</w:t>
                  </w:r>
                </w:p>
              </w:tc>
              <w:tc>
                <w:tcPr>
                  <w:tcW w:w="1170" w:type="dxa"/>
                  <w:noWrap w:val="0"/>
                  <w:vAlign w:val="center"/>
                </w:tcPr>
                <w:p w14:paraId="10E4BBD1">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1340" w:type="dxa"/>
                  <w:noWrap w:val="0"/>
                  <w:vAlign w:val="center"/>
                </w:tcPr>
                <w:p w14:paraId="2E6FE8B5">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w:t>
                  </w:r>
                </w:p>
              </w:tc>
              <w:tc>
                <w:tcPr>
                  <w:tcW w:w="1605" w:type="dxa"/>
                  <w:noWrap w:val="0"/>
                  <w:vAlign w:val="center"/>
                </w:tcPr>
                <w:p w14:paraId="6A778862">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rPr>
                    <w:t>/</w:t>
                  </w:r>
                </w:p>
              </w:tc>
            </w:tr>
          </w:tbl>
          <w:p w14:paraId="1E4F7B99">
            <w:pPr>
              <w:keepNext w:val="0"/>
              <w:keepLines w:val="0"/>
              <w:pageBreakBefore w:val="0"/>
              <w:widowControl/>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color w:val="auto"/>
                <w:sz w:val="24"/>
                <w:szCs w:val="24"/>
                <w:lang w:val="en-US" w:eastAsia="zh-CN"/>
              </w:rPr>
            </w:pPr>
            <w:r>
              <w:rPr>
                <w:rFonts w:hint="eastAsia" w:cs="Times New Roman"/>
                <w:b/>
                <w:bCs/>
                <w:color w:val="auto"/>
                <w:sz w:val="24"/>
                <w:szCs w:val="24"/>
                <w:lang w:val="en-US" w:eastAsia="zh-CN"/>
              </w:rPr>
              <w:t>（1）</w:t>
            </w:r>
            <w:r>
              <w:rPr>
                <w:rFonts w:hint="default" w:ascii="Times New Roman" w:hAnsi="Times New Roman" w:cs="Times New Roman"/>
                <w:b/>
                <w:bCs/>
                <w:color w:val="auto"/>
                <w:sz w:val="24"/>
                <w:szCs w:val="24"/>
                <w:lang w:val="en-US" w:eastAsia="zh-CN"/>
              </w:rPr>
              <w:t>原辅料理化性质：</w:t>
            </w:r>
          </w:p>
          <w:p w14:paraId="4F70753F">
            <w:pPr>
              <w:adjustRightInd w:val="0"/>
              <w:snapToGrid w:val="0"/>
              <w:spacing w:line="360" w:lineRule="auto"/>
              <w:ind w:firstLine="480" w:firstLineChars="200"/>
              <w:rPr>
                <w:rFonts w:hint="eastAsia"/>
                <w:b w:val="0"/>
                <w:bCs w:val="0"/>
                <w:color w:val="auto"/>
                <w:sz w:val="24"/>
                <w:szCs w:val="32"/>
                <w:lang w:val="en-US" w:eastAsia="zh-CN"/>
              </w:rPr>
            </w:pPr>
            <w:r>
              <w:rPr>
                <w:rFonts w:hint="eastAsia"/>
                <w:b w:val="0"/>
                <w:bCs w:val="0"/>
                <w:color w:val="auto"/>
                <w:sz w:val="24"/>
                <w:szCs w:val="32"/>
                <w:lang w:val="en-US" w:eastAsia="zh-CN"/>
              </w:rPr>
              <w:t>水性石墨乳：主要成分是碳和水，因其呈乳状状态，分为溶剂型石墨乳和水性石墨乳，本项目选用水性石墨乳，是一种新型高效润滑脱模材料，对模具有良好的隔热降温作用。且石墨乳在高温下不分解、不燃烧，具有良好的化学稳定性和悬浮性。能延长模具的使用寿命1-3倍。具有良好的润滑性、脱模性、化学稳定性、高温附着性、提高模具使用寿命和锻件质量，根据企业提供石墨乳《化学物质安全性能表》可知，本项目所用石墨乳主要成分为碳和水，比例约为2:8（详见附件5）。</w:t>
            </w:r>
          </w:p>
          <w:p w14:paraId="4077EF6E">
            <w:pPr>
              <w:adjustRightInd w:val="0"/>
              <w:snapToGrid w:val="0"/>
              <w:spacing w:line="360" w:lineRule="auto"/>
              <w:ind w:firstLine="480" w:firstLineChars="200"/>
              <w:rPr>
                <w:rFonts w:hint="eastAsia" w:ascii="Times New Roman" w:hAnsi="Times New Roman" w:eastAsia="宋体" w:cs="Times New Roman"/>
                <w:b w:val="0"/>
                <w:bCs w:val="0"/>
                <w:color w:val="auto"/>
                <w:sz w:val="24"/>
                <w:szCs w:val="32"/>
                <w:lang w:val="en-US" w:eastAsia="zh-CN"/>
              </w:rPr>
            </w:pPr>
            <w:r>
              <w:rPr>
                <w:rFonts w:hint="eastAsia"/>
                <w:b w:val="0"/>
                <w:bCs w:val="0"/>
                <w:color w:val="auto"/>
                <w:sz w:val="24"/>
                <w:szCs w:val="32"/>
                <w:lang w:val="en-US" w:eastAsia="zh-CN"/>
              </w:rPr>
              <w:t>硅酸铝耐火纤维棉：本项目加热炉采用硅酸铝耐火纤维棉作为保温材料，该材料具有低导热、低热熔性，以及优良的化学稳定性、热稳定性、抗热振性、优良的抗拉强度和抗腐蚀性，最高耐温1300℃，1年—2年更换一次</w:t>
            </w:r>
            <w:r>
              <w:rPr>
                <w:rFonts w:hint="eastAsia" w:ascii="Times New Roman" w:hAnsi="Times New Roman" w:eastAsia="宋体" w:cs="Times New Roman"/>
                <w:b w:val="0"/>
                <w:bCs w:val="0"/>
                <w:color w:val="auto"/>
                <w:sz w:val="24"/>
                <w:szCs w:val="32"/>
                <w:lang w:val="en-US" w:eastAsia="zh-CN"/>
              </w:rPr>
              <w:t>，本项目采用的硅酸铝耐火纤维棉压缩容重为230kg/m</w:t>
            </w:r>
            <w:r>
              <w:rPr>
                <w:rFonts w:hint="eastAsia" w:ascii="Times New Roman" w:hAnsi="Times New Roman" w:eastAsia="宋体" w:cs="Times New Roman"/>
                <w:b w:val="0"/>
                <w:bCs w:val="0"/>
                <w:color w:val="auto"/>
                <w:sz w:val="24"/>
                <w:szCs w:val="32"/>
                <w:vertAlign w:val="superscript"/>
                <w:lang w:val="en-US" w:eastAsia="zh-CN"/>
              </w:rPr>
              <w:t>3</w:t>
            </w:r>
            <w:r>
              <w:rPr>
                <w:rFonts w:hint="eastAsia" w:ascii="Times New Roman" w:hAnsi="Times New Roman" w:eastAsia="宋体" w:cs="Times New Roman"/>
                <w:b w:val="0"/>
                <w:bCs w:val="0"/>
                <w:color w:val="auto"/>
                <w:sz w:val="24"/>
                <w:szCs w:val="32"/>
                <w:lang w:val="en-US" w:eastAsia="zh-CN"/>
              </w:rPr>
              <w:t>。</w:t>
            </w:r>
          </w:p>
          <w:p w14:paraId="6232D427">
            <w:pPr>
              <w:adjustRightInd w:val="0"/>
              <w:snapToGrid w:val="0"/>
              <w:spacing w:line="360" w:lineRule="auto"/>
              <w:ind w:firstLine="480" w:firstLineChars="200"/>
              <w:rPr>
                <w:rFonts w:hint="default" w:ascii="Times New Roman" w:hAnsi="Times New Roman" w:eastAsia="宋体" w:cs="Times New Roman"/>
                <w:b w:val="0"/>
                <w:bCs w:val="0"/>
                <w:color w:val="auto"/>
                <w:sz w:val="24"/>
                <w:szCs w:val="32"/>
                <w:lang w:val="en-US" w:eastAsia="zh-CN"/>
              </w:rPr>
            </w:pPr>
            <w:r>
              <w:rPr>
                <w:rFonts w:hint="eastAsia" w:ascii="Times New Roman" w:hAnsi="Times New Roman" w:eastAsia="宋体" w:cs="Times New Roman"/>
                <w:b w:val="0"/>
                <w:bCs w:val="0"/>
                <w:color w:val="auto"/>
                <w:sz w:val="24"/>
                <w:szCs w:val="32"/>
                <w:lang w:val="en-US" w:eastAsia="zh-CN"/>
              </w:rPr>
              <w:t>轧制油：冷轧矿物质油，褐色粘稠液体，基础润滑油含量80%，含有抗磨损添加剂，极压添加剂含量约18%</w:t>
            </w:r>
            <w:r>
              <w:rPr>
                <w:rFonts w:hint="eastAsia" w:cs="Times New Roman"/>
                <w:b w:val="0"/>
                <w:bCs w:val="0"/>
                <w:color w:val="auto"/>
                <w:sz w:val="24"/>
                <w:szCs w:val="32"/>
                <w:lang w:val="en-US" w:eastAsia="zh-CN"/>
              </w:rPr>
              <w:t>，黏度指数90</w:t>
            </w:r>
            <w:r>
              <w:rPr>
                <w:rFonts w:hint="eastAsia" w:ascii="Times New Roman" w:hAnsi="Times New Roman" w:eastAsia="宋体" w:cs="Times New Roman"/>
                <w:b w:val="0"/>
                <w:bCs w:val="0"/>
                <w:color w:val="auto"/>
                <w:sz w:val="24"/>
                <w:szCs w:val="32"/>
                <w:lang w:val="en-US" w:eastAsia="zh-CN"/>
              </w:rPr>
              <w:t>~</w:t>
            </w:r>
            <w:r>
              <w:rPr>
                <w:rFonts w:hint="eastAsia" w:cs="Times New Roman"/>
                <w:b w:val="0"/>
                <w:bCs w:val="0"/>
                <w:color w:val="auto"/>
                <w:sz w:val="24"/>
                <w:szCs w:val="32"/>
                <w:lang w:val="en-US" w:eastAsia="zh-CN"/>
              </w:rPr>
              <w:t>120，闪点为160</w:t>
            </w:r>
            <w:r>
              <w:rPr>
                <w:rFonts w:hint="eastAsia" w:ascii="Times New Roman" w:hAnsi="Times New Roman" w:eastAsia="宋体" w:cs="Times New Roman"/>
                <w:b w:val="0"/>
                <w:bCs w:val="0"/>
                <w:color w:val="auto"/>
                <w:sz w:val="24"/>
                <w:szCs w:val="32"/>
                <w:lang w:val="en-US" w:eastAsia="zh-CN"/>
              </w:rPr>
              <w:t>℃，</w:t>
            </w:r>
            <w:r>
              <w:rPr>
                <w:rFonts w:hint="eastAsia" w:cs="Times New Roman"/>
                <w:b w:val="0"/>
                <w:bCs w:val="0"/>
                <w:color w:val="auto"/>
                <w:sz w:val="24"/>
                <w:szCs w:val="32"/>
                <w:lang w:val="en-US" w:eastAsia="zh-CN"/>
              </w:rPr>
              <w:t>烟点180℃-260℃。</w:t>
            </w:r>
          </w:p>
          <w:p w14:paraId="771D5997">
            <w:pPr>
              <w:adjustRightInd w:val="0"/>
              <w:snapToGrid w:val="0"/>
              <w:spacing w:line="360" w:lineRule="auto"/>
              <w:ind w:firstLine="480" w:firstLineChars="200"/>
              <w:rPr>
                <w:rFonts w:hint="eastAsia" w:ascii="Times New Roman" w:hAnsi="Times New Roman" w:eastAsia="宋体" w:cs="Times New Roman"/>
                <w:b w:val="0"/>
                <w:bCs w:val="0"/>
                <w:color w:val="auto"/>
                <w:sz w:val="24"/>
                <w:szCs w:val="32"/>
                <w:lang w:val="en-US" w:eastAsia="zh-CN"/>
              </w:rPr>
            </w:pPr>
            <w:r>
              <w:rPr>
                <w:rFonts w:hint="eastAsia" w:cs="Times New Roman"/>
                <w:b w:val="0"/>
                <w:bCs w:val="0"/>
                <w:color w:val="auto"/>
                <w:sz w:val="24"/>
                <w:szCs w:val="32"/>
                <w:lang w:val="en-US" w:eastAsia="zh-CN"/>
              </w:rPr>
              <w:t>润滑油</w:t>
            </w:r>
            <w:r>
              <w:rPr>
                <w:rFonts w:hint="eastAsia" w:ascii="Times New Roman" w:hAnsi="Times New Roman" w:eastAsia="宋体" w:cs="Times New Roman"/>
                <w:b w:val="0"/>
                <w:bCs w:val="0"/>
                <w:color w:val="auto"/>
                <w:sz w:val="24"/>
                <w:szCs w:val="32"/>
                <w:lang w:val="en-US" w:eastAsia="zh-CN"/>
              </w:rPr>
              <w:t>：淡黄色粘稠液体，闪点为120℃~340℃，自燃点为300℃~350℃，相对密度为（水=1）934.8，相对空气密度为（空气=1）0.85，沸点为-252.8℃，饱和蒸气压（kPa）为0.13/145.8℃。其溶于苯、乙醇、乙醚、氯仿、丙酮等多数有机溶剂，遇明火、高热可燃，燃烧分解CO、CO</w:t>
            </w:r>
            <w:r>
              <w:rPr>
                <w:rFonts w:hint="eastAsia" w:ascii="Times New Roman" w:hAnsi="Times New Roman" w:eastAsia="宋体" w:cs="Times New Roman"/>
                <w:b w:val="0"/>
                <w:bCs w:val="0"/>
                <w:color w:val="auto"/>
                <w:sz w:val="24"/>
                <w:szCs w:val="32"/>
                <w:vertAlign w:val="subscript"/>
                <w:lang w:val="en-US" w:eastAsia="zh-CN"/>
              </w:rPr>
              <w:t>2</w:t>
            </w:r>
            <w:r>
              <w:rPr>
                <w:rFonts w:hint="eastAsia" w:ascii="Times New Roman" w:hAnsi="Times New Roman" w:eastAsia="宋体" w:cs="Times New Roman"/>
                <w:b w:val="0"/>
                <w:bCs w:val="0"/>
                <w:color w:val="auto"/>
                <w:sz w:val="24"/>
                <w:szCs w:val="32"/>
                <w:lang w:val="en-US" w:eastAsia="zh-CN"/>
              </w:rPr>
              <w:t>等有毒有害气体。</w:t>
            </w:r>
          </w:p>
          <w:p w14:paraId="346408B5">
            <w:pPr>
              <w:adjustRightInd w:val="0"/>
              <w:snapToGrid w:val="0"/>
              <w:spacing w:line="360" w:lineRule="auto"/>
              <w:ind w:firstLine="482" w:firstLineChars="200"/>
              <w:rPr>
                <w:color w:val="auto"/>
                <w:sz w:val="24"/>
                <w:szCs w:val="32"/>
              </w:rPr>
            </w:pPr>
            <w:r>
              <w:rPr>
                <w:rFonts w:hint="eastAsia"/>
                <w:b/>
                <w:bCs/>
                <w:color w:val="auto"/>
                <w:sz w:val="24"/>
                <w:szCs w:val="32"/>
              </w:rPr>
              <w:t>6.给排水工程</w:t>
            </w:r>
          </w:p>
          <w:p w14:paraId="057C6882">
            <w:pPr>
              <w:adjustRightInd w:val="0"/>
              <w:snapToGrid w:val="0"/>
              <w:spacing w:line="360" w:lineRule="auto"/>
              <w:ind w:firstLine="480" w:firstLineChars="200"/>
              <w:jc w:val="left"/>
              <w:rPr>
                <w:rFonts w:hint="default" w:eastAsia="宋体"/>
                <w:color w:val="auto"/>
                <w:sz w:val="24"/>
                <w:szCs w:val="32"/>
                <w:lang w:val="en-US" w:eastAsia="zh-CN"/>
              </w:rPr>
            </w:pPr>
            <w:r>
              <w:rPr>
                <w:rFonts w:hint="eastAsia"/>
                <w:color w:val="auto"/>
                <w:sz w:val="24"/>
                <w:szCs w:val="32"/>
              </w:rPr>
              <w:t>本项目</w:t>
            </w:r>
            <w:r>
              <w:rPr>
                <w:rFonts w:hint="eastAsia"/>
                <w:color w:val="auto"/>
                <w:sz w:val="24"/>
                <w:szCs w:val="32"/>
                <w:lang w:val="en-US" w:eastAsia="zh-CN"/>
              </w:rPr>
              <w:t>生产用水由</w:t>
            </w:r>
            <w:r>
              <w:rPr>
                <w:rFonts w:hint="eastAsia"/>
                <w:color w:val="auto"/>
                <w:sz w:val="24"/>
                <w:szCs w:val="32"/>
              </w:rPr>
              <w:t>自来水管网接入。</w:t>
            </w:r>
            <w:r>
              <w:rPr>
                <w:rFonts w:hint="eastAsia"/>
                <w:color w:val="auto"/>
                <w:sz w:val="24"/>
                <w:szCs w:val="32"/>
                <w:lang w:val="en-US" w:eastAsia="zh-CN"/>
              </w:rPr>
              <w:t>项目用水主要为员工生活用水及石墨乳配比用水。</w:t>
            </w:r>
          </w:p>
          <w:p w14:paraId="2BF2C1A0">
            <w:pPr>
              <w:adjustRightInd w:val="0"/>
              <w:snapToGrid w:val="0"/>
              <w:spacing w:line="360" w:lineRule="auto"/>
              <w:ind w:firstLine="480" w:firstLineChars="200"/>
              <w:jc w:val="left"/>
              <w:rPr>
                <w:rFonts w:hint="eastAsia"/>
                <w:color w:val="auto"/>
                <w:sz w:val="24"/>
                <w:lang w:eastAsia="zh-CN"/>
              </w:rPr>
            </w:pPr>
            <w:r>
              <w:rPr>
                <w:rFonts w:hint="eastAsia"/>
                <w:color w:val="auto"/>
                <w:sz w:val="24"/>
                <w:szCs w:val="32"/>
              </w:rPr>
              <w:t>①生活用水：项目</w:t>
            </w:r>
            <w:r>
              <w:rPr>
                <w:rFonts w:hint="eastAsia"/>
                <w:color w:val="auto"/>
                <w:sz w:val="24"/>
                <w:szCs w:val="32"/>
                <w:lang w:val="en-US" w:eastAsia="zh-CN"/>
              </w:rPr>
              <w:t>劳动定员共15人</w:t>
            </w:r>
            <w:r>
              <w:rPr>
                <w:rFonts w:hint="eastAsia"/>
                <w:color w:val="auto"/>
                <w:sz w:val="24"/>
                <w:szCs w:val="32"/>
              </w:rPr>
              <w:t>，生活用水主要为员工盥洗用水，因此按照</w:t>
            </w:r>
            <w:r>
              <w:rPr>
                <w:rFonts w:hint="eastAsia"/>
                <w:color w:val="auto"/>
                <w:sz w:val="24"/>
              </w:rPr>
              <w:t>《陕西省行业用水定额》（DB61/T943-2020），生活用水量</w:t>
            </w:r>
            <w:r>
              <w:rPr>
                <w:rFonts w:hint="eastAsia"/>
                <w:color w:val="auto"/>
                <w:sz w:val="24"/>
                <w:lang w:eastAsia="zh-CN"/>
              </w:rPr>
              <w:t>按行政</w:t>
            </w:r>
            <w:r>
              <w:rPr>
                <w:rFonts w:hint="eastAsia"/>
                <w:color w:val="auto"/>
                <w:sz w:val="24"/>
              </w:rPr>
              <w:t>办公先进值计，为10m</w:t>
            </w:r>
            <w:r>
              <w:rPr>
                <w:rFonts w:hint="eastAsia"/>
                <w:color w:val="auto"/>
                <w:sz w:val="24"/>
                <w:vertAlign w:val="superscript"/>
              </w:rPr>
              <w:t>3</w:t>
            </w:r>
            <w:r>
              <w:rPr>
                <w:rFonts w:hint="eastAsia"/>
                <w:color w:val="auto"/>
                <w:sz w:val="24"/>
              </w:rPr>
              <w:t>（人</w:t>
            </w:r>
            <w:r>
              <w:rPr>
                <w:rFonts w:hint="eastAsia"/>
                <w:color w:val="auto"/>
                <w:sz w:val="24"/>
                <w:lang w:val="en-US" w:eastAsia="zh-CN"/>
              </w:rPr>
              <w:t>*</w:t>
            </w:r>
            <w:r>
              <w:rPr>
                <w:rFonts w:hint="eastAsia"/>
                <w:color w:val="auto"/>
                <w:sz w:val="24"/>
              </w:rPr>
              <w:t>a），</w:t>
            </w:r>
            <w:r>
              <w:rPr>
                <w:color w:val="auto"/>
                <w:sz w:val="24"/>
              </w:rPr>
              <w:t>则生活用水量为</w:t>
            </w:r>
            <w:r>
              <w:rPr>
                <w:rFonts w:hint="eastAsia"/>
                <w:color w:val="auto"/>
                <w:sz w:val="24"/>
                <w:lang w:val="en-US" w:eastAsia="zh-CN"/>
              </w:rPr>
              <w:t>150</w:t>
            </w:r>
            <w:r>
              <w:rPr>
                <w:color w:val="auto"/>
                <w:sz w:val="24"/>
              </w:rPr>
              <w:t>m</w:t>
            </w:r>
            <w:r>
              <w:rPr>
                <w:color w:val="auto"/>
                <w:sz w:val="24"/>
                <w:vertAlign w:val="superscript"/>
              </w:rPr>
              <w:t>3</w:t>
            </w:r>
            <w:r>
              <w:rPr>
                <w:color w:val="auto"/>
                <w:sz w:val="24"/>
              </w:rPr>
              <w:t>/a。</w:t>
            </w:r>
            <w:r>
              <w:rPr>
                <w:rFonts w:hint="eastAsia"/>
                <w:color w:val="auto"/>
                <w:sz w:val="24"/>
                <w:szCs w:val="32"/>
                <w:lang w:val="en-US" w:eastAsia="zh-CN"/>
              </w:rPr>
              <w:t>生活污水产生量以80%计，则生活污水产生量为120</w:t>
            </w:r>
            <w:r>
              <w:rPr>
                <w:color w:val="auto"/>
                <w:sz w:val="24"/>
              </w:rPr>
              <w:t>m</w:t>
            </w:r>
            <w:r>
              <w:rPr>
                <w:color w:val="auto"/>
                <w:sz w:val="24"/>
                <w:vertAlign w:val="superscript"/>
              </w:rPr>
              <w:t>3</w:t>
            </w:r>
            <w:r>
              <w:rPr>
                <w:color w:val="auto"/>
                <w:sz w:val="24"/>
              </w:rPr>
              <w:t>/a</w:t>
            </w:r>
            <w:r>
              <w:rPr>
                <w:rFonts w:hint="eastAsia"/>
                <w:color w:val="auto"/>
                <w:sz w:val="24"/>
                <w:lang w:eastAsia="zh-CN"/>
              </w:rPr>
              <w:t>，</w:t>
            </w:r>
            <w:r>
              <w:rPr>
                <w:rFonts w:hint="eastAsia"/>
                <w:color w:val="auto"/>
                <w:sz w:val="24"/>
                <w:lang w:val="en-US" w:eastAsia="zh-CN"/>
              </w:rPr>
              <w:t>依托租赁现有卫生间，生活污水经化粪池收集后，定期委托附近村民清运施肥，不外排</w:t>
            </w:r>
            <w:r>
              <w:rPr>
                <w:rFonts w:hint="eastAsia"/>
                <w:color w:val="auto"/>
                <w:sz w:val="24"/>
                <w:lang w:eastAsia="zh-CN"/>
              </w:rPr>
              <w:t>。</w:t>
            </w:r>
          </w:p>
          <w:p w14:paraId="510978C7">
            <w:pPr>
              <w:adjustRightInd w:val="0"/>
              <w:snapToGrid w:val="0"/>
              <w:spacing w:line="360" w:lineRule="auto"/>
              <w:ind w:firstLine="480" w:firstLineChars="200"/>
              <w:jc w:val="left"/>
              <w:rPr>
                <w:rFonts w:hint="eastAsia"/>
                <w:color w:val="auto"/>
                <w:sz w:val="24"/>
                <w:szCs w:val="32"/>
                <w:lang w:val="en-US" w:eastAsia="zh-CN"/>
              </w:rPr>
            </w:pPr>
            <w:r>
              <w:rPr>
                <w:rFonts w:hint="eastAsia"/>
                <w:color w:val="auto"/>
                <w:sz w:val="24"/>
                <w:szCs w:val="32"/>
              </w:rPr>
              <w:t>②</w:t>
            </w:r>
            <w:r>
              <w:rPr>
                <w:rFonts w:hint="eastAsia"/>
                <w:color w:val="auto"/>
                <w:sz w:val="24"/>
                <w:szCs w:val="32"/>
                <w:lang w:val="en-US" w:eastAsia="zh-CN"/>
              </w:rPr>
              <w:t>石墨乳配比用水</w:t>
            </w:r>
          </w:p>
          <w:p w14:paraId="088A1A8A">
            <w:pPr>
              <w:adjustRightInd w:val="0"/>
              <w:snapToGrid w:val="0"/>
              <w:spacing w:line="360" w:lineRule="auto"/>
              <w:ind w:firstLine="480" w:firstLineChars="200"/>
              <w:jc w:val="left"/>
              <w:rPr>
                <w:rFonts w:hint="eastAsia"/>
                <w:color w:val="auto"/>
                <w:sz w:val="24"/>
                <w:lang w:val="en-US" w:eastAsia="zh-CN"/>
              </w:rPr>
            </w:pPr>
            <w:r>
              <w:rPr>
                <w:rFonts w:hint="eastAsia"/>
                <w:color w:val="auto"/>
                <w:sz w:val="24"/>
                <w:szCs w:val="32"/>
                <w:lang w:val="en-US" w:eastAsia="zh-CN"/>
              </w:rPr>
              <w:t>石墨乳使用过程中，需加水后使用，根据企业提供资料，石墨乳与水配比比例为2:3，项目石墨乳年用量为1.5t，则该环节用水量为2.25</w:t>
            </w:r>
            <w:r>
              <w:rPr>
                <w:color w:val="auto"/>
                <w:sz w:val="24"/>
              </w:rPr>
              <w:t>m</w:t>
            </w:r>
            <w:r>
              <w:rPr>
                <w:color w:val="auto"/>
                <w:sz w:val="24"/>
                <w:vertAlign w:val="superscript"/>
              </w:rPr>
              <w:t>3</w:t>
            </w:r>
            <w:r>
              <w:rPr>
                <w:color w:val="auto"/>
                <w:sz w:val="24"/>
              </w:rPr>
              <w:t>/a</w:t>
            </w:r>
            <w:r>
              <w:rPr>
                <w:rFonts w:hint="eastAsia"/>
                <w:color w:val="auto"/>
                <w:sz w:val="24"/>
                <w:lang w:eastAsia="zh-CN"/>
              </w:rPr>
              <w:t>，</w:t>
            </w:r>
            <w:r>
              <w:rPr>
                <w:rFonts w:hint="eastAsia"/>
                <w:color w:val="auto"/>
                <w:sz w:val="24"/>
                <w:lang w:val="en-US" w:eastAsia="zh-CN"/>
              </w:rPr>
              <w:t>加水配比后的石墨乳溶液在使用过程中，水全部自然蒸发、损耗，无废水产生。</w:t>
            </w:r>
          </w:p>
          <w:p w14:paraId="5B460D20">
            <w:pPr>
              <w:pStyle w:val="11"/>
              <w:spacing w:after="0" w:line="360" w:lineRule="auto"/>
              <w:ind w:left="0" w:leftChars="0" w:firstLine="480" w:firstLineChars="200"/>
              <w:rPr>
                <w:rFonts w:hint="eastAsia"/>
                <w:color w:val="auto"/>
                <w:szCs w:val="21"/>
              </w:rPr>
            </w:pPr>
            <w:r>
              <w:rPr>
                <w:rFonts w:hint="eastAsia"/>
                <w:color w:val="auto"/>
                <w:sz w:val="24"/>
              </w:rPr>
              <w:t>本项目用水量见下表：</w:t>
            </w:r>
          </w:p>
          <w:p w14:paraId="1B3D96B6">
            <w:pPr>
              <w:adjustRightInd w:val="0"/>
              <w:snapToGrid w:val="0"/>
              <w:jc w:val="center"/>
              <w:rPr>
                <w:rFonts w:hint="eastAsia" w:ascii="Times New Roman" w:hAnsi="Times New Roman" w:eastAsia="宋体" w:cs="Times New Roman"/>
                <w:b/>
                <w:bCs/>
                <w:color w:val="auto"/>
                <w:lang w:eastAsia="zh-CN"/>
              </w:rPr>
            </w:pPr>
            <w:r>
              <w:rPr>
                <w:rFonts w:hint="eastAsia" w:ascii="Times New Roman" w:hAnsi="Times New Roman" w:eastAsia="宋体" w:cs="Times New Roman"/>
                <w:b/>
                <w:bCs/>
                <w:color w:val="auto"/>
              </w:rPr>
              <w:t>表</w:t>
            </w:r>
            <w:r>
              <w:rPr>
                <w:rFonts w:hint="eastAsia" w:ascii="Times New Roman" w:hAnsi="Times New Roman" w:eastAsia="宋体" w:cs="Times New Roman"/>
                <w:b/>
                <w:bCs/>
                <w:color w:val="auto"/>
                <w:lang w:val="en-US" w:eastAsia="zh-CN"/>
              </w:rPr>
              <w:t>2-6</w:t>
            </w:r>
            <w:r>
              <w:rPr>
                <w:rFonts w:hint="eastAsia" w:ascii="Times New Roman" w:hAnsi="Times New Roman" w:eastAsia="宋体" w:cs="Times New Roman"/>
                <w:b/>
                <w:bCs/>
                <w:color w:val="auto"/>
              </w:rPr>
              <w:t xml:space="preserve">   项目用、排水一览表</w:t>
            </w:r>
            <w:r>
              <w:rPr>
                <w:rFonts w:hint="eastAsia" w:ascii="Times New Roman" w:hAnsi="Times New Roman" w:eastAsia="宋体" w:cs="Times New Roman"/>
                <w:b/>
                <w:bCs/>
                <w:color w:val="auto"/>
                <w:lang w:eastAsia="zh-CN"/>
              </w:rPr>
              <w:t>（</w:t>
            </w:r>
            <w:r>
              <w:rPr>
                <w:rFonts w:hint="eastAsia" w:ascii="Times New Roman" w:hAnsi="Times New Roman" w:eastAsia="宋体" w:cs="Times New Roman"/>
                <w:b/>
                <w:bCs/>
                <w:color w:val="auto"/>
                <w:lang w:val="en-US" w:eastAsia="zh-CN"/>
              </w:rPr>
              <w:t>单位：m</w:t>
            </w:r>
            <w:r>
              <w:rPr>
                <w:rFonts w:hint="eastAsia" w:ascii="Times New Roman" w:hAnsi="Times New Roman" w:eastAsia="宋体" w:cs="Times New Roman"/>
                <w:b/>
                <w:bCs/>
                <w:color w:val="auto"/>
                <w:vertAlign w:val="superscript"/>
                <w:lang w:val="en-US" w:eastAsia="zh-CN"/>
              </w:rPr>
              <w:t>3</w:t>
            </w:r>
            <w:r>
              <w:rPr>
                <w:rFonts w:hint="eastAsia" w:ascii="Times New Roman" w:hAnsi="Times New Roman" w:eastAsia="宋体" w:cs="Times New Roman"/>
                <w:b/>
                <w:bCs/>
                <w:color w:val="auto"/>
                <w:lang w:val="en-US" w:eastAsia="zh-CN"/>
              </w:rPr>
              <w:t>/d</w:t>
            </w:r>
            <w:r>
              <w:rPr>
                <w:rFonts w:hint="eastAsia" w:ascii="Times New Roman" w:hAnsi="Times New Roman" w:eastAsia="宋体" w:cs="Times New Roman"/>
                <w:b/>
                <w:bCs/>
                <w:color w:val="auto"/>
                <w:lang w:eastAsia="zh-CN"/>
              </w:rPr>
              <w:t>）</w:t>
            </w:r>
          </w:p>
          <w:tbl>
            <w:tblPr>
              <w:tblStyle w:val="23"/>
              <w:tblW w:w="4991"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6"/>
              <w:gridCol w:w="1251"/>
              <w:gridCol w:w="730"/>
              <w:gridCol w:w="789"/>
              <w:gridCol w:w="839"/>
              <w:gridCol w:w="802"/>
              <w:gridCol w:w="949"/>
              <w:gridCol w:w="1028"/>
            </w:tblGrid>
            <w:tr w14:paraId="34448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4" w:type="pct"/>
                  <w:vMerge w:val="restart"/>
                  <w:tcBorders>
                    <w:tl2br w:val="nil"/>
                    <w:tr2bl w:val="nil"/>
                  </w:tcBorders>
                  <w:noWrap w:val="0"/>
                  <w:vAlign w:val="center"/>
                </w:tcPr>
                <w:p w14:paraId="26053A23">
                  <w:pPr>
                    <w:jc w:val="center"/>
                    <w:rPr>
                      <w:b w:val="0"/>
                      <w:bCs/>
                      <w:caps/>
                      <w:color w:val="auto"/>
                      <w:sz w:val="21"/>
                      <w:szCs w:val="21"/>
                    </w:rPr>
                  </w:pPr>
                  <w:r>
                    <w:rPr>
                      <w:b w:val="0"/>
                      <w:bCs/>
                      <w:caps/>
                      <w:color w:val="auto"/>
                      <w:sz w:val="21"/>
                      <w:szCs w:val="21"/>
                    </w:rPr>
                    <w:t>用水项目</w:t>
                  </w:r>
                </w:p>
              </w:tc>
              <w:tc>
                <w:tcPr>
                  <w:tcW w:w="774" w:type="pct"/>
                  <w:vMerge w:val="restart"/>
                  <w:tcBorders>
                    <w:tl2br w:val="nil"/>
                    <w:tr2bl w:val="nil"/>
                  </w:tcBorders>
                  <w:noWrap w:val="0"/>
                  <w:vAlign w:val="center"/>
                </w:tcPr>
                <w:p w14:paraId="0B74FDC3">
                  <w:pPr>
                    <w:jc w:val="center"/>
                    <w:rPr>
                      <w:b w:val="0"/>
                      <w:bCs/>
                      <w:caps/>
                      <w:color w:val="auto"/>
                      <w:sz w:val="21"/>
                      <w:szCs w:val="21"/>
                    </w:rPr>
                  </w:pPr>
                  <w:r>
                    <w:rPr>
                      <w:b w:val="0"/>
                      <w:bCs/>
                      <w:caps/>
                      <w:color w:val="auto"/>
                      <w:sz w:val="21"/>
                      <w:szCs w:val="21"/>
                    </w:rPr>
                    <w:t>用水系数</w:t>
                  </w:r>
                </w:p>
              </w:tc>
              <w:tc>
                <w:tcPr>
                  <w:tcW w:w="452" w:type="pct"/>
                  <w:vMerge w:val="restart"/>
                  <w:tcBorders>
                    <w:tl2br w:val="nil"/>
                    <w:tr2bl w:val="nil"/>
                  </w:tcBorders>
                  <w:noWrap w:val="0"/>
                  <w:vAlign w:val="center"/>
                </w:tcPr>
                <w:p w14:paraId="1D88641E">
                  <w:pPr>
                    <w:jc w:val="center"/>
                    <w:rPr>
                      <w:b w:val="0"/>
                      <w:bCs/>
                      <w:caps/>
                      <w:color w:val="auto"/>
                      <w:sz w:val="21"/>
                      <w:szCs w:val="21"/>
                    </w:rPr>
                  </w:pPr>
                  <w:r>
                    <w:rPr>
                      <w:b w:val="0"/>
                      <w:bCs/>
                      <w:caps/>
                      <w:color w:val="auto"/>
                      <w:sz w:val="21"/>
                      <w:szCs w:val="21"/>
                    </w:rPr>
                    <w:t>用水规模</w:t>
                  </w:r>
                </w:p>
              </w:tc>
              <w:tc>
                <w:tcPr>
                  <w:tcW w:w="1008" w:type="pct"/>
                  <w:gridSpan w:val="2"/>
                  <w:tcBorders>
                    <w:tl2br w:val="nil"/>
                    <w:tr2bl w:val="nil"/>
                  </w:tcBorders>
                  <w:noWrap w:val="0"/>
                  <w:vAlign w:val="center"/>
                </w:tcPr>
                <w:p w14:paraId="07E976F4">
                  <w:pPr>
                    <w:jc w:val="center"/>
                    <w:rPr>
                      <w:b w:val="0"/>
                      <w:bCs/>
                      <w:caps/>
                      <w:color w:val="auto"/>
                      <w:sz w:val="21"/>
                      <w:szCs w:val="21"/>
                    </w:rPr>
                  </w:pPr>
                  <w:r>
                    <w:rPr>
                      <w:b w:val="0"/>
                      <w:bCs/>
                      <w:caps/>
                      <w:color w:val="auto"/>
                      <w:sz w:val="21"/>
                      <w:szCs w:val="21"/>
                    </w:rPr>
                    <w:t>用水量</w:t>
                  </w:r>
                </w:p>
              </w:tc>
              <w:tc>
                <w:tcPr>
                  <w:tcW w:w="496" w:type="pct"/>
                  <w:tcBorders>
                    <w:tl2br w:val="nil"/>
                    <w:tr2bl w:val="nil"/>
                  </w:tcBorders>
                  <w:noWrap w:val="0"/>
                  <w:vAlign w:val="center"/>
                </w:tcPr>
                <w:p w14:paraId="5EE00794">
                  <w:pPr>
                    <w:jc w:val="center"/>
                    <w:rPr>
                      <w:b w:val="0"/>
                      <w:bCs/>
                      <w:caps/>
                      <w:color w:val="auto"/>
                      <w:sz w:val="21"/>
                      <w:szCs w:val="21"/>
                    </w:rPr>
                  </w:pPr>
                  <w:r>
                    <w:rPr>
                      <w:rFonts w:hint="eastAsia"/>
                      <w:b w:val="0"/>
                      <w:bCs/>
                      <w:caps/>
                      <w:color w:val="auto"/>
                      <w:sz w:val="21"/>
                      <w:szCs w:val="21"/>
                    </w:rPr>
                    <w:t>损失量</w:t>
                  </w:r>
                </w:p>
              </w:tc>
              <w:tc>
                <w:tcPr>
                  <w:tcW w:w="587" w:type="pct"/>
                  <w:tcBorders>
                    <w:tl2br w:val="nil"/>
                    <w:tr2bl w:val="nil"/>
                  </w:tcBorders>
                  <w:noWrap w:val="0"/>
                  <w:vAlign w:val="center"/>
                </w:tcPr>
                <w:p w14:paraId="26A950D9">
                  <w:pPr>
                    <w:jc w:val="center"/>
                    <w:rPr>
                      <w:b w:val="0"/>
                      <w:bCs/>
                      <w:caps/>
                      <w:color w:val="auto"/>
                      <w:sz w:val="21"/>
                      <w:szCs w:val="21"/>
                    </w:rPr>
                  </w:pPr>
                  <w:r>
                    <w:rPr>
                      <w:rFonts w:hint="eastAsia"/>
                      <w:b w:val="0"/>
                      <w:bCs/>
                      <w:caps/>
                      <w:color w:val="auto"/>
                      <w:sz w:val="21"/>
                      <w:szCs w:val="21"/>
                      <w:lang w:val="en-US" w:eastAsia="zh-CN"/>
                    </w:rPr>
                    <w:t>废</w:t>
                  </w:r>
                  <w:r>
                    <w:rPr>
                      <w:b w:val="0"/>
                      <w:bCs/>
                      <w:caps/>
                      <w:color w:val="auto"/>
                      <w:sz w:val="21"/>
                      <w:szCs w:val="21"/>
                    </w:rPr>
                    <w:t>水量</w:t>
                  </w:r>
                </w:p>
              </w:tc>
              <w:tc>
                <w:tcPr>
                  <w:tcW w:w="636" w:type="pct"/>
                  <w:tcBorders>
                    <w:tl2br w:val="nil"/>
                    <w:tr2bl w:val="nil"/>
                  </w:tcBorders>
                  <w:noWrap w:val="0"/>
                  <w:vAlign w:val="center"/>
                </w:tcPr>
                <w:p w14:paraId="4762D210">
                  <w:pPr>
                    <w:jc w:val="center"/>
                    <w:rPr>
                      <w:b w:val="0"/>
                      <w:bCs/>
                      <w:caps/>
                      <w:color w:val="auto"/>
                      <w:sz w:val="21"/>
                      <w:szCs w:val="21"/>
                    </w:rPr>
                  </w:pPr>
                  <w:r>
                    <w:rPr>
                      <w:b w:val="0"/>
                      <w:bCs/>
                      <w:caps/>
                      <w:color w:val="auto"/>
                      <w:sz w:val="21"/>
                      <w:szCs w:val="21"/>
                    </w:rPr>
                    <w:t>计算天数</w:t>
                  </w:r>
                </w:p>
              </w:tc>
            </w:tr>
            <w:tr w14:paraId="38E10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4" w:type="pct"/>
                  <w:vMerge w:val="continue"/>
                  <w:tcBorders>
                    <w:tl2br w:val="nil"/>
                    <w:tr2bl w:val="nil"/>
                  </w:tcBorders>
                  <w:noWrap w:val="0"/>
                  <w:vAlign w:val="center"/>
                </w:tcPr>
                <w:p w14:paraId="47A44919">
                  <w:pPr>
                    <w:jc w:val="center"/>
                    <w:rPr>
                      <w:b w:val="0"/>
                      <w:bCs/>
                      <w:caps/>
                      <w:color w:val="auto"/>
                      <w:sz w:val="21"/>
                      <w:szCs w:val="21"/>
                    </w:rPr>
                  </w:pPr>
                </w:p>
              </w:tc>
              <w:tc>
                <w:tcPr>
                  <w:tcW w:w="774" w:type="pct"/>
                  <w:vMerge w:val="continue"/>
                  <w:tcBorders>
                    <w:tl2br w:val="nil"/>
                    <w:tr2bl w:val="nil"/>
                  </w:tcBorders>
                  <w:noWrap w:val="0"/>
                  <w:vAlign w:val="center"/>
                </w:tcPr>
                <w:p w14:paraId="33F6012B">
                  <w:pPr>
                    <w:jc w:val="center"/>
                    <w:rPr>
                      <w:b w:val="0"/>
                      <w:bCs/>
                      <w:caps/>
                      <w:color w:val="auto"/>
                      <w:sz w:val="21"/>
                      <w:szCs w:val="21"/>
                    </w:rPr>
                  </w:pPr>
                </w:p>
              </w:tc>
              <w:tc>
                <w:tcPr>
                  <w:tcW w:w="452" w:type="pct"/>
                  <w:vMerge w:val="continue"/>
                  <w:tcBorders>
                    <w:tl2br w:val="nil"/>
                    <w:tr2bl w:val="nil"/>
                  </w:tcBorders>
                  <w:noWrap w:val="0"/>
                  <w:vAlign w:val="center"/>
                </w:tcPr>
                <w:p w14:paraId="6F31649F">
                  <w:pPr>
                    <w:jc w:val="center"/>
                    <w:rPr>
                      <w:b w:val="0"/>
                      <w:bCs/>
                      <w:caps/>
                      <w:color w:val="auto"/>
                      <w:sz w:val="21"/>
                      <w:szCs w:val="21"/>
                    </w:rPr>
                  </w:pPr>
                </w:p>
              </w:tc>
              <w:tc>
                <w:tcPr>
                  <w:tcW w:w="488" w:type="pct"/>
                  <w:tcBorders>
                    <w:tl2br w:val="nil"/>
                    <w:tr2bl w:val="nil"/>
                  </w:tcBorders>
                  <w:noWrap w:val="0"/>
                  <w:vAlign w:val="center"/>
                </w:tcPr>
                <w:p w14:paraId="3EBC1500">
                  <w:pPr>
                    <w:jc w:val="center"/>
                    <w:rPr>
                      <w:b w:val="0"/>
                      <w:bCs/>
                      <w:caps/>
                      <w:color w:val="auto"/>
                      <w:sz w:val="21"/>
                      <w:szCs w:val="21"/>
                    </w:rPr>
                  </w:pPr>
                  <w:r>
                    <w:rPr>
                      <w:rFonts w:ascii="Times New Roman" w:hAnsi="Times New Roman"/>
                      <w:b w:val="0"/>
                      <w:bCs/>
                      <w:color w:val="auto"/>
                      <w:sz w:val="21"/>
                      <w:szCs w:val="21"/>
                    </w:rPr>
                    <w:t>m</w:t>
                  </w:r>
                  <w:r>
                    <w:rPr>
                      <w:rFonts w:ascii="Times New Roman" w:hAnsi="Times New Roman"/>
                      <w:b w:val="0"/>
                      <w:bCs/>
                      <w:color w:val="auto"/>
                      <w:sz w:val="21"/>
                      <w:szCs w:val="21"/>
                      <w:vertAlign w:val="superscript"/>
                    </w:rPr>
                    <w:t>3</w:t>
                  </w:r>
                  <w:r>
                    <w:rPr>
                      <w:b w:val="0"/>
                      <w:bCs/>
                      <w:color w:val="auto"/>
                      <w:sz w:val="21"/>
                      <w:szCs w:val="21"/>
                    </w:rPr>
                    <w:t>/</w:t>
                  </w:r>
                  <w:r>
                    <w:rPr>
                      <w:rFonts w:ascii="Times New Roman" w:hAnsi="Times New Roman"/>
                      <w:b w:val="0"/>
                      <w:bCs/>
                      <w:color w:val="auto"/>
                      <w:sz w:val="21"/>
                      <w:szCs w:val="21"/>
                    </w:rPr>
                    <w:t>d</w:t>
                  </w:r>
                </w:p>
              </w:tc>
              <w:tc>
                <w:tcPr>
                  <w:tcW w:w="519" w:type="pct"/>
                  <w:tcBorders>
                    <w:tl2br w:val="nil"/>
                    <w:tr2bl w:val="nil"/>
                  </w:tcBorders>
                  <w:noWrap w:val="0"/>
                  <w:vAlign w:val="center"/>
                </w:tcPr>
                <w:p w14:paraId="662A8CCA">
                  <w:pPr>
                    <w:jc w:val="center"/>
                    <w:rPr>
                      <w:b w:val="0"/>
                      <w:bCs/>
                      <w:caps/>
                      <w:color w:val="auto"/>
                      <w:sz w:val="21"/>
                      <w:szCs w:val="21"/>
                    </w:rPr>
                  </w:pPr>
                  <w:r>
                    <w:rPr>
                      <w:rFonts w:ascii="Times New Roman" w:hAnsi="Times New Roman"/>
                      <w:b w:val="0"/>
                      <w:bCs/>
                      <w:color w:val="auto"/>
                      <w:sz w:val="21"/>
                      <w:szCs w:val="21"/>
                    </w:rPr>
                    <w:t>m</w:t>
                  </w:r>
                  <w:r>
                    <w:rPr>
                      <w:rFonts w:ascii="Times New Roman" w:hAnsi="Times New Roman"/>
                      <w:b w:val="0"/>
                      <w:bCs/>
                      <w:color w:val="auto"/>
                      <w:sz w:val="21"/>
                      <w:szCs w:val="21"/>
                      <w:vertAlign w:val="superscript"/>
                    </w:rPr>
                    <w:t>3</w:t>
                  </w:r>
                  <w:r>
                    <w:rPr>
                      <w:b w:val="0"/>
                      <w:bCs/>
                      <w:color w:val="auto"/>
                      <w:sz w:val="21"/>
                      <w:szCs w:val="21"/>
                    </w:rPr>
                    <w:t>/</w:t>
                  </w:r>
                  <w:r>
                    <w:rPr>
                      <w:rFonts w:ascii="Times New Roman" w:hAnsi="Times New Roman"/>
                      <w:b w:val="0"/>
                      <w:bCs/>
                      <w:color w:val="auto"/>
                      <w:sz w:val="21"/>
                      <w:szCs w:val="21"/>
                    </w:rPr>
                    <w:t>a</w:t>
                  </w:r>
                </w:p>
              </w:tc>
              <w:tc>
                <w:tcPr>
                  <w:tcW w:w="496" w:type="pct"/>
                  <w:tcBorders>
                    <w:tl2br w:val="nil"/>
                    <w:tr2bl w:val="nil"/>
                  </w:tcBorders>
                  <w:noWrap w:val="0"/>
                  <w:vAlign w:val="center"/>
                </w:tcPr>
                <w:p w14:paraId="0F3AA2CF">
                  <w:pPr>
                    <w:jc w:val="center"/>
                    <w:rPr>
                      <w:b w:val="0"/>
                      <w:bCs/>
                      <w:caps/>
                      <w:color w:val="auto"/>
                      <w:sz w:val="21"/>
                      <w:szCs w:val="21"/>
                    </w:rPr>
                  </w:pPr>
                  <w:r>
                    <w:rPr>
                      <w:rFonts w:ascii="Times New Roman" w:hAnsi="Times New Roman"/>
                      <w:b w:val="0"/>
                      <w:bCs/>
                      <w:color w:val="auto"/>
                      <w:sz w:val="21"/>
                      <w:szCs w:val="21"/>
                    </w:rPr>
                    <w:t>m</w:t>
                  </w:r>
                  <w:r>
                    <w:rPr>
                      <w:rFonts w:ascii="Times New Roman" w:hAnsi="Times New Roman"/>
                      <w:b w:val="0"/>
                      <w:bCs/>
                      <w:color w:val="auto"/>
                      <w:sz w:val="21"/>
                      <w:szCs w:val="21"/>
                      <w:vertAlign w:val="superscript"/>
                    </w:rPr>
                    <w:t>3</w:t>
                  </w:r>
                  <w:r>
                    <w:rPr>
                      <w:b w:val="0"/>
                      <w:bCs/>
                      <w:color w:val="auto"/>
                      <w:sz w:val="21"/>
                      <w:szCs w:val="21"/>
                    </w:rPr>
                    <w:t>/</w:t>
                  </w:r>
                  <w:r>
                    <w:rPr>
                      <w:rFonts w:ascii="Times New Roman" w:hAnsi="Times New Roman"/>
                      <w:b w:val="0"/>
                      <w:bCs/>
                      <w:color w:val="auto"/>
                      <w:sz w:val="21"/>
                      <w:szCs w:val="21"/>
                    </w:rPr>
                    <w:t>a</w:t>
                  </w:r>
                </w:p>
              </w:tc>
              <w:tc>
                <w:tcPr>
                  <w:tcW w:w="587" w:type="pct"/>
                  <w:tcBorders>
                    <w:tl2br w:val="nil"/>
                    <w:tr2bl w:val="nil"/>
                  </w:tcBorders>
                  <w:noWrap w:val="0"/>
                  <w:vAlign w:val="center"/>
                </w:tcPr>
                <w:p w14:paraId="51FAE338">
                  <w:pPr>
                    <w:jc w:val="center"/>
                    <w:rPr>
                      <w:b w:val="0"/>
                      <w:bCs/>
                      <w:caps/>
                      <w:color w:val="auto"/>
                      <w:sz w:val="21"/>
                      <w:szCs w:val="21"/>
                    </w:rPr>
                  </w:pPr>
                  <w:r>
                    <w:rPr>
                      <w:rFonts w:ascii="Times New Roman" w:hAnsi="Times New Roman"/>
                      <w:b w:val="0"/>
                      <w:bCs/>
                      <w:color w:val="auto"/>
                      <w:sz w:val="21"/>
                      <w:szCs w:val="21"/>
                    </w:rPr>
                    <w:t>m</w:t>
                  </w:r>
                  <w:r>
                    <w:rPr>
                      <w:rFonts w:ascii="Times New Roman" w:hAnsi="Times New Roman"/>
                      <w:b w:val="0"/>
                      <w:bCs/>
                      <w:color w:val="auto"/>
                      <w:sz w:val="21"/>
                      <w:szCs w:val="21"/>
                      <w:vertAlign w:val="superscript"/>
                    </w:rPr>
                    <w:t>3</w:t>
                  </w:r>
                  <w:r>
                    <w:rPr>
                      <w:b w:val="0"/>
                      <w:bCs/>
                      <w:color w:val="auto"/>
                      <w:sz w:val="21"/>
                      <w:szCs w:val="21"/>
                    </w:rPr>
                    <w:t>/</w:t>
                  </w:r>
                  <w:r>
                    <w:rPr>
                      <w:rFonts w:ascii="Times New Roman" w:hAnsi="Times New Roman"/>
                      <w:b w:val="0"/>
                      <w:bCs/>
                      <w:color w:val="auto"/>
                      <w:sz w:val="21"/>
                      <w:szCs w:val="21"/>
                    </w:rPr>
                    <w:t>a</w:t>
                  </w:r>
                </w:p>
              </w:tc>
              <w:tc>
                <w:tcPr>
                  <w:tcW w:w="636" w:type="pct"/>
                  <w:tcBorders>
                    <w:tl2br w:val="nil"/>
                    <w:tr2bl w:val="nil"/>
                  </w:tcBorders>
                  <w:noWrap w:val="0"/>
                  <w:vAlign w:val="center"/>
                </w:tcPr>
                <w:p w14:paraId="6A003A9D">
                  <w:pPr>
                    <w:jc w:val="center"/>
                    <w:rPr>
                      <w:rFonts w:hint="default" w:eastAsia="宋体"/>
                      <w:b w:val="0"/>
                      <w:bCs/>
                      <w:caps/>
                      <w:color w:val="auto"/>
                      <w:sz w:val="21"/>
                      <w:szCs w:val="21"/>
                      <w:lang w:val="en-US" w:eastAsia="zh-CN"/>
                    </w:rPr>
                  </w:pPr>
                  <w:r>
                    <w:rPr>
                      <w:rFonts w:hint="eastAsia"/>
                      <w:b w:val="0"/>
                      <w:bCs/>
                      <w:color w:val="auto"/>
                      <w:sz w:val="21"/>
                      <w:szCs w:val="21"/>
                      <w:lang w:val="en-US" w:eastAsia="zh-CN"/>
                    </w:rPr>
                    <w:t>d</w:t>
                  </w:r>
                </w:p>
              </w:tc>
            </w:tr>
            <w:tr w14:paraId="4B351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4" w:type="pct"/>
                  <w:tcBorders>
                    <w:tl2br w:val="nil"/>
                    <w:tr2bl w:val="nil"/>
                  </w:tcBorders>
                  <w:noWrap w:val="0"/>
                  <w:vAlign w:val="center"/>
                </w:tcPr>
                <w:p w14:paraId="6279624D">
                  <w:pPr>
                    <w:jc w:val="center"/>
                    <w:rPr>
                      <w:rFonts w:hint="default" w:eastAsia="宋体"/>
                      <w:b w:val="0"/>
                      <w:bCs/>
                      <w:color w:val="auto"/>
                      <w:sz w:val="21"/>
                      <w:szCs w:val="21"/>
                      <w:lang w:val="en-US" w:eastAsia="zh-CN"/>
                    </w:rPr>
                  </w:pPr>
                  <w:r>
                    <w:rPr>
                      <w:rFonts w:hint="eastAsia"/>
                      <w:b w:val="0"/>
                      <w:bCs/>
                      <w:color w:val="auto"/>
                      <w:sz w:val="21"/>
                      <w:szCs w:val="21"/>
                      <w:lang w:val="en-US" w:eastAsia="zh-CN"/>
                    </w:rPr>
                    <w:t>生活用水</w:t>
                  </w:r>
                </w:p>
              </w:tc>
              <w:tc>
                <w:tcPr>
                  <w:tcW w:w="774" w:type="pct"/>
                  <w:tcBorders>
                    <w:tl2br w:val="nil"/>
                    <w:tr2bl w:val="nil"/>
                  </w:tcBorders>
                  <w:noWrap w:val="0"/>
                  <w:vAlign w:val="center"/>
                </w:tcPr>
                <w:p w14:paraId="6D51041F">
                  <w:pPr>
                    <w:jc w:val="center"/>
                    <w:rPr>
                      <w:rFonts w:hint="eastAsia" w:ascii="Times New Roman" w:hAnsi="Times New Roman" w:eastAsia="宋体"/>
                      <w:b w:val="0"/>
                      <w:bCs/>
                      <w:color w:val="auto"/>
                      <w:sz w:val="21"/>
                      <w:szCs w:val="21"/>
                      <w:lang w:val="en-US" w:eastAsia="zh-CN"/>
                    </w:rPr>
                  </w:pPr>
                  <w:r>
                    <w:rPr>
                      <w:rFonts w:hint="eastAsia"/>
                      <w:color w:val="auto"/>
                      <w:sz w:val="21"/>
                      <w:szCs w:val="21"/>
                    </w:rPr>
                    <w:t>10m</w:t>
                  </w:r>
                  <w:r>
                    <w:rPr>
                      <w:rFonts w:hint="eastAsia"/>
                      <w:color w:val="auto"/>
                      <w:sz w:val="21"/>
                      <w:szCs w:val="21"/>
                      <w:vertAlign w:val="superscript"/>
                    </w:rPr>
                    <w:t>3</w:t>
                  </w:r>
                  <w:r>
                    <w:rPr>
                      <w:rFonts w:hint="eastAsia"/>
                      <w:color w:val="auto"/>
                      <w:sz w:val="21"/>
                      <w:szCs w:val="21"/>
                    </w:rPr>
                    <w:t>（人·a）</w:t>
                  </w:r>
                </w:p>
              </w:tc>
              <w:tc>
                <w:tcPr>
                  <w:tcW w:w="452" w:type="pct"/>
                  <w:tcBorders>
                    <w:tl2br w:val="nil"/>
                    <w:tr2bl w:val="nil"/>
                  </w:tcBorders>
                  <w:noWrap w:val="0"/>
                  <w:vAlign w:val="center"/>
                </w:tcPr>
                <w:p w14:paraId="05CF4D64">
                  <w:pPr>
                    <w:jc w:val="center"/>
                    <w:rPr>
                      <w:rFonts w:hint="default" w:ascii="Times New Roman" w:hAnsi="Times New Roman"/>
                      <w:b w:val="0"/>
                      <w:bCs/>
                      <w:color w:val="auto"/>
                      <w:sz w:val="21"/>
                      <w:szCs w:val="21"/>
                      <w:lang w:val="en-US" w:eastAsia="zh-CN"/>
                    </w:rPr>
                  </w:pPr>
                  <w:r>
                    <w:rPr>
                      <w:rFonts w:hint="eastAsia"/>
                      <w:color w:val="auto"/>
                      <w:sz w:val="21"/>
                      <w:szCs w:val="21"/>
                      <w:vertAlign w:val="baseline"/>
                      <w:lang w:val="en-US" w:eastAsia="zh-CN"/>
                    </w:rPr>
                    <w:t>15人</w:t>
                  </w:r>
                </w:p>
              </w:tc>
              <w:tc>
                <w:tcPr>
                  <w:tcW w:w="488" w:type="pct"/>
                  <w:tcBorders>
                    <w:tl2br w:val="nil"/>
                    <w:tr2bl w:val="nil"/>
                  </w:tcBorders>
                  <w:noWrap w:val="0"/>
                  <w:vAlign w:val="center"/>
                </w:tcPr>
                <w:p w14:paraId="7DC2AFC5">
                  <w:pPr>
                    <w:jc w:val="center"/>
                    <w:rPr>
                      <w:rFonts w:hint="default" w:ascii="Times New Roman" w:hAnsi="Times New Roman"/>
                      <w:b w:val="0"/>
                      <w:bCs/>
                      <w:color w:val="auto"/>
                      <w:sz w:val="21"/>
                      <w:szCs w:val="21"/>
                      <w:lang w:val="en-US" w:eastAsia="zh-CN"/>
                    </w:rPr>
                  </w:pPr>
                  <w:r>
                    <w:rPr>
                      <w:rFonts w:hint="eastAsia"/>
                      <w:b w:val="0"/>
                      <w:bCs/>
                      <w:color w:val="auto"/>
                      <w:sz w:val="21"/>
                      <w:szCs w:val="21"/>
                      <w:lang w:val="en-US" w:eastAsia="zh-CN"/>
                    </w:rPr>
                    <w:t>0.4</w:t>
                  </w:r>
                </w:p>
              </w:tc>
              <w:tc>
                <w:tcPr>
                  <w:tcW w:w="519" w:type="pct"/>
                  <w:tcBorders>
                    <w:tl2br w:val="nil"/>
                    <w:tr2bl w:val="nil"/>
                  </w:tcBorders>
                  <w:noWrap w:val="0"/>
                  <w:vAlign w:val="center"/>
                </w:tcPr>
                <w:p w14:paraId="488194AD">
                  <w:pPr>
                    <w:jc w:val="center"/>
                    <w:rPr>
                      <w:rFonts w:hint="default" w:ascii="Times New Roman" w:hAnsi="Times New Roman"/>
                      <w:b w:val="0"/>
                      <w:bCs/>
                      <w:color w:val="auto"/>
                      <w:sz w:val="21"/>
                      <w:szCs w:val="21"/>
                      <w:lang w:val="en-US" w:eastAsia="zh-CN"/>
                    </w:rPr>
                  </w:pPr>
                  <w:r>
                    <w:rPr>
                      <w:rFonts w:hint="eastAsia"/>
                      <w:b w:val="0"/>
                      <w:bCs/>
                      <w:color w:val="auto"/>
                      <w:sz w:val="21"/>
                      <w:szCs w:val="21"/>
                      <w:lang w:val="en-US" w:eastAsia="zh-CN"/>
                    </w:rPr>
                    <w:t>150</w:t>
                  </w:r>
                </w:p>
              </w:tc>
              <w:tc>
                <w:tcPr>
                  <w:tcW w:w="496" w:type="pct"/>
                  <w:tcBorders>
                    <w:tl2br w:val="nil"/>
                    <w:tr2bl w:val="nil"/>
                  </w:tcBorders>
                  <w:noWrap w:val="0"/>
                  <w:vAlign w:val="center"/>
                </w:tcPr>
                <w:p w14:paraId="6E892382">
                  <w:pPr>
                    <w:jc w:val="center"/>
                    <w:rPr>
                      <w:rFonts w:hint="default" w:ascii="Times New Roman" w:hAnsi="Times New Roman" w:eastAsia="宋体"/>
                      <w:b w:val="0"/>
                      <w:bCs/>
                      <w:color w:val="auto"/>
                      <w:sz w:val="21"/>
                      <w:szCs w:val="21"/>
                      <w:lang w:val="en-US" w:eastAsia="zh-CN"/>
                    </w:rPr>
                  </w:pPr>
                  <w:r>
                    <w:rPr>
                      <w:rFonts w:hint="eastAsia"/>
                      <w:b w:val="0"/>
                      <w:bCs/>
                      <w:color w:val="auto"/>
                      <w:sz w:val="21"/>
                      <w:szCs w:val="21"/>
                      <w:lang w:val="en-US" w:eastAsia="zh-CN"/>
                    </w:rPr>
                    <w:t>30</w:t>
                  </w:r>
                </w:p>
              </w:tc>
              <w:tc>
                <w:tcPr>
                  <w:tcW w:w="587" w:type="pct"/>
                  <w:tcBorders>
                    <w:tl2br w:val="nil"/>
                    <w:tr2bl w:val="nil"/>
                  </w:tcBorders>
                  <w:noWrap w:val="0"/>
                  <w:vAlign w:val="center"/>
                </w:tcPr>
                <w:p w14:paraId="1AF05C04">
                  <w:pPr>
                    <w:jc w:val="center"/>
                    <w:rPr>
                      <w:rFonts w:hint="default" w:ascii="Times New Roman" w:hAnsi="Times New Roman"/>
                      <w:b w:val="0"/>
                      <w:bCs/>
                      <w:color w:val="auto"/>
                      <w:sz w:val="21"/>
                      <w:szCs w:val="21"/>
                      <w:lang w:val="en-US" w:eastAsia="zh-CN"/>
                    </w:rPr>
                  </w:pPr>
                  <w:r>
                    <w:rPr>
                      <w:rFonts w:hint="eastAsia"/>
                      <w:b w:val="0"/>
                      <w:bCs/>
                      <w:color w:val="auto"/>
                      <w:sz w:val="21"/>
                      <w:szCs w:val="21"/>
                      <w:lang w:val="en-US" w:eastAsia="zh-CN"/>
                    </w:rPr>
                    <w:t>120</w:t>
                  </w:r>
                </w:p>
              </w:tc>
              <w:tc>
                <w:tcPr>
                  <w:tcW w:w="636" w:type="pct"/>
                  <w:vMerge w:val="restart"/>
                  <w:tcBorders>
                    <w:tl2br w:val="nil"/>
                    <w:tr2bl w:val="nil"/>
                  </w:tcBorders>
                  <w:noWrap w:val="0"/>
                  <w:vAlign w:val="center"/>
                </w:tcPr>
                <w:p w14:paraId="362C02A3">
                  <w:pPr>
                    <w:jc w:val="center"/>
                    <w:rPr>
                      <w:rFonts w:hint="default" w:ascii="Times New Roman" w:hAnsi="Times New Roman"/>
                      <w:b w:val="0"/>
                      <w:bCs/>
                      <w:color w:val="auto"/>
                      <w:sz w:val="21"/>
                      <w:szCs w:val="21"/>
                      <w:lang w:val="en-US" w:eastAsia="zh-CN"/>
                    </w:rPr>
                  </w:pPr>
                  <w:r>
                    <w:rPr>
                      <w:rFonts w:hint="eastAsia"/>
                      <w:b w:val="0"/>
                      <w:bCs/>
                      <w:color w:val="auto"/>
                      <w:sz w:val="21"/>
                      <w:szCs w:val="21"/>
                      <w:lang w:val="en-US" w:eastAsia="zh-CN"/>
                    </w:rPr>
                    <w:t>300</w:t>
                  </w:r>
                </w:p>
              </w:tc>
            </w:tr>
            <w:tr w14:paraId="73C5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4" w:type="pct"/>
                  <w:tcBorders>
                    <w:tl2br w:val="nil"/>
                    <w:tr2bl w:val="nil"/>
                  </w:tcBorders>
                  <w:noWrap w:val="0"/>
                  <w:vAlign w:val="center"/>
                </w:tcPr>
                <w:p w14:paraId="417EEAF3">
                  <w:pPr>
                    <w:jc w:val="center"/>
                    <w:rPr>
                      <w:rFonts w:hint="default"/>
                      <w:b w:val="0"/>
                      <w:bCs/>
                      <w:color w:val="auto"/>
                      <w:sz w:val="21"/>
                      <w:szCs w:val="21"/>
                      <w:lang w:val="en-US" w:eastAsia="zh-CN"/>
                    </w:rPr>
                  </w:pPr>
                  <w:r>
                    <w:rPr>
                      <w:rFonts w:hint="eastAsia"/>
                      <w:b w:val="0"/>
                      <w:bCs/>
                      <w:color w:val="auto"/>
                      <w:sz w:val="21"/>
                      <w:szCs w:val="21"/>
                      <w:lang w:val="en-US" w:eastAsia="zh-CN"/>
                    </w:rPr>
                    <w:t>石墨乳配比用水</w:t>
                  </w:r>
                </w:p>
              </w:tc>
              <w:tc>
                <w:tcPr>
                  <w:tcW w:w="774" w:type="pct"/>
                  <w:tcBorders>
                    <w:tl2br w:val="nil"/>
                    <w:tr2bl w:val="nil"/>
                  </w:tcBorders>
                  <w:noWrap w:val="0"/>
                  <w:vAlign w:val="center"/>
                </w:tcPr>
                <w:p w14:paraId="7CE133CC">
                  <w:pPr>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w:t>
                  </w:r>
                </w:p>
              </w:tc>
              <w:tc>
                <w:tcPr>
                  <w:tcW w:w="452" w:type="pct"/>
                  <w:tcBorders>
                    <w:tl2br w:val="nil"/>
                    <w:tr2bl w:val="nil"/>
                  </w:tcBorders>
                  <w:noWrap w:val="0"/>
                  <w:vAlign w:val="center"/>
                </w:tcPr>
                <w:p w14:paraId="4BAF7A3E">
                  <w:pPr>
                    <w:jc w:val="center"/>
                    <w:rPr>
                      <w:rFonts w:hint="default" w:ascii="Times New Roman" w:hAnsi="Times New Roman"/>
                      <w:b w:val="0"/>
                      <w:bCs/>
                      <w:color w:val="auto"/>
                      <w:sz w:val="21"/>
                      <w:szCs w:val="21"/>
                      <w:lang w:val="en-US" w:eastAsia="zh-CN"/>
                    </w:rPr>
                  </w:pPr>
                  <w:r>
                    <w:rPr>
                      <w:rFonts w:hint="eastAsia"/>
                      <w:b w:val="0"/>
                      <w:bCs/>
                      <w:color w:val="auto"/>
                      <w:sz w:val="21"/>
                      <w:szCs w:val="21"/>
                      <w:lang w:val="en-US" w:eastAsia="zh-CN"/>
                    </w:rPr>
                    <w:t>/</w:t>
                  </w:r>
                </w:p>
              </w:tc>
              <w:tc>
                <w:tcPr>
                  <w:tcW w:w="488" w:type="pct"/>
                  <w:tcBorders>
                    <w:tl2br w:val="nil"/>
                    <w:tr2bl w:val="nil"/>
                  </w:tcBorders>
                  <w:noWrap w:val="0"/>
                  <w:vAlign w:val="center"/>
                </w:tcPr>
                <w:p w14:paraId="3207437F">
                  <w:pPr>
                    <w:jc w:val="center"/>
                    <w:rPr>
                      <w:rFonts w:hint="default"/>
                      <w:b w:val="0"/>
                      <w:bCs/>
                      <w:color w:val="auto"/>
                      <w:sz w:val="21"/>
                      <w:szCs w:val="21"/>
                      <w:lang w:val="en-US" w:eastAsia="zh-CN"/>
                    </w:rPr>
                  </w:pPr>
                  <w:r>
                    <w:rPr>
                      <w:rFonts w:hint="eastAsia"/>
                      <w:b w:val="0"/>
                      <w:bCs/>
                      <w:color w:val="auto"/>
                      <w:sz w:val="21"/>
                      <w:szCs w:val="21"/>
                      <w:lang w:val="en-US" w:eastAsia="zh-CN"/>
                    </w:rPr>
                    <w:t>0.008</w:t>
                  </w:r>
                </w:p>
              </w:tc>
              <w:tc>
                <w:tcPr>
                  <w:tcW w:w="519" w:type="pct"/>
                  <w:tcBorders>
                    <w:tl2br w:val="nil"/>
                    <w:tr2bl w:val="nil"/>
                  </w:tcBorders>
                  <w:noWrap w:val="0"/>
                  <w:vAlign w:val="center"/>
                </w:tcPr>
                <w:p w14:paraId="66300F8F">
                  <w:pPr>
                    <w:jc w:val="center"/>
                    <w:rPr>
                      <w:rFonts w:hint="default"/>
                      <w:b w:val="0"/>
                      <w:bCs/>
                      <w:color w:val="auto"/>
                      <w:sz w:val="21"/>
                      <w:szCs w:val="21"/>
                      <w:lang w:val="en-US" w:eastAsia="zh-CN"/>
                    </w:rPr>
                  </w:pPr>
                  <w:r>
                    <w:rPr>
                      <w:rFonts w:hint="eastAsia"/>
                      <w:b w:val="0"/>
                      <w:bCs/>
                      <w:color w:val="auto"/>
                      <w:sz w:val="21"/>
                      <w:szCs w:val="21"/>
                      <w:lang w:val="en-US" w:eastAsia="zh-CN"/>
                    </w:rPr>
                    <w:t>2.25</w:t>
                  </w:r>
                </w:p>
              </w:tc>
              <w:tc>
                <w:tcPr>
                  <w:tcW w:w="496" w:type="pct"/>
                  <w:tcBorders>
                    <w:tl2br w:val="nil"/>
                    <w:tr2bl w:val="nil"/>
                  </w:tcBorders>
                  <w:noWrap w:val="0"/>
                  <w:vAlign w:val="center"/>
                </w:tcPr>
                <w:p w14:paraId="1BE34199">
                  <w:pPr>
                    <w:jc w:val="center"/>
                    <w:rPr>
                      <w:rFonts w:hint="default" w:ascii="Times New Roman" w:hAnsi="Times New Roman"/>
                      <w:b w:val="0"/>
                      <w:bCs/>
                      <w:color w:val="auto"/>
                      <w:sz w:val="21"/>
                      <w:szCs w:val="21"/>
                      <w:lang w:val="en-US" w:eastAsia="zh-CN"/>
                    </w:rPr>
                  </w:pPr>
                  <w:r>
                    <w:rPr>
                      <w:rFonts w:hint="eastAsia"/>
                      <w:b w:val="0"/>
                      <w:bCs/>
                      <w:color w:val="auto"/>
                      <w:sz w:val="21"/>
                      <w:szCs w:val="21"/>
                      <w:lang w:val="en-US" w:eastAsia="zh-CN"/>
                    </w:rPr>
                    <w:t>2.25</w:t>
                  </w:r>
                </w:p>
              </w:tc>
              <w:tc>
                <w:tcPr>
                  <w:tcW w:w="587" w:type="pct"/>
                  <w:tcBorders>
                    <w:tl2br w:val="nil"/>
                    <w:tr2bl w:val="nil"/>
                  </w:tcBorders>
                  <w:noWrap w:val="0"/>
                  <w:vAlign w:val="center"/>
                </w:tcPr>
                <w:p w14:paraId="38727BF0">
                  <w:pPr>
                    <w:jc w:val="center"/>
                    <w:rPr>
                      <w:rFonts w:hint="default" w:ascii="Times New Roman" w:hAnsi="Times New Roman"/>
                      <w:b w:val="0"/>
                      <w:bCs/>
                      <w:color w:val="auto"/>
                      <w:sz w:val="21"/>
                      <w:szCs w:val="21"/>
                      <w:lang w:val="en-US" w:eastAsia="zh-CN"/>
                    </w:rPr>
                  </w:pPr>
                  <w:r>
                    <w:rPr>
                      <w:rFonts w:hint="eastAsia"/>
                      <w:b w:val="0"/>
                      <w:bCs/>
                      <w:color w:val="auto"/>
                      <w:sz w:val="21"/>
                      <w:szCs w:val="21"/>
                      <w:lang w:val="en-US" w:eastAsia="zh-CN"/>
                    </w:rPr>
                    <w:t>/</w:t>
                  </w:r>
                </w:p>
              </w:tc>
              <w:tc>
                <w:tcPr>
                  <w:tcW w:w="636" w:type="pct"/>
                  <w:vMerge w:val="continue"/>
                  <w:tcBorders>
                    <w:tl2br w:val="nil"/>
                    <w:tr2bl w:val="nil"/>
                  </w:tcBorders>
                  <w:noWrap w:val="0"/>
                  <w:vAlign w:val="center"/>
                </w:tcPr>
                <w:p w14:paraId="57658065">
                  <w:pPr>
                    <w:jc w:val="center"/>
                    <w:rPr>
                      <w:rFonts w:hint="eastAsia" w:ascii="Times New Roman" w:hAnsi="Times New Roman"/>
                      <w:b w:val="0"/>
                      <w:bCs/>
                      <w:color w:val="auto"/>
                      <w:sz w:val="21"/>
                      <w:szCs w:val="21"/>
                      <w:lang w:val="en-US" w:eastAsia="zh-CN"/>
                    </w:rPr>
                  </w:pPr>
                </w:p>
              </w:tc>
            </w:tr>
            <w:tr w14:paraId="0334F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044" w:type="pct"/>
                  <w:tcBorders>
                    <w:tl2br w:val="nil"/>
                    <w:tr2bl w:val="nil"/>
                  </w:tcBorders>
                  <w:noWrap w:val="0"/>
                  <w:vAlign w:val="center"/>
                </w:tcPr>
                <w:p w14:paraId="592E4516">
                  <w:pPr>
                    <w:jc w:val="center"/>
                    <w:rPr>
                      <w:rFonts w:hint="eastAsia"/>
                      <w:b w:val="0"/>
                      <w:bCs/>
                      <w:color w:val="auto"/>
                      <w:sz w:val="21"/>
                      <w:szCs w:val="21"/>
                    </w:rPr>
                  </w:pPr>
                  <w:r>
                    <w:rPr>
                      <w:rFonts w:hint="eastAsia"/>
                      <w:b w:val="0"/>
                      <w:bCs/>
                      <w:color w:val="auto"/>
                      <w:sz w:val="21"/>
                      <w:szCs w:val="21"/>
                    </w:rPr>
                    <w:t>总计</w:t>
                  </w:r>
                </w:p>
              </w:tc>
              <w:tc>
                <w:tcPr>
                  <w:tcW w:w="774" w:type="pct"/>
                  <w:tcBorders>
                    <w:tl2br w:val="nil"/>
                    <w:tr2bl w:val="nil"/>
                  </w:tcBorders>
                  <w:noWrap w:val="0"/>
                  <w:vAlign w:val="center"/>
                </w:tcPr>
                <w:p w14:paraId="28804FC6">
                  <w:pPr>
                    <w:jc w:val="center"/>
                    <w:rPr>
                      <w:rFonts w:hint="eastAsia"/>
                      <w:b w:val="0"/>
                      <w:bCs/>
                      <w:color w:val="auto"/>
                      <w:sz w:val="21"/>
                      <w:szCs w:val="21"/>
                    </w:rPr>
                  </w:pPr>
                  <w:r>
                    <w:rPr>
                      <w:rFonts w:hint="eastAsia"/>
                      <w:b w:val="0"/>
                      <w:bCs/>
                      <w:color w:val="auto"/>
                      <w:sz w:val="21"/>
                      <w:szCs w:val="21"/>
                    </w:rPr>
                    <w:t>/</w:t>
                  </w:r>
                </w:p>
              </w:tc>
              <w:tc>
                <w:tcPr>
                  <w:tcW w:w="452" w:type="pct"/>
                  <w:tcBorders>
                    <w:tl2br w:val="nil"/>
                    <w:tr2bl w:val="nil"/>
                  </w:tcBorders>
                  <w:noWrap w:val="0"/>
                  <w:vAlign w:val="center"/>
                </w:tcPr>
                <w:p w14:paraId="1364FA63">
                  <w:pPr>
                    <w:jc w:val="center"/>
                    <w:rPr>
                      <w:rFonts w:hint="eastAsia"/>
                      <w:b w:val="0"/>
                      <w:bCs/>
                      <w:color w:val="auto"/>
                      <w:sz w:val="21"/>
                      <w:szCs w:val="21"/>
                    </w:rPr>
                  </w:pPr>
                  <w:r>
                    <w:rPr>
                      <w:rFonts w:hint="eastAsia"/>
                      <w:b w:val="0"/>
                      <w:bCs/>
                      <w:color w:val="auto"/>
                      <w:sz w:val="21"/>
                      <w:szCs w:val="21"/>
                    </w:rPr>
                    <w:t>/</w:t>
                  </w:r>
                </w:p>
              </w:tc>
              <w:tc>
                <w:tcPr>
                  <w:tcW w:w="488" w:type="pct"/>
                  <w:tcBorders>
                    <w:tl2br w:val="nil"/>
                    <w:tr2bl w:val="nil"/>
                  </w:tcBorders>
                  <w:noWrap w:val="0"/>
                  <w:vAlign w:val="center"/>
                </w:tcPr>
                <w:p w14:paraId="1600EC87">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0.408</w:t>
                  </w:r>
                </w:p>
              </w:tc>
              <w:tc>
                <w:tcPr>
                  <w:tcW w:w="519" w:type="pct"/>
                  <w:tcBorders>
                    <w:tl2br w:val="nil"/>
                    <w:tr2bl w:val="nil"/>
                  </w:tcBorders>
                  <w:noWrap w:val="0"/>
                  <w:vAlign w:val="center"/>
                </w:tcPr>
                <w:p w14:paraId="706E6323">
                  <w:pPr>
                    <w:keepNext w:val="0"/>
                    <w:keepLines w:val="0"/>
                    <w:widowControl/>
                    <w:suppressLineNumbers w:val="0"/>
                    <w:jc w:val="center"/>
                    <w:textAlignment w:val="center"/>
                    <w:rPr>
                      <w:rFonts w:hint="default" w:ascii="Times New Roman" w:hAnsi="Times New Roman" w:eastAsia="宋体" w:cs="Times New Roman"/>
                      <w:b w:val="0"/>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152.25</w:t>
                  </w:r>
                </w:p>
              </w:tc>
              <w:tc>
                <w:tcPr>
                  <w:tcW w:w="496" w:type="pct"/>
                  <w:tcBorders>
                    <w:tl2br w:val="nil"/>
                    <w:tr2bl w:val="nil"/>
                  </w:tcBorders>
                  <w:noWrap w:val="0"/>
                  <w:vAlign w:val="center"/>
                </w:tcPr>
                <w:p w14:paraId="38D305D0">
                  <w:pPr>
                    <w:keepNext w:val="0"/>
                    <w:keepLines w:val="0"/>
                    <w:widowControl/>
                    <w:suppressLineNumbers w:val="0"/>
                    <w:jc w:val="center"/>
                    <w:textAlignment w:val="center"/>
                    <w:rPr>
                      <w:rFonts w:hint="default" w:eastAsia="宋体"/>
                      <w:b w:val="0"/>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32.25</w:t>
                  </w:r>
                </w:p>
              </w:tc>
              <w:tc>
                <w:tcPr>
                  <w:tcW w:w="587" w:type="pct"/>
                  <w:tcBorders>
                    <w:tl2br w:val="nil"/>
                    <w:tr2bl w:val="nil"/>
                  </w:tcBorders>
                  <w:noWrap w:val="0"/>
                  <w:vAlign w:val="center"/>
                </w:tcPr>
                <w:p w14:paraId="108AF0AD">
                  <w:pPr>
                    <w:keepNext w:val="0"/>
                    <w:keepLines w:val="0"/>
                    <w:widowControl/>
                    <w:suppressLineNumbers w:val="0"/>
                    <w:jc w:val="center"/>
                    <w:textAlignment w:val="center"/>
                    <w:rPr>
                      <w:rFonts w:hint="default" w:eastAsia="宋体"/>
                      <w:b w:val="0"/>
                      <w:bCs/>
                      <w:color w:val="auto"/>
                      <w:sz w:val="21"/>
                      <w:szCs w:val="21"/>
                      <w:lang w:val="en-US" w:eastAsia="zh-CN"/>
                    </w:rPr>
                  </w:pPr>
                  <w:r>
                    <w:rPr>
                      <w:rFonts w:hint="default" w:ascii="Times New Roman" w:hAnsi="Times New Roman" w:eastAsia="宋体" w:cs="Times New Roman"/>
                      <w:i w:val="0"/>
                      <w:iCs w:val="0"/>
                      <w:color w:val="auto"/>
                      <w:kern w:val="0"/>
                      <w:sz w:val="21"/>
                      <w:szCs w:val="21"/>
                      <w:u w:val="none"/>
                      <w:lang w:val="en-US" w:eastAsia="zh-CN" w:bidi="ar"/>
                    </w:rPr>
                    <w:t>120</w:t>
                  </w:r>
                </w:p>
              </w:tc>
              <w:tc>
                <w:tcPr>
                  <w:tcW w:w="636" w:type="pct"/>
                  <w:tcBorders>
                    <w:tl2br w:val="nil"/>
                    <w:tr2bl w:val="nil"/>
                  </w:tcBorders>
                  <w:noWrap w:val="0"/>
                  <w:vAlign w:val="center"/>
                </w:tcPr>
                <w:p w14:paraId="72707679">
                  <w:pPr>
                    <w:jc w:val="center"/>
                    <w:rPr>
                      <w:rFonts w:hint="default" w:eastAsia="宋体"/>
                      <w:b w:val="0"/>
                      <w:bCs/>
                      <w:color w:val="auto"/>
                      <w:sz w:val="21"/>
                      <w:szCs w:val="21"/>
                      <w:lang w:val="en-US" w:eastAsia="zh-CN"/>
                    </w:rPr>
                  </w:pPr>
                  <w:r>
                    <w:rPr>
                      <w:rFonts w:hint="eastAsia"/>
                      <w:b w:val="0"/>
                      <w:bCs/>
                      <w:color w:val="auto"/>
                      <w:sz w:val="21"/>
                      <w:szCs w:val="21"/>
                      <w:lang w:val="en-US" w:eastAsia="zh-CN"/>
                    </w:rPr>
                    <w:t>/</w:t>
                  </w:r>
                </w:p>
              </w:tc>
            </w:tr>
          </w:tbl>
          <w:p w14:paraId="56087711">
            <w:pPr>
              <w:pStyle w:val="21"/>
              <w:ind w:left="0" w:leftChars="0" w:firstLine="0" w:firstLineChars="0"/>
              <w:jc w:val="center"/>
              <w:rPr>
                <w:b/>
                <w:bCs/>
                <w:color w:val="auto"/>
              </w:rPr>
            </w:pPr>
            <w:r>
              <w:rPr>
                <w:color w:val="auto"/>
              </w:rPr>
              <w:drawing>
                <wp:inline distT="0" distB="0" distL="114300" distR="114300">
                  <wp:extent cx="5137785" cy="1736090"/>
                  <wp:effectExtent l="0" t="0" r="5715" b="1651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8"/>
                          <a:stretch>
                            <a:fillRect/>
                          </a:stretch>
                        </pic:blipFill>
                        <pic:spPr>
                          <a:xfrm>
                            <a:off x="0" y="0"/>
                            <a:ext cx="5137785" cy="1736090"/>
                          </a:xfrm>
                          <a:prstGeom prst="rect">
                            <a:avLst/>
                          </a:prstGeom>
                          <a:noFill/>
                          <a:ln>
                            <a:noFill/>
                          </a:ln>
                        </pic:spPr>
                      </pic:pic>
                    </a:graphicData>
                  </a:graphic>
                </wp:inline>
              </w:drawing>
            </w:r>
          </w:p>
          <w:p w14:paraId="18EED861">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jc w:val="center"/>
              <w:textAlignment w:val="auto"/>
              <w:rPr>
                <w:color w:val="auto"/>
              </w:rPr>
            </w:pPr>
            <w:r>
              <w:rPr>
                <w:b/>
                <w:bCs/>
                <w:color w:val="auto"/>
              </w:rPr>
              <w:t>图</w:t>
            </w:r>
            <w:r>
              <w:rPr>
                <w:rFonts w:hint="eastAsia"/>
                <w:b/>
                <w:bCs/>
                <w:color w:val="auto"/>
                <w:lang w:val="en-US" w:eastAsia="zh-CN"/>
              </w:rPr>
              <w:t>2</w:t>
            </w:r>
            <w:r>
              <w:rPr>
                <w:rFonts w:hint="eastAsia"/>
                <w:b/>
                <w:bCs w:val="0"/>
                <w:color w:val="auto"/>
                <w:lang w:val="en-US" w:eastAsia="zh-CN"/>
              </w:rPr>
              <w:t>-1</w:t>
            </w:r>
            <w:r>
              <w:rPr>
                <w:rFonts w:hint="eastAsia"/>
                <w:b/>
                <w:bCs/>
                <w:color w:val="auto"/>
              </w:rPr>
              <w:t xml:space="preserve"> </w:t>
            </w:r>
            <w:r>
              <w:rPr>
                <w:b/>
                <w:bCs/>
                <w:color w:val="auto"/>
              </w:rPr>
              <w:t xml:space="preserve"> 项目水平衡图（单位：m</w:t>
            </w:r>
            <w:r>
              <w:rPr>
                <w:b/>
                <w:bCs/>
                <w:color w:val="auto"/>
                <w:vertAlign w:val="superscript"/>
              </w:rPr>
              <w:t>3</w:t>
            </w:r>
            <w:r>
              <w:rPr>
                <w:b/>
                <w:bCs/>
                <w:color w:val="auto"/>
              </w:rPr>
              <w:t>/</w:t>
            </w:r>
            <w:r>
              <w:rPr>
                <w:rFonts w:hint="eastAsia"/>
                <w:b/>
                <w:bCs/>
                <w:color w:val="auto"/>
              </w:rPr>
              <w:t>d</w:t>
            </w:r>
            <w:r>
              <w:rPr>
                <w:b/>
                <w:bCs/>
                <w:color w:val="auto"/>
              </w:rPr>
              <w:t>）</w:t>
            </w:r>
          </w:p>
          <w:p w14:paraId="215F392F">
            <w:pPr>
              <w:adjustRightInd w:val="0"/>
              <w:snapToGrid w:val="0"/>
              <w:spacing w:line="360" w:lineRule="auto"/>
              <w:ind w:firstLine="482" w:firstLineChars="200"/>
              <w:rPr>
                <w:b/>
                <w:bCs/>
                <w:color w:val="auto"/>
                <w:sz w:val="24"/>
                <w:szCs w:val="32"/>
              </w:rPr>
            </w:pPr>
            <w:r>
              <w:rPr>
                <w:rFonts w:hint="eastAsia"/>
                <w:b/>
                <w:bCs/>
                <w:color w:val="auto"/>
                <w:sz w:val="24"/>
                <w:szCs w:val="32"/>
              </w:rPr>
              <w:t>7.</w:t>
            </w:r>
            <w:r>
              <w:rPr>
                <w:b/>
                <w:bCs/>
                <w:color w:val="auto"/>
                <w:sz w:val="24"/>
                <w:szCs w:val="32"/>
              </w:rPr>
              <w:t>劳动定员与工作制度</w:t>
            </w:r>
          </w:p>
          <w:p w14:paraId="4662D376">
            <w:pPr>
              <w:adjustRightInd w:val="0"/>
              <w:snapToGrid w:val="0"/>
              <w:spacing w:line="360" w:lineRule="auto"/>
              <w:ind w:firstLine="480" w:firstLineChars="200"/>
              <w:rPr>
                <w:rFonts w:hint="default" w:eastAsia="宋体"/>
                <w:color w:val="auto"/>
                <w:sz w:val="24"/>
                <w:szCs w:val="32"/>
                <w:lang w:val="en-US" w:eastAsia="zh-CN"/>
              </w:rPr>
            </w:pPr>
            <w:r>
              <w:rPr>
                <w:color w:val="auto"/>
                <w:sz w:val="24"/>
              </w:rPr>
              <w:t>项目劳动定员</w:t>
            </w:r>
            <w:r>
              <w:rPr>
                <w:rFonts w:hint="eastAsia"/>
                <w:color w:val="auto"/>
                <w:sz w:val="24"/>
                <w:lang w:val="en-US" w:eastAsia="zh-CN"/>
              </w:rPr>
              <w:t>15</w:t>
            </w:r>
            <w:r>
              <w:rPr>
                <w:color w:val="auto"/>
                <w:sz w:val="24"/>
              </w:rPr>
              <w:t>人</w:t>
            </w:r>
            <w:r>
              <w:rPr>
                <w:rFonts w:hint="eastAsia"/>
                <w:color w:val="auto"/>
                <w:sz w:val="24"/>
              </w:rPr>
              <w:t>，</w:t>
            </w:r>
            <w:r>
              <w:rPr>
                <w:color w:val="auto"/>
                <w:sz w:val="24"/>
              </w:rPr>
              <w:t>工作制度为每天</w:t>
            </w:r>
            <w:r>
              <w:rPr>
                <w:rFonts w:hint="eastAsia"/>
                <w:color w:val="auto"/>
                <w:sz w:val="24"/>
                <w:lang w:val="en-US" w:eastAsia="zh-CN"/>
              </w:rPr>
              <w:t>8</w:t>
            </w:r>
            <w:r>
              <w:rPr>
                <w:color w:val="auto"/>
                <w:sz w:val="24"/>
              </w:rPr>
              <w:t>h</w:t>
            </w:r>
            <w:r>
              <w:rPr>
                <w:rFonts w:hint="eastAsia"/>
                <w:color w:val="auto"/>
                <w:sz w:val="24"/>
              </w:rPr>
              <w:t>，</w:t>
            </w:r>
            <w:r>
              <w:rPr>
                <w:rFonts w:hint="eastAsia"/>
                <w:color w:val="auto"/>
                <w:sz w:val="24"/>
                <w:lang w:eastAsia="zh-CN"/>
              </w:rPr>
              <w:t>两</w:t>
            </w:r>
            <w:r>
              <w:rPr>
                <w:color w:val="auto"/>
                <w:sz w:val="24"/>
              </w:rPr>
              <w:t>班制，全年工作</w:t>
            </w:r>
            <w:r>
              <w:rPr>
                <w:rFonts w:hint="eastAsia"/>
                <w:color w:val="auto"/>
                <w:sz w:val="24"/>
                <w:lang w:val="en-US" w:eastAsia="zh-CN"/>
              </w:rPr>
              <w:t>30</w:t>
            </w:r>
            <w:r>
              <w:rPr>
                <w:rFonts w:hint="eastAsia"/>
                <w:color w:val="auto"/>
                <w:sz w:val="24"/>
              </w:rPr>
              <w:t>0</w:t>
            </w:r>
            <w:r>
              <w:rPr>
                <w:color w:val="auto"/>
                <w:sz w:val="24"/>
              </w:rPr>
              <w:t>d</w:t>
            </w:r>
            <w:r>
              <w:rPr>
                <w:rFonts w:hint="eastAsia"/>
                <w:color w:val="auto"/>
                <w:sz w:val="24"/>
                <w:szCs w:val="32"/>
              </w:rPr>
              <w:t>。</w:t>
            </w:r>
            <w:r>
              <w:rPr>
                <w:rFonts w:hint="eastAsia"/>
                <w:color w:val="auto"/>
                <w:sz w:val="24"/>
                <w:szCs w:val="32"/>
                <w:lang w:val="en-US" w:eastAsia="zh-CN"/>
              </w:rPr>
              <w:t>厂内不提供食宿。</w:t>
            </w:r>
          </w:p>
          <w:p w14:paraId="17DEFB3D">
            <w:pPr>
              <w:adjustRightInd w:val="0"/>
              <w:snapToGrid w:val="0"/>
              <w:spacing w:line="360" w:lineRule="auto"/>
              <w:ind w:firstLine="482" w:firstLineChars="200"/>
              <w:rPr>
                <w:color w:val="auto"/>
                <w:sz w:val="24"/>
                <w:szCs w:val="32"/>
              </w:rPr>
            </w:pPr>
            <w:r>
              <w:rPr>
                <w:rFonts w:hint="eastAsia"/>
                <w:b/>
                <w:bCs/>
                <w:color w:val="auto"/>
                <w:sz w:val="24"/>
                <w:szCs w:val="32"/>
              </w:rPr>
              <w:t>8.</w:t>
            </w:r>
            <w:r>
              <w:rPr>
                <w:b/>
                <w:bCs/>
                <w:color w:val="auto"/>
                <w:sz w:val="24"/>
                <w:szCs w:val="32"/>
              </w:rPr>
              <w:t>厂区平面布置</w:t>
            </w:r>
          </w:p>
          <w:p w14:paraId="1D09D0A8">
            <w:pPr>
              <w:adjustRightInd w:val="0"/>
              <w:snapToGrid w:val="0"/>
              <w:spacing w:line="360" w:lineRule="auto"/>
              <w:ind w:firstLine="480" w:firstLineChars="200"/>
              <w:rPr>
                <w:color w:val="auto"/>
              </w:rPr>
            </w:pPr>
            <w:r>
              <w:rPr>
                <w:rFonts w:hint="eastAsia"/>
                <w:color w:val="auto"/>
                <w:sz w:val="24"/>
                <w:lang w:val="en-US" w:eastAsia="zh-CN"/>
              </w:rPr>
              <w:t>本项目占地1774m</w:t>
            </w:r>
            <w:r>
              <w:rPr>
                <w:rFonts w:hint="eastAsia"/>
                <w:color w:val="auto"/>
                <w:sz w:val="24"/>
                <w:vertAlign w:val="superscript"/>
                <w:lang w:val="en-US" w:eastAsia="zh-CN"/>
              </w:rPr>
              <w:t>2</w:t>
            </w:r>
            <w:r>
              <w:rPr>
                <w:rFonts w:hint="eastAsia"/>
                <w:color w:val="auto"/>
                <w:sz w:val="24"/>
                <w:lang w:val="en-US" w:eastAsia="zh-CN"/>
              </w:rPr>
              <w:t>，为东西走向厂房，大门位于厂房东侧，紧邻所租赁厂区内部道路，交通便利，租赁厂房内地面已硬化，现拟在厂房内设置生产加工区、原料区、成品区、办公区，其中办公区、库房拟设在厂房内东侧，生产设施置于厂房内西部、中部，布局合理、紧凑，功能分区明确，能够满足本项目日常生产需求，具体平面布置见附图。</w:t>
            </w:r>
          </w:p>
        </w:tc>
      </w:tr>
      <w:tr w14:paraId="40A78A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6" w:type="dxa"/>
            <w:noWrap w:val="0"/>
            <w:vAlign w:val="center"/>
          </w:tcPr>
          <w:p w14:paraId="1F39A039">
            <w:pPr>
              <w:pStyle w:val="19"/>
              <w:adjustRightInd w:val="0"/>
              <w:snapToGrid w:val="0"/>
              <w:spacing w:before="0" w:beforeAutospacing="0" w:after="0" w:afterAutospacing="0"/>
              <w:jc w:val="center"/>
              <w:rPr>
                <w:rFonts w:ascii="Times New Roman" w:hAnsi="Times New Roman"/>
                <w:color w:val="auto"/>
                <w:sz w:val="21"/>
                <w:szCs w:val="21"/>
              </w:rPr>
            </w:pPr>
            <w:r>
              <w:rPr>
                <w:rFonts w:ascii="Times New Roman" w:hAnsi="Times New Roman"/>
                <w:color w:val="auto"/>
                <w:szCs w:val="24"/>
              </w:rPr>
              <w:t>工艺流程和产排污环节</w:t>
            </w:r>
          </w:p>
        </w:tc>
        <w:tc>
          <w:tcPr>
            <w:tcW w:w="8313" w:type="dxa"/>
            <w:noWrap w:val="0"/>
            <w:vAlign w:val="top"/>
          </w:tcPr>
          <w:p w14:paraId="3262BB2F">
            <w:pPr>
              <w:adjustRightInd w:val="0"/>
              <w:snapToGrid w:val="0"/>
              <w:spacing w:line="360" w:lineRule="auto"/>
              <w:jc w:val="left"/>
              <w:rPr>
                <w:rFonts w:hint="eastAsia"/>
                <w:b/>
                <w:color w:val="auto"/>
                <w:sz w:val="24"/>
              </w:rPr>
            </w:pPr>
            <w:r>
              <w:rPr>
                <w:rFonts w:hint="eastAsia"/>
                <w:b/>
                <w:color w:val="auto"/>
                <w:sz w:val="24"/>
              </w:rPr>
              <w:t>主要污染工序及源强分析：</w:t>
            </w:r>
          </w:p>
          <w:p w14:paraId="4D1BF0F7">
            <w:pPr>
              <w:adjustRightInd w:val="0"/>
              <w:snapToGrid w:val="0"/>
              <w:spacing w:line="360" w:lineRule="auto"/>
              <w:ind w:firstLine="482" w:firstLineChars="200"/>
              <w:rPr>
                <w:rFonts w:hint="eastAsia"/>
                <w:bCs/>
                <w:color w:val="auto"/>
                <w:sz w:val="24"/>
                <w:highlight w:val="none"/>
                <w:lang w:val="en-US" w:eastAsia="zh-CN"/>
              </w:rPr>
            </w:pPr>
            <w:r>
              <w:rPr>
                <w:rFonts w:hint="eastAsia" w:cs="Times New Roman"/>
                <w:b/>
                <w:color w:val="auto"/>
                <w:sz w:val="24"/>
                <w:szCs w:val="21"/>
                <w:lang w:val="en-US" w:eastAsia="zh-CN"/>
              </w:rPr>
              <w:t>冷拉</w:t>
            </w:r>
            <w:r>
              <w:rPr>
                <w:rFonts w:hint="eastAsia" w:ascii="Times New Roman" w:hAnsi="Times New Roman" w:eastAsia="宋体" w:cs="Times New Roman"/>
                <w:b/>
                <w:color w:val="auto"/>
                <w:sz w:val="24"/>
                <w:szCs w:val="21"/>
                <w:lang w:val="en-US" w:eastAsia="zh-CN"/>
              </w:rPr>
              <w:t>生产</w:t>
            </w:r>
            <w:r>
              <w:rPr>
                <w:rFonts w:hint="eastAsia"/>
                <w:b/>
                <w:color w:val="auto"/>
                <w:sz w:val="24"/>
                <w:szCs w:val="21"/>
                <w:lang w:val="en-US" w:eastAsia="zh-CN"/>
              </w:rPr>
              <w:t>工艺流程及产污环节图：</w:t>
            </w:r>
          </w:p>
          <w:p w14:paraId="2D968BAD">
            <w:pPr>
              <w:adjustRightInd w:val="0"/>
              <w:snapToGrid w:val="0"/>
              <w:spacing w:line="360" w:lineRule="auto"/>
              <w:jc w:val="center"/>
              <w:rPr>
                <w:rFonts w:hint="eastAsia" w:ascii="Times New Roman" w:eastAsia="宋体" w:cs="Times New Roman"/>
                <w:b/>
                <w:color w:val="auto"/>
                <w:sz w:val="21"/>
                <w:szCs w:val="18"/>
                <w:lang w:eastAsia="zh-CN"/>
              </w:rPr>
            </w:pPr>
            <w:r>
              <w:rPr>
                <w:color w:val="auto"/>
              </w:rPr>
              <w:drawing>
                <wp:inline distT="0" distB="0" distL="114300" distR="114300">
                  <wp:extent cx="4591050" cy="1269365"/>
                  <wp:effectExtent l="0" t="0" r="0" b="698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9"/>
                          <a:stretch>
                            <a:fillRect/>
                          </a:stretch>
                        </pic:blipFill>
                        <pic:spPr>
                          <a:xfrm>
                            <a:off x="0" y="0"/>
                            <a:ext cx="4591050" cy="1269365"/>
                          </a:xfrm>
                          <a:prstGeom prst="rect">
                            <a:avLst/>
                          </a:prstGeom>
                          <a:noFill/>
                          <a:ln>
                            <a:noFill/>
                          </a:ln>
                        </pic:spPr>
                      </pic:pic>
                    </a:graphicData>
                  </a:graphic>
                </wp:inline>
              </w:drawing>
            </w:r>
          </w:p>
          <w:p w14:paraId="4304AF23">
            <w:pPr>
              <w:adjustRightInd w:val="0"/>
              <w:snapToGrid w:val="0"/>
              <w:spacing w:line="360" w:lineRule="auto"/>
              <w:jc w:val="center"/>
              <w:rPr>
                <w:rFonts w:hint="eastAsia" w:ascii="Times New Roman" w:eastAsia="宋体" w:cs="Times New Roman"/>
                <w:b/>
                <w:color w:val="auto"/>
                <w:sz w:val="21"/>
                <w:szCs w:val="18"/>
              </w:rPr>
            </w:pPr>
            <w:r>
              <w:rPr>
                <w:rFonts w:hint="eastAsia" w:ascii="Times New Roman" w:eastAsia="宋体" w:cs="Times New Roman"/>
                <w:b/>
                <w:color w:val="auto"/>
                <w:sz w:val="21"/>
                <w:szCs w:val="18"/>
              </w:rPr>
              <w:t>图</w:t>
            </w:r>
            <w:r>
              <w:rPr>
                <w:rFonts w:hint="eastAsia" w:cs="Times New Roman"/>
                <w:b/>
                <w:color w:val="auto"/>
                <w:sz w:val="21"/>
                <w:szCs w:val="18"/>
                <w:lang w:val="en-US" w:eastAsia="zh-CN"/>
              </w:rPr>
              <w:t>2</w:t>
            </w:r>
            <w:r>
              <w:rPr>
                <w:rFonts w:hint="eastAsia"/>
                <w:b/>
                <w:bCs w:val="0"/>
                <w:color w:val="auto"/>
                <w:lang w:val="en-US" w:eastAsia="zh-CN"/>
              </w:rPr>
              <w:t>-2</w:t>
            </w:r>
            <w:r>
              <w:rPr>
                <w:rFonts w:hint="eastAsia" w:ascii="Times New Roman" w:eastAsia="宋体" w:cs="Times New Roman"/>
                <w:b/>
                <w:color w:val="auto"/>
                <w:sz w:val="21"/>
                <w:szCs w:val="18"/>
              </w:rPr>
              <w:t xml:space="preserve">  </w:t>
            </w:r>
            <w:r>
              <w:rPr>
                <w:rFonts w:hint="eastAsia" w:ascii="Times New Roman" w:eastAsia="宋体" w:cs="Times New Roman"/>
                <w:b/>
                <w:color w:val="auto"/>
                <w:sz w:val="21"/>
                <w:szCs w:val="18"/>
                <w:lang w:val="en-US" w:eastAsia="zh-CN"/>
              </w:rPr>
              <w:t>本项目</w:t>
            </w:r>
            <w:r>
              <w:rPr>
                <w:rFonts w:hint="eastAsia" w:cs="Times New Roman"/>
                <w:b/>
                <w:color w:val="auto"/>
                <w:sz w:val="21"/>
                <w:szCs w:val="18"/>
                <w:lang w:val="en-US" w:eastAsia="zh-CN"/>
              </w:rPr>
              <w:t>冷拉</w:t>
            </w:r>
            <w:r>
              <w:rPr>
                <w:rFonts w:hint="eastAsia" w:ascii="Times New Roman" w:eastAsia="宋体" w:cs="Times New Roman"/>
                <w:b/>
                <w:color w:val="auto"/>
                <w:sz w:val="21"/>
                <w:szCs w:val="18"/>
              </w:rPr>
              <w:t>生产工艺流程图</w:t>
            </w:r>
          </w:p>
          <w:p w14:paraId="67F83C12">
            <w:pPr>
              <w:adjustRightInd w:val="0"/>
              <w:snapToGrid w:val="0"/>
              <w:spacing w:line="360" w:lineRule="auto"/>
              <w:ind w:firstLine="480" w:firstLineChars="200"/>
              <w:rPr>
                <w:rFonts w:hint="default"/>
                <w:b w:val="0"/>
                <w:bCs/>
                <w:color w:val="auto"/>
                <w:sz w:val="24"/>
                <w:lang w:val="en-US" w:eastAsia="zh-CN"/>
              </w:rPr>
            </w:pPr>
            <w:r>
              <w:rPr>
                <w:rFonts w:hint="eastAsia"/>
                <w:b w:val="0"/>
                <w:bCs/>
                <w:color w:val="auto"/>
                <w:sz w:val="24"/>
                <w:lang w:val="en-US" w:eastAsia="zh-CN"/>
              </w:rPr>
              <w:t>原料进厂：客户将需要拉丝的坯料送入厂内堆存。冷拉仅针对钛合金盘条进行拉丝加工。</w:t>
            </w:r>
          </w:p>
          <w:p w14:paraId="4E1A1661">
            <w:pPr>
              <w:adjustRightInd w:val="0"/>
              <w:snapToGrid w:val="0"/>
              <w:spacing w:line="360" w:lineRule="auto"/>
              <w:ind w:firstLine="480" w:firstLineChars="200"/>
              <w:rPr>
                <w:rFonts w:hint="eastAsia"/>
                <w:b w:val="0"/>
                <w:bCs/>
                <w:color w:val="auto"/>
                <w:sz w:val="24"/>
                <w:lang w:val="en-US" w:eastAsia="zh-CN"/>
              </w:rPr>
            </w:pPr>
            <w:r>
              <w:rPr>
                <w:rFonts w:hint="eastAsia"/>
                <w:b w:val="0"/>
                <w:bCs/>
                <w:color w:val="auto"/>
                <w:sz w:val="24"/>
                <w:lang w:val="en-US" w:eastAsia="zh-CN"/>
              </w:rPr>
              <w:t>扒皮：部分客户提供的坯料经无心车床进行去皮处理，达到加工要求，此工序会产生噪声及固废。</w:t>
            </w:r>
          </w:p>
          <w:p w14:paraId="0B8655CE">
            <w:pPr>
              <w:adjustRightInd w:val="0"/>
              <w:snapToGrid w:val="0"/>
              <w:spacing w:line="360" w:lineRule="auto"/>
              <w:ind w:firstLine="480" w:firstLineChars="200"/>
              <w:rPr>
                <w:rFonts w:hint="default"/>
                <w:b w:val="0"/>
                <w:bCs/>
                <w:color w:val="auto"/>
                <w:sz w:val="24"/>
                <w:lang w:val="en-US" w:eastAsia="zh-CN"/>
              </w:rPr>
            </w:pPr>
            <w:r>
              <w:rPr>
                <w:rFonts w:hint="eastAsia"/>
                <w:b w:val="0"/>
                <w:bCs/>
                <w:color w:val="auto"/>
                <w:sz w:val="24"/>
                <w:lang w:val="en-US" w:eastAsia="zh-CN"/>
              </w:rPr>
              <w:t>拉丝：将钛合金盘条直接送入冷拉双头拉丝机、冷拉机进行拉丝（原料穿过拉丝机模具漏斗状开口的同时，加入石墨乳溶液，线材穿过模具后，在拉丝轮上绕卷，当拉丝轮和卷取轮运转时，卷取轮提供坯料的牵引张力，在牵引张力的作用下，坯料通过拉丝轮卷绕使线材通过拉丝模具，使线材不断从粗至细）。生产过程是一个缓慢的过程，由于拉丝会使坯料表面温度升高，因此拉丝过程会带出部分石墨乳，水分在表面蒸发后，会产生少量粉尘，设备运行会产生一定的噪声。</w:t>
            </w:r>
          </w:p>
          <w:p w14:paraId="61C4A0ED">
            <w:pPr>
              <w:adjustRightInd w:val="0"/>
              <w:snapToGrid w:val="0"/>
              <w:spacing w:line="360" w:lineRule="auto"/>
              <w:ind w:firstLine="480" w:firstLineChars="200"/>
              <w:rPr>
                <w:rFonts w:hint="default"/>
                <w:b w:val="0"/>
                <w:bCs/>
                <w:color w:val="auto"/>
                <w:sz w:val="24"/>
                <w:lang w:val="en-US" w:eastAsia="zh-CN"/>
              </w:rPr>
            </w:pPr>
            <w:r>
              <w:rPr>
                <w:rFonts w:hint="eastAsia"/>
                <w:b w:val="0"/>
                <w:bCs/>
                <w:color w:val="auto"/>
                <w:sz w:val="24"/>
                <w:lang w:val="en-US" w:eastAsia="zh-CN"/>
              </w:rPr>
              <w:t>石墨乳：</w:t>
            </w:r>
            <w:r>
              <w:rPr>
                <w:rFonts w:hint="eastAsia"/>
                <w:b w:val="0"/>
                <w:bCs w:val="0"/>
                <w:color w:val="auto"/>
                <w:sz w:val="24"/>
                <w:szCs w:val="32"/>
                <w:lang w:val="en-US" w:eastAsia="zh-CN"/>
              </w:rPr>
              <w:t>石墨乳可对模具有良好的隔热降温作用。且石墨乳在高温下不分解、不燃烧，具有良好的化学稳定性和悬浮性。能延长模具的使用寿命1-3倍。具有良好的润滑性、脱模性、化学稳定性、高温附着性、提高模具使用寿命。</w:t>
            </w:r>
          </w:p>
          <w:p w14:paraId="7F185B2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b w:val="0"/>
                <w:bCs/>
                <w:color w:val="auto"/>
                <w:sz w:val="24"/>
                <w:lang w:val="en-US" w:eastAsia="zh-CN"/>
              </w:rPr>
              <w:t>根据客户所需外径规格</w:t>
            </w:r>
            <w:r>
              <w:rPr>
                <w:rFonts w:hint="eastAsia" w:ascii="Times New Roman" w:hAnsi="Times New Roman" w:eastAsia="宋体" w:cs="Times New Roman"/>
                <w:b w:val="0"/>
                <w:bCs/>
                <w:color w:val="auto"/>
                <w:sz w:val="24"/>
                <w:lang w:val="en-US" w:eastAsia="zh-CN"/>
              </w:rPr>
              <w:t>，使用冷拉丝机重复进行拉丝</w:t>
            </w:r>
            <w:r>
              <w:rPr>
                <w:rFonts w:hint="eastAsia"/>
                <w:b w:val="0"/>
                <w:bCs/>
                <w:color w:val="auto"/>
                <w:sz w:val="24"/>
                <w:lang w:val="en-US" w:eastAsia="zh-CN"/>
              </w:rPr>
              <w:t>作业，原料通过拉丝复绕机卷绕使线材通过拉丝模具，使线材不断从粗至细，从而得到不同规格的丝材。通过调节拉丝机的参数，如间距、速度等，确保得到所需外径的金属丝。</w:t>
            </w:r>
            <w:r>
              <w:rPr>
                <w:rFonts w:hint="default" w:ascii="Times New Roman" w:hAnsi="Times New Roman" w:eastAsia="宋体" w:cs="Times New Roman"/>
                <w:color w:val="auto"/>
                <w:sz w:val="24"/>
                <w:szCs w:val="32"/>
                <w:lang w:val="en-US" w:eastAsia="zh-CN"/>
              </w:rPr>
              <w:t>本项目最终可根据客户需求，将钛丝拉成</w:t>
            </w:r>
            <w:r>
              <w:rPr>
                <w:rFonts w:hint="eastAsia" w:cs="Times New Roman"/>
                <w:color w:val="auto"/>
                <w:sz w:val="24"/>
                <w:szCs w:val="32"/>
                <w:lang w:val="en-US" w:eastAsia="zh-CN"/>
              </w:rPr>
              <w:t>不同</w:t>
            </w:r>
            <w:r>
              <w:rPr>
                <w:rFonts w:hint="default" w:ascii="Times New Roman" w:hAnsi="Times New Roman" w:eastAsia="宋体" w:cs="Times New Roman"/>
                <w:color w:val="auto"/>
                <w:sz w:val="24"/>
                <w:szCs w:val="24"/>
                <w:highlight w:val="none"/>
                <w:lang w:val="en-US" w:eastAsia="zh-CN"/>
              </w:rPr>
              <w:t>规格</w:t>
            </w:r>
            <w:r>
              <w:rPr>
                <w:rFonts w:hint="eastAsia" w:cs="Times New Roman"/>
                <w:color w:val="auto"/>
                <w:sz w:val="24"/>
                <w:szCs w:val="24"/>
                <w:highlight w:val="none"/>
                <w:lang w:val="en-US" w:eastAsia="zh-CN"/>
              </w:rPr>
              <w:t>的金属丝</w:t>
            </w:r>
            <w:r>
              <w:rPr>
                <w:rFonts w:hint="default" w:ascii="Times New Roman" w:hAnsi="Times New Roman" w:eastAsia="宋体" w:cs="Times New Roman"/>
                <w:color w:val="auto"/>
                <w:sz w:val="24"/>
                <w:szCs w:val="24"/>
                <w:highlight w:val="none"/>
                <w:lang w:val="en-US" w:eastAsia="zh-CN"/>
              </w:rPr>
              <w:t>。</w:t>
            </w:r>
          </w:p>
          <w:p w14:paraId="3C55898F">
            <w:pPr>
              <w:adjustRightInd w:val="0"/>
              <w:snapToGrid w:val="0"/>
              <w:spacing w:line="360" w:lineRule="auto"/>
              <w:ind w:firstLine="480" w:firstLineChars="200"/>
              <w:rPr>
                <w:rFonts w:hint="eastAsia"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异型</w:t>
            </w:r>
            <w:r>
              <w:rPr>
                <w:rFonts w:hint="eastAsia" w:cs="Times New Roman"/>
                <w:color w:val="auto"/>
                <w:sz w:val="24"/>
                <w:szCs w:val="24"/>
                <w:highlight w:val="none"/>
                <w:lang w:val="en-US" w:eastAsia="zh-CN"/>
              </w:rPr>
              <w:t>轧制</w:t>
            </w:r>
            <w:r>
              <w:rPr>
                <w:rFonts w:hint="default"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约10t冷拉丝钛丝需根据客户所需尺寸规格对钛合金丝进行轧制（冷轧），轧制过程需要轧制油（抗磨液压油），轧制油直接加至设备油箱中，在轧制时通过油箱配套喷油装置向轧辊表面和变形区喷射轧制油，对轧辊起着冷却和润滑作用，冷轧工件表面的最高温度通常在50℃-60℃之间‌，工业用轧制油烟点温度在190℃-285℃之间，轧制油不进行分解。因此冷轧过程无废气产生，该过程主要会产生设备噪声及废冷轧油。</w:t>
            </w:r>
          </w:p>
          <w:p w14:paraId="69654F69">
            <w:pPr>
              <w:adjustRightInd w:val="0"/>
              <w:snapToGrid w:val="0"/>
              <w:spacing w:line="360" w:lineRule="auto"/>
              <w:ind w:firstLine="480" w:firstLineChars="200"/>
              <w:rPr>
                <w:rFonts w:hint="eastAsia"/>
                <w:b w:val="0"/>
                <w:bCs/>
                <w:color w:val="auto"/>
                <w:sz w:val="24"/>
                <w:lang w:val="en-US" w:eastAsia="zh-CN"/>
              </w:rPr>
            </w:pPr>
            <w:r>
              <w:rPr>
                <w:rFonts w:hint="eastAsia"/>
                <w:b w:val="0"/>
                <w:bCs/>
                <w:color w:val="auto"/>
                <w:sz w:val="24"/>
                <w:lang w:val="en-US" w:eastAsia="zh-CN"/>
              </w:rPr>
              <w:t>检验：将拉丝后的成品通过人工及物理检验设备，进行外径、表面平整度、丝材硬度的检验，合格后即为成品，交付客户。</w:t>
            </w:r>
          </w:p>
          <w:p w14:paraId="58A0ADAD">
            <w:pPr>
              <w:adjustRightInd w:val="0"/>
              <w:snapToGrid w:val="0"/>
              <w:spacing w:line="360" w:lineRule="auto"/>
              <w:ind w:firstLine="482" w:firstLineChars="200"/>
              <w:rPr>
                <w:rFonts w:hint="eastAsia" w:ascii="Times New Roman" w:hAnsi="Times New Roman" w:eastAsia="宋体" w:cs="Times New Roman"/>
                <w:b/>
                <w:color w:val="auto"/>
                <w:sz w:val="24"/>
                <w:szCs w:val="21"/>
                <w:lang w:val="en-US" w:eastAsia="zh-CN"/>
              </w:rPr>
            </w:pPr>
            <w:r>
              <w:rPr>
                <w:rFonts w:hint="eastAsia" w:ascii="Times New Roman" w:hAnsi="Times New Roman" w:eastAsia="宋体" w:cs="Times New Roman"/>
                <w:b/>
                <w:color w:val="auto"/>
                <w:sz w:val="24"/>
                <w:szCs w:val="21"/>
                <w:lang w:val="en-US" w:eastAsia="zh-CN"/>
              </w:rPr>
              <w:t>热拉生产工艺流程及产污环节图：</w:t>
            </w:r>
          </w:p>
          <w:p w14:paraId="70FE6631">
            <w:pPr>
              <w:adjustRightInd w:val="0"/>
              <w:snapToGrid w:val="0"/>
              <w:spacing w:line="360" w:lineRule="auto"/>
              <w:jc w:val="center"/>
              <w:rPr>
                <w:rFonts w:hint="eastAsia"/>
                <w:b w:val="0"/>
                <w:bCs/>
                <w:color w:val="auto"/>
                <w:sz w:val="24"/>
                <w:lang w:val="en-US" w:eastAsia="zh-CN"/>
              </w:rPr>
            </w:pPr>
            <w:r>
              <w:rPr>
                <w:color w:val="auto"/>
              </w:rPr>
              <w:drawing>
                <wp:inline distT="0" distB="0" distL="114300" distR="114300">
                  <wp:extent cx="4835525" cy="1812925"/>
                  <wp:effectExtent l="0" t="0" r="3175" b="1587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20"/>
                          <a:stretch>
                            <a:fillRect/>
                          </a:stretch>
                        </pic:blipFill>
                        <pic:spPr>
                          <a:xfrm>
                            <a:off x="0" y="0"/>
                            <a:ext cx="4835525" cy="1812925"/>
                          </a:xfrm>
                          <a:prstGeom prst="rect">
                            <a:avLst/>
                          </a:prstGeom>
                          <a:noFill/>
                          <a:ln>
                            <a:noFill/>
                          </a:ln>
                        </pic:spPr>
                      </pic:pic>
                    </a:graphicData>
                  </a:graphic>
                </wp:inline>
              </w:drawing>
            </w:r>
          </w:p>
          <w:p w14:paraId="400BB8B1">
            <w:pPr>
              <w:adjustRightInd w:val="0"/>
              <w:snapToGrid w:val="0"/>
              <w:spacing w:line="360" w:lineRule="auto"/>
              <w:jc w:val="center"/>
              <w:rPr>
                <w:rFonts w:hint="eastAsia"/>
                <w:b w:val="0"/>
                <w:bCs/>
                <w:color w:val="auto"/>
                <w:sz w:val="24"/>
                <w:lang w:val="en-US" w:eastAsia="zh-CN"/>
              </w:rPr>
            </w:pPr>
            <w:r>
              <w:rPr>
                <w:rFonts w:hint="eastAsia" w:ascii="Times New Roman" w:eastAsia="宋体" w:cs="Times New Roman"/>
                <w:b/>
                <w:color w:val="auto"/>
                <w:sz w:val="21"/>
                <w:szCs w:val="18"/>
              </w:rPr>
              <w:t>图</w:t>
            </w:r>
            <w:r>
              <w:rPr>
                <w:rFonts w:hint="eastAsia" w:cs="Times New Roman"/>
                <w:b/>
                <w:color w:val="auto"/>
                <w:sz w:val="21"/>
                <w:szCs w:val="18"/>
                <w:lang w:val="en-US" w:eastAsia="zh-CN"/>
              </w:rPr>
              <w:t>2</w:t>
            </w:r>
            <w:r>
              <w:rPr>
                <w:rFonts w:hint="eastAsia"/>
                <w:b/>
                <w:bCs w:val="0"/>
                <w:color w:val="auto"/>
                <w:lang w:val="en-US" w:eastAsia="zh-CN"/>
              </w:rPr>
              <w:t>-3</w:t>
            </w:r>
            <w:r>
              <w:rPr>
                <w:rFonts w:hint="eastAsia" w:ascii="Times New Roman" w:eastAsia="宋体" w:cs="Times New Roman"/>
                <w:b/>
                <w:color w:val="auto"/>
                <w:sz w:val="21"/>
                <w:szCs w:val="18"/>
              </w:rPr>
              <w:t xml:space="preserve">  </w:t>
            </w:r>
            <w:r>
              <w:rPr>
                <w:rFonts w:hint="eastAsia" w:ascii="Times New Roman" w:eastAsia="宋体" w:cs="Times New Roman"/>
                <w:b/>
                <w:color w:val="auto"/>
                <w:sz w:val="21"/>
                <w:szCs w:val="18"/>
                <w:lang w:val="en-US" w:eastAsia="zh-CN"/>
              </w:rPr>
              <w:t>本项目</w:t>
            </w:r>
            <w:r>
              <w:rPr>
                <w:rFonts w:hint="eastAsia" w:cs="Times New Roman"/>
                <w:b/>
                <w:color w:val="auto"/>
                <w:sz w:val="21"/>
                <w:szCs w:val="18"/>
                <w:lang w:val="en-US" w:eastAsia="zh-CN"/>
              </w:rPr>
              <w:t>热拉</w:t>
            </w:r>
            <w:r>
              <w:rPr>
                <w:rFonts w:hint="eastAsia" w:ascii="Times New Roman" w:eastAsia="宋体" w:cs="Times New Roman"/>
                <w:b/>
                <w:color w:val="auto"/>
                <w:sz w:val="21"/>
                <w:szCs w:val="18"/>
              </w:rPr>
              <w:t>生产工艺流程图</w:t>
            </w:r>
          </w:p>
          <w:p w14:paraId="50A92944">
            <w:pPr>
              <w:adjustRightInd w:val="0"/>
              <w:snapToGrid w:val="0"/>
              <w:spacing w:line="360" w:lineRule="auto"/>
              <w:ind w:firstLine="480" w:firstLineChars="200"/>
              <w:rPr>
                <w:rFonts w:hint="default"/>
                <w:b w:val="0"/>
                <w:bCs/>
                <w:color w:val="auto"/>
                <w:sz w:val="24"/>
                <w:lang w:val="en-US" w:eastAsia="zh-CN"/>
              </w:rPr>
            </w:pPr>
            <w:r>
              <w:rPr>
                <w:rFonts w:hint="eastAsia"/>
                <w:b w:val="0"/>
                <w:bCs/>
                <w:color w:val="auto"/>
                <w:sz w:val="24"/>
                <w:lang w:val="en-US" w:eastAsia="zh-CN"/>
              </w:rPr>
              <w:t>原料进厂：客户将需要拉丝的钛合金光亮盘条送入厂内堆存。</w:t>
            </w:r>
          </w:p>
          <w:p w14:paraId="49C13146">
            <w:pPr>
              <w:adjustRightInd w:val="0"/>
              <w:snapToGrid w:val="0"/>
              <w:spacing w:line="360" w:lineRule="auto"/>
              <w:ind w:firstLine="480" w:firstLineChars="200"/>
              <w:rPr>
                <w:rFonts w:hint="eastAsia"/>
                <w:b w:val="0"/>
                <w:bCs/>
                <w:color w:val="auto"/>
                <w:sz w:val="24"/>
                <w:lang w:val="en-US" w:eastAsia="zh-CN"/>
              </w:rPr>
            </w:pPr>
            <w:r>
              <w:rPr>
                <w:rFonts w:hint="eastAsia"/>
                <w:b w:val="0"/>
                <w:bCs/>
                <w:color w:val="auto"/>
                <w:sz w:val="24"/>
                <w:lang w:val="en-US" w:eastAsia="zh-CN"/>
              </w:rPr>
              <w:t>扒皮：部分客户提供的坯料经无心车床进行去皮处理，达到加工要求，此工序会产生噪声及固废。</w:t>
            </w:r>
          </w:p>
          <w:p w14:paraId="75E2365C">
            <w:pPr>
              <w:adjustRightInd w:val="0"/>
              <w:snapToGrid w:val="0"/>
              <w:spacing w:line="360" w:lineRule="auto"/>
              <w:ind w:firstLine="480" w:firstLineChars="200"/>
              <w:rPr>
                <w:rFonts w:hint="default"/>
                <w:b w:val="0"/>
                <w:bCs/>
                <w:color w:val="auto"/>
                <w:sz w:val="24"/>
                <w:lang w:val="en-US" w:eastAsia="zh-CN"/>
              </w:rPr>
            </w:pPr>
            <w:r>
              <w:rPr>
                <w:rFonts w:hint="eastAsia"/>
                <w:b w:val="0"/>
                <w:bCs/>
                <w:color w:val="auto"/>
                <w:sz w:val="24"/>
                <w:lang w:val="en-US" w:eastAsia="zh-CN"/>
              </w:rPr>
              <w:t>加热：去皮后钛合金光亮盘在加热炉内进行预热，预热至600℃-800℃，使坯料变得柔软、消除应力，利于后续拉伸操作。项目采用电能进行加热，因此过程中无废气产生，但会产生一定的固废。</w:t>
            </w:r>
          </w:p>
          <w:p w14:paraId="0FE9BAB1">
            <w:pPr>
              <w:adjustRightInd w:val="0"/>
              <w:snapToGrid w:val="0"/>
              <w:spacing w:line="360" w:lineRule="auto"/>
              <w:ind w:firstLine="480" w:firstLineChars="200"/>
              <w:rPr>
                <w:rFonts w:hint="default"/>
                <w:b w:val="0"/>
                <w:bCs w:val="0"/>
                <w:color w:val="auto"/>
                <w:sz w:val="24"/>
                <w:szCs w:val="32"/>
                <w:lang w:val="en-US" w:eastAsia="zh-CN"/>
              </w:rPr>
            </w:pPr>
            <w:r>
              <w:rPr>
                <w:rFonts w:hint="eastAsia"/>
                <w:b w:val="0"/>
                <w:bCs/>
                <w:color w:val="auto"/>
                <w:sz w:val="24"/>
                <w:lang w:val="en-US" w:eastAsia="zh-CN"/>
              </w:rPr>
              <w:t>拉丝：热拉丝机对加热后的材料进行拉伸，热拉过程需使用少量石墨乳进行拉丝，使用</w:t>
            </w:r>
            <w:r>
              <w:rPr>
                <w:rFonts w:hint="eastAsia"/>
                <w:b w:val="0"/>
                <w:bCs w:val="0"/>
                <w:color w:val="auto"/>
                <w:sz w:val="24"/>
                <w:szCs w:val="32"/>
                <w:lang w:val="en-US" w:eastAsia="zh-CN"/>
              </w:rPr>
              <w:t>石墨乳可对模具起到良好的隔热降温作用，且石墨乳在高温下不分解、不燃烧，具有良好的化学稳定性和悬浮性，能延长模具的使用寿命1-3倍，还具有良好的润滑性、脱模性、化学稳定性、高温附着性，可进一步提高模具的使用寿命。</w:t>
            </w:r>
            <w:r>
              <w:rPr>
                <w:rFonts w:hint="eastAsia"/>
                <w:b w:val="0"/>
                <w:bCs/>
                <w:color w:val="auto"/>
                <w:sz w:val="24"/>
                <w:lang w:val="en-US" w:eastAsia="zh-CN"/>
              </w:rPr>
              <w:t>由于拉丝会使坯料表面温度升高，因此拉丝过程会带出部分石墨乳，水分在表面蒸发后，会产生少量粉尘，且拉丝过程会产生一定的噪声</w:t>
            </w:r>
            <w:r>
              <w:rPr>
                <w:rFonts w:hint="eastAsia"/>
                <w:b w:val="0"/>
                <w:bCs w:val="0"/>
                <w:color w:val="auto"/>
                <w:sz w:val="24"/>
                <w:szCs w:val="32"/>
                <w:lang w:val="en-US" w:eastAsia="zh-CN"/>
              </w:rPr>
              <w:t>。</w:t>
            </w:r>
          </w:p>
          <w:p w14:paraId="4775D026">
            <w:pPr>
              <w:adjustRightInd w:val="0"/>
              <w:snapToGrid w:val="0"/>
              <w:spacing w:line="360" w:lineRule="auto"/>
              <w:ind w:firstLine="480" w:firstLineChars="200"/>
              <w:rPr>
                <w:rFonts w:hint="eastAsia"/>
                <w:b w:val="0"/>
                <w:bCs/>
                <w:color w:val="auto"/>
                <w:sz w:val="24"/>
                <w:lang w:val="en-US" w:eastAsia="zh-CN"/>
              </w:rPr>
            </w:pPr>
            <w:r>
              <w:rPr>
                <w:rFonts w:hint="eastAsia"/>
                <w:b w:val="0"/>
                <w:bCs/>
                <w:color w:val="auto"/>
                <w:sz w:val="24"/>
                <w:lang w:val="en-US" w:eastAsia="zh-CN"/>
              </w:rPr>
              <w:t>氩气保护退火：拉丝后通过管式加热炉对钛丝进行退火，此过程中将拉拔的钛丝在退火炉内加热至700℃左右，然后进行炉外冷却，为了减少断线率及保护钛合金丝表面，在炉内加入氩气对钛合金进行保护。退火后对初拉后的材料根据所需外径</w:t>
            </w:r>
            <w:r>
              <w:rPr>
                <w:rFonts w:hint="eastAsia" w:ascii="Times New Roman" w:hAnsi="Times New Roman" w:eastAsia="宋体" w:cs="Times New Roman"/>
                <w:b w:val="0"/>
                <w:bCs/>
                <w:color w:val="auto"/>
                <w:sz w:val="24"/>
                <w:lang w:val="en-US" w:eastAsia="zh-CN"/>
              </w:rPr>
              <w:t>规格，使用拉丝机重复上述预热－</w:t>
            </w:r>
            <w:r>
              <w:rPr>
                <w:rFonts w:hint="eastAsia"/>
                <w:b w:val="0"/>
                <w:bCs/>
                <w:color w:val="auto"/>
                <w:sz w:val="24"/>
                <w:lang w:val="en-US" w:eastAsia="zh-CN"/>
              </w:rPr>
              <w:t>拉丝－退火工序，最终使钛合金外径满足客户所需规格（本项目可将钛合金</w:t>
            </w:r>
            <w:r>
              <w:rPr>
                <w:rFonts w:hint="default" w:ascii="Times New Roman" w:hAnsi="Times New Roman" w:eastAsia="宋体" w:cs="Times New Roman"/>
                <w:color w:val="auto"/>
                <w:sz w:val="24"/>
                <w:szCs w:val="32"/>
                <w:lang w:val="en-US" w:eastAsia="zh-CN"/>
              </w:rPr>
              <w:t>拉成</w:t>
            </w:r>
            <w:r>
              <w:rPr>
                <w:rFonts w:hint="eastAsia" w:cs="Times New Roman"/>
                <w:color w:val="auto"/>
                <w:sz w:val="24"/>
                <w:szCs w:val="24"/>
                <w:highlight w:val="none"/>
                <w:lang w:val="en-US" w:eastAsia="zh-CN"/>
              </w:rPr>
              <w:t>不同</w:t>
            </w:r>
            <w:r>
              <w:rPr>
                <w:rFonts w:hint="default" w:ascii="Times New Roman" w:hAnsi="Times New Roman" w:eastAsia="宋体" w:cs="Times New Roman"/>
                <w:color w:val="auto"/>
                <w:sz w:val="24"/>
                <w:szCs w:val="24"/>
                <w:highlight w:val="none"/>
                <w:lang w:val="en-US" w:eastAsia="zh-CN"/>
              </w:rPr>
              <w:t>规格</w:t>
            </w:r>
            <w:r>
              <w:rPr>
                <w:rFonts w:hint="eastAsia"/>
                <w:b w:val="0"/>
                <w:bCs/>
                <w:color w:val="auto"/>
                <w:sz w:val="24"/>
                <w:lang w:val="en-US" w:eastAsia="zh-CN"/>
              </w:rPr>
              <w:t>）。项目使用电加热炉进行退火，无废气产生，但会产生一些废保温材料。</w:t>
            </w:r>
          </w:p>
          <w:p w14:paraId="15AA5EDB">
            <w:pPr>
              <w:adjustRightInd w:val="0"/>
              <w:snapToGrid w:val="0"/>
              <w:spacing w:line="360" w:lineRule="auto"/>
              <w:ind w:firstLine="480" w:firstLineChars="200"/>
              <w:rPr>
                <w:rFonts w:hint="default"/>
                <w:b w:val="0"/>
                <w:bCs/>
                <w:color w:val="auto"/>
                <w:sz w:val="24"/>
                <w:lang w:val="en-US" w:eastAsia="zh-CN"/>
              </w:rPr>
            </w:pPr>
            <w:r>
              <w:rPr>
                <w:rFonts w:hint="default"/>
                <w:b w:val="0"/>
                <w:bCs/>
                <w:color w:val="auto"/>
                <w:sz w:val="24"/>
                <w:lang w:val="en-US" w:eastAsia="zh-CN"/>
              </w:rPr>
              <w:t>矫直：达到客户需求的尺寸后，项目采用电热张力矫直，</w:t>
            </w:r>
            <w:r>
              <w:rPr>
                <w:rFonts w:hint="eastAsia"/>
                <w:b w:val="0"/>
                <w:bCs/>
                <w:color w:val="auto"/>
                <w:sz w:val="24"/>
                <w:lang w:val="en-US" w:eastAsia="zh-CN"/>
              </w:rPr>
              <w:t>在（</w:t>
            </w:r>
            <w:r>
              <w:rPr>
                <w:rFonts w:hint="default"/>
                <w:b w:val="0"/>
                <w:bCs/>
                <w:color w:val="auto"/>
                <w:sz w:val="24"/>
                <w:lang w:val="en-US" w:eastAsia="zh-CN"/>
              </w:rPr>
              <w:t>150℃-200℃）</w:t>
            </w:r>
            <w:r>
              <w:rPr>
                <w:rFonts w:hint="eastAsia"/>
                <w:b w:val="0"/>
                <w:bCs/>
                <w:color w:val="auto"/>
                <w:sz w:val="24"/>
                <w:lang w:val="en-US" w:eastAsia="zh-CN"/>
              </w:rPr>
              <w:t>的加热温度下对</w:t>
            </w:r>
            <w:r>
              <w:rPr>
                <w:rFonts w:hint="default"/>
                <w:b w:val="0"/>
                <w:bCs/>
                <w:color w:val="auto"/>
                <w:sz w:val="24"/>
                <w:lang w:val="en-US" w:eastAsia="zh-CN"/>
              </w:rPr>
              <w:t>钛合金丝材进行矫直。</w:t>
            </w:r>
          </w:p>
          <w:p w14:paraId="0735247D">
            <w:pPr>
              <w:adjustRightInd w:val="0"/>
              <w:snapToGrid w:val="0"/>
              <w:spacing w:line="360" w:lineRule="auto"/>
              <w:ind w:firstLine="480" w:firstLineChars="200"/>
              <w:rPr>
                <w:rFonts w:hint="eastAsia"/>
                <w:b w:val="0"/>
                <w:bCs/>
                <w:color w:val="auto"/>
                <w:sz w:val="24"/>
                <w:lang w:val="en-US" w:eastAsia="zh-CN"/>
              </w:rPr>
            </w:pPr>
            <w:r>
              <w:rPr>
                <w:rFonts w:hint="eastAsia"/>
                <w:b w:val="0"/>
                <w:bCs w:val="0"/>
                <w:color w:val="auto"/>
                <w:sz w:val="24"/>
                <w:szCs w:val="32"/>
                <w:lang w:val="en-US" w:eastAsia="zh-CN"/>
              </w:rPr>
              <w:t>检验：本项目采用自然冷却方式，将矫直的金属丝厂内自然冷却后进行检验，通过人工及物理检验设备，进行外径、表面平整度、丝材硬度的检验，合格后即为成品交付客户。</w:t>
            </w:r>
          </w:p>
          <w:p w14:paraId="42457CE3">
            <w:pPr>
              <w:adjustRightInd w:val="0"/>
              <w:snapToGrid w:val="0"/>
              <w:spacing w:line="360" w:lineRule="auto"/>
              <w:ind w:firstLine="482" w:firstLineChars="200"/>
              <w:rPr>
                <w:b/>
                <w:color w:val="auto"/>
                <w:szCs w:val="21"/>
              </w:rPr>
            </w:pPr>
            <w:r>
              <w:rPr>
                <w:rFonts w:hint="eastAsia"/>
                <w:b/>
                <w:color w:val="auto"/>
                <w:sz w:val="24"/>
              </w:rPr>
              <w:t>主要污染工序及污染因子识别：</w:t>
            </w:r>
          </w:p>
          <w:p w14:paraId="4062E596">
            <w:pPr>
              <w:adjustRightInd w:val="0"/>
              <w:snapToGrid w:val="0"/>
              <w:jc w:val="center"/>
              <w:rPr>
                <w:b/>
                <w:bCs/>
                <w:color w:val="auto"/>
                <w:szCs w:val="21"/>
              </w:rPr>
            </w:pPr>
            <w:r>
              <w:rPr>
                <w:b/>
                <w:bCs/>
                <w:color w:val="auto"/>
                <w:szCs w:val="21"/>
              </w:rPr>
              <w:t>表</w:t>
            </w:r>
            <w:r>
              <w:rPr>
                <w:rFonts w:hint="eastAsia"/>
                <w:b/>
                <w:bCs/>
                <w:color w:val="auto"/>
                <w:szCs w:val="21"/>
                <w:lang w:val="en-US" w:eastAsia="zh-CN"/>
              </w:rPr>
              <w:t>2</w:t>
            </w:r>
            <w:r>
              <w:rPr>
                <w:rFonts w:hint="eastAsia"/>
                <w:b/>
                <w:bCs/>
                <w:color w:val="auto"/>
                <w:lang w:val="en-US" w:eastAsia="zh-CN"/>
              </w:rPr>
              <w:t>-7</w:t>
            </w:r>
            <w:r>
              <w:rPr>
                <w:rFonts w:hint="eastAsia"/>
                <w:b/>
                <w:bCs/>
                <w:color w:val="auto"/>
                <w:szCs w:val="21"/>
              </w:rPr>
              <w:t xml:space="preserve">  </w:t>
            </w:r>
            <w:r>
              <w:rPr>
                <w:b/>
                <w:bCs/>
                <w:color w:val="auto"/>
                <w:szCs w:val="21"/>
              </w:rPr>
              <w:t>产污环节一览表</w:t>
            </w:r>
          </w:p>
          <w:tbl>
            <w:tblPr>
              <w:tblStyle w:val="2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5"/>
              <w:gridCol w:w="830"/>
              <w:gridCol w:w="1155"/>
              <w:gridCol w:w="1350"/>
              <w:gridCol w:w="3824"/>
            </w:tblGrid>
            <w:tr w14:paraId="51F37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2" w:type="pct"/>
                  <w:noWrap w:val="0"/>
                  <w:vAlign w:val="center"/>
                </w:tcPr>
                <w:p w14:paraId="297DD416">
                  <w:pPr>
                    <w:adjustRightInd w:val="0"/>
                    <w:snapToGrid w:val="0"/>
                    <w:jc w:val="center"/>
                    <w:rPr>
                      <w:rFonts w:hint="eastAsia"/>
                      <w:color w:val="auto"/>
                      <w:szCs w:val="21"/>
                    </w:rPr>
                  </w:pPr>
                  <w:r>
                    <w:rPr>
                      <w:rFonts w:hint="eastAsia"/>
                      <w:color w:val="auto"/>
                      <w:szCs w:val="21"/>
                    </w:rPr>
                    <w:t>污染物</w:t>
                  </w:r>
                </w:p>
              </w:tc>
              <w:tc>
                <w:tcPr>
                  <w:tcW w:w="1227" w:type="pct"/>
                  <w:gridSpan w:val="2"/>
                  <w:noWrap w:val="0"/>
                  <w:vAlign w:val="center"/>
                </w:tcPr>
                <w:p w14:paraId="4A390812">
                  <w:pPr>
                    <w:adjustRightInd w:val="0"/>
                    <w:snapToGrid w:val="0"/>
                    <w:jc w:val="center"/>
                    <w:rPr>
                      <w:rFonts w:hint="eastAsia"/>
                      <w:color w:val="auto"/>
                      <w:szCs w:val="21"/>
                    </w:rPr>
                  </w:pPr>
                  <w:r>
                    <w:rPr>
                      <w:rFonts w:hint="eastAsia"/>
                      <w:color w:val="auto"/>
                      <w:szCs w:val="21"/>
                    </w:rPr>
                    <w:t>产污环节</w:t>
                  </w:r>
                </w:p>
              </w:tc>
              <w:tc>
                <w:tcPr>
                  <w:tcW w:w="834" w:type="pct"/>
                  <w:noWrap w:val="0"/>
                  <w:vAlign w:val="center"/>
                </w:tcPr>
                <w:p w14:paraId="63A056EF">
                  <w:pPr>
                    <w:adjustRightInd w:val="0"/>
                    <w:snapToGrid w:val="0"/>
                    <w:jc w:val="center"/>
                    <w:rPr>
                      <w:color w:val="auto"/>
                      <w:szCs w:val="21"/>
                    </w:rPr>
                  </w:pPr>
                  <w:r>
                    <w:rPr>
                      <w:rFonts w:hint="eastAsia"/>
                      <w:color w:val="auto"/>
                      <w:szCs w:val="21"/>
                    </w:rPr>
                    <w:t>污染物名称</w:t>
                  </w:r>
                </w:p>
              </w:tc>
              <w:tc>
                <w:tcPr>
                  <w:tcW w:w="2365" w:type="pct"/>
                  <w:noWrap w:val="0"/>
                  <w:vAlign w:val="center"/>
                </w:tcPr>
                <w:p w14:paraId="597074AF">
                  <w:pPr>
                    <w:adjustRightInd w:val="0"/>
                    <w:snapToGrid w:val="0"/>
                    <w:jc w:val="center"/>
                    <w:rPr>
                      <w:rFonts w:hint="eastAsia"/>
                      <w:color w:val="auto"/>
                      <w:szCs w:val="21"/>
                    </w:rPr>
                  </w:pPr>
                  <w:r>
                    <w:rPr>
                      <w:rFonts w:hint="eastAsia"/>
                      <w:color w:val="auto"/>
                      <w:szCs w:val="21"/>
                    </w:rPr>
                    <w:t>污染因子</w:t>
                  </w:r>
                </w:p>
              </w:tc>
            </w:tr>
            <w:tr w14:paraId="49665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2" w:type="pct"/>
                  <w:noWrap w:val="0"/>
                  <w:vAlign w:val="center"/>
                </w:tcPr>
                <w:p w14:paraId="503B85FC">
                  <w:pPr>
                    <w:adjustRightInd w:val="0"/>
                    <w:snapToGrid w:val="0"/>
                    <w:jc w:val="center"/>
                    <w:rPr>
                      <w:rFonts w:hint="eastAsia" w:eastAsia="宋体"/>
                      <w:color w:val="auto"/>
                      <w:szCs w:val="21"/>
                      <w:lang w:val="en-US" w:eastAsia="zh-CN"/>
                    </w:rPr>
                  </w:pPr>
                  <w:r>
                    <w:rPr>
                      <w:rFonts w:hint="eastAsia"/>
                      <w:color w:val="auto"/>
                      <w:szCs w:val="21"/>
                      <w:lang w:val="en-US" w:eastAsia="zh-CN"/>
                    </w:rPr>
                    <w:t>废水</w:t>
                  </w:r>
                </w:p>
              </w:tc>
              <w:tc>
                <w:tcPr>
                  <w:tcW w:w="1227" w:type="pct"/>
                  <w:gridSpan w:val="2"/>
                  <w:noWrap w:val="0"/>
                  <w:vAlign w:val="center"/>
                </w:tcPr>
                <w:p w14:paraId="3B9E62E9">
                  <w:pPr>
                    <w:adjustRightInd w:val="0"/>
                    <w:snapToGrid w:val="0"/>
                    <w:jc w:val="center"/>
                    <w:rPr>
                      <w:rFonts w:hint="eastAsia" w:eastAsia="宋体"/>
                      <w:color w:val="auto"/>
                      <w:szCs w:val="21"/>
                      <w:lang w:val="en-US" w:eastAsia="zh-CN"/>
                    </w:rPr>
                  </w:pPr>
                  <w:r>
                    <w:rPr>
                      <w:rFonts w:hint="eastAsia"/>
                      <w:color w:val="auto"/>
                      <w:szCs w:val="21"/>
                      <w:lang w:val="en-US" w:eastAsia="zh-CN"/>
                    </w:rPr>
                    <w:t>生活过程</w:t>
                  </w:r>
                </w:p>
              </w:tc>
              <w:tc>
                <w:tcPr>
                  <w:tcW w:w="834" w:type="pct"/>
                  <w:noWrap w:val="0"/>
                  <w:vAlign w:val="center"/>
                </w:tcPr>
                <w:p w14:paraId="7B292CC4">
                  <w:pPr>
                    <w:adjustRightInd w:val="0"/>
                    <w:snapToGrid w:val="0"/>
                    <w:jc w:val="center"/>
                    <w:rPr>
                      <w:rFonts w:hint="eastAsia" w:eastAsia="宋体"/>
                      <w:color w:val="auto"/>
                      <w:szCs w:val="21"/>
                      <w:lang w:val="en-US" w:eastAsia="zh-CN"/>
                    </w:rPr>
                  </w:pPr>
                  <w:r>
                    <w:rPr>
                      <w:rFonts w:hint="eastAsia"/>
                      <w:color w:val="auto"/>
                      <w:szCs w:val="21"/>
                      <w:lang w:val="en-US" w:eastAsia="zh-CN"/>
                    </w:rPr>
                    <w:t>生活污水</w:t>
                  </w:r>
                </w:p>
              </w:tc>
              <w:tc>
                <w:tcPr>
                  <w:tcW w:w="2365" w:type="pct"/>
                  <w:noWrap w:val="0"/>
                  <w:vAlign w:val="center"/>
                </w:tcPr>
                <w:p w14:paraId="6E423DD2">
                  <w:pPr>
                    <w:adjustRightInd w:val="0"/>
                    <w:snapToGrid w:val="0"/>
                    <w:jc w:val="center"/>
                    <w:rPr>
                      <w:rFonts w:hint="default" w:eastAsia="宋体"/>
                      <w:color w:val="auto"/>
                      <w:szCs w:val="21"/>
                      <w:lang w:val="en-US" w:eastAsia="zh-CN"/>
                    </w:rPr>
                  </w:pPr>
                  <w:r>
                    <w:rPr>
                      <w:rFonts w:hint="eastAsia"/>
                      <w:color w:val="auto"/>
                      <w:szCs w:val="21"/>
                      <w:lang w:val="en-US" w:eastAsia="zh-CN"/>
                    </w:rPr>
                    <w:t>COD、BOD</w:t>
                  </w:r>
                  <w:r>
                    <w:rPr>
                      <w:rFonts w:hint="eastAsia"/>
                      <w:color w:val="auto"/>
                      <w:szCs w:val="21"/>
                      <w:vertAlign w:val="subscript"/>
                      <w:lang w:val="en-US" w:eastAsia="zh-CN"/>
                    </w:rPr>
                    <w:t>5</w:t>
                  </w:r>
                  <w:r>
                    <w:rPr>
                      <w:rFonts w:hint="eastAsia"/>
                      <w:color w:val="auto"/>
                      <w:szCs w:val="21"/>
                      <w:lang w:val="en-US" w:eastAsia="zh-CN"/>
                    </w:rPr>
                    <w:t>、氨氮、SS、总磷、总氮</w:t>
                  </w:r>
                </w:p>
              </w:tc>
            </w:tr>
            <w:tr w14:paraId="693E8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2" w:type="pct"/>
                  <w:noWrap w:val="0"/>
                  <w:vAlign w:val="center"/>
                </w:tcPr>
                <w:p w14:paraId="6764184C">
                  <w:pPr>
                    <w:adjustRightInd w:val="0"/>
                    <w:snapToGrid w:val="0"/>
                    <w:jc w:val="center"/>
                    <w:rPr>
                      <w:bCs/>
                      <w:color w:val="auto"/>
                      <w:szCs w:val="21"/>
                    </w:rPr>
                  </w:pPr>
                  <w:r>
                    <w:rPr>
                      <w:rFonts w:hint="eastAsia"/>
                      <w:bCs/>
                      <w:color w:val="auto"/>
                      <w:szCs w:val="21"/>
                    </w:rPr>
                    <w:t>噪声</w:t>
                  </w:r>
                </w:p>
              </w:tc>
              <w:tc>
                <w:tcPr>
                  <w:tcW w:w="1227" w:type="pct"/>
                  <w:gridSpan w:val="2"/>
                  <w:noWrap w:val="0"/>
                  <w:vAlign w:val="center"/>
                </w:tcPr>
                <w:p w14:paraId="44293E65">
                  <w:pPr>
                    <w:adjustRightInd w:val="0"/>
                    <w:snapToGrid w:val="0"/>
                    <w:jc w:val="center"/>
                    <w:rPr>
                      <w:rFonts w:hint="default"/>
                      <w:bCs/>
                      <w:color w:val="auto"/>
                      <w:szCs w:val="21"/>
                      <w:lang w:val="en-US"/>
                    </w:rPr>
                  </w:pPr>
                  <w:r>
                    <w:rPr>
                      <w:rFonts w:hint="eastAsia"/>
                      <w:bCs/>
                      <w:color w:val="auto"/>
                      <w:szCs w:val="21"/>
                      <w:lang w:val="en-US" w:eastAsia="zh-CN"/>
                    </w:rPr>
                    <w:t>生产过程</w:t>
                  </w:r>
                </w:p>
              </w:tc>
              <w:tc>
                <w:tcPr>
                  <w:tcW w:w="3200" w:type="pct"/>
                  <w:gridSpan w:val="2"/>
                  <w:noWrap w:val="0"/>
                  <w:vAlign w:val="center"/>
                </w:tcPr>
                <w:p w14:paraId="3EBFB7FA">
                  <w:pPr>
                    <w:adjustRightInd w:val="0"/>
                    <w:snapToGrid w:val="0"/>
                    <w:jc w:val="center"/>
                    <w:rPr>
                      <w:bCs/>
                      <w:color w:val="auto"/>
                      <w:szCs w:val="21"/>
                    </w:rPr>
                  </w:pPr>
                  <w:r>
                    <w:rPr>
                      <w:rFonts w:hint="eastAsia"/>
                      <w:bCs/>
                      <w:color w:val="auto"/>
                      <w:szCs w:val="21"/>
                      <w:lang w:eastAsia="zh-CN"/>
                    </w:rPr>
                    <w:t>设备</w:t>
                  </w:r>
                  <w:r>
                    <w:rPr>
                      <w:rFonts w:hint="eastAsia"/>
                      <w:bCs/>
                      <w:color w:val="auto"/>
                      <w:szCs w:val="21"/>
                    </w:rPr>
                    <w:t>噪声</w:t>
                  </w:r>
                </w:p>
              </w:tc>
            </w:tr>
            <w:tr w14:paraId="7C09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2" w:type="pct"/>
                  <w:vMerge w:val="restart"/>
                  <w:noWrap w:val="0"/>
                  <w:vAlign w:val="center"/>
                </w:tcPr>
                <w:p w14:paraId="207C9593">
                  <w:pPr>
                    <w:adjustRightInd w:val="0"/>
                    <w:snapToGrid w:val="0"/>
                    <w:jc w:val="center"/>
                    <w:rPr>
                      <w:rFonts w:hint="eastAsia" w:eastAsia="宋体"/>
                      <w:bCs/>
                      <w:color w:val="auto"/>
                      <w:szCs w:val="21"/>
                      <w:lang w:val="en-US" w:eastAsia="zh-CN"/>
                    </w:rPr>
                  </w:pPr>
                  <w:r>
                    <w:rPr>
                      <w:rFonts w:hint="eastAsia"/>
                      <w:bCs/>
                      <w:color w:val="auto"/>
                      <w:szCs w:val="21"/>
                      <w:lang w:val="en-US" w:eastAsia="zh-CN"/>
                    </w:rPr>
                    <w:t>固废</w:t>
                  </w:r>
                </w:p>
              </w:tc>
              <w:tc>
                <w:tcPr>
                  <w:tcW w:w="513" w:type="pct"/>
                  <w:vMerge w:val="restart"/>
                  <w:noWrap w:val="0"/>
                  <w:vAlign w:val="center"/>
                </w:tcPr>
                <w:p w14:paraId="67BAD844">
                  <w:pPr>
                    <w:adjustRightInd w:val="0"/>
                    <w:snapToGrid w:val="0"/>
                    <w:jc w:val="center"/>
                    <w:rPr>
                      <w:rFonts w:hint="default"/>
                      <w:bCs/>
                      <w:color w:val="auto"/>
                      <w:szCs w:val="21"/>
                      <w:lang w:val="en-US" w:eastAsia="zh-CN"/>
                    </w:rPr>
                  </w:pPr>
                  <w:r>
                    <w:rPr>
                      <w:rFonts w:hint="eastAsia"/>
                      <w:bCs/>
                      <w:color w:val="auto"/>
                      <w:szCs w:val="21"/>
                      <w:lang w:val="en-US" w:eastAsia="zh-CN"/>
                    </w:rPr>
                    <w:t>一般固废</w:t>
                  </w:r>
                </w:p>
              </w:tc>
              <w:tc>
                <w:tcPr>
                  <w:tcW w:w="714" w:type="pct"/>
                  <w:vMerge w:val="restart"/>
                  <w:noWrap w:val="0"/>
                  <w:vAlign w:val="center"/>
                </w:tcPr>
                <w:p w14:paraId="2DFC236F">
                  <w:pPr>
                    <w:adjustRightInd w:val="0"/>
                    <w:snapToGrid w:val="0"/>
                    <w:jc w:val="center"/>
                    <w:rPr>
                      <w:rFonts w:hint="default" w:eastAsia="宋体"/>
                      <w:bCs/>
                      <w:color w:val="auto"/>
                      <w:szCs w:val="21"/>
                      <w:lang w:val="en-US" w:eastAsia="zh-CN"/>
                    </w:rPr>
                  </w:pPr>
                  <w:r>
                    <w:rPr>
                      <w:rFonts w:hint="eastAsia"/>
                      <w:bCs/>
                      <w:color w:val="auto"/>
                      <w:szCs w:val="21"/>
                      <w:lang w:val="en-US" w:eastAsia="zh-CN"/>
                    </w:rPr>
                    <w:t>运营过程</w:t>
                  </w:r>
                </w:p>
              </w:tc>
              <w:tc>
                <w:tcPr>
                  <w:tcW w:w="3200" w:type="pct"/>
                  <w:gridSpan w:val="2"/>
                  <w:noWrap w:val="0"/>
                  <w:vAlign w:val="center"/>
                </w:tcPr>
                <w:p w14:paraId="060341D1">
                  <w:pPr>
                    <w:adjustRightInd w:val="0"/>
                    <w:snapToGrid w:val="0"/>
                    <w:jc w:val="center"/>
                    <w:rPr>
                      <w:rFonts w:hint="default"/>
                      <w:bCs/>
                      <w:color w:val="auto"/>
                      <w:szCs w:val="21"/>
                      <w:lang w:val="en-US" w:eastAsia="zh-CN"/>
                    </w:rPr>
                  </w:pPr>
                  <w:r>
                    <w:rPr>
                      <w:rFonts w:hint="eastAsia"/>
                      <w:bCs/>
                      <w:color w:val="auto"/>
                      <w:szCs w:val="21"/>
                      <w:lang w:val="en-US" w:eastAsia="zh-CN"/>
                    </w:rPr>
                    <w:t>收集粉尘</w:t>
                  </w:r>
                </w:p>
              </w:tc>
            </w:tr>
            <w:tr w14:paraId="32340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2" w:type="pct"/>
                  <w:vMerge w:val="continue"/>
                  <w:noWrap w:val="0"/>
                  <w:vAlign w:val="center"/>
                </w:tcPr>
                <w:p w14:paraId="32089FB6">
                  <w:pPr>
                    <w:adjustRightInd w:val="0"/>
                    <w:snapToGrid w:val="0"/>
                    <w:jc w:val="center"/>
                    <w:rPr>
                      <w:rFonts w:hint="eastAsia"/>
                      <w:bCs/>
                      <w:color w:val="auto"/>
                      <w:szCs w:val="21"/>
                      <w:lang w:val="en-US" w:eastAsia="zh-CN"/>
                    </w:rPr>
                  </w:pPr>
                </w:p>
              </w:tc>
              <w:tc>
                <w:tcPr>
                  <w:tcW w:w="513" w:type="pct"/>
                  <w:vMerge w:val="continue"/>
                  <w:noWrap w:val="0"/>
                  <w:vAlign w:val="center"/>
                </w:tcPr>
                <w:p w14:paraId="007A0EFB">
                  <w:pPr>
                    <w:adjustRightInd w:val="0"/>
                    <w:snapToGrid w:val="0"/>
                    <w:jc w:val="center"/>
                    <w:rPr>
                      <w:rFonts w:hint="eastAsia"/>
                      <w:bCs/>
                      <w:color w:val="auto"/>
                      <w:szCs w:val="21"/>
                      <w:lang w:val="en-US" w:eastAsia="zh-CN"/>
                    </w:rPr>
                  </w:pPr>
                </w:p>
              </w:tc>
              <w:tc>
                <w:tcPr>
                  <w:tcW w:w="714" w:type="pct"/>
                  <w:vMerge w:val="continue"/>
                  <w:noWrap w:val="0"/>
                  <w:vAlign w:val="center"/>
                </w:tcPr>
                <w:p w14:paraId="6D67AD69">
                  <w:pPr>
                    <w:adjustRightInd w:val="0"/>
                    <w:snapToGrid w:val="0"/>
                    <w:jc w:val="center"/>
                    <w:rPr>
                      <w:rFonts w:hint="eastAsia"/>
                      <w:bCs/>
                      <w:color w:val="auto"/>
                      <w:szCs w:val="21"/>
                      <w:lang w:val="en-US" w:eastAsia="zh-CN"/>
                    </w:rPr>
                  </w:pPr>
                </w:p>
              </w:tc>
              <w:tc>
                <w:tcPr>
                  <w:tcW w:w="3200" w:type="pct"/>
                  <w:gridSpan w:val="2"/>
                  <w:noWrap w:val="0"/>
                  <w:vAlign w:val="center"/>
                </w:tcPr>
                <w:p w14:paraId="52262EB6">
                  <w:pPr>
                    <w:adjustRightInd w:val="0"/>
                    <w:snapToGrid w:val="0"/>
                    <w:jc w:val="center"/>
                    <w:rPr>
                      <w:rFonts w:hint="eastAsia"/>
                      <w:bCs/>
                      <w:color w:val="auto"/>
                      <w:szCs w:val="21"/>
                      <w:lang w:val="en-US" w:eastAsia="zh-CN"/>
                    </w:rPr>
                  </w:pPr>
                  <w:r>
                    <w:rPr>
                      <w:rFonts w:hint="eastAsia"/>
                      <w:bCs/>
                      <w:color w:val="auto"/>
                      <w:szCs w:val="21"/>
                      <w:lang w:val="en-US" w:eastAsia="zh-CN"/>
                    </w:rPr>
                    <w:t>废金属料</w:t>
                  </w:r>
                </w:p>
              </w:tc>
            </w:tr>
            <w:tr w14:paraId="0A22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2" w:type="pct"/>
                  <w:vMerge w:val="continue"/>
                  <w:noWrap w:val="0"/>
                  <w:vAlign w:val="center"/>
                </w:tcPr>
                <w:p w14:paraId="5808CE36">
                  <w:pPr>
                    <w:adjustRightInd w:val="0"/>
                    <w:snapToGrid w:val="0"/>
                    <w:jc w:val="center"/>
                    <w:rPr>
                      <w:rFonts w:hint="eastAsia"/>
                      <w:bCs/>
                      <w:color w:val="auto"/>
                      <w:szCs w:val="21"/>
                      <w:lang w:val="en-US" w:eastAsia="zh-CN"/>
                    </w:rPr>
                  </w:pPr>
                </w:p>
              </w:tc>
              <w:tc>
                <w:tcPr>
                  <w:tcW w:w="513" w:type="pct"/>
                  <w:vMerge w:val="continue"/>
                  <w:noWrap w:val="0"/>
                  <w:vAlign w:val="center"/>
                </w:tcPr>
                <w:p w14:paraId="02F72C00">
                  <w:pPr>
                    <w:adjustRightInd w:val="0"/>
                    <w:snapToGrid w:val="0"/>
                    <w:jc w:val="center"/>
                    <w:rPr>
                      <w:rFonts w:hint="eastAsia"/>
                      <w:bCs/>
                      <w:color w:val="auto"/>
                      <w:szCs w:val="21"/>
                      <w:lang w:val="en-US" w:eastAsia="zh-CN"/>
                    </w:rPr>
                  </w:pPr>
                </w:p>
              </w:tc>
              <w:tc>
                <w:tcPr>
                  <w:tcW w:w="714" w:type="pct"/>
                  <w:vMerge w:val="restart"/>
                  <w:noWrap w:val="0"/>
                  <w:vAlign w:val="center"/>
                </w:tcPr>
                <w:p w14:paraId="5C2F4441">
                  <w:pPr>
                    <w:adjustRightInd w:val="0"/>
                    <w:snapToGrid w:val="0"/>
                    <w:jc w:val="center"/>
                    <w:rPr>
                      <w:rFonts w:hint="default" w:eastAsia="宋体"/>
                      <w:bCs/>
                      <w:color w:val="auto"/>
                      <w:szCs w:val="21"/>
                      <w:lang w:val="en-US" w:eastAsia="zh-CN"/>
                    </w:rPr>
                  </w:pPr>
                  <w:r>
                    <w:rPr>
                      <w:rFonts w:hint="eastAsia"/>
                      <w:bCs/>
                      <w:color w:val="auto"/>
                      <w:szCs w:val="21"/>
                      <w:lang w:val="en-US" w:eastAsia="zh-CN"/>
                    </w:rPr>
                    <w:t>设备维护保养</w:t>
                  </w:r>
                </w:p>
              </w:tc>
              <w:tc>
                <w:tcPr>
                  <w:tcW w:w="3200" w:type="pct"/>
                  <w:gridSpan w:val="2"/>
                  <w:noWrap w:val="0"/>
                  <w:vAlign w:val="center"/>
                </w:tcPr>
                <w:p w14:paraId="484AFF6F">
                  <w:pPr>
                    <w:adjustRightInd w:val="0"/>
                    <w:snapToGrid w:val="0"/>
                    <w:jc w:val="center"/>
                    <w:rPr>
                      <w:rFonts w:hint="eastAsia"/>
                      <w:bCs/>
                      <w:color w:val="auto"/>
                      <w:szCs w:val="21"/>
                      <w:lang w:val="en-US" w:eastAsia="zh-CN"/>
                    </w:rPr>
                  </w:pPr>
                  <w:r>
                    <w:rPr>
                      <w:rFonts w:hint="eastAsia"/>
                      <w:bCs/>
                      <w:color w:val="auto"/>
                      <w:szCs w:val="21"/>
                      <w:lang w:val="en-US" w:eastAsia="zh-CN"/>
                    </w:rPr>
                    <w:t>废保温材料</w:t>
                  </w:r>
                </w:p>
              </w:tc>
            </w:tr>
            <w:tr w14:paraId="50E4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2" w:type="pct"/>
                  <w:vMerge w:val="continue"/>
                  <w:noWrap w:val="0"/>
                  <w:vAlign w:val="center"/>
                </w:tcPr>
                <w:p w14:paraId="4E37B100">
                  <w:pPr>
                    <w:adjustRightInd w:val="0"/>
                    <w:snapToGrid w:val="0"/>
                    <w:jc w:val="center"/>
                    <w:rPr>
                      <w:rFonts w:hint="eastAsia" w:eastAsia="宋体"/>
                      <w:bCs/>
                      <w:color w:val="auto"/>
                      <w:szCs w:val="21"/>
                      <w:lang w:val="en-US" w:eastAsia="zh-CN"/>
                    </w:rPr>
                  </w:pPr>
                </w:p>
              </w:tc>
              <w:tc>
                <w:tcPr>
                  <w:tcW w:w="513" w:type="pct"/>
                  <w:vMerge w:val="restart"/>
                  <w:noWrap w:val="0"/>
                  <w:vAlign w:val="center"/>
                </w:tcPr>
                <w:p w14:paraId="05A0A112">
                  <w:pPr>
                    <w:adjustRightInd w:val="0"/>
                    <w:snapToGrid w:val="0"/>
                    <w:jc w:val="center"/>
                    <w:rPr>
                      <w:rFonts w:hint="eastAsia" w:eastAsia="宋体"/>
                      <w:bCs/>
                      <w:color w:val="auto"/>
                      <w:szCs w:val="21"/>
                      <w:lang w:val="en-US" w:eastAsia="zh-CN"/>
                    </w:rPr>
                  </w:pPr>
                  <w:r>
                    <w:rPr>
                      <w:rFonts w:hint="eastAsia"/>
                      <w:bCs/>
                      <w:color w:val="auto"/>
                      <w:szCs w:val="21"/>
                      <w:lang w:val="en-US" w:eastAsia="zh-CN"/>
                    </w:rPr>
                    <w:t>危险废物</w:t>
                  </w:r>
                </w:p>
              </w:tc>
              <w:tc>
                <w:tcPr>
                  <w:tcW w:w="714" w:type="pct"/>
                  <w:vMerge w:val="continue"/>
                  <w:noWrap w:val="0"/>
                  <w:vAlign w:val="center"/>
                </w:tcPr>
                <w:p w14:paraId="28CD890C">
                  <w:pPr>
                    <w:adjustRightInd w:val="0"/>
                    <w:snapToGrid w:val="0"/>
                    <w:jc w:val="center"/>
                    <w:rPr>
                      <w:rFonts w:hint="default" w:eastAsia="宋体"/>
                      <w:bCs/>
                      <w:color w:val="auto"/>
                      <w:szCs w:val="21"/>
                      <w:lang w:val="en-US" w:eastAsia="zh-CN"/>
                    </w:rPr>
                  </w:pPr>
                </w:p>
              </w:tc>
              <w:tc>
                <w:tcPr>
                  <w:tcW w:w="3200" w:type="pct"/>
                  <w:gridSpan w:val="2"/>
                  <w:noWrap w:val="0"/>
                  <w:vAlign w:val="center"/>
                </w:tcPr>
                <w:p w14:paraId="0D967C1E">
                  <w:pPr>
                    <w:adjustRightInd w:val="0"/>
                    <w:snapToGrid w:val="0"/>
                    <w:jc w:val="center"/>
                    <w:rPr>
                      <w:rFonts w:hint="default" w:eastAsia="宋体"/>
                      <w:bCs/>
                      <w:color w:val="auto"/>
                      <w:szCs w:val="21"/>
                      <w:lang w:val="en-US" w:eastAsia="zh-CN"/>
                    </w:rPr>
                  </w:pPr>
                  <w:r>
                    <w:rPr>
                      <w:rFonts w:hint="eastAsia"/>
                      <w:bCs/>
                      <w:color w:val="auto"/>
                      <w:szCs w:val="21"/>
                      <w:lang w:val="en-US" w:eastAsia="zh-CN"/>
                    </w:rPr>
                    <w:t>废润滑油、废油桶</w:t>
                  </w:r>
                </w:p>
              </w:tc>
            </w:tr>
            <w:tr w14:paraId="5D2A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2" w:type="pct"/>
                  <w:vMerge w:val="continue"/>
                  <w:noWrap w:val="0"/>
                  <w:vAlign w:val="center"/>
                </w:tcPr>
                <w:p w14:paraId="17223EB9">
                  <w:pPr>
                    <w:adjustRightInd w:val="0"/>
                    <w:snapToGrid w:val="0"/>
                    <w:jc w:val="center"/>
                    <w:rPr>
                      <w:rFonts w:hint="eastAsia"/>
                      <w:bCs/>
                      <w:color w:val="auto"/>
                      <w:szCs w:val="21"/>
                    </w:rPr>
                  </w:pPr>
                </w:p>
              </w:tc>
              <w:tc>
                <w:tcPr>
                  <w:tcW w:w="513" w:type="pct"/>
                  <w:vMerge w:val="continue"/>
                  <w:noWrap w:val="0"/>
                  <w:vAlign w:val="center"/>
                </w:tcPr>
                <w:p w14:paraId="4CFBC3BF">
                  <w:pPr>
                    <w:adjustRightInd w:val="0"/>
                    <w:snapToGrid w:val="0"/>
                    <w:jc w:val="center"/>
                    <w:rPr>
                      <w:rFonts w:hint="eastAsia"/>
                      <w:bCs/>
                      <w:color w:val="auto"/>
                      <w:szCs w:val="21"/>
                      <w:lang w:val="en-US" w:eastAsia="zh-CN"/>
                    </w:rPr>
                  </w:pPr>
                </w:p>
              </w:tc>
              <w:tc>
                <w:tcPr>
                  <w:tcW w:w="714" w:type="pct"/>
                  <w:vMerge w:val="continue"/>
                  <w:noWrap w:val="0"/>
                  <w:vAlign w:val="center"/>
                </w:tcPr>
                <w:p w14:paraId="4A109095">
                  <w:pPr>
                    <w:adjustRightInd w:val="0"/>
                    <w:snapToGrid w:val="0"/>
                    <w:jc w:val="center"/>
                    <w:rPr>
                      <w:rFonts w:hint="eastAsia"/>
                      <w:bCs/>
                      <w:color w:val="auto"/>
                      <w:szCs w:val="21"/>
                      <w:lang w:val="en-US" w:eastAsia="zh-CN"/>
                    </w:rPr>
                  </w:pPr>
                </w:p>
              </w:tc>
              <w:tc>
                <w:tcPr>
                  <w:tcW w:w="3200" w:type="pct"/>
                  <w:gridSpan w:val="2"/>
                  <w:noWrap w:val="0"/>
                  <w:vAlign w:val="center"/>
                </w:tcPr>
                <w:p w14:paraId="25E88E8F">
                  <w:pPr>
                    <w:adjustRightInd w:val="0"/>
                    <w:snapToGrid w:val="0"/>
                    <w:jc w:val="center"/>
                    <w:rPr>
                      <w:rFonts w:hint="default"/>
                      <w:bCs/>
                      <w:color w:val="auto"/>
                      <w:szCs w:val="21"/>
                      <w:lang w:val="en-US" w:eastAsia="zh-CN"/>
                    </w:rPr>
                  </w:pPr>
                  <w:r>
                    <w:rPr>
                      <w:rFonts w:hint="eastAsia"/>
                      <w:bCs/>
                      <w:color w:val="auto"/>
                      <w:szCs w:val="21"/>
                      <w:lang w:val="en-US" w:eastAsia="zh-CN"/>
                    </w:rPr>
                    <w:t>废含油抹布手套</w:t>
                  </w:r>
                </w:p>
              </w:tc>
            </w:tr>
            <w:tr w14:paraId="3B763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572" w:type="pct"/>
                  <w:vMerge w:val="continue"/>
                  <w:noWrap w:val="0"/>
                  <w:vAlign w:val="center"/>
                </w:tcPr>
                <w:p w14:paraId="7F2740AB">
                  <w:pPr>
                    <w:adjustRightInd w:val="0"/>
                    <w:snapToGrid w:val="0"/>
                    <w:jc w:val="center"/>
                    <w:rPr>
                      <w:rFonts w:hint="eastAsia"/>
                      <w:bCs/>
                      <w:color w:val="auto"/>
                      <w:szCs w:val="21"/>
                    </w:rPr>
                  </w:pPr>
                </w:p>
              </w:tc>
              <w:tc>
                <w:tcPr>
                  <w:tcW w:w="513" w:type="pct"/>
                  <w:noWrap w:val="0"/>
                  <w:vAlign w:val="center"/>
                </w:tcPr>
                <w:p w14:paraId="0FF29BD9">
                  <w:pPr>
                    <w:adjustRightInd w:val="0"/>
                    <w:snapToGrid w:val="0"/>
                    <w:jc w:val="center"/>
                    <w:rPr>
                      <w:bCs/>
                      <w:color w:val="auto"/>
                      <w:szCs w:val="21"/>
                    </w:rPr>
                  </w:pPr>
                  <w:r>
                    <w:rPr>
                      <w:rFonts w:hint="eastAsia"/>
                      <w:bCs/>
                      <w:color w:val="auto"/>
                      <w:szCs w:val="21"/>
                    </w:rPr>
                    <w:t>生活垃圾</w:t>
                  </w:r>
                </w:p>
              </w:tc>
              <w:tc>
                <w:tcPr>
                  <w:tcW w:w="714" w:type="pct"/>
                  <w:noWrap w:val="0"/>
                  <w:vAlign w:val="center"/>
                </w:tcPr>
                <w:p w14:paraId="69DF5587">
                  <w:pPr>
                    <w:adjustRightInd w:val="0"/>
                    <w:snapToGrid w:val="0"/>
                    <w:jc w:val="center"/>
                    <w:rPr>
                      <w:bCs/>
                      <w:color w:val="auto"/>
                      <w:szCs w:val="21"/>
                    </w:rPr>
                  </w:pPr>
                  <w:r>
                    <w:rPr>
                      <w:rFonts w:hint="eastAsia"/>
                      <w:bCs/>
                      <w:color w:val="auto"/>
                      <w:szCs w:val="21"/>
                    </w:rPr>
                    <w:t>员工生活</w:t>
                  </w:r>
                </w:p>
              </w:tc>
              <w:tc>
                <w:tcPr>
                  <w:tcW w:w="3200" w:type="pct"/>
                  <w:gridSpan w:val="2"/>
                  <w:noWrap w:val="0"/>
                  <w:vAlign w:val="center"/>
                </w:tcPr>
                <w:p w14:paraId="2EA2BE1E">
                  <w:pPr>
                    <w:adjustRightInd w:val="0"/>
                    <w:snapToGrid w:val="0"/>
                    <w:jc w:val="center"/>
                    <w:rPr>
                      <w:bCs/>
                      <w:color w:val="auto"/>
                      <w:szCs w:val="21"/>
                    </w:rPr>
                  </w:pPr>
                  <w:r>
                    <w:rPr>
                      <w:rFonts w:hint="eastAsia"/>
                      <w:bCs/>
                      <w:color w:val="auto"/>
                      <w:szCs w:val="21"/>
                    </w:rPr>
                    <w:t>生活垃圾</w:t>
                  </w:r>
                </w:p>
              </w:tc>
            </w:tr>
          </w:tbl>
          <w:p w14:paraId="37F9CD70">
            <w:pPr>
              <w:adjustRightInd w:val="0"/>
              <w:snapToGrid w:val="0"/>
              <w:rPr>
                <w:rFonts w:hint="eastAsia"/>
                <w:bCs/>
                <w:color w:val="auto"/>
                <w:szCs w:val="21"/>
              </w:rPr>
            </w:pPr>
          </w:p>
        </w:tc>
      </w:tr>
      <w:tr w14:paraId="40F5A3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01" w:hRule="atLeast"/>
          <w:jc w:val="center"/>
        </w:trPr>
        <w:tc>
          <w:tcPr>
            <w:tcW w:w="746" w:type="dxa"/>
            <w:noWrap w:val="0"/>
            <w:vAlign w:val="center"/>
          </w:tcPr>
          <w:p w14:paraId="0944F5B1">
            <w:pPr>
              <w:pStyle w:val="19"/>
              <w:adjustRightInd w:val="0"/>
              <w:snapToGrid w:val="0"/>
              <w:spacing w:before="0" w:beforeAutospacing="0" w:after="0" w:afterAutospacing="0"/>
              <w:jc w:val="center"/>
              <w:rPr>
                <w:rFonts w:ascii="Times New Roman" w:hAnsi="Times New Roman"/>
                <w:color w:val="auto"/>
                <w:szCs w:val="24"/>
              </w:rPr>
            </w:pPr>
            <w:r>
              <w:rPr>
                <w:rFonts w:ascii="Times New Roman" w:hAnsi="Times New Roman"/>
                <w:bCs/>
                <w:color w:val="auto"/>
                <w:kern w:val="2"/>
                <w:szCs w:val="24"/>
              </w:rPr>
              <w:t>与项目有关的原有环境污染问题</w:t>
            </w:r>
          </w:p>
        </w:tc>
        <w:tc>
          <w:tcPr>
            <w:tcW w:w="8313" w:type="dxa"/>
            <w:noWrap w:val="0"/>
            <w:vAlign w:val="center"/>
          </w:tcPr>
          <w:p w14:paraId="6B8D1553">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eastAsia="宋体" w:cs="Times New Roman"/>
                <w:bCs/>
                <w:color w:val="auto"/>
                <w:sz w:val="24"/>
                <w:lang w:val="en-US" w:eastAsia="zh-CN"/>
              </w:rPr>
            </w:pPr>
            <w:r>
              <w:rPr>
                <w:rFonts w:hint="default" w:ascii="Times New Roman" w:hAnsi="Times New Roman" w:eastAsia="宋体" w:cs="Times New Roman"/>
                <w:bCs/>
                <w:color w:val="auto"/>
                <w:sz w:val="24"/>
                <w:lang w:val="en-US" w:eastAsia="zh-CN"/>
              </w:rPr>
              <w:t>本项目租赁</w:t>
            </w:r>
            <w:r>
              <w:rPr>
                <w:rFonts w:hint="eastAsia" w:cs="Times New Roman"/>
                <w:bCs/>
                <w:color w:val="auto"/>
                <w:sz w:val="24"/>
                <w:lang w:val="en-US" w:eastAsia="zh-CN"/>
              </w:rPr>
              <w:t>已建成的标准化厂房进行生产</w:t>
            </w:r>
            <w:r>
              <w:rPr>
                <w:rFonts w:hint="default" w:ascii="Times New Roman" w:hAnsi="Times New Roman" w:eastAsia="宋体" w:cs="Times New Roman"/>
                <w:bCs/>
                <w:color w:val="auto"/>
                <w:sz w:val="24"/>
                <w:lang w:val="en-US" w:eastAsia="zh-CN"/>
              </w:rPr>
              <w:t>，根据现场勘查，本项目厂区内已全部硬化处理，无原有环境污染情况</w:t>
            </w:r>
            <w:r>
              <w:rPr>
                <w:rFonts w:hint="eastAsia" w:cs="Times New Roman"/>
                <w:bCs/>
                <w:color w:val="auto"/>
                <w:sz w:val="24"/>
                <w:lang w:val="en-US" w:eastAsia="zh-CN"/>
              </w:rPr>
              <w:t>。</w:t>
            </w:r>
          </w:p>
          <w:p w14:paraId="517001DB">
            <w:pPr>
              <w:pStyle w:val="69"/>
              <w:spacing w:line="240" w:lineRule="auto"/>
              <w:jc w:val="center"/>
              <w:rPr>
                <w:rFonts w:ascii="Times New Roman" w:eastAsia="宋体" w:cs="Times New Roman"/>
                <w:bCs/>
                <w:color w:val="auto"/>
                <w:szCs w:val="21"/>
              </w:rPr>
            </w:pPr>
          </w:p>
        </w:tc>
      </w:tr>
    </w:tbl>
    <w:p w14:paraId="0CEA56A7">
      <w:pPr>
        <w:pStyle w:val="19"/>
        <w:jc w:val="center"/>
        <w:rPr>
          <w:rFonts w:ascii="Times New Roman" w:hAnsi="Times New Roman" w:eastAsia="黑体"/>
          <w:snapToGrid w:val="0"/>
          <w:color w:val="auto"/>
          <w:sz w:val="36"/>
          <w:szCs w:val="36"/>
        </w:rPr>
        <w:sectPr>
          <w:pgSz w:w="11905" w:h="16838"/>
          <w:pgMar w:top="1440" w:right="1531" w:bottom="1440" w:left="1531" w:header="851" w:footer="1077" w:gutter="0"/>
          <w:pgBorders>
            <w:top w:val="none" w:sz="0" w:space="0"/>
            <w:left w:val="none" w:sz="0" w:space="0"/>
            <w:bottom w:val="none" w:sz="0" w:space="0"/>
            <w:right w:val="none" w:sz="0" w:space="0"/>
          </w:pgBorders>
          <w:cols w:space="720" w:num="1"/>
          <w:docGrid w:linePitch="312" w:charSpace="0"/>
        </w:sectPr>
      </w:pPr>
    </w:p>
    <w:p w14:paraId="6CB2A8D4">
      <w:pPr>
        <w:pStyle w:val="19"/>
        <w:adjustRightInd w:val="0"/>
        <w:snapToGrid w:val="0"/>
        <w:spacing w:before="0" w:beforeAutospacing="0" w:after="0" w:afterAutospacing="0" w:line="14" w:lineRule="auto"/>
        <w:jc w:val="center"/>
        <w:outlineLvl w:val="0"/>
        <w:rPr>
          <w:rFonts w:ascii="Times New Roman" w:hAnsi="Times New Roman" w:eastAsia="黑体"/>
          <w:snapToGrid w:val="0"/>
          <w:color w:val="auto"/>
          <w:sz w:val="30"/>
          <w:szCs w:val="30"/>
        </w:rPr>
      </w:pPr>
    </w:p>
    <w:p w14:paraId="7ECFC79D">
      <w:pPr>
        <w:pStyle w:val="19"/>
        <w:spacing w:before="0" w:beforeAutospacing="0" w:after="0" w:afterAutospacing="0" w:line="360" w:lineRule="auto"/>
        <w:jc w:val="center"/>
        <w:outlineLvl w:val="0"/>
        <w:rPr>
          <w:rFonts w:ascii="Times New Roman" w:hAnsi="Times New Roman" w:eastAsia="黑体"/>
          <w:snapToGrid w:val="0"/>
          <w:color w:val="auto"/>
          <w:sz w:val="30"/>
          <w:szCs w:val="30"/>
        </w:rPr>
      </w:pPr>
      <w:bookmarkStart w:id="3" w:name="_Toc75422659"/>
      <w:r>
        <w:rPr>
          <w:rFonts w:ascii="Times New Roman" w:hAnsi="Times New Roman" w:eastAsia="黑体"/>
          <w:snapToGrid w:val="0"/>
          <w:color w:val="auto"/>
          <w:sz w:val="30"/>
          <w:szCs w:val="30"/>
        </w:rPr>
        <w:t>三、区域环境质量现状、环境保护目标及评价标准</w:t>
      </w:r>
      <w:bookmarkEnd w:id="3"/>
    </w:p>
    <w:tbl>
      <w:tblPr>
        <w:tblStyle w:val="23"/>
        <w:tblW w:w="92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82"/>
        <w:gridCol w:w="8612"/>
      </w:tblGrid>
      <w:tr w14:paraId="488A1B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98" w:hRule="atLeast"/>
          <w:jc w:val="center"/>
        </w:trPr>
        <w:tc>
          <w:tcPr>
            <w:tcW w:w="706" w:type="dxa"/>
            <w:noWrap w:val="0"/>
            <w:vAlign w:val="center"/>
          </w:tcPr>
          <w:p w14:paraId="6ACD8D19">
            <w:pPr>
              <w:adjustRightInd w:val="0"/>
              <w:snapToGrid w:val="0"/>
              <w:jc w:val="center"/>
              <w:rPr>
                <w:color w:val="auto"/>
                <w:kern w:val="0"/>
                <w:sz w:val="24"/>
              </w:rPr>
            </w:pPr>
            <w:r>
              <w:rPr>
                <w:color w:val="auto"/>
                <w:kern w:val="0"/>
                <w:sz w:val="24"/>
              </w:rPr>
              <w:t>区域</w:t>
            </w:r>
          </w:p>
          <w:p w14:paraId="5A11EE7C">
            <w:pPr>
              <w:adjustRightInd w:val="0"/>
              <w:snapToGrid w:val="0"/>
              <w:jc w:val="center"/>
              <w:rPr>
                <w:color w:val="auto"/>
                <w:kern w:val="0"/>
                <w:sz w:val="24"/>
              </w:rPr>
            </w:pPr>
            <w:r>
              <w:rPr>
                <w:color w:val="auto"/>
                <w:kern w:val="0"/>
                <w:sz w:val="24"/>
              </w:rPr>
              <w:t>环境</w:t>
            </w:r>
          </w:p>
          <w:p w14:paraId="6164BDD7">
            <w:pPr>
              <w:adjustRightInd w:val="0"/>
              <w:snapToGrid w:val="0"/>
              <w:jc w:val="center"/>
              <w:rPr>
                <w:color w:val="auto"/>
                <w:kern w:val="0"/>
                <w:sz w:val="24"/>
              </w:rPr>
            </w:pPr>
            <w:r>
              <w:rPr>
                <w:color w:val="auto"/>
                <w:kern w:val="0"/>
                <w:sz w:val="24"/>
              </w:rPr>
              <w:t>质量</w:t>
            </w:r>
          </w:p>
          <w:p w14:paraId="2F9BF1E3">
            <w:pPr>
              <w:adjustRightInd w:val="0"/>
              <w:snapToGrid w:val="0"/>
              <w:jc w:val="center"/>
              <w:rPr>
                <w:color w:val="auto"/>
                <w:kern w:val="0"/>
                <w:szCs w:val="21"/>
              </w:rPr>
            </w:pPr>
            <w:r>
              <w:rPr>
                <w:color w:val="auto"/>
                <w:kern w:val="0"/>
                <w:sz w:val="24"/>
              </w:rPr>
              <w:t>现状</w:t>
            </w:r>
          </w:p>
        </w:tc>
        <w:tc>
          <w:tcPr>
            <w:tcW w:w="8588" w:type="dxa"/>
            <w:noWrap w:val="0"/>
            <w:vAlign w:val="center"/>
          </w:tcPr>
          <w:p w14:paraId="034702BA">
            <w:pPr>
              <w:adjustRightInd w:val="0"/>
              <w:snapToGrid w:val="0"/>
              <w:spacing w:line="360" w:lineRule="auto"/>
              <w:ind w:firstLine="482" w:firstLineChars="200"/>
              <w:rPr>
                <w:b/>
                <w:color w:val="auto"/>
                <w:sz w:val="24"/>
              </w:rPr>
            </w:pPr>
            <w:r>
              <w:rPr>
                <w:b/>
                <w:color w:val="auto"/>
                <w:sz w:val="24"/>
              </w:rPr>
              <w:t>1</w:t>
            </w:r>
            <w:r>
              <w:rPr>
                <w:rFonts w:hint="eastAsia"/>
                <w:b/>
                <w:color w:val="auto"/>
                <w:sz w:val="24"/>
              </w:rPr>
              <w:t>.</w:t>
            </w:r>
            <w:r>
              <w:rPr>
                <w:b/>
                <w:color w:val="auto"/>
                <w:sz w:val="24"/>
              </w:rPr>
              <w:t>大气环境</w:t>
            </w:r>
          </w:p>
          <w:p w14:paraId="2DF8C047">
            <w:pPr>
              <w:adjustRightInd w:val="0"/>
              <w:spacing w:line="360" w:lineRule="auto"/>
              <w:ind w:firstLine="480" w:firstLineChars="200"/>
              <w:rPr>
                <w:color w:val="auto"/>
                <w:szCs w:val="21"/>
              </w:rPr>
            </w:pPr>
            <w:r>
              <w:rPr>
                <w:rFonts w:hint="eastAsia"/>
                <w:color w:val="auto"/>
                <w:sz w:val="24"/>
                <w:lang w:eastAsia="zh-CN"/>
              </w:rPr>
              <w:t>（</w:t>
            </w:r>
            <w:r>
              <w:rPr>
                <w:rFonts w:hint="eastAsia"/>
                <w:color w:val="auto"/>
                <w:sz w:val="24"/>
                <w:lang w:val="en-US" w:eastAsia="zh-CN"/>
              </w:rPr>
              <w:t>1</w:t>
            </w:r>
            <w:r>
              <w:rPr>
                <w:rFonts w:hint="eastAsia"/>
                <w:color w:val="auto"/>
                <w:sz w:val="24"/>
                <w:lang w:eastAsia="zh-CN"/>
              </w:rPr>
              <w:t>）</w:t>
            </w:r>
            <w:r>
              <w:rPr>
                <w:rFonts w:hint="eastAsia"/>
                <w:color w:val="auto"/>
                <w:sz w:val="24"/>
              </w:rPr>
              <w:t>根据《建设项目环境影响报告表编制技术指南》（污染影响类）（试行）</w:t>
            </w:r>
            <w:r>
              <w:rPr>
                <w:rFonts w:hint="eastAsia"/>
                <w:color w:val="auto"/>
                <w:sz w:val="24"/>
                <w:lang w:eastAsia="zh-CN"/>
              </w:rPr>
              <w:t>的相关要求，</w:t>
            </w:r>
            <w:r>
              <w:rPr>
                <w:rFonts w:hint="eastAsia"/>
                <w:color w:val="auto"/>
                <w:sz w:val="24"/>
              </w:rPr>
              <w:t>为查明项目所在地大气环境质量，本次评价基本污染物环境质量现状采用宝鸡市生态环境局办公室发布的《2025年1~12月份各县（区）空气质量状况统计》中陈仓区的统计数据，来分析项目所在地的大气环境质量现状，监测结果整理后见下表。</w:t>
            </w:r>
          </w:p>
          <w:p w14:paraId="0E8E731A">
            <w:pPr>
              <w:adjustRightInd w:val="0"/>
              <w:jc w:val="center"/>
              <w:rPr>
                <w:b/>
                <w:bCs/>
                <w:color w:val="auto"/>
                <w:szCs w:val="21"/>
              </w:rPr>
            </w:pPr>
            <w:r>
              <w:rPr>
                <w:b/>
                <w:bCs/>
                <w:color w:val="auto"/>
                <w:szCs w:val="21"/>
              </w:rPr>
              <w:t>表</w:t>
            </w:r>
            <w:r>
              <w:rPr>
                <w:rFonts w:hint="eastAsia"/>
                <w:b/>
                <w:bCs/>
                <w:color w:val="auto"/>
                <w:szCs w:val="21"/>
                <w:lang w:val="en-US" w:eastAsia="zh-CN"/>
              </w:rPr>
              <w:t>3</w:t>
            </w:r>
            <w:r>
              <w:rPr>
                <w:rFonts w:hint="eastAsia"/>
                <w:b/>
                <w:bCs/>
                <w:color w:val="auto"/>
                <w:lang w:val="en-US" w:eastAsia="zh-CN"/>
              </w:rPr>
              <w:t>-1</w:t>
            </w:r>
            <w:r>
              <w:rPr>
                <w:rFonts w:hint="eastAsia"/>
                <w:b/>
                <w:bCs/>
                <w:color w:val="auto"/>
                <w:szCs w:val="21"/>
                <w:lang w:val="en-US" w:eastAsia="zh-CN"/>
              </w:rPr>
              <w:t xml:space="preserve">  </w:t>
            </w:r>
            <w:r>
              <w:rPr>
                <w:b/>
                <w:bCs/>
                <w:color w:val="auto"/>
                <w:szCs w:val="21"/>
              </w:rPr>
              <w:t>项目区域常规污染物监测结果表</w:t>
            </w:r>
          </w:p>
          <w:tbl>
            <w:tblPr>
              <w:tblStyle w:val="23"/>
              <w:tblW w:w="8376" w:type="dxa"/>
              <w:tblInd w:w="-5"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Layout w:type="autofit"/>
              <w:tblCellMar>
                <w:top w:w="0" w:type="dxa"/>
                <w:left w:w="108" w:type="dxa"/>
                <w:bottom w:w="0" w:type="dxa"/>
                <w:right w:w="108" w:type="dxa"/>
              </w:tblCellMar>
            </w:tblPr>
            <w:tblGrid>
              <w:gridCol w:w="837"/>
              <w:gridCol w:w="3144"/>
              <w:gridCol w:w="1163"/>
              <w:gridCol w:w="1163"/>
              <w:gridCol w:w="966"/>
              <w:gridCol w:w="1103"/>
            </w:tblGrid>
            <w:tr w14:paraId="7255BF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shd w:val="clear" w:color="auto" w:fill="FFFFFF" w:themeFill="background1"/>
                <w:tblCellMar>
                  <w:top w:w="0" w:type="dxa"/>
                  <w:left w:w="108" w:type="dxa"/>
                  <w:bottom w:w="0" w:type="dxa"/>
                  <w:right w:w="108" w:type="dxa"/>
                </w:tblCellMar>
              </w:tblPrEx>
              <w:trPr>
                <w:trHeight w:val="504" w:hRule="atLeast"/>
              </w:trPr>
              <w:tc>
                <w:tcPr>
                  <w:tcW w:w="509" w:type="pct"/>
                  <w:tcBorders>
                    <w:tl2br w:val="nil"/>
                    <w:tr2bl w:val="nil"/>
                  </w:tcBorders>
                  <w:shd w:val="clear" w:color="auto" w:fill="FFFFFF" w:themeFill="background1"/>
                  <w:vAlign w:val="center"/>
                </w:tcPr>
                <w:p w14:paraId="2832C93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污染物</w:t>
                  </w:r>
                </w:p>
              </w:tc>
              <w:tc>
                <w:tcPr>
                  <w:tcW w:w="1885" w:type="pct"/>
                  <w:tcBorders>
                    <w:tl2br w:val="nil"/>
                    <w:tr2bl w:val="nil"/>
                  </w:tcBorders>
                  <w:shd w:val="clear" w:color="auto" w:fill="FFFFFF" w:themeFill="background1"/>
                  <w:vAlign w:val="center"/>
                </w:tcPr>
                <w:p w14:paraId="1DE80B37">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年评价指标</w:t>
                  </w:r>
                </w:p>
              </w:tc>
              <w:tc>
                <w:tcPr>
                  <w:tcW w:w="679" w:type="pct"/>
                  <w:tcBorders>
                    <w:tl2br w:val="nil"/>
                    <w:tr2bl w:val="nil"/>
                  </w:tcBorders>
                  <w:shd w:val="clear" w:color="auto" w:fill="FFFFFF" w:themeFill="background1"/>
                  <w:vAlign w:val="center"/>
                </w:tcPr>
                <w:p w14:paraId="78D38452">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现状浓度（μg/m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671" w:type="pct"/>
                  <w:tcBorders>
                    <w:tl2br w:val="nil"/>
                    <w:tr2bl w:val="nil"/>
                  </w:tcBorders>
                  <w:shd w:val="clear" w:color="auto" w:fill="FFFFFF" w:themeFill="background1"/>
                  <w:vAlign w:val="center"/>
                </w:tcPr>
                <w:p w14:paraId="0B48108A">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标准值（μg/m</w:t>
                  </w:r>
                  <w:r>
                    <w:rPr>
                      <w:rFonts w:hint="default" w:ascii="Times New Roman" w:hAnsi="Times New Roman" w:eastAsia="宋体" w:cs="Times New Roman"/>
                      <w:b/>
                      <w:bCs/>
                      <w:color w:val="auto"/>
                      <w:sz w:val="21"/>
                      <w:szCs w:val="21"/>
                      <w:highlight w:val="none"/>
                      <w:vertAlign w:val="superscript"/>
                    </w:rPr>
                    <w:t>3</w:t>
                  </w:r>
                  <w:r>
                    <w:rPr>
                      <w:rFonts w:hint="default" w:ascii="Times New Roman" w:hAnsi="Times New Roman" w:eastAsia="宋体" w:cs="Times New Roman"/>
                      <w:b/>
                      <w:bCs/>
                      <w:color w:val="auto"/>
                      <w:sz w:val="21"/>
                      <w:szCs w:val="21"/>
                      <w:highlight w:val="none"/>
                    </w:rPr>
                    <w:t>）</w:t>
                  </w:r>
                </w:p>
              </w:tc>
              <w:tc>
                <w:tcPr>
                  <w:tcW w:w="585" w:type="pct"/>
                  <w:tcBorders>
                    <w:tl2br w:val="nil"/>
                    <w:tr2bl w:val="nil"/>
                  </w:tcBorders>
                  <w:shd w:val="clear" w:color="auto" w:fill="FFFFFF" w:themeFill="background1"/>
                  <w:vAlign w:val="center"/>
                </w:tcPr>
                <w:p w14:paraId="15FF3DD6">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占标率（%）</w:t>
                  </w:r>
                </w:p>
              </w:tc>
              <w:tc>
                <w:tcPr>
                  <w:tcW w:w="667" w:type="pct"/>
                  <w:tcBorders>
                    <w:tl2br w:val="nil"/>
                    <w:tr2bl w:val="nil"/>
                  </w:tcBorders>
                  <w:shd w:val="clear" w:color="auto" w:fill="FFFFFF" w:themeFill="background1"/>
                  <w:vAlign w:val="center"/>
                </w:tcPr>
                <w:p w14:paraId="575BC49C">
                  <w:pPr>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达标情况</w:t>
                  </w:r>
                </w:p>
              </w:tc>
            </w:tr>
            <w:tr w14:paraId="42FF8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318B1DC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10</w:t>
                  </w:r>
                </w:p>
              </w:tc>
              <w:tc>
                <w:tcPr>
                  <w:tcW w:w="1885" w:type="pct"/>
                  <w:tcBorders>
                    <w:tl2br w:val="nil"/>
                    <w:tr2bl w:val="nil"/>
                  </w:tcBorders>
                  <w:shd w:val="clear" w:color="auto" w:fill="FFFFFF" w:themeFill="background1"/>
                  <w:vAlign w:val="center"/>
                </w:tcPr>
                <w:p w14:paraId="08744E4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679" w:type="pct"/>
                  <w:tcBorders>
                    <w:tl2br w:val="nil"/>
                    <w:tr2bl w:val="nil"/>
                  </w:tcBorders>
                  <w:shd w:val="clear" w:color="auto" w:fill="FFFFFF" w:themeFill="background1"/>
                  <w:vAlign w:val="center"/>
                </w:tcPr>
                <w:p w14:paraId="212411B6">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w:t>
                  </w:r>
                </w:p>
              </w:tc>
              <w:tc>
                <w:tcPr>
                  <w:tcW w:w="671" w:type="pct"/>
                  <w:tcBorders>
                    <w:tl2br w:val="nil"/>
                    <w:tr2bl w:val="nil"/>
                  </w:tcBorders>
                  <w:shd w:val="clear" w:color="auto" w:fill="FFFFFF" w:themeFill="background1"/>
                  <w:vAlign w:val="center"/>
                </w:tcPr>
                <w:p w14:paraId="52193766">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70</w:t>
                  </w:r>
                </w:p>
              </w:tc>
              <w:tc>
                <w:tcPr>
                  <w:tcW w:w="585" w:type="pct"/>
                  <w:tcBorders>
                    <w:tl2br w:val="nil"/>
                    <w:tr2bl w:val="nil"/>
                  </w:tcBorders>
                  <w:shd w:val="clear" w:color="auto" w:fill="FFFFFF" w:themeFill="background1"/>
                  <w:vAlign w:val="center"/>
                </w:tcPr>
                <w:p w14:paraId="77D8D431">
                  <w:pPr>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87</w:t>
                  </w:r>
                </w:p>
              </w:tc>
              <w:tc>
                <w:tcPr>
                  <w:tcW w:w="667" w:type="pct"/>
                  <w:tcBorders>
                    <w:tl2br w:val="nil"/>
                    <w:tr2bl w:val="nil"/>
                  </w:tcBorders>
                  <w:shd w:val="clear" w:color="auto" w:fill="FFFFFF" w:themeFill="background1"/>
                  <w:vAlign w:val="center"/>
                </w:tcPr>
                <w:p w14:paraId="7D97B25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7EA4C6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049CFEBE">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PM</w:t>
                  </w:r>
                  <w:r>
                    <w:rPr>
                      <w:rFonts w:hint="default" w:ascii="Times New Roman" w:hAnsi="Times New Roman" w:eastAsia="宋体" w:cs="Times New Roman"/>
                      <w:color w:val="auto"/>
                      <w:sz w:val="21"/>
                      <w:szCs w:val="21"/>
                      <w:highlight w:val="none"/>
                      <w:vertAlign w:val="subscript"/>
                    </w:rPr>
                    <w:t>2.5</w:t>
                  </w:r>
                </w:p>
              </w:tc>
              <w:tc>
                <w:tcPr>
                  <w:tcW w:w="1885" w:type="pct"/>
                  <w:tcBorders>
                    <w:tl2br w:val="nil"/>
                    <w:tr2bl w:val="nil"/>
                  </w:tcBorders>
                  <w:shd w:val="clear" w:color="auto" w:fill="FFFFFF" w:themeFill="background1"/>
                  <w:vAlign w:val="center"/>
                </w:tcPr>
                <w:p w14:paraId="0528CB7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679" w:type="pct"/>
                  <w:tcBorders>
                    <w:tl2br w:val="nil"/>
                    <w:tr2bl w:val="nil"/>
                  </w:tcBorders>
                  <w:shd w:val="clear" w:color="auto" w:fill="FFFFFF" w:themeFill="background1"/>
                  <w:vAlign w:val="center"/>
                </w:tcPr>
                <w:p w14:paraId="7C15BE62">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35.2</w:t>
                  </w:r>
                </w:p>
              </w:tc>
              <w:tc>
                <w:tcPr>
                  <w:tcW w:w="671" w:type="pct"/>
                  <w:tcBorders>
                    <w:tl2br w:val="nil"/>
                    <w:tr2bl w:val="nil"/>
                  </w:tcBorders>
                  <w:shd w:val="clear" w:color="auto" w:fill="FFFFFF" w:themeFill="background1"/>
                  <w:vAlign w:val="center"/>
                </w:tcPr>
                <w:p w14:paraId="53CEF094">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585" w:type="pct"/>
                  <w:tcBorders>
                    <w:tl2br w:val="nil"/>
                    <w:tr2bl w:val="nil"/>
                  </w:tcBorders>
                  <w:shd w:val="clear" w:color="auto" w:fill="FFFFFF" w:themeFill="background1"/>
                  <w:vAlign w:val="center"/>
                </w:tcPr>
                <w:p w14:paraId="24C11025">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117.3</w:t>
                  </w:r>
                </w:p>
              </w:tc>
              <w:tc>
                <w:tcPr>
                  <w:tcW w:w="667" w:type="pct"/>
                  <w:tcBorders>
                    <w:tl2br w:val="nil"/>
                    <w:tr2bl w:val="nil"/>
                  </w:tcBorders>
                  <w:shd w:val="clear" w:color="auto" w:fill="FFFFFF" w:themeFill="background1"/>
                  <w:vAlign w:val="center"/>
                </w:tcPr>
                <w:p w14:paraId="0EC53F56">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不达标</w:t>
                  </w:r>
                </w:p>
              </w:tc>
            </w:tr>
            <w:tr w14:paraId="5FD772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4B78015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885" w:type="pct"/>
                  <w:tcBorders>
                    <w:tl2br w:val="nil"/>
                    <w:tr2bl w:val="nil"/>
                  </w:tcBorders>
                  <w:shd w:val="clear" w:color="auto" w:fill="FFFFFF" w:themeFill="background1"/>
                  <w:vAlign w:val="center"/>
                </w:tcPr>
                <w:p w14:paraId="680F27B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679" w:type="pct"/>
                  <w:tcBorders>
                    <w:tl2br w:val="nil"/>
                    <w:tr2bl w:val="nil"/>
                  </w:tcBorders>
                  <w:shd w:val="clear" w:color="auto" w:fill="FFFFFF" w:themeFill="background1"/>
                  <w:vAlign w:val="center"/>
                </w:tcPr>
                <w:p w14:paraId="13B957BE">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17</w:t>
                  </w:r>
                </w:p>
              </w:tc>
              <w:tc>
                <w:tcPr>
                  <w:tcW w:w="671" w:type="pct"/>
                  <w:tcBorders>
                    <w:tl2br w:val="nil"/>
                    <w:tr2bl w:val="nil"/>
                  </w:tcBorders>
                  <w:shd w:val="clear" w:color="auto" w:fill="FFFFFF" w:themeFill="background1"/>
                  <w:vAlign w:val="center"/>
                </w:tcPr>
                <w:p w14:paraId="28775EF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60</w:t>
                  </w:r>
                </w:p>
              </w:tc>
              <w:tc>
                <w:tcPr>
                  <w:tcW w:w="585" w:type="pct"/>
                  <w:tcBorders>
                    <w:tl2br w:val="nil"/>
                    <w:tr2bl w:val="nil"/>
                  </w:tcBorders>
                  <w:shd w:val="clear" w:color="auto" w:fill="FFFFFF" w:themeFill="background1"/>
                  <w:vAlign w:val="center"/>
                </w:tcPr>
                <w:p w14:paraId="443523EA">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28.3</w:t>
                  </w:r>
                </w:p>
              </w:tc>
              <w:tc>
                <w:tcPr>
                  <w:tcW w:w="667" w:type="pct"/>
                  <w:tcBorders>
                    <w:tl2br w:val="nil"/>
                    <w:tr2bl w:val="nil"/>
                  </w:tcBorders>
                  <w:shd w:val="clear" w:color="auto" w:fill="FFFFFF" w:themeFill="background1"/>
                  <w:vAlign w:val="center"/>
                </w:tcPr>
                <w:p w14:paraId="0750261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F164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6" w:hRule="atLeast"/>
              </w:trPr>
              <w:tc>
                <w:tcPr>
                  <w:tcW w:w="509" w:type="pct"/>
                  <w:tcBorders>
                    <w:tl2br w:val="nil"/>
                    <w:tr2bl w:val="nil"/>
                  </w:tcBorders>
                  <w:shd w:val="clear" w:color="auto" w:fill="FFFFFF" w:themeFill="background1"/>
                  <w:vAlign w:val="center"/>
                </w:tcPr>
                <w:p w14:paraId="20AE772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w:t>
                  </w:r>
                  <w:r>
                    <w:rPr>
                      <w:rFonts w:hint="default" w:ascii="Times New Roman" w:hAnsi="Times New Roman" w:eastAsia="宋体" w:cs="Times New Roman"/>
                      <w:color w:val="auto"/>
                      <w:sz w:val="21"/>
                      <w:szCs w:val="21"/>
                      <w:highlight w:val="none"/>
                      <w:vertAlign w:val="subscript"/>
                    </w:rPr>
                    <w:t>2</w:t>
                  </w:r>
                </w:p>
              </w:tc>
              <w:tc>
                <w:tcPr>
                  <w:tcW w:w="1885" w:type="pct"/>
                  <w:tcBorders>
                    <w:tl2br w:val="nil"/>
                    <w:tr2bl w:val="nil"/>
                  </w:tcBorders>
                  <w:shd w:val="clear" w:color="auto" w:fill="FFFFFF" w:themeFill="background1"/>
                  <w:vAlign w:val="center"/>
                </w:tcPr>
                <w:p w14:paraId="19611977">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年平均浓度</w:t>
                  </w:r>
                </w:p>
              </w:tc>
              <w:tc>
                <w:tcPr>
                  <w:tcW w:w="679" w:type="pct"/>
                  <w:tcBorders>
                    <w:tl2br w:val="nil"/>
                    <w:tr2bl w:val="nil"/>
                  </w:tcBorders>
                  <w:shd w:val="clear" w:color="auto" w:fill="FFFFFF" w:themeFill="background1"/>
                  <w:vAlign w:val="center"/>
                </w:tcPr>
                <w:p w14:paraId="1BC250CB">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w:t>
                  </w:r>
                </w:p>
              </w:tc>
              <w:tc>
                <w:tcPr>
                  <w:tcW w:w="671" w:type="pct"/>
                  <w:tcBorders>
                    <w:tl2br w:val="nil"/>
                    <w:tr2bl w:val="nil"/>
                  </w:tcBorders>
                  <w:shd w:val="clear" w:color="auto" w:fill="FFFFFF" w:themeFill="background1"/>
                  <w:vAlign w:val="center"/>
                </w:tcPr>
                <w:p w14:paraId="5273C61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w:t>
                  </w:r>
                </w:p>
              </w:tc>
              <w:tc>
                <w:tcPr>
                  <w:tcW w:w="585" w:type="pct"/>
                  <w:tcBorders>
                    <w:tl2br w:val="nil"/>
                    <w:tr2bl w:val="nil"/>
                  </w:tcBorders>
                  <w:shd w:val="clear" w:color="auto" w:fill="FFFFFF" w:themeFill="background1"/>
                  <w:vAlign w:val="center"/>
                </w:tcPr>
                <w:p w14:paraId="5402C14F">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67.5</w:t>
                  </w:r>
                </w:p>
              </w:tc>
              <w:tc>
                <w:tcPr>
                  <w:tcW w:w="667" w:type="pct"/>
                  <w:tcBorders>
                    <w:tl2br w:val="nil"/>
                    <w:tr2bl w:val="nil"/>
                  </w:tcBorders>
                  <w:shd w:val="clear" w:color="auto" w:fill="FFFFFF" w:themeFill="background1"/>
                  <w:vAlign w:val="center"/>
                </w:tcPr>
                <w:p w14:paraId="11B9EC04">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26385B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09" w:type="pct"/>
                  <w:tcBorders>
                    <w:tl2br w:val="nil"/>
                    <w:tr2bl w:val="nil"/>
                  </w:tcBorders>
                  <w:shd w:val="clear" w:color="auto" w:fill="FFFFFF" w:themeFill="background1"/>
                  <w:vAlign w:val="center"/>
                </w:tcPr>
                <w:p w14:paraId="2A83D6AB">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CO</w:t>
                  </w:r>
                </w:p>
              </w:tc>
              <w:tc>
                <w:tcPr>
                  <w:tcW w:w="1885" w:type="pct"/>
                  <w:tcBorders>
                    <w:tl2br w:val="nil"/>
                    <w:tr2bl w:val="nil"/>
                  </w:tcBorders>
                  <w:shd w:val="clear" w:color="auto" w:fill="FFFFFF" w:themeFill="background1"/>
                  <w:vAlign w:val="center"/>
                </w:tcPr>
                <w:p w14:paraId="5B4AD8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24小时平均第95百分位数</w:t>
                  </w:r>
                </w:p>
              </w:tc>
              <w:tc>
                <w:tcPr>
                  <w:tcW w:w="679" w:type="pct"/>
                  <w:tcBorders>
                    <w:tl2br w:val="nil"/>
                    <w:tr2bl w:val="nil"/>
                  </w:tcBorders>
                  <w:shd w:val="clear" w:color="auto" w:fill="FFFFFF" w:themeFill="background1"/>
                  <w:vAlign w:val="center"/>
                </w:tcPr>
                <w:p w14:paraId="04600121">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1000</w:t>
                  </w:r>
                </w:p>
              </w:tc>
              <w:tc>
                <w:tcPr>
                  <w:tcW w:w="671" w:type="pct"/>
                  <w:tcBorders>
                    <w:tl2br w:val="nil"/>
                    <w:tr2bl w:val="nil"/>
                  </w:tcBorders>
                  <w:shd w:val="clear" w:color="auto" w:fill="FFFFFF" w:themeFill="background1"/>
                  <w:vAlign w:val="center"/>
                </w:tcPr>
                <w:p w14:paraId="7A4A8082">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4000</w:t>
                  </w:r>
                </w:p>
              </w:tc>
              <w:tc>
                <w:tcPr>
                  <w:tcW w:w="585" w:type="pct"/>
                  <w:tcBorders>
                    <w:tl2br w:val="nil"/>
                    <w:tr2bl w:val="nil"/>
                  </w:tcBorders>
                  <w:shd w:val="clear" w:color="auto" w:fill="FFFFFF" w:themeFill="background1"/>
                  <w:vAlign w:val="center"/>
                </w:tcPr>
                <w:p w14:paraId="3672BBED">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667" w:type="pct"/>
                  <w:tcBorders>
                    <w:tl2br w:val="nil"/>
                    <w:tr2bl w:val="nil"/>
                  </w:tcBorders>
                  <w:shd w:val="clear" w:color="auto" w:fill="FFFFFF" w:themeFill="background1"/>
                  <w:vAlign w:val="center"/>
                </w:tcPr>
                <w:p w14:paraId="5BA7AE71">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14:paraId="3D62D4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509" w:type="pct"/>
                  <w:tcBorders>
                    <w:tl2br w:val="nil"/>
                    <w:tr2bl w:val="nil"/>
                  </w:tcBorders>
                  <w:shd w:val="clear" w:color="auto" w:fill="FFFFFF" w:themeFill="background1"/>
                  <w:vAlign w:val="center"/>
                </w:tcPr>
                <w:p w14:paraId="6C37DF49">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O3</w:t>
                  </w:r>
                </w:p>
              </w:tc>
              <w:tc>
                <w:tcPr>
                  <w:tcW w:w="1885" w:type="pct"/>
                  <w:tcBorders>
                    <w:tl2br w:val="nil"/>
                    <w:tr2bl w:val="nil"/>
                  </w:tcBorders>
                  <w:shd w:val="clear" w:color="auto" w:fill="FFFFFF" w:themeFill="background1"/>
                  <w:vAlign w:val="center"/>
                </w:tcPr>
                <w:p w14:paraId="4C7D6BAD">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日最大8小时平均第90百分位数</w:t>
                  </w:r>
                </w:p>
              </w:tc>
              <w:tc>
                <w:tcPr>
                  <w:tcW w:w="679" w:type="pct"/>
                  <w:tcBorders>
                    <w:tl2br w:val="nil"/>
                    <w:tr2bl w:val="nil"/>
                  </w:tcBorders>
                  <w:shd w:val="clear" w:color="auto" w:fill="FFFFFF" w:themeFill="background1"/>
                  <w:vAlign w:val="center"/>
                </w:tcPr>
                <w:p w14:paraId="53FAF4C5">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1</w:t>
                  </w:r>
                  <w:r>
                    <w:rPr>
                      <w:rFonts w:hint="default" w:ascii="Times New Roman" w:hAnsi="Times New Roman" w:eastAsia="宋体" w:cs="Times New Roman"/>
                      <w:color w:val="auto"/>
                      <w:sz w:val="21"/>
                      <w:szCs w:val="21"/>
                      <w:highlight w:val="none"/>
                      <w:lang w:val="en-US" w:eastAsia="zh-CN"/>
                    </w:rPr>
                    <w:t>48</w:t>
                  </w:r>
                </w:p>
              </w:tc>
              <w:tc>
                <w:tcPr>
                  <w:tcW w:w="671" w:type="pct"/>
                  <w:tcBorders>
                    <w:tl2br w:val="nil"/>
                    <w:tr2bl w:val="nil"/>
                  </w:tcBorders>
                  <w:shd w:val="clear" w:color="auto" w:fill="FFFFFF" w:themeFill="background1"/>
                  <w:vAlign w:val="center"/>
                </w:tcPr>
                <w:p w14:paraId="5F09598F">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160</w:t>
                  </w:r>
                </w:p>
              </w:tc>
              <w:tc>
                <w:tcPr>
                  <w:tcW w:w="585" w:type="pct"/>
                  <w:tcBorders>
                    <w:tl2br w:val="nil"/>
                    <w:tr2bl w:val="nil"/>
                  </w:tcBorders>
                  <w:shd w:val="clear" w:color="auto" w:fill="FFFFFF" w:themeFill="background1"/>
                  <w:vAlign w:val="center"/>
                </w:tcPr>
                <w:p w14:paraId="3A9F9DD3">
                  <w:pPr>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92.5</w:t>
                  </w:r>
                </w:p>
              </w:tc>
              <w:tc>
                <w:tcPr>
                  <w:tcW w:w="667" w:type="pct"/>
                  <w:tcBorders>
                    <w:tl2br w:val="nil"/>
                    <w:tr2bl w:val="nil"/>
                  </w:tcBorders>
                  <w:shd w:val="clear" w:color="auto" w:fill="FFFFFF" w:themeFill="background1"/>
                  <w:vAlign w:val="center"/>
                </w:tcPr>
                <w:p w14:paraId="18A5B0E0">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14:paraId="1B8FAD81">
            <w:pPr>
              <w:widowControl/>
              <w:adjustRightInd w:val="0"/>
              <w:snapToGrid w:val="0"/>
              <w:spacing w:line="360" w:lineRule="auto"/>
              <w:ind w:firstLine="480" w:firstLineChars="200"/>
              <w:rPr>
                <w:color w:val="auto"/>
                <w:kern w:val="0"/>
                <w:sz w:val="24"/>
              </w:rPr>
            </w:pPr>
            <w:r>
              <w:rPr>
                <w:rFonts w:hint="default" w:ascii="Times New Roman" w:hAnsi="Times New Roman" w:cs="Times New Roman"/>
                <w:color w:val="auto"/>
                <w:kern w:val="0"/>
                <w:sz w:val="24"/>
                <w:szCs w:val="24"/>
              </w:rPr>
              <w:t>由统计结果可知，项目所在区域环境空气中PM</w:t>
            </w:r>
            <w:r>
              <w:rPr>
                <w:rFonts w:hint="default" w:ascii="Times New Roman" w:hAnsi="Times New Roman" w:cs="Times New Roman"/>
                <w:color w:val="auto"/>
                <w:kern w:val="0"/>
                <w:sz w:val="24"/>
                <w:szCs w:val="24"/>
                <w:vertAlign w:val="subscript"/>
              </w:rPr>
              <w:t>10</w:t>
            </w:r>
            <w:r>
              <w:rPr>
                <w:rFonts w:hint="default" w:ascii="Times New Roman" w:hAnsi="Times New Roman" w:cs="Times New Roman"/>
                <w:color w:val="auto"/>
                <w:kern w:val="0"/>
                <w:sz w:val="24"/>
                <w:szCs w:val="24"/>
              </w:rPr>
              <w:t>浓度年均值、SO</w:t>
            </w:r>
            <w:r>
              <w:rPr>
                <w:rFonts w:hint="default" w:ascii="Times New Roman" w:hAnsi="Times New Roman" w:cs="Times New Roman"/>
                <w:color w:val="auto"/>
                <w:kern w:val="0"/>
                <w:sz w:val="24"/>
                <w:szCs w:val="24"/>
                <w:vertAlign w:val="subscript"/>
              </w:rPr>
              <w:t>2</w:t>
            </w:r>
            <w:r>
              <w:rPr>
                <w:rFonts w:hint="default" w:ascii="Times New Roman" w:hAnsi="Times New Roman" w:cs="Times New Roman"/>
                <w:color w:val="auto"/>
                <w:kern w:val="0"/>
                <w:sz w:val="24"/>
                <w:szCs w:val="24"/>
              </w:rPr>
              <w:t>浓度年均值、NO</w:t>
            </w:r>
            <w:r>
              <w:rPr>
                <w:rFonts w:hint="default" w:ascii="Times New Roman" w:hAnsi="Times New Roman" w:cs="Times New Roman"/>
                <w:color w:val="auto"/>
                <w:kern w:val="0"/>
                <w:sz w:val="24"/>
                <w:szCs w:val="24"/>
                <w:vertAlign w:val="subscript"/>
              </w:rPr>
              <w:t>2</w:t>
            </w:r>
            <w:r>
              <w:rPr>
                <w:rFonts w:hint="default" w:ascii="Times New Roman" w:hAnsi="Times New Roman" w:cs="Times New Roman"/>
                <w:color w:val="auto"/>
                <w:kern w:val="0"/>
                <w:sz w:val="24"/>
                <w:szCs w:val="24"/>
              </w:rPr>
              <w:t>浓度年均值、一氧化碳第95百分位、臭氧8小时第90百分位浓度均满足国家环境空气质量二级标准；PM</w:t>
            </w:r>
            <w:r>
              <w:rPr>
                <w:rFonts w:hint="default" w:ascii="Times New Roman" w:hAnsi="Times New Roman" w:cs="Times New Roman"/>
                <w:color w:val="auto"/>
                <w:kern w:val="0"/>
                <w:sz w:val="24"/>
                <w:szCs w:val="24"/>
                <w:vertAlign w:val="subscript"/>
              </w:rPr>
              <w:t>2.5</w:t>
            </w:r>
            <w:r>
              <w:rPr>
                <w:rFonts w:hint="default" w:ascii="Times New Roman" w:hAnsi="Times New Roman" w:cs="Times New Roman"/>
                <w:color w:val="auto"/>
                <w:kern w:val="0"/>
                <w:sz w:val="24"/>
                <w:szCs w:val="24"/>
              </w:rPr>
              <w:t>浓度年均值不满足《环境空气质量标准》(GB3095一2012)</w:t>
            </w:r>
            <w:r>
              <w:rPr>
                <w:rFonts w:hint="eastAsia" w:cs="Times New Roman"/>
                <w:color w:val="auto"/>
                <w:kern w:val="0"/>
                <w:sz w:val="24"/>
                <w:szCs w:val="24"/>
                <w:lang w:eastAsia="zh-CN"/>
              </w:rPr>
              <w:t>中</w:t>
            </w:r>
            <w:r>
              <w:rPr>
                <w:rFonts w:hint="default" w:ascii="Times New Roman" w:hAnsi="Times New Roman" w:cs="Times New Roman"/>
                <w:color w:val="auto"/>
                <w:kern w:val="0"/>
                <w:sz w:val="24"/>
                <w:szCs w:val="24"/>
              </w:rPr>
              <w:t>二级标准。项目位于宝鸡市陈仓科技工业园，因此项目所在评价区域为不达标区。</w:t>
            </w:r>
          </w:p>
          <w:p w14:paraId="1B2C2096">
            <w:pPr>
              <w:adjustRightInd w:val="0"/>
              <w:snapToGrid w:val="0"/>
              <w:spacing w:line="360" w:lineRule="auto"/>
              <w:ind w:firstLine="482" w:firstLineChars="200"/>
              <w:jc w:val="left"/>
              <w:rPr>
                <w:b/>
                <w:color w:val="auto"/>
                <w:sz w:val="24"/>
              </w:rPr>
            </w:pPr>
            <w:r>
              <w:rPr>
                <w:b/>
                <w:color w:val="auto"/>
                <w:sz w:val="24"/>
              </w:rPr>
              <w:t>2</w:t>
            </w:r>
            <w:r>
              <w:rPr>
                <w:rFonts w:hint="eastAsia"/>
                <w:b/>
                <w:color w:val="auto"/>
                <w:sz w:val="24"/>
              </w:rPr>
              <w:t>.</w:t>
            </w:r>
            <w:r>
              <w:rPr>
                <w:b/>
                <w:color w:val="auto"/>
                <w:sz w:val="24"/>
              </w:rPr>
              <w:t>地表水环境</w:t>
            </w:r>
          </w:p>
          <w:p w14:paraId="71D58899">
            <w:pPr>
              <w:pStyle w:val="18"/>
              <w:spacing w:line="360" w:lineRule="auto"/>
              <w:ind w:leftChars="0" w:firstLine="480" w:firstLineChars="200"/>
              <w:jc w:val="left"/>
              <w:rPr>
                <w:rFonts w:hint="eastAsia" w:ascii="Times New Roman" w:hAnsi="Times New Roman"/>
                <w:color w:val="auto"/>
                <w:sz w:val="24"/>
                <w:lang w:eastAsia="zh-CN"/>
              </w:rPr>
            </w:pPr>
            <w:r>
              <w:rPr>
                <w:rFonts w:hint="eastAsia" w:ascii="Times New Roman" w:hAnsi="Times New Roman"/>
                <w:color w:val="auto"/>
                <w:sz w:val="24"/>
                <w:lang w:val="en-US" w:eastAsia="zh-CN"/>
              </w:rPr>
              <w:t>结合该项目所处的地理位置情况，同时结合当地河流分布等因素，项目所处地表水体为渭河。本项目地表水环境现状评价引用《宝鸡市生态环境质量报告书2024》中“2024年地表水监测断面主要指标年均值统计汇总表”中虢镇桥断面（上游）及魏家堡断面（下游）监测数据，统计结果见下表</w:t>
            </w:r>
            <w:r>
              <w:rPr>
                <w:rFonts w:hint="eastAsia" w:ascii="Times New Roman" w:hAnsi="Times New Roman"/>
                <w:color w:val="auto"/>
                <w:sz w:val="24"/>
                <w:lang w:eastAsia="zh-CN"/>
              </w:rPr>
              <w:t>。</w:t>
            </w:r>
          </w:p>
          <w:p w14:paraId="2E8D914D">
            <w:pPr>
              <w:pStyle w:val="31"/>
              <w:bidi w:val="0"/>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表3-</w:t>
            </w:r>
            <w:r>
              <w:rPr>
                <w:rFonts w:hint="eastAsia" w:cs="Times New Roman"/>
                <w:b/>
                <w:bCs/>
                <w:color w:val="auto"/>
                <w:kern w:val="2"/>
                <w:sz w:val="21"/>
                <w:szCs w:val="21"/>
                <w:lang w:val="en-US" w:eastAsia="zh-CN" w:bidi="ar-SA"/>
              </w:rPr>
              <w:t xml:space="preserve">2 </w:t>
            </w:r>
            <w:r>
              <w:rPr>
                <w:rFonts w:hint="eastAsia" w:ascii="Times New Roman" w:hAnsi="Times New Roman" w:eastAsia="宋体" w:cs="Times New Roman"/>
                <w:b/>
                <w:bCs/>
                <w:color w:val="auto"/>
                <w:kern w:val="2"/>
                <w:sz w:val="21"/>
                <w:szCs w:val="21"/>
                <w:lang w:val="en-US" w:eastAsia="zh-CN" w:bidi="ar-SA"/>
              </w:rPr>
              <w:t xml:space="preserve">  地表水监测断面主要指标年均值统计表（摘录）  单位：mg/L</w:t>
            </w:r>
          </w:p>
          <w:tbl>
            <w:tblPr>
              <w:tblStyle w:val="23"/>
              <w:tblW w:w="4979" w:type="pct"/>
              <w:tblInd w:w="1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036"/>
              <w:gridCol w:w="1010"/>
              <w:gridCol w:w="1259"/>
              <w:gridCol w:w="1359"/>
              <w:gridCol w:w="704"/>
              <w:gridCol w:w="654"/>
              <w:gridCol w:w="679"/>
              <w:gridCol w:w="844"/>
              <w:gridCol w:w="806"/>
            </w:tblGrid>
            <w:tr w14:paraId="4238AD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20" w:type="pct"/>
                  <w:tcBorders>
                    <w:tl2br w:val="nil"/>
                    <w:tr2bl w:val="nil"/>
                  </w:tcBorders>
                  <w:noWrap w:val="0"/>
                  <w:vAlign w:val="center"/>
                </w:tcPr>
                <w:p w14:paraId="1A820E24">
                  <w:pPr>
                    <w:pStyle w:val="31"/>
                    <w:bidi w:val="0"/>
                    <w:rPr>
                      <w:color w:val="auto"/>
                    </w:rPr>
                  </w:pPr>
                  <w:r>
                    <w:rPr>
                      <w:color w:val="auto"/>
                    </w:rPr>
                    <w:t>评价断面</w:t>
                  </w:r>
                </w:p>
              </w:tc>
              <w:tc>
                <w:tcPr>
                  <w:tcW w:w="604" w:type="pct"/>
                  <w:tcBorders>
                    <w:tl2br w:val="nil"/>
                    <w:tr2bl w:val="nil"/>
                  </w:tcBorders>
                  <w:noWrap w:val="0"/>
                  <w:vAlign w:val="center"/>
                </w:tcPr>
                <w:p w14:paraId="7E108E99">
                  <w:pPr>
                    <w:pStyle w:val="31"/>
                    <w:bidi w:val="0"/>
                    <w:rPr>
                      <w:color w:val="auto"/>
                    </w:rPr>
                  </w:pPr>
                  <w:r>
                    <w:rPr>
                      <w:color w:val="auto"/>
                    </w:rPr>
                    <w:t>水域类别</w:t>
                  </w:r>
                </w:p>
              </w:tc>
              <w:tc>
                <w:tcPr>
                  <w:tcW w:w="753" w:type="pct"/>
                  <w:tcBorders>
                    <w:tl2br w:val="nil"/>
                    <w:tr2bl w:val="nil"/>
                  </w:tcBorders>
                  <w:noWrap w:val="0"/>
                  <w:vAlign w:val="center"/>
                </w:tcPr>
                <w:p w14:paraId="7EC5FFB4">
                  <w:pPr>
                    <w:pStyle w:val="31"/>
                    <w:bidi w:val="0"/>
                    <w:rPr>
                      <w:color w:val="auto"/>
                    </w:rPr>
                  </w:pPr>
                  <w:r>
                    <w:rPr>
                      <w:color w:val="auto"/>
                    </w:rPr>
                    <w:t>监测因子</w:t>
                  </w:r>
                </w:p>
              </w:tc>
              <w:tc>
                <w:tcPr>
                  <w:tcW w:w="813" w:type="pct"/>
                  <w:tcBorders>
                    <w:tl2br w:val="nil"/>
                    <w:tr2bl w:val="nil"/>
                  </w:tcBorders>
                  <w:noWrap w:val="0"/>
                  <w:vAlign w:val="center"/>
                </w:tcPr>
                <w:p w14:paraId="455F9ED3">
                  <w:pPr>
                    <w:pStyle w:val="31"/>
                    <w:bidi w:val="0"/>
                    <w:rPr>
                      <w:color w:val="auto"/>
                    </w:rPr>
                  </w:pPr>
                  <w:r>
                    <w:rPr>
                      <w:color w:val="auto"/>
                    </w:rPr>
                    <w:t>高锰酸盐指数</w:t>
                  </w:r>
                </w:p>
              </w:tc>
              <w:tc>
                <w:tcPr>
                  <w:tcW w:w="421" w:type="pct"/>
                  <w:tcBorders>
                    <w:tl2br w:val="nil"/>
                    <w:tr2bl w:val="nil"/>
                  </w:tcBorders>
                  <w:noWrap w:val="0"/>
                  <w:vAlign w:val="center"/>
                </w:tcPr>
                <w:p w14:paraId="761BD4CE">
                  <w:pPr>
                    <w:pStyle w:val="31"/>
                    <w:bidi w:val="0"/>
                    <w:rPr>
                      <w:color w:val="auto"/>
                    </w:rPr>
                  </w:pPr>
                  <w:r>
                    <w:rPr>
                      <w:color w:val="auto"/>
                    </w:rPr>
                    <w:t>BOD</w:t>
                  </w:r>
                  <w:r>
                    <w:rPr>
                      <w:color w:val="auto"/>
                      <w:vertAlign w:val="subscript"/>
                    </w:rPr>
                    <w:t>5</w:t>
                  </w:r>
                </w:p>
              </w:tc>
              <w:tc>
                <w:tcPr>
                  <w:tcW w:w="391" w:type="pct"/>
                  <w:tcBorders>
                    <w:tl2br w:val="nil"/>
                    <w:tr2bl w:val="nil"/>
                  </w:tcBorders>
                  <w:noWrap w:val="0"/>
                  <w:vAlign w:val="center"/>
                </w:tcPr>
                <w:p w14:paraId="0EA540BF">
                  <w:pPr>
                    <w:pStyle w:val="31"/>
                    <w:bidi w:val="0"/>
                    <w:rPr>
                      <w:color w:val="auto"/>
                    </w:rPr>
                  </w:pPr>
                  <w:r>
                    <w:rPr>
                      <w:color w:val="auto"/>
                    </w:rPr>
                    <w:t>氨氮</w:t>
                  </w:r>
                </w:p>
              </w:tc>
              <w:tc>
                <w:tcPr>
                  <w:tcW w:w="406" w:type="pct"/>
                  <w:tcBorders>
                    <w:tl2br w:val="nil"/>
                    <w:tr2bl w:val="nil"/>
                  </w:tcBorders>
                  <w:noWrap w:val="0"/>
                  <w:vAlign w:val="center"/>
                </w:tcPr>
                <w:p w14:paraId="231BEC91">
                  <w:pPr>
                    <w:pStyle w:val="31"/>
                    <w:bidi w:val="0"/>
                    <w:rPr>
                      <w:color w:val="auto"/>
                    </w:rPr>
                  </w:pPr>
                  <w:r>
                    <w:rPr>
                      <w:color w:val="auto"/>
                    </w:rPr>
                    <w:t>COD</w:t>
                  </w:r>
                </w:p>
              </w:tc>
              <w:tc>
                <w:tcPr>
                  <w:tcW w:w="505" w:type="pct"/>
                  <w:tcBorders>
                    <w:tl2br w:val="nil"/>
                    <w:tr2bl w:val="nil"/>
                  </w:tcBorders>
                  <w:noWrap w:val="0"/>
                  <w:vAlign w:val="center"/>
                </w:tcPr>
                <w:p w14:paraId="40C7806D">
                  <w:pPr>
                    <w:pStyle w:val="31"/>
                    <w:bidi w:val="0"/>
                    <w:rPr>
                      <w:color w:val="auto"/>
                    </w:rPr>
                  </w:pPr>
                  <w:r>
                    <w:rPr>
                      <w:color w:val="auto"/>
                    </w:rPr>
                    <w:t>总磷</w:t>
                  </w:r>
                </w:p>
              </w:tc>
              <w:tc>
                <w:tcPr>
                  <w:tcW w:w="482" w:type="pct"/>
                  <w:tcBorders>
                    <w:tl2br w:val="nil"/>
                    <w:tr2bl w:val="nil"/>
                  </w:tcBorders>
                  <w:noWrap w:val="0"/>
                  <w:vAlign w:val="center"/>
                </w:tcPr>
                <w:p w14:paraId="56952586">
                  <w:pPr>
                    <w:pStyle w:val="31"/>
                    <w:bidi w:val="0"/>
                    <w:rPr>
                      <w:color w:val="auto"/>
                    </w:rPr>
                  </w:pPr>
                  <w:r>
                    <w:rPr>
                      <w:color w:val="auto"/>
                    </w:rPr>
                    <w:t>氟化物</w:t>
                  </w:r>
                </w:p>
              </w:tc>
            </w:tr>
            <w:tr w14:paraId="1177F8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20" w:type="pct"/>
                  <w:vMerge w:val="restart"/>
                  <w:tcBorders>
                    <w:tl2br w:val="nil"/>
                    <w:tr2bl w:val="nil"/>
                  </w:tcBorders>
                  <w:noWrap w:val="0"/>
                  <w:vAlign w:val="center"/>
                </w:tcPr>
                <w:p w14:paraId="4C71A743">
                  <w:pPr>
                    <w:pStyle w:val="31"/>
                    <w:bidi w:val="0"/>
                    <w:rPr>
                      <w:color w:val="auto"/>
                    </w:rPr>
                  </w:pPr>
                  <w:r>
                    <w:rPr>
                      <w:color w:val="auto"/>
                    </w:rPr>
                    <w:t>虢镇桥</w:t>
                  </w:r>
                </w:p>
                <w:p w14:paraId="7A254AE9">
                  <w:pPr>
                    <w:pStyle w:val="31"/>
                    <w:bidi w:val="0"/>
                    <w:rPr>
                      <w:color w:val="auto"/>
                    </w:rPr>
                  </w:pPr>
                  <w:r>
                    <w:rPr>
                      <w:color w:val="auto"/>
                    </w:rPr>
                    <w:t>断面</w:t>
                  </w:r>
                </w:p>
              </w:tc>
              <w:tc>
                <w:tcPr>
                  <w:tcW w:w="604" w:type="pct"/>
                  <w:vMerge w:val="restart"/>
                  <w:tcBorders>
                    <w:tl2br w:val="nil"/>
                    <w:tr2bl w:val="nil"/>
                  </w:tcBorders>
                  <w:noWrap w:val="0"/>
                  <w:vAlign w:val="center"/>
                </w:tcPr>
                <w:p w14:paraId="3A397D53">
                  <w:pPr>
                    <w:pStyle w:val="31"/>
                    <w:bidi w:val="0"/>
                    <w:rPr>
                      <w:color w:val="auto"/>
                    </w:rPr>
                  </w:pPr>
                  <w:r>
                    <w:rPr>
                      <w:color w:val="auto"/>
                    </w:rPr>
                    <w:t>Ⅳ类</w:t>
                  </w:r>
                </w:p>
              </w:tc>
              <w:tc>
                <w:tcPr>
                  <w:tcW w:w="753" w:type="pct"/>
                  <w:tcBorders>
                    <w:tl2br w:val="nil"/>
                    <w:tr2bl w:val="nil"/>
                  </w:tcBorders>
                  <w:noWrap w:val="0"/>
                  <w:vAlign w:val="center"/>
                </w:tcPr>
                <w:p w14:paraId="6E2E326F">
                  <w:pPr>
                    <w:pStyle w:val="31"/>
                    <w:bidi w:val="0"/>
                    <w:rPr>
                      <w:color w:val="auto"/>
                      <w:lang w:val="en-US" w:eastAsia="zh-CN"/>
                    </w:rPr>
                  </w:pPr>
                  <w:r>
                    <w:rPr>
                      <w:color w:val="auto"/>
                    </w:rPr>
                    <w:t>监测值</w:t>
                  </w:r>
                </w:p>
              </w:tc>
              <w:tc>
                <w:tcPr>
                  <w:tcW w:w="813" w:type="pct"/>
                  <w:tcBorders>
                    <w:tl2br w:val="nil"/>
                    <w:tr2bl w:val="nil"/>
                  </w:tcBorders>
                  <w:noWrap w:val="0"/>
                  <w:vAlign w:val="center"/>
                </w:tcPr>
                <w:p w14:paraId="4D80C069">
                  <w:pPr>
                    <w:pStyle w:val="31"/>
                    <w:bidi w:val="0"/>
                    <w:rPr>
                      <w:rFonts w:hint="default"/>
                      <w:color w:val="auto"/>
                      <w:lang w:val="en-US" w:eastAsia="zh-CN"/>
                    </w:rPr>
                  </w:pPr>
                  <w:r>
                    <w:rPr>
                      <w:rFonts w:hint="eastAsia"/>
                      <w:color w:val="auto"/>
                      <w:lang w:val="en-US" w:eastAsia="zh-CN"/>
                    </w:rPr>
                    <w:t>2.6</w:t>
                  </w:r>
                </w:p>
              </w:tc>
              <w:tc>
                <w:tcPr>
                  <w:tcW w:w="421" w:type="pct"/>
                  <w:tcBorders>
                    <w:tl2br w:val="nil"/>
                    <w:tr2bl w:val="nil"/>
                  </w:tcBorders>
                  <w:noWrap w:val="0"/>
                  <w:vAlign w:val="center"/>
                </w:tcPr>
                <w:p w14:paraId="12B3DD67">
                  <w:pPr>
                    <w:pStyle w:val="31"/>
                    <w:bidi w:val="0"/>
                    <w:rPr>
                      <w:rFonts w:hint="default"/>
                      <w:color w:val="auto"/>
                      <w:lang w:val="en-US" w:eastAsia="zh-CN"/>
                    </w:rPr>
                  </w:pPr>
                  <w:r>
                    <w:rPr>
                      <w:rFonts w:hint="eastAsia"/>
                      <w:color w:val="auto"/>
                      <w:lang w:val="en-US" w:eastAsia="zh-CN"/>
                    </w:rPr>
                    <w:t>1.7</w:t>
                  </w:r>
                </w:p>
              </w:tc>
              <w:tc>
                <w:tcPr>
                  <w:tcW w:w="391" w:type="pct"/>
                  <w:tcBorders>
                    <w:tl2br w:val="nil"/>
                    <w:tr2bl w:val="nil"/>
                  </w:tcBorders>
                  <w:noWrap w:val="0"/>
                  <w:vAlign w:val="center"/>
                </w:tcPr>
                <w:p w14:paraId="7B9F2195">
                  <w:pPr>
                    <w:pStyle w:val="31"/>
                    <w:bidi w:val="0"/>
                    <w:rPr>
                      <w:rFonts w:hint="default"/>
                      <w:color w:val="auto"/>
                      <w:lang w:val="en-US" w:eastAsia="zh-CN"/>
                    </w:rPr>
                  </w:pPr>
                  <w:r>
                    <w:rPr>
                      <w:rFonts w:hint="eastAsia"/>
                      <w:color w:val="auto"/>
                      <w:lang w:val="en-US" w:eastAsia="zh-CN"/>
                    </w:rPr>
                    <w:t>0.46</w:t>
                  </w:r>
                </w:p>
              </w:tc>
              <w:tc>
                <w:tcPr>
                  <w:tcW w:w="406" w:type="pct"/>
                  <w:tcBorders>
                    <w:tl2br w:val="nil"/>
                    <w:tr2bl w:val="nil"/>
                  </w:tcBorders>
                  <w:noWrap w:val="0"/>
                  <w:vAlign w:val="center"/>
                </w:tcPr>
                <w:p w14:paraId="381C5268">
                  <w:pPr>
                    <w:pStyle w:val="31"/>
                    <w:bidi w:val="0"/>
                    <w:rPr>
                      <w:rFonts w:hint="default"/>
                      <w:color w:val="auto"/>
                      <w:lang w:val="en-US" w:eastAsia="zh-CN"/>
                    </w:rPr>
                  </w:pPr>
                  <w:r>
                    <w:rPr>
                      <w:rFonts w:hint="eastAsia"/>
                      <w:color w:val="auto"/>
                      <w:lang w:val="en-US" w:eastAsia="zh-CN"/>
                    </w:rPr>
                    <w:t>14.3</w:t>
                  </w:r>
                </w:p>
              </w:tc>
              <w:tc>
                <w:tcPr>
                  <w:tcW w:w="505" w:type="pct"/>
                  <w:tcBorders>
                    <w:tl2br w:val="nil"/>
                    <w:tr2bl w:val="nil"/>
                  </w:tcBorders>
                  <w:noWrap w:val="0"/>
                  <w:vAlign w:val="center"/>
                </w:tcPr>
                <w:p w14:paraId="6BF061F3">
                  <w:pPr>
                    <w:pStyle w:val="31"/>
                    <w:bidi w:val="0"/>
                    <w:rPr>
                      <w:rFonts w:hint="default"/>
                      <w:color w:val="auto"/>
                      <w:lang w:val="en-US" w:eastAsia="zh-CN"/>
                    </w:rPr>
                  </w:pPr>
                  <w:r>
                    <w:rPr>
                      <w:rFonts w:hint="eastAsia"/>
                      <w:color w:val="auto"/>
                      <w:lang w:val="en-US" w:eastAsia="zh-CN"/>
                    </w:rPr>
                    <w:t>0.074</w:t>
                  </w:r>
                </w:p>
              </w:tc>
              <w:tc>
                <w:tcPr>
                  <w:tcW w:w="482" w:type="pct"/>
                  <w:tcBorders>
                    <w:tl2br w:val="nil"/>
                    <w:tr2bl w:val="nil"/>
                  </w:tcBorders>
                  <w:noWrap w:val="0"/>
                  <w:vAlign w:val="center"/>
                </w:tcPr>
                <w:p w14:paraId="5E0D76B7">
                  <w:pPr>
                    <w:pStyle w:val="31"/>
                    <w:bidi w:val="0"/>
                    <w:rPr>
                      <w:rFonts w:hint="default"/>
                      <w:color w:val="auto"/>
                      <w:lang w:val="en-US" w:eastAsia="zh-CN"/>
                    </w:rPr>
                  </w:pPr>
                  <w:r>
                    <w:rPr>
                      <w:rFonts w:hint="eastAsia"/>
                      <w:color w:val="auto"/>
                      <w:lang w:val="en-US" w:eastAsia="zh-CN"/>
                    </w:rPr>
                    <w:t>0.40</w:t>
                  </w:r>
                </w:p>
              </w:tc>
            </w:tr>
            <w:tr w14:paraId="069428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20" w:type="pct"/>
                  <w:vMerge w:val="continue"/>
                  <w:tcBorders>
                    <w:tl2br w:val="nil"/>
                    <w:tr2bl w:val="nil"/>
                  </w:tcBorders>
                  <w:noWrap w:val="0"/>
                  <w:vAlign w:val="center"/>
                </w:tcPr>
                <w:p w14:paraId="52969CA3">
                  <w:pPr>
                    <w:pStyle w:val="31"/>
                    <w:bidi w:val="0"/>
                    <w:rPr>
                      <w:color w:val="auto"/>
                    </w:rPr>
                  </w:pPr>
                </w:p>
              </w:tc>
              <w:tc>
                <w:tcPr>
                  <w:tcW w:w="604" w:type="pct"/>
                  <w:vMerge w:val="continue"/>
                  <w:tcBorders>
                    <w:tl2br w:val="nil"/>
                    <w:tr2bl w:val="nil"/>
                  </w:tcBorders>
                  <w:noWrap w:val="0"/>
                  <w:vAlign w:val="center"/>
                </w:tcPr>
                <w:p w14:paraId="271BD532">
                  <w:pPr>
                    <w:pStyle w:val="31"/>
                    <w:bidi w:val="0"/>
                    <w:rPr>
                      <w:color w:val="auto"/>
                    </w:rPr>
                  </w:pPr>
                </w:p>
              </w:tc>
              <w:tc>
                <w:tcPr>
                  <w:tcW w:w="753" w:type="pct"/>
                  <w:tcBorders>
                    <w:tl2br w:val="nil"/>
                    <w:tr2bl w:val="nil"/>
                  </w:tcBorders>
                  <w:noWrap w:val="0"/>
                  <w:vAlign w:val="center"/>
                </w:tcPr>
                <w:p w14:paraId="6D6B2DDA">
                  <w:pPr>
                    <w:pStyle w:val="31"/>
                    <w:bidi w:val="0"/>
                    <w:rPr>
                      <w:color w:val="auto"/>
                      <w:lang w:val="en-US" w:eastAsia="zh-CN"/>
                    </w:rPr>
                  </w:pPr>
                  <w:r>
                    <w:rPr>
                      <w:color w:val="auto"/>
                    </w:rPr>
                    <w:t>评价标准</w:t>
                  </w:r>
                </w:p>
              </w:tc>
              <w:tc>
                <w:tcPr>
                  <w:tcW w:w="813" w:type="pct"/>
                  <w:tcBorders>
                    <w:tl2br w:val="nil"/>
                    <w:tr2bl w:val="nil"/>
                  </w:tcBorders>
                  <w:noWrap w:val="0"/>
                  <w:vAlign w:val="center"/>
                </w:tcPr>
                <w:p w14:paraId="4863F96E">
                  <w:pPr>
                    <w:pStyle w:val="31"/>
                    <w:bidi w:val="0"/>
                    <w:rPr>
                      <w:color w:val="auto"/>
                      <w:lang w:val="en-US" w:eastAsia="zh-CN"/>
                    </w:rPr>
                  </w:pPr>
                  <w:r>
                    <w:rPr>
                      <w:color w:val="auto"/>
                    </w:rPr>
                    <w:t>≤10</w:t>
                  </w:r>
                </w:p>
              </w:tc>
              <w:tc>
                <w:tcPr>
                  <w:tcW w:w="421" w:type="pct"/>
                  <w:tcBorders>
                    <w:tl2br w:val="nil"/>
                    <w:tr2bl w:val="nil"/>
                  </w:tcBorders>
                  <w:noWrap w:val="0"/>
                  <w:vAlign w:val="center"/>
                </w:tcPr>
                <w:p w14:paraId="70C8C073">
                  <w:pPr>
                    <w:pStyle w:val="31"/>
                    <w:bidi w:val="0"/>
                    <w:rPr>
                      <w:color w:val="auto"/>
                    </w:rPr>
                  </w:pPr>
                  <w:r>
                    <w:rPr>
                      <w:color w:val="auto"/>
                    </w:rPr>
                    <w:t>≤6</w:t>
                  </w:r>
                </w:p>
              </w:tc>
              <w:tc>
                <w:tcPr>
                  <w:tcW w:w="391" w:type="pct"/>
                  <w:tcBorders>
                    <w:tl2br w:val="nil"/>
                    <w:tr2bl w:val="nil"/>
                  </w:tcBorders>
                  <w:noWrap w:val="0"/>
                  <w:vAlign w:val="center"/>
                </w:tcPr>
                <w:p w14:paraId="75AEFFC6">
                  <w:pPr>
                    <w:pStyle w:val="31"/>
                    <w:bidi w:val="0"/>
                    <w:rPr>
                      <w:color w:val="auto"/>
                    </w:rPr>
                  </w:pPr>
                  <w:r>
                    <w:rPr>
                      <w:color w:val="auto"/>
                    </w:rPr>
                    <w:t>≤1.5</w:t>
                  </w:r>
                </w:p>
              </w:tc>
              <w:tc>
                <w:tcPr>
                  <w:tcW w:w="406" w:type="pct"/>
                  <w:tcBorders>
                    <w:tl2br w:val="nil"/>
                    <w:tr2bl w:val="nil"/>
                  </w:tcBorders>
                  <w:noWrap w:val="0"/>
                  <w:vAlign w:val="center"/>
                </w:tcPr>
                <w:p w14:paraId="4CEB5F47">
                  <w:pPr>
                    <w:pStyle w:val="31"/>
                    <w:bidi w:val="0"/>
                    <w:rPr>
                      <w:color w:val="auto"/>
                    </w:rPr>
                  </w:pPr>
                  <w:r>
                    <w:rPr>
                      <w:color w:val="auto"/>
                    </w:rPr>
                    <w:t>≤30</w:t>
                  </w:r>
                </w:p>
              </w:tc>
              <w:tc>
                <w:tcPr>
                  <w:tcW w:w="505" w:type="pct"/>
                  <w:tcBorders>
                    <w:tl2br w:val="nil"/>
                    <w:tr2bl w:val="nil"/>
                  </w:tcBorders>
                  <w:noWrap w:val="0"/>
                  <w:vAlign w:val="center"/>
                </w:tcPr>
                <w:p w14:paraId="3C220C52">
                  <w:pPr>
                    <w:pStyle w:val="31"/>
                    <w:bidi w:val="0"/>
                    <w:rPr>
                      <w:color w:val="auto"/>
                    </w:rPr>
                  </w:pPr>
                  <w:r>
                    <w:rPr>
                      <w:color w:val="auto"/>
                    </w:rPr>
                    <w:t>≤0.3</w:t>
                  </w:r>
                </w:p>
              </w:tc>
              <w:tc>
                <w:tcPr>
                  <w:tcW w:w="482" w:type="pct"/>
                  <w:tcBorders>
                    <w:tl2br w:val="nil"/>
                    <w:tr2bl w:val="nil"/>
                  </w:tcBorders>
                  <w:noWrap w:val="0"/>
                  <w:vAlign w:val="center"/>
                </w:tcPr>
                <w:p w14:paraId="4A179924">
                  <w:pPr>
                    <w:pStyle w:val="31"/>
                    <w:bidi w:val="0"/>
                    <w:rPr>
                      <w:color w:val="auto"/>
                    </w:rPr>
                  </w:pPr>
                  <w:r>
                    <w:rPr>
                      <w:color w:val="auto"/>
                    </w:rPr>
                    <w:t>≤1.5</w:t>
                  </w:r>
                </w:p>
              </w:tc>
            </w:tr>
            <w:tr w14:paraId="71173E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20" w:type="pct"/>
                  <w:vMerge w:val="continue"/>
                  <w:tcBorders>
                    <w:tl2br w:val="nil"/>
                    <w:tr2bl w:val="nil"/>
                  </w:tcBorders>
                  <w:noWrap w:val="0"/>
                  <w:vAlign w:val="center"/>
                </w:tcPr>
                <w:p w14:paraId="4E558AB0">
                  <w:pPr>
                    <w:pStyle w:val="31"/>
                    <w:bidi w:val="0"/>
                    <w:rPr>
                      <w:color w:val="auto"/>
                    </w:rPr>
                  </w:pPr>
                </w:p>
              </w:tc>
              <w:tc>
                <w:tcPr>
                  <w:tcW w:w="604" w:type="pct"/>
                  <w:vMerge w:val="continue"/>
                  <w:tcBorders>
                    <w:tl2br w:val="nil"/>
                    <w:tr2bl w:val="nil"/>
                  </w:tcBorders>
                  <w:noWrap w:val="0"/>
                  <w:vAlign w:val="center"/>
                </w:tcPr>
                <w:p w14:paraId="6326B957">
                  <w:pPr>
                    <w:pStyle w:val="31"/>
                    <w:bidi w:val="0"/>
                    <w:rPr>
                      <w:color w:val="auto"/>
                    </w:rPr>
                  </w:pPr>
                </w:p>
              </w:tc>
              <w:tc>
                <w:tcPr>
                  <w:tcW w:w="753" w:type="pct"/>
                  <w:tcBorders>
                    <w:tl2br w:val="nil"/>
                    <w:tr2bl w:val="nil"/>
                  </w:tcBorders>
                  <w:noWrap w:val="0"/>
                  <w:vAlign w:val="center"/>
                </w:tcPr>
                <w:p w14:paraId="40A4121E">
                  <w:pPr>
                    <w:pStyle w:val="31"/>
                    <w:bidi w:val="0"/>
                    <w:rPr>
                      <w:color w:val="auto"/>
                      <w:lang w:val="en-US" w:eastAsia="zh-CN"/>
                    </w:rPr>
                  </w:pPr>
                  <w:r>
                    <w:rPr>
                      <w:color w:val="auto"/>
                    </w:rPr>
                    <w:t>占标率</w:t>
                  </w:r>
                </w:p>
              </w:tc>
              <w:tc>
                <w:tcPr>
                  <w:tcW w:w="813" w:type="pct"/>
                  <w:tcBorders>
                    <w:tl2br w:val="nil"/>
                    <w:tr2bl w:val="nil"/>
                  </w:tcBorders>
                  <w:noWrap w:val="0"/>
                  <w:vAlign w:val="center"/>
                </w:tcPr>
                <w:p w14:paraId="16D40591">
                  <w:pPr>
                    <w:pStyle w:val="31"/>
                    <w:bidi w:val="0"/>
                    <w:rPr>
                      <w:color w:val="auto"/>
                      <w:lang w:val="en-US" w:eastAsia="zh-CN"/>
                    </w:rPr>
                  </w:pPr>
                  <w:r>
                    <w:rPr>
                      <w:color w:val="auto"/>
                    </w:rPr>
                    <w:t>2</w:t>
                  </w:r>
                  <w:r>
                    <w:rPr>
                      <w:rFonts w:hint="eastAsia"/>
                      <w:color w:val="auto"/>
                      <w:lang w:val="en-US" w:eastAsia="zh-CN"/>
                    </w:rPr>
                    <w:t>7</w:t>
                  </w:r>
                  <w:r>
                    <w:rPr>
                      <w:color w:val="auto"/>
                    </w:rPr>
                    <w:t>%</w:t>
                  </w:r>
                </w:p>
              </w:tc>
              <w:tc>
                <w:tcPr>
                  <w:tcW w:w="421" w:type="pct"/>
                  <w:tcBorders>
                    <w:tl2br w:val="nil"/>
                    <w:tr2bl w:val="nil"/>
                  </w:tcBorders>
                  <w:noWrap w:val="0"/>
                  <w:vAlign w:val="center"/>
                </w:tcPr>
                <w:p w14:paraId="386CA48A">
                  <w:pPr>
                    <w:pStyle w:val="31"/>
                    <w:bidi w:val="0"/>
                    <w:rPr>
                      <w:color w:val="auto"/>
                    </w:rPr>
                  </w:pPr>
                  <w:r>
                    <w:rPr>
                      <w:rFonts w:hint="eastAsia"/>
                      <w:color w:val="auto"/>
                      <w:lang w:val="en-US" w:eastAsia="zh-CN"/>
                    </w:rPr>
                    <w:t>30</w:t>
                  </w:r>
                  <w:r>
                    <w:rPr>
                      <w:color w:val="auto"/>
                    </w:rPr>
                    <w:t>%</w:t>
                  </w:r>
                </w:p>
              </w:tc>
              <w:tc>
                <w:tcPr>
                  <w:tcW w:w="391" w:type="pct"/>
                  <w:tcBorders>
                    <w:tl2br w:val="nil"/>
                    <w:tr2bl w:val="nil"/>
                  </w:tcBorders>
                  <w:noWrap w:val="0"/>
                  <w:vAlign w:val="center"/>
                </w:tcPr>
                <w:p w14:paraId="15343DA6">
                  <w:pPr>
                    <w:pStyle w:val="31"/>
                    <w:bidi w:val="0"/>
                    <w:rPr>
                      <w:color w:val="auto"/>
                    </w:rPr>
                  </w:pPr>
                  <w:r>
                    <w:rPr>
                      <w:rFonts w:hint="eastAsia"/>
                      <w:color w:val="auto"/>
                      <w:lang w:val="en-US" w:eastAsia="zh-CN"/>
                    </w:rPr>
                    <w:t>28</w:t>
                  </w:r>
                  <w:r>
                    <w:rPr>
                      <w:color w:val="auto"/>
                    </w:rPr>
                    <w:t>%</w:t>
                  </w:r>
                </w:p>
              </w:tc>
              <w:tc>
                <w:tcPr>
                  <w:tcW w:w="406" w:type="pct"/>
                  <w:tcBorders>
                    <w:tl2br w:val="nil"/>
                    <w:tr2bl w:val="nil"/>
                  </w:tcBorders>
                  <w:noWrap w:val="0"/>
                  <w:vAlign w:val="center"/>
                </w:tcPr>
                <w:p w14:paraId="12052C46">
                  <w:pPr>
                    <w:pStyle w:val="31"/>
                    <w:bidi w:val="0"/>
                    <w:rPr>
                      <w:color w:val="auto"/>
                    </w:rPr>
                  </w:pPr>
                  <w:r>
                    <w:rPr>
                      <w:rFonts w:hint="eastAsia"/>
                      <w:color w:val="auto"/>
                      <w:lang w:val="en-US" w:eastAsia="zh-CN"/>
                    </w:rPr>
                    <w:t>38</w:t>
                  </w:r>
                  <w:r>
                    <w:rPr>
                      <w:color w:val="auto"/>
                    </w:rPr>
                    <w:t>%</w:t>
                  </w:r>
                </w:p>
              </w:tc>
              <w:tc>
                <w:tcPr>
                  <w:tcW w:w="505" w:type="pct"/>
                  <w:tcBorders>
                    <w:tl2br w:val="nil"/>
                    <w:tr2bl w:val="nil"/>
                  </w:tcBorders>
                  <w:noWrap w:val="0"/>
                  <w:vAlign w:val="center"/>
                </w:tcPr>
                <w:p w14:paraId="2CE27BD2">
                  <w:pPr>
                    <w:pStyle w:val="31"/>
                    <w:bidi w:val="0"/>
                    <w:rPr>
                      <w:color w:val="auto"/>
                    </w:rPr>
                  </w:pPr>
                  <w:r>
                    <w:rPr>
                      <w:rFonts w:hint="eastAsia"/>
                      <w:color w:val="auto"/>
                      <w:lang w:val="en-US" w:eastAsia="zh-CN"/>
                    </w:rPr>
                    <w:t>27</w:t>
                  </w:r>
                  <w:r>
                    <w:rPr>
                      <w:color w:val="auto"/>
                    </w:rPr>
                    <w:t>%</w:t>
                  </w:r>
                </w:p>
              </w:tc>
              <w:tc>
                <w:tcPr>
                  <w:tcW w:w="482" w:type="pct"/>
                  <w:tcBorders>
                    <w:tl2br w:val="nil"/>
                    <w:tr2bl w:val="nil"/>
                  </w:tcBorders>
                  <w:noWrap w:val="0"/>
                  <w:vAlign w:val="center"/>
                </w:tcPr>
                <w:p w14:paraId="370CA376">
                  <w:pPr>
                    <w:pStyle w:val="31"/>
                    <w:bidi w:val="0"/>
                    <w:rPr>
                      <w:color w:val="auto"/>
                    </w:rPr>
                  </w:pPr>
                  <w:r>
                    <w:rPr>
                      <w:color w:val="auto"/>
                    </w:rPr>
                    <w:t>3</w:t>
                  </w:r>
                  <w:r>
                    <w:rPr>
                      <w:rFonts w:hint="eastAsia"/>
                      <w:color w:val="auto"/>
                      <w:lang w:val="en-US" w:eastAsia="zh-CN"/>
                    </w:rPr>
                    <w:t>1.5</w:t>
                  </w:r>
                  <w:r>
                    <w:rPr>
                      <w:color w:val="auto"/>
                    </w:rPr>
                    <w:t>%</w:t>
                  </w:r>
                </w:p>
              </w:tc>
            </w:tr>
            <w:tr w14:paraId="7D6E2B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20" w:type="pct"/>
                  <w:vMerge w:val="restart"/>
                  <w:tcBorders>
                    <w:tl2br w:val="nil"/>
                    <w:tr2bl w:val="nil"/>
                  </w:tcBorders>
                  <w:noWrap w:val="0"/>
                  <w:vAlign w:val="center"/>
                </w:tcPr>
                <w:p w14:paraId="16FEAF74">
                  <w:pPr>
                    <w:pStyle w:val="31"/>
                    <w:bidi w:val="0"/>
                    <w:rPr>
                      <w:rFonts w:hint="default"/>
                      <w:color w:val="auto"/>
                      <w:lang w:val="en-US" w:eastAsia="zh-CN"/>
                    </w:rPr>
                  </w:pPr>
                  <w:r>
                    <w:rPr>
                      <w:rFonts w:hint="eastAsia"/>
                      <w:color w:val="auto"/>
                      <w:lang w:val="en-US" w:eastAsia="zh-CN"/>
                    </w:rPr>
                    <w:t>魏家堡断面</w:t>
                  </w:r>
                </w:p>
              </w:tc>
              <w:tc>
                <w:tcPr>
                  <w:tcW w:w="604" w:type="pct"/>
                  <w:vMerge w:val="restart"/>
                  <w:tcBorders>
                    <w:tl2br w:val="nil"/>
                    <w:tr2bl w:val="nil"/>
                  </w:tcBorders>
                  <w:noWrap w:val="0"/>
                  <w:vAlign w:val="center"/>
                </w:tcPr>
                <w:p w14:paraId="6062B291">
                  <w:pPr>
                    <w:pStyle w:val="31"/>
                    <w:bidi w:val="0"/>
                    <w:rPr>
                      <w:color w:val="auto"/>
                    </w:rPr>
                  </w:pPr>
                  <w:r>
                    <w:rPr>
                      <w:rFonts w:hint="eastAsia"/>
                      <w:color w:val="auto"/>
                      <w:lang w:eastAsia="zh-CN"/>
                    </w:rPr>
                    <w:t>Ⅲ</w:t>
                  </w:r>
                  <w:r>
                    <w:rPr>
                      <w:color w:val="auto"/>
                    </w:rPr>
                    <w:t>类</w:t>
                  </w:r>
                </w:p>
              </w:tc>
              <w:tc>
                <w:tcPr>
                  <w:tcW w:w="753" w:type="pct"/>
                  <w:tcBorders>
                    <w:tl2br w:val="nil"/>
                    <w:tr2bl w:val="nil"/>
                  </w:tcBorders>
                  <w:noWrap w:val="0"/>
                  <w:vAlign w:val="center"/>
                </w:tcPr>
                <w:p w14:paraId="1FF499A8">
                  <w:pPr>
                    <w:pStyle w:val="31"/>
                    <w:bidi w:val="0"/>
                    <w:rPr>
                      <w:color w:val="auto"/>
                      <w:lang w:val="en-US" w:eastAsia="zh-CN"/>
                    </w:rPr>
                  </w:pPr>
                  <w:r>
                    <w:rPr>
                      <w:color w:val="auto"/>
                    </w:rPr>
                    <w:t>监测值</w:t>
                  </w:r>
                </w:p>
              </w:tc>
              <w:tc>
                <w:tcPr>
                  <w:tcW w:w="813" w:type="pct"/>
                  <w:tcBorders>
                    <w:tl2br w:val="nil"/>
                    <w:tr2bl w:val="nil"/>
                  </w:tcBorders>
                  <w:noWrap w:val="0"/>
                  <w:vAlign w:val="center"/>
                </w:tcPr>
                <w:p w14:paraId="400D7DDD">
                  <w:pPr>
                    <w:pStyle w:val="31"/>
                    <w:bidi w:val="0"/>
                    <w:rPr>
                      <w:rFonts w:hint="default"/>
                      <w:color w:val="auto"/>
                      <w:lang w:val="en-US" w:eastAsia="zh-CN"/>
                    </w:rPr>
                  </w:pPr>
                  <w:r>
                    <w:rPr>
                      <w:rFonts w:hint="eastAsia"/>
                      <w:color w:val="auto"/>
                      <w:lang w:val="en-US" w:eastAsia="zh-CN"/>
                    </w:rPr>
                    <w:t>3.6</w:t>
                  </w:r>
                </w:p>
              </w:tc>
              <w:tc>
                <w:tcPr>
                  <w:tcW w:w="421" w:type="pct"/>
                  <w:tcBorders>
                    <w:tl2br w:val="nil"/>
                    <w:tr2bl w:val="nil"/>
                  </w:tcBorders>
                  <w:noWrap w:val="0"/>
                  <w:vAlign w:val="center"/>
                </w:tcPr>
                <w:p w14:paraId="7D01CA9E">
                  <w:pPr>
                    <w:pStyle w:val="31"/>
                    <w:bidi w:val="0"/>
                    <w:rPr>
                      <w:rFonts w:hint="default"/>
                      <w:color w:val="auto"/>
                      <w:lang w:val="en-US" w:eastAsia="zh-CN"/>
                    </w:rPr>
                  </w:pPr>
                  <w:r>
                    <w:rPr>
                      <w:rFonts w:hint="eastAsia"/>
                      <w:color w:val="auto"/>
                      <w:lang w:val="en-US" w:eastAsia="zh-CN"/>
                    </w:rPr>
                    <w:t>1.8</w:t>
                  </w:r>
                </w:p>
              </w:tc>
              <w:tc>
                <w:tcPr>
                  <w:tcW w:w="391" w:type="pct"/>
                  <w:tcBorders>
                    <w:tl2br w:val="nil"/>
                    <w:tr2bl w:val="nil"/>
                  </w:tcBorders>
                  <w:noWrap w:val="0"/>
                  <w:vAlign w:val="center"/>
                </w:tcPr>
                <w:p w14:paraId="3E645AA3">
                  <w:pPr>
                    <w:pStyle w:val="31"/>
                    <w:bidi w:val="0"/>
                    <w:rPr>
                      <w:rFonts w:hint="default"/>
                      <w:color w:val="auto"/>
                      <w:lang w:val="en-US" w:eastAsia="zh-CN"/>
                    </w:rPr>
                  </w:pPr>
                  <w:r>
                    <w:rPr>
                      <w:rFonts w:hint="eastAsia"/>
                      <w:color w:val="auto"/>
                      <w:lang w:val="en-US" w:eastAsia="zh-CN"/>
                    </w:rPr>
                    <w:t>0.42</w:t>
                  </w:r>
                </w:p>
              </w:tc>
              <w:tc>
                <w:tcPr>
                  <w:tcW w:w="406" w:type="pct"/>
                  <w:tcBorders>
                    <w:tl2br w:val="nil"/>
                    <w:tr2bl w:val="nil"/>
                  </w:tcBorders>
                  <w:noWrap w:val="0"/>
                  <w:vAlign w:val="center"/>
                </w:tcPr>
                <w:p w14:paraId="67181216">
                  <w:pPr>
                    <w:pStyle w:val="31"/>
                    <w:bidi w:val="0"/>
                    <w:rPr>
                      <w:rFonts w:hint="default"/>
                      <w:color w:val="auto"/>
                      <w:lang w:val="en-US" w:eastAsia="zh-CN"/>
                    </w:rPr>
                  </w:pPr>
                  <w:r>
                    <w:rPr>
                      <w:rFonts w:hint="eastAsia"/>
                      <w:color w:val="auto"/>
                      <w:lang w:val="en-US" w:eastAsia="zh-CN"/>
                    </w:rPr>
                    <w:t>25.0</w:t>
                  </w:r>
                </w:p>
              </w:tc>
              <w:tc>
                <w:tcPr>
                  <w:tcW w:w="505" w:type="pct"/>
                  <w:tcBorders>
                    <w:tl2br w:val="nil"/>
                    <w:tr2bl w:val="nil"/>
                  </w:tcBorders>
                  <w:noWrap w:val="0"/>
                  <w:vAlign w:val="center"/>
                </w:tcPr>
                <w:p w14:paraId="59717CBE">
                  <w:pPr>
                    <w:pStyle w:val="31"/>
                    <w:bidi w:val="0"/>
                    <w:rPr>
                      <w:rFonts w:hint="default"/>
                      <w:color w:val="auto"/>
                      <w:lang w:val="en-US" w:eastAsia="zh-CN"/>
                    </w:rPr>
                  </w:pPr>
                  <w:r>
                    <w:rPr>
                      <w:rFonts w:hint="eastAsia"/>
                      <w:color w:val="auto"/>
                      <w:lang w:val="en-US" w:eastAsia="zh-CN"/>
                    </w:rPr>
                    <w:t>0.102</w:t>
                  </w:r>
                </w:p>
              </w:tc>
              <w:tc>
                <w:tcPr>
                  <w:tcW w:w="482" w:type="pct"/>
                  <w:tcBorders>
                    <w:tl2br w:val="nil"/>
                    <w:tr2bl w:val="nil"/>
                  </w:tcBorders>
                  <w:noWrap w:val="0"/>
                  <w:vAlign w:val="center"/>
                </w:tcPr>
                <w:p w14:paraId="6D3134F3">
                  <w:pPr>
                    <w:pStyle w:val="31"/>
                    <w:bidi w:val="0"/>
                    <w:rPr>
                      <w:rFonts w:hint="default"/>
                      <w:color w:val="auto"/>
                      <w:lang w:val="en-US" w:eastAsia="zh-CN"/>
                    </w:rPr>
                  </w:pPr>
                  <w:r>
                    <w:rPr>
                      <w:rFonts w:hint="eastAsia"/>
                      <w:color w:val="auto"/>
                      <w:lang w:val="en-US" w:eastAsia="zh-CN"/>
                    </w:rPr>
                    <w:t>0.53</w:t>
                  </w:r>
                </w:p>
              </w:tc>
            </w:tr>
            <w:tr w14:paraId="2EE04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20" w:type="pct"/>
                  <w:vMerge w:val="continue"/>
                  <w:tcBorders>
                    <w:tl2br w:val="nil"/>
                    <w:tr2bl w:val="nil"/>
                  </w:tcBorders>
                  <w:noWrap w:val="0"/>
                  <w:vAlign w:val="center"/>
                </w:tcPr>
                <w:p w14:paraId="63D98B5E">
                  <w:pPr>
                    <w:pStyle w:val="31"/>
                    <w:bidi w:val="0"/>
                    <w:rPr>
                      <w:color w:val="auto"/>
                    </w:rPr>
                  </w:pPr>
                </w:p>
              </w:tc>
              <w:tc>
                <w:tcPr>
                  <w:tcW w:w="604" w:type="pct"/>
                  <w:vMerge w:val="continue"/>
                  <w:tcBorders>
                    <w:tl2br w:val="nil"/>
                    <w:tr2bl w:val="nil"/>
                  </w:tcBorders>
                  <w:noWrap w:val="0"/>
                  <w:vAlign w:val="center"/>
                </w:tcPr>
                <w:p w14:paraId="070C5108">
                  <w:pPr>
                    <w:pStyle w:val="31"/>
                    <w:bidi w:val="0"/>
                    <w:rPr>
                      <w:color w:val="auto"/>
                    </w:rPr>
                  </w:pPr>
                </w:p>
              </w:tc>
              <w:tc>
                <w:tcPr>
                  <w:tcW w:w="753" w:type="pct"/>
                  <w:tcBorders>
                    <w:tl2br w:val="nil"/>
                    <w:tr2bl w:val="nil"/>
                  </w:tcBorders>
                  <w:noWrap w:val="0"/>
                  <w:vAlign w:val="center"/>
                </w:tcPr>
                <w:p w14:paraId="723F0B1C">
                  <w:pPr>
                    <w:pStyle w:val="31"/>
                    <w:bidi w:val="0"/>
                    <w:rPr>
                      <w:color w:val="auto"/>
                      <w:lang w:val="en-US" w:eastAsia="zh-CN"/>
                    </w:rPr>
                  </w:pPr>
                  <w:r>
                    <w:rPr>
                      <w:color w:val="auto"/>
                    </w:rPr>
                    <w:t>评价标准</w:t>
                  </w:r>
                </w:p>
              </w:tc>
              <w:tc>
                <w:tcPr>
                  <w:tcW w:w="813" w:type="pct"/>
                  <w:tcBorders>
                    <w:tl2br w:val="nil"/>
                    <w:tr2bl w:val="nil"/>
                  </w:tcBorders>
                  <w:noWrap w:val="0"/>
                  <w:vAlign w:val="center"/>
                </w:tcPr>
                <w:p w14:paraId="244A9DB2">
                  <w:pPr>
                    <w:pStyle w:val="31"/>
                    <w:bidi w:val="0"/>
                    <w:rPr>
                      <w:color w:val="auto"/>
                      <w:lang w:val="en-US" w:eastAsia="zh-CN"/>
                    </w:rPr>
                  </w:pPr>
                  <w:r>
                    <w:rPr>
                      <w:color w:val="auto"/>
                    </w:rPr>
                    <w:t>≤6</w:t>
                  </w:r>
                </w:p>
              </w:tc>
              <w:tc>
                <w:tcPr>
                  <w:tcW w:w="421" w:type="pct"/>
                  <w:tcBorders>
                    <w:tl2br w:val="nil"/>
                    <w:tr2bl w:val="nil"/>
                  </w:tcBorders>
                  <w:noWrap w:val="0"/>
                  <w:vAlign w:val="center"/>
                </w:tcPr>
                <w:p w14:paraId="6A57170D">
                  <w:pPr>
                    <w:pStyle w:val="31"/>
                    <w:bidi w:val="0"/>
                    <w:rPr>
                      <w:rFonts w:hint="eastAsia"/>
                      <w:color w:val="auto"/>
                      <w:lang w:val="en-US" w:eastAsia="zh-CN"/>
                    </w:rPr>
                  </w:pPr>
                  <w:r>
                    <w:rPr>
                      <w:color w:val="auto"/>
                    </w:rPr>
                    <w:t>≤4</w:t>
                  </w:r>
                </w:p>
              </w:tc>
              <w:tc>
                <w:tcPr>
                  <w:tcW w:w="391" w:type="pct"/>
                  <w:tcBorders>
                    <w:tl2br w:val="nil"/>
                    <w:tr2bl w:val="nil"/>
                  </w:tcBorders>
                  <w:noWrap w:val="0"/>
                  <w:vAlign w:val="center"/>
                </w:tcPr>
                <w:p w14:paraId="16EC044C">
                  <w:pPr>
                    <w:pStyle w:val="31"/>
                    <w:bidi w:val="0"/>
                    <w:rPr>
                      <w:rFonts w:hint="eastAsia"/>
                      <w:color w:val="auto"/>
                      <w:lang w:val="en-US" w:eastAsia="zh-CN"/>
                    </w:rPr>
                  </w:pPr>
                  <w:r>
                    <w:rPr>
                      <w:color w:val="auto"/>
                    </w:rPr>
                    <w:t>≤1.0</w:t>
                  </w:r>
                </w:p>
              </w:tc>
              <w:tc>
                <w:tcPr>
                  <w:tcW w:w="406" w:type="pct"/>
                  <w:tcBorders>
                    <w:tl2br w:val="nil"/>
                    <w:tr2bl w:val="nil"/>
                  </w:tcBorders>
                  <w:noWrap w:val="0"/>
                  <w:vAlign w:val="center"/>
                </w:tcPr>
                <w:p w14:paraId="3F27BCBF">
                  <w:pPr>
                    <w:pStyle w:val="31"/>
                    <w:bidi w:val="0"/>
                    <w:rPr>
                      <w:rFonts w:hint="eastAsia"/>
                      <w:color w:val="auto"/>
                      <w:lang w:val="en-US" w:eastAsia="zh-CN"/>
                    </w:rPr>
                  </w:pPr>
                  <w:r>
                    <w:rPr>
                      <w:color w:val="auto"/>
                    </w:rPr>
                    <w:t>≤20</w:t>
                  </w:r>
                </w:p>
              </w:tc>
              <w:tc>
                <w:tcPr>
                  <w:tcW w:w="505" w:type="pct"/>
                  <w:tcBorders>
                    <w:tl2br w:val="nil"/>
                    <w:tr2bl w:val="nil"/>
                  </w:tcBorders>
                  <w:noWrap w:val="0"/>
                  <w:vAlign w:val="center"/>
                </w:tcPr>
                <w:p w14:paraId="501F8DC5">
                  <w:pPr>
                    <w:pStyle w:val="31"/>
                    <w:bidi w:val="0"/>
                    <w:rPr>
                      <w:rFonts w:hint="eastAsia"/>
                      <w:color w:val="auto"/>
                      <w:lang w:val="en-US" w:eastAsia="zh-CN"/>
                    </w:rPr>
                  </w:pPr>
                  <w:r>
                    <w:rPr>
                      <w:color w:val="auto"/>
                    </w:rPr>
                    <w:t>≤0.2</w:t>
                  </w:r>
                </w:p>
              </w:tc>
              <w:tc>
                <w:tcPr>
                  <w:tcW w:w="482" w:type="pct"/>
                  <w:tcBorders>
                    <w:tl2br w:val="nil"/>
                    <w:tr2bl w:val="nil"/>
                  </w:tcBorders>
                  <w:noWrap w:val="0"/>
                  <w:vAlign w:val="center"/>
                </w:tcPr>
                <w:p w14:paraId="68435F77">
                  <w:pPr>
                    <w:pStyle w:val="31"/>
                    <w:bidi w:val="0"/>
                    <w:rPr>
                      <w:color w:val="auto"/>
                      <w:lang w:val="en-US" w:eastAsia="zh-CN"/>
                    </w:rPr>
                  </w:pPr>
                  <w:r>
                    <w:rPr>
                      <w:color w:val="auto"/>
                    </w:rPr>
                    <w:t>≤1.0</w:t>
                  </w:r>
                </w:p>
              </w:tc>
            </w:tr>
            <w:tr w14:paraId="4AC88D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9" w:hRule="atLeast"/>
              </w:trPr>
              <w:tc>
                <w:tcPr>
                  <w:tcW w:w="620" w:type="pct"/>
                  <w:vMerge w:val="continue"/>
                  <w:tcBorders>
                    <w:tl2br w:val="nil"/>
                    <w:tr2bl w:val="nil"/>
                  </w:tcBorders>
                  <w:noWrap w:val="0"/>
                  <w:vAlign w:val="center"/>
                </w:tcPr>
                <w:p w14:paraId="59AC383E">
                  <w:pPr>
                    <w:pStyle w:val="31"/>
                    <w:bidi w:val="0"/>
                    <w:rPr>
                      <w:color w:val="auto"/>
                    </w:rPr>
                  </w:pPr>
                </w:p>
              </w:tc>
              <w:tc>
                <w:tcPr>
                  <w:tcW w:w="604" w:type="pct"/>
                  <w:vMerge w:val="continue"/>
                  <w:tcBorders>
                    <w:tl2br w:val="nil"/>
                    <w:tr2bl w:val="nil"/>
                  </w:tcBorders>
                  <w:noWrap w:val="0"/>
                  <w:vAlign w:val="center"/>
                </w:tcPr>
                <w:p w14:paraId="6EBB5C26">
                  <w:pPr>
                    <w:pStyle w:val="31"/>
                    <w:bidi w:val="0"/>
                    <w:rPr>
                      <w:color w:val="auto"/>
                    </w:rPr>
                  </w:pPr>
                </w:p>
              </w:tc>
              <w:tc>
                <w:tcPr>
                  <w:tcW w:w="753" w:type="pct"/>
                  <w:tcBorders>
                    <w:tl2br w:val="nil"/>
                    <w:tr2bl w:val="nil"/>
                  </w:tcBorders>
                  <w:noWrap w:val="0"/>
                  <w:vAlign w:val="center"/>
                </w:tcPr>
                <w:p w14:paraId="5726DEAB">
                  <w:pPr>
                    <w:pStyle w:val="31"/>
                    <w:bidi w:val="0"/>
                    <w:rPr>
                      <w:color w:val="auto"/>
                      <w:lang w:val="en-US" w:eastAsia="zh-CN"/>
                    </w:rPr>
                  </w:pPr>
                  <w:r>
                    <w:rPr>
                      <w:color w:val="auto"/>
                    </w:rPr>
                    <w:t>占标率</w:t>
                  </w:r>
                </w:p>
              </w:tc>
              <w:tc>
                <w:tcPr>
                  <w:tcW w:w="813" w:type="pct"/>
                  <w:tcBorders>
                    <w:tl2br w:val="nil"/>
                    <w:tr2bl w:val="nil"/>
                  </w:tcBorders>
                  <w:noWrap w:val="0"/>
                  <w:vAlign w:val="center"/>
                </w:tcPr>
                <w:p w14:paraId="6EB7E169">
                  <w:pPr>
                    <w:pStyle w:val="31"/>
                    <w:bidi w:val="0"/>
                    <w:rPr>
                      <w:color w:val="auto"/>
                    </w:rPr>
                  </w:pPr>
                  <w:r>
                    <w:rPr>
                      <w:rFonts w:hint="eastAsia"/>
                      <w:color w:val="auto"/>
                      <w:lang w:val="en-US" w:eastAsia="zh-CN"/>
                    </w:rPr>
                    <w:t>58%</w:t>
                  </w:r>
                </w:p>
              </w:tc>
              <w:tc>
                <w:tcPr>
                  <w:tcW w:w="421" w:type="pct"/>
                  <w:tcBorders>
                    <w:tl2br w:val="nil"/>
                    <w:tr2bl w:val="nil"/>
                  </w:tcBorders>
                  <w:noWrap w:val="0"/>
                  <w:vAlign w:val="center"/>
                </w:tcPr>
                <w:p w14:paraId="540F1443">
                  <w:pPr>
                    <w:pStyle w:val="31"/>
                    <w:bidi w:val="0"/>
                    <w:rPr>
                      <w:rFonts w:hint="eastAsia"/>
                      <w:color w:val="auto"/>
                      <w:lang w:val="en-US" w:eastAsia="zh-CN"/>
                    </w:rPr>
                  </w:pPr>
                  <w:r>
                    <w:rPr>
                      <w:rFonts w:hint="eastAsia"/>
                      <w:color w:val="auto"/>
                      <w:lang w:val="en-US" w:eastAsia="zh-CN"/>
                    </w:rPr>
                    <w:t>50%</w:t>
                  </w:r>
                </w:p>
              </w:tc>
              <w:tc>
                <w:tcPr>
                  <w:tcW w:w="391" w:type="pct"/>
                  <w:tcBorders>
                    <w:tl2br w:val="nil"/>
                    <w:tr2bl w:val="nil"/>
                  </w:tcBorders>
                  <w:noWrap w:val="0"/>
                  <w:vAlign w:val="center"/>
                </w:tcPr>
                <w:p w14:paraId="1A59B8EB">
                  <w:pPr>
                    <w:pStyle w:val="31"/>
                    <w:bidi w:val="0"/>
                    <w:rPr>
                      <w:rFonts w:hint="eastAsia"/>
                      <w:color w:val="auto"/>
                      <w:lang w:val="en-US" w:eastAsia="zh-CN"/>
                    </w:rPr>
                  </w:pPr>
                  <w:r>
                    <w:rPr>
                      <w:rFonts w:hint="eastAsia"/>
                      <w:color w:val="auto"/>
                      <w:lang w:val="en-US" w:eastAsia="zh-CN"/>
                    </w:rPr>
                    <w:t>24%</w:t>
                  </w:r>
                </w:p>
              </w:tc>
              <w:tc>
                <w:tcPr>
                  <w:tcW w:w="406" w:type="pct"/>
                  <w:tcBorders>
                    <w:tl2br w:val="nil"/>
                    <w:tr2bl w:val="nil"/>
                  </w:tcBorders>
                  <w:noWrap w:val="0"/>
                  <w:vAlign w:val="center"/>
                </w:tcPr>
                <w:p w14:paraId="2A6D53C0">
                  <w:pPr>
                    <w:pStyle w:val="31"/>
                    <w:bidi w:val="0"/>
                    <w:rPr>
                      <w:rFonts w:hint="eastAsia"/>
                      <w:color w:val="auto"/>
                      <w:lang w:val="en-US" w:eastAsia="zh-CN"/>
                    </w:rPr>
                  </w:pPr>
                  <w:r>
                    <w:rPr>
                      <w:rFonts w:hint="eastAsia"/>
                      <w:color w:val="auto"/>
                      <w:lang w:val="en-US" w:eastAsia="zh-CN"/>
                    </w:rPr>
                    <w:t>82%</w:t>
                  </w:r>
                </w:p>
              </w:tc>
              <w:tc>
                <w:tcPr>
                  <w:tcW w:w="505" w:type="pct"/>
                  <w:tcBorders>
                    <w:tl2br w:val="nil"/>
                    <w:tr2bl w:val="nil"/>
                  </w:tcBorders>
                  <w:noWrap w:val="0"/>
                  <w:vAlign w:val="center"/>
                </w:tcPr>
                <w:p w14:paraId="41F981AB">
                  <w:pPr>
                    <w:pStyle w:val="31"/>
                    <w:bidi w:val="0"/>
                    <w:rPr>
                      <w:rFonts w:hint="eastAsia"/>
                      <w:color w:val="auto"/>
                      <w:lang w:val="en-US" w:eastAsia="zh-CN"/>
                    </w:rPr>
                  </w:pPr>
                  <w:r>
                    <w:rPr>
                      <w:rFonts w:hint="eastAsia"/>
                      <w:color w:val="auto"/>
                      <w:lang w:val="en-US" w:eastAsia="zh-CN"/>
                    </w:rPr>
                    <w:t>50%</w:t>
                  </w:r>
                </w:p>
              </w:tc>
              <w:tc>
                <w:tcPr>
                  <w:tcW w:w="482" w:type="pct"/>
                  <w:tcBorders>
                    <w:tl2br w:val="nil"/>
                    <w:tr2bl w:val="nil"/>
                  </w:tcBorders>
                  <w:noWrap w:val="0"/>
                  <w:vAlign w:val="center"/>
                </w:tcPr>
                <w:p w14:paraId="1D50BB18">
                  <w:pPr>
                    <w:pStyle w:val="31"/>
                    <w:bidi w:val="0"/>
                    <w:rPr>
                      <w:color w:val="auto"/>
                    </w:rPr>
                  </w:pPr>
                  <w:r>
                    <w:rPr>
                      <w:rFonts w:hint="eastAsia"/>
                      <w:color w:val="auto"/>
                      <w:lang w:val="en-US" w:eastAsia="zh-CN"/>
                    </w:rPr>
                    <w:t>67%</w:t>
                  </w:r>
                </w:p>
              </w:tc>
            </w:tr>
          </w:tbl>
          <w:p w14:paraId="1793F282">
            <w:pPr>
              <w:adjustRightInd w:val="0"/>
              <w:snapToGrid w:val="0"/>
              <w:spacing w:line="360" w:lineRule="auto"/>
              <w:ind w:firstLine="480" w:firstLineChars="200"/>
              <w:rPr>
                <w:rFonts w:hint="default" w:eastAsia="宋体"/>
                <w:b w:val="0"/>
                <w:bCs/>
                <w:color w:val="auto"/>
                <w:sz w:val="24"/>
                <w:lang w:val="en-US" w:eastAsia="zh-CN"/>
              </w:rPr>
            </w:pPr>
            <w:r>
              <w:rPr>
                <w:rFonts w:hint="eastAsia"/>
                <w:b w:val="0"/>
                <w:bCs/>
                <w:color w:val="auto"/>
                <w:sz w:val="24"/>
                <w:lang w:val="en-US" w:eastAsia="zh-CN"/>
              </w:rPr>
              <w:t>由上表可知，项目所在地虢镇桥断面（上游）及魏家堡断面（下游）上述监测因子符合《地表水环境质量标准》（GB3838-2002）Ⅳ类、Ⅲ类水质标准。</w:t>
            </w:r>
          </w:p>
          <w:p w14:paraId="6CFA8D11">
            <w:pPr>
              <w:adjustRightInd w:val="0"/>
              <w:snapToGrid w:val="0"/>
              <w:spacing w:line="360" w:lineRule="auto"/>
              <w:ind w:firstLine="482" w:firstLineChars="200"/>
              <w:rPr>
                <w:b/>
                <w:color w:val="auto"/>
                <w:sz w:val="24"/>
              </w:rPr>
            </w:pPr>
            <w:r>
              <w:rPr>
                <w:b/>
                <w:color w:val="auto"/>
                <w:sz w:val="24"/>
              </w:rPr>
              <w:t>3</w:t>
            </w:r>
            <w:r>
              <w:rPr>
                <w:rFonts w:hint="eastAsia"/>
                <w:b/>
                <w:color w:val="auto"/>
                <w:sz w:val="24"/>
              </w:rPr>
              <w:t>.</w:t>
            </w:r>
            <w:r>
              <w:rPr>
                <w:b/>
                <w:color w:val="auto"/>
                <w:sz w:val="24"/>
              </w:rPr>
              <w:t>声环境</w:t>
            </w:r>
          </w:p>
          <w:p w14:paraId="5933C337">
            <w:pPr>
              <w:adjustRightInd w:val="0"/>
              <w:snapToGrid w:val="0"/>
              <w:spacing w:line="360" w:lineRule="auto"/>
              <w:ind w:firstLine="480" w:firstLineChars="200"/>
              <w:jc w:val="both"/>
              <w:rPr>
                <w:rFonts w:hint="eastAsia"/>
                <w:color w:val="auto"/>
                <w:sz w:val="24"/>
                <w:lang w:eastAsia="zh-CN"/>
              </w:rPr>
            </w:pPr>
            <w:r>
              <w:rPr>
                <w:rFonts w:hint="eastAsia"/>
                <w:color w:val="auto"/>
                <w:sz w:val="24"/>
                <w:szCs w:val="32"/>
                <w:lang w:eastAsia="zh-CN"/>
              </w:rPr>
              <w:t>经现场调查，</w:t>
            </w:r>
            <w:r>
              <w:rPr>
                <w:rFonts w:hint="eastAsia"/>
                <w:color w:val="auto"/>
                <w:sz w:val="24"/>
                <w:szCs w:val="32"/>
                <w:lang w:val="en-US" w:eastAsia="zh-CN"/>
              </w:rPr>
              <w:t>项目厂界外50m范围内无环境敏感目标，无需开展声环境质量现状评价</w:t>
            </w:r>
            <w:r>
              <w:rPr>
                <w:rFonts w:hint="eastAsia"/>
                <w:color w:val="auto"/>
                <w:sz w:val="24"/>
                <w:lang w:eastAsia="zh-CN"/>
              </w:rPr>
              <w:t>。</w:t>
            </w:r>
          </w:p>
          <w:p w14:paraId="0D4FE38E">
            <w:pPr>
              <w:adjustRightInd w:val="0"/>
              <w:snapToGrid w:val="0"/>
              <w:spacing w:line="360" w:lineRule="auto"/>
              <w:ind w:firstLine="482" w:firstLineChars="200"/>
              <w:rPr>
                <w:rFonts w:hint="default" w:ascii="Times New Roman" w:hAnsi="Times New Roman" w:eastAsia="宋体" w:cs="Times New Roman"/>
                <w:b/>
                <w:color w:val="auto"/>
                <w:sz w:val="24"/>
              </w:rPr>
            </w:pPr>
            <w:r>
              <w:rPr>
                <w:rFonts w:hint="eastAsia" w:ascii="Times New Roman" w:hAnsi="Times New Roman" w:eastAsia="宋体" w:cs="Times New Roman"/>
                <w:b/>
                <w:color w:val="auto"/>
                <w:sz w:val="24"/>
                <w:lang w:val="en-US" w:eastAsia="zh-CN"/>
              </w:rPr>
              <w:t>4.</w:t>
            </w:r>
            <w:r>
              <w:rPr>
                <w:rFonts w:hint="default" w:ascii="Times New Roman" w:hAnsi="Times New Roman" w:eastAsia="宋体" w:cs="Times New Roman"/>
                <w:b/>
                <w:color w:val="auto"/>
                <w:sz w:val="24"/>
              </w:rPr>
              <w:t>生态环境</w:t>
            </w:r>
          </w:p>
          <w:p w14:paraId="14586C97">
            <w:pPr>
              <w:keepNext w:val="0"/>
              <w:keepLines w:val="0"/>
              <w:suppressLineNumbers w:val="0"/>
              <w:adjustRightInd w:val="0"/>
              <w:snapToGrid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rPr>
              <w:t>项目位于宝鸡市陈仓科技工业园，属于城市建成区。项目厂址范围内不含有生态环境保护目标。本次环评不进行生态环境调查。</w:t>
            </w:r>
          </w:p>
          <w:p w14:paraId="591E7008">
            <w:pPr>
              <w:adjustRightInd w:val="0"/>
              <w:snapToGrid w:val="0"/>
              <w:spacing w:line="360" w:lineRule="auto"/>
              <w:ind w:firstLine="482" w:firstLineChars="200"/>
              <w:rPr>
                <w:rFonts w:hint="default" w:ascii="Times New Roman" w:hAnsi="Times New Roman" w:eastAsia="宋体" w:cs="Times New Roman"/>
                <w:b/>
                <w:color w:val="auto"/>
                <w:sz w:val="24"/>
                <w:lang w:val="en-US" w:eastAsia="zh-CN"/>
              </w:rPr>
            </w:pPr>
            <w:r>
              <w:rPr>
                <w:rFonts w:hint="eastAsia" w:ascii="Times New Roman" w:hAnsi="Times New Roman" w:eastAsia="宋体" w:cs="Times New Roman"/>
                <w:b/>
                <w:color w:val="auto"/>
                <w:sz w:val="24"/>
                <w:lang w:val="en-US" w:eastAsia="zh-CN"/>
              </w:rPr>
              <w:t>5.</w:t>
            </w:r>
            <w:r>
              <w:rPr>
                <w:rFonts w:hint="default" w:ascii="Times New Roman" w:hAnsi="Times New Roman" w:eastAsia="宋体" w:cs="Times New Roman"/>
                <w:b/>
                <w:color w:val="auto"/>
                <w:sz w:val="24"/>
                <w:lang w:val="en-US" w:eastAsia="zh-CN"/>
              </w:rPr>
              <w:t>地下水、土壤环境</w:t>
            </w:r>
          </w:p>
          <w:p w14:paraId="6B967BA2">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14:paraId="5DCA9A37">
            <w:pPr>
              <w:keepNext w:val="0"/>
              <w:keepLines w:val="0"/>
              <w:suppressLineNumbers w:val="0"/>
              <w:adjustRightInd w:val="0"/>
              <w:snapToGrid w:val="0"/>
              <w:spacing w:before="0" w:beforeAutospacing="0" w:after="0" w:afterAutospacing="0" w:line="360" w:lineRule="auto"/>
              <w:ind w:left="0" w:right="0" w:firstLine="480" w:firstLineChars="200"/>
              <w:rPr>
                <w:color w:val="auto"/>
              </w:rPr>
            </w:pPr>
            <w:r>
              <w:rPr>
                <w:rFonts w:hint="default" w:ascii="Times New Roman" w:hAnsi="Times New Roman" w:eastAsia="宋体" w:cs="Times New Roman"/>
                <w:color w:val="auto"/>
                <w:sz w:val="24"/>
                <w:szCs w:val="24"/>
              </w:rPr>
              <w:t>本</w:t>
            </w:r>
            <w:r>
              <w:rPr>
                <w:rFonts w:hint="default" w:ascii="Times New Roman" w:hAnsi="Times New Roman" w:eastAsia="宋体" w:cs="Times New Roman"/>
                <w:color w:val="auto"/>
                <w:sz w:val="24"/>
                <w:szCs w:val="24"/>
                <w:lang w:val="en-US" w:eastAsia="zh-CN"/>
              </w:rPr>
              <w:t>项目场地已硬化</w:t>
            </w:r>
            <w:r>
              <w:rPr>
                <w:rFonts w:hint="default" w:ascii="Times New Roman" w:hAnsi="Times New Roman" w:eastAsia="宋体" w:cs="Times New Roman"/>
                <w:color w:val="auto"/>
                <w:sz w:val="24"/>
                <w:szCs w:val="24"/>
              </w:rPr>
              <w:t>，无裸</w:t>
            </w:r>
            <w:r>
              <w:rPr>
                <w:rFonts w:hint="eastAsia" w:cs="Times New Roman"/>
                <w:color w:val="auto"/>
                <w:sz w:val="24"/>
                <w:szCs w:val="24"/>
                <w:lang w:eastAsia="zh-CN"/>
              </w:rPr>
              <w:t>露</w:t>
            </w:r>
            <w:r>
              <w:rPr>
                <w:rFonts w:hint="default" w:ascii="Times New Roman" w:hAnsi="Times New Roman" w:eastAsia="宋体" w:cs="Times New Roman"/>
                <w:color w:val="auto"/>
                <w:sz w:val="24"/>
                <w:szCs w:val="24"/>
              </w:rPr>
              <w:t>土壤，不存在监测条件；</w:t>
            </w:r>
            <w:r>
              <w:rPr>
                <w:rFonts w:hint="default" w:ascii="Times New Roman" w:hAnsi="Times New Roman" w:eastAsia="宋体" w:cs="Times New Roman"/>
                <w:color w:val="auto"/>
                <w:sz w:val="24"/>
                <w:szCs w:val="24"/>
                <w:lang w:val="en-US" w:eastAsia="zh-CN"/>
              </w:rPr>
              <w:t>项目设备使用润滑油，其存在垂直入渗潜在风险（石油烃类），根据现场调查厂区内无土壤敏感目标（工业用地且已硬化），故厂区内不进行土壤环境质量现状调查，因此本项目不进行土壤环境质量现状调查。</w:t>
            </w:r>
          </w:p>
        </w:tc>
      </w:tr>
      <w:tr w14:paraId="231AB88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0" w:hRule="atLeast"/>
          <w:jc w:val="center"/>
        </w:trPr>
        <w:tc>
          <w:tcPr>
            <w:tcW w:w="706" w:type="dxa"/>
            <w:noWrap w:val="0"/>
            <w:vAlign w:val="center"/>
          </w:tcPr>
          <w:p w14:paraId="12CC571F">
            <w:pPr>
              <w:adjustRightInd w:val="0"/>
              <w:snapToGrid w:val="0"/>
              <w:jc w:val="center"/>
              <w:rPr>
                <w:color w:val="auto"/>
                <w:kern w:val="0"/>
                <w:sz w:val="24"/>
              </w:rPr>
            </w:pPr>
            <w:r>
              <w:rPr>
                <w:color w:val="auto"/>
                <w:kern w:val="0"/>
                <w:sz w:val="24"/>
              </w:rPr>
              <w:t>环境</w:t>
            </w:r>
          </w:p>
          <w:p w14:paraId="25D9C44B">
            <w:pPr>
              <w:adjustRightInd w:val="0"/>
              <w:snapToGrid w:val="0"/>
              <w:jc w:val="center"/>
              <w:rPr>
                <w:color w:val="auto"/>
                <w:kern w:val="0"/>
                <w:sz w:val="24"/>
              </w:rPr>
            </w:pPr>
            <w:r>
              <w:rPr>
                <w:color w:val="auto"/>
                <w:kern w:val="0"/>
                <w:sz w:val="24"/>
              </w:rPr>
              <w:t>保护</w:t>
            </w:r>
          </w:p>
          <w:p w14:paraId="016FC37F">
            <w:pPr>
              <w:adjustRightInd w:val="0"/>
              <w:snapToGrid w:val="0"/>
              <w:jc w:val="center"/>
              <w:rPr>
                <w:color w:val="auto"/>
                <w:kern w:val="0"/>
                <w:szCs w:val="21"/>
              </w:rPr>
            </w:pPr>
            <w:r>
              <w:rPr>
                <w:color w:val="auto"/>
                <w:kern w:val="0"/>
                <w:sz w:val="24"/>
              </w:rPr>
              <w:t>目标</w:t>
            </w:r>
          </w:p>
        </w:tc>
        <w:tc>
          <w:tcPr>
            <w:tcW w:w="8588" w:type="dxa"/>
            <w:noWrap w:val="0"/>
            <w:vAlign w:val="center"/>
          </w:tcPr>
          <w:p w14:paraId="380CA4F1">
            <w:pPr>
              <w:widowControl/>
              <w:adjustRightInd w:val="0"/>
              <w:snapToGrid w:val="0"/>
              <w:spacing w:line="360" w:lineRule="auto"/>
              <w:ind w:firstLine="482" w:firstLineChars="200"/>
              <w:rPr>
                <w:rFonts w:hint="default" w:ascii="Times New Roman" w:hAnsi="Times New Roman" w:eastAsia="宋体" w:cs="Times New Roman"/>
                <w:b/>
                <w:bCs/>
                <w:color w:val="auto"/>
                <w:sz w:val="24"/>
                <w:szCs w:val="32"/>
                <w:lang w:val="en-US" w:eastAsia="zh-CN"/>
              </w:rPr>
            </w:pPr>
            <w:r>
              <w:rPr>
                <w:rFonts w:hint="default" w:ascii="Times New Roman" w:hAnsi="Times New Roman" w:cs="Times New Roman"/>
                <w:b/>
                <w:bCs/>
                <w:color w:val="auto"/>
                <w:sz w:val="24"/>
                <w:szCs w:val="32"/>
              </w:rPr>
              <w:t>1</w:t>
            </w:r>
            <w:r>
              <w:rPr>
                <w:rFonts w:hint="eastAsia" w:ascii="Times New Roman" w:hAnsi="Times New Roman" w:cs="Times New Roman"/>
                <w:b/>
                <w:bCs/>
                <w:color w:val="auto"/>
                <w:sz w:val="24"/>
                <w:szCs w:val="32"/>
                <w:lang w:val="en-US" w:eastAsia="zh-CN"/>
              </w:rPr>
              <w:t>.</w:t>
            </w:r>
            <w:r>
              <w:rPr>
                <w:rFonts w:hint="default" w:ascii="Times New Roman" w:hAnsi="Times New Roman" w:cs="Times New Roman"/>
                <w:b/>
                <w:bCs/>
                <w:color w:val="auto"/>
                <w:sz w:val="24"/>
                <w:szCs w:val="32"/>
              </w:rPr>
              <w:t>大气环境</w:t>
            </w:r>
          </w:p>
          <w:p w14:paraId="5167B425">
            <w:pPr>
              <w:adjustRightInd w:val="0"/>
              <w:snapToGrid w:val="0"/>
              <w:spacing w:line="360" w:lineRule="auto"/>
              <w:ind w:firstLine="480" w:firstLineChars="200"/>
              <w:rPr>
                <w:rFonts w:hint="eastAsia" w:ascii="Times New Roman" w:hAnsi="Times New Roman" w:cs="Times New Roman"/>
                <w:color w:val="auto"/>
                <w:sz w:val="24"/>
                <w:szCs w:val="32"/>
                <w:lang w:eastAsia="zh-CN"/>
              </w:rPr>
            </w:pPr>
            <w:r>
              <w:rPr>
                <w:rFonts w:hint="eastAsia" w:ascii="Times New Roman" w:hAnsi="Times New Roman" w:cs="Times New Roman"/>
                <w:color w:val="auto"/>
                <w:sz w:val="24"/>
                <w:szCs w:val="32"/>
                <w:lang w:eastAsia="zh-CN"/>
              </w:rPr>
              <w:t>经现场调查，本项目厂界外 500 米范围内存在居住区、学校等保护目标。</w:t>
            </w:r>
          </w:p>
          <w:p w14:paraId="541436A4">
            <w:pPr>
              <w:adjustRightInd w:val="0"/>
              <w:snapToGrid w:val="0"/>
              <w:spacing w:line="360" w:lineRule="auto"/>
              <w:ind w:firstLine="482" w:firstLineChars="200"/>
              <w:rPr>
                <w:b/>
                <w:bCs/>
                <w:color w:val="auto"/>
                <w:kern w:val="0"/>
                <w:sz w:val="24"/>
              </w:rPr>
            </w:pPr>
            <w:r>
              <w:rPr>
                <w:rFonts w:hint="eastAsia"/>
                <w:b/>
                <w:bCs/>
                <w:color w:val="auto"/>
                <w:kern w:val="0"/>
                <w:sz w:val="24"/>
              </w:rPr>
              <w:t>2.</w:t>
            </w:r>
            <w:r>
              <w:rPr>
                <w:rFonts w:hint="eastAsia"/>
                <w:b/>
                <w:bCs/>
                <w:color w:val="auto"/>
                <w:sz w:val="24"/>
                <w:szCs w:val="32"/>
              </w:rPr>
              <w:t>声环境</w:t>
            </w:r>
          </w:p>
          <w:p w14:paraId="7C19D01D">
            <w:pPr>
              <w:adjustRightInd w:val="0"/>
              <w:snapToGrid w:val="0"/>
              <w:spacing w:line="360" w:lineRule="auto"/>
              <w:ind w:firstLine="480" w:firstLineChars="200"/>
              <w:rPr>
                <w:rFonts w:hint="eastAsia"/>
                <w:b/>
                <w:bCs/>
                <w:color w:val="auto"/>
                <w:kern w:val="0"/>
                <w:sz w:val="24"/>
              </w:rPr>
            </w:pPr>
            <w:r>
              <w:rPr>
                <w:rFonts w:hint="eastAsia" w:ascii="宋体"/>
                <w:color w:val="auto"/>
                <w:sz w:val="24"/>
                <w:szCs w:val="32"/>
              </w:rPr>
              <w:t>本项目厂界外</w:t>
            </w:r>
            <w:r>
              <w:rPr>
                <w:rFonts w:hint="eastAsia" w:ascii="宋体"/>
                <w:color w:val="auto"/>
                <w:sz w:val="24"/>
                <w:szCs w:val="32"/>
                <w:lang w:eastAsia="zh-CN"/>
              </w:rPr>
              <w:t>50m</w:t>
            </w:r>
            <w:r>
              <w:rPr>
                <w:rFonts w:hint="eastAsia" w:ascii="宋体"/>
                <w:color w:val="auto"/>
                <w:sz w:val="24"/>
                <w:szCs w:val="32"/>
              </w:rPr>
              <w:t>范围内无声环境保护目标。</w:t>
            </w:r>
          </w:p>
          <w:p w14:paraId="509717DB">
            <w:pPr>
              <w:adjustRightInd w:val="0"/>
              <w:snapToGrid w:val="0"/>
              <w:spacing w:line="360" w:lineRule="auto"/>
              <w:ind w:firstLine="482" w:firstLineChars="200"/>
              <w:rPr>
                <w:b/>
                <w:bCs/>
                <w:color w:val="auto"/>
                <w:sz w:val="24"/>
                <w:szCs w:val="32"/>
              </w:rPr>
            </w:pPr>
            <w:r>
              <w:rPr>
                <w:rFonts w:hint="eastAsia"/>
                <w:b/>
                <w:bCs/>
                <w:color w:val="auto"/>
                <w:kern w:val="0"/>
                <w:sz w:val="24"/>
              </w:rPr>
              <w:t>3.</w:t>
            </w:r>
            <w:r>
              <w:rPr>
                <w:b/>
                <w:bCs/>
                <w:color w:val="auto"/>
                <w:kern w:val="0"/>
                <w:sz w:val="24"/>
              </w:rPr>
              <w:t>地下水环境</w:t>
            </w:r>
          </w:p>
          <w:p w14:paraId="073F76BC">
            <w:pPr>
              <w:adjustRightInd w:val="0"/>
              <w:snapToGrid w:val="0"/>
              <w:spacing w:line="360" w:lineRule="auto"/>
              <w:ind w:firstLine="480"/>
              <w:rPr>
                <w:color w:val="auto"/>
                <w:kern w:val="0"/>
                <w:sz w:val="24"/>
              </w:rPr>
            </w:pPr>
            <w:r>
              <w:rPr>
                <w:rFonts w:hint="eastAsia"/>
                <w:color w:val="auto"/>
                <w:sz w:val="24"/>
                <w:szCs w:val="32"/>
              </w:rPr>
              <w:t>本项目</w:t>
            </w:r>
            <w:r>
              <w:rPr>
                <w:color w:val="auto"/>
                <w:kern w:val="0"/>
                <w:sz w:val="24"/>
              </w:rPr>
              <w:t>厂界外</w:t>
            </w:r>
            <w:r>
              <w:rPr>
                <w:rFonts w:hint="eastAsia"/>
                <w:color w:val="auto"/>
                <w:kern w:val="0"/>
                <w:sz w:val="24"/>
                <w:lang w:eastAsia="zh-CN"/>
              </w:rPr>
              <w:t>500m</w:t>
            </w:r>
            <w:r>
              <w:rPr>
                <w:color w:val="auto"/>
                <w:kern w:val="0"/>
                <w:sz w:val="24"/>
              </w:rPr>
              <w:t>范围内没有地下水集中式饮用水水源和热水、矿泉水、温泉等特殊地下水资源，无地下水环境保护目标。</w:t>
            </w:r>
          </w:p>
          <w:p w14:paraId="5FE9B4C8">
            <w:pPr>
              <w:keepNext/>
              <w:keepLines/>
              <w:pageBreakBefore w:val="0"/>
              <w:widowControl/>
              <w:kinsoku/>
              <w:wordWrap/>
              <w:overflowPunct/>
              <w:topLinePunct w:val="0"/>
              <w:autoSpaceDE/>
              <w:autoSpaceDN/>
              <w:bidi w:val="0"/>
              <w:adjustRightInd w:val="0"/>
              <w:snapToGrid w:val="0"/>
              <w:spacing w:line="240" w:lineRule="auto"/>
              <w:jc w:val="center"/>
              <w:textAlignment w:val="auto"/>
              <w:outlineLvl w:val="0"/>
              <w:rPr>
                <w:rFonts w:hint="default" w:ascii="Times New Roman" w:hAnsi="Times New Roman" w:cs="Times New Roman"/>
                <w:b/>
                <w:color w:val="auto"/>
                <w:sz w:val="24"/>
              </w:rPr>
            </w:pPr>
            <w:r>
              <w:rPr>
                <w:rFonts w:hint="default" w:ascii="Times New Roman" w:hAnsi="Times New Roman" w:eastAsia="宋体" w:cs="Times New Roman"/>
                <w:b/>
                <w:bCs/>
                <w:color w:val="auto"/>
                <w:sz w:val="21"/>
                <w:szCs w:val="21"/>
                <w:lang w:val="en-US" w:eastAsia="zh-CN"/>
              </w:rPr>
              <w:t>表3-</w:t>
            </w:r>
            <w:r>
              <w:rPr>
                <w:rFonts w:hint="eastAsia" w:eastAsia="宋体" w:cs="Times New Roman"/>
                <w:b/>
                <w:bCs/>
                <w:color w:val="auto"/>
                <w:sz w:val="21"/>
                <w:szCs w:val="21"/>
                <w:lang w:val="en-US" w:eastAsia="zh-CN"/>
              </w:rPr>
              <w:t>3</w:t>
            </w:r>
            <w:r>
              <w:rPr>
                <w:rFonts w:hint="default" w:ascii="Times New Roman" w:hAnsi="Times New Roman" w:eastAsia="宋体" w:cs="Times New Roman"/>
                <w:b/>
                <w:bCs/>
                <w:color w:val="auto"/>
                <w:sz w:val="21"/>
                <w:szCs w:val="21"/>
                <w:lang w:val="en-US" w:eastAsia="zh-CN"/>
              </w:rPr>
              <w:t xml:space="preserve">  环境保护目标情况</w:t>
            </w:r>
          </w:p>
          <w:tbl>
            <w:tblPr>
              <w:tblStyle w:val="23"/>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556"/>
              <w:gridCol w:w="1012"/>
              <w:gridCol w:w="722"/>
              <w:gridCol w:w="1841"/>
              <w:gridCol w:w="907"/>
              <w:gridCol w:w="776"/>
              <w:gridCol w:w="887"/>
            </w:tblGrid>
            <w:tr w14:paraId="20906A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tcBorders>
                    <w:tl2br w:val="nil"/>
                    <w:tr2bl w:val="nil"/>
                  </w:tcBorders>
                  <w:noWrap w:val="0"/>
                  <w:vAlign w:val="center"/>
                </w:tcPr>
                <w:p w14:paraId="0BE9266D">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环境要素</w:t>
                  </w:r>
                </w:p>
              </w:tc>
              <w:tc>
                <w:tcPr>
                  <w:tcW w:w="1554" w:type="dxa"/>
                  <w:tcBorders>
                    <w:tl2br w:val="nil"/>
                    <w:tr2bl w:val="nil"/>
                  </w:tcBorders>
                  <w:noWrap w:val="0"/>
                  <w:vAlign w:val="center"/>
                </w:tcPr>
                <w:p w14:paraId="007D31E7">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坐标（度）</w:t>
                  </w:r>
                </w:p>
              </w:tc>
              <w:tc>
                <w:tcPr>
                  <w:tcW w:w="1010" w:type="dxa"/>
                  <w:tcBorders>
                    <w:tl2br w:val="nil"/>
                    <w:tr2bl w:val="nil"/>
                  </w:tcBorders>
                  <w:noWrap w:val="0"/>
                  <w:vAlign w:val="center"/>
                </w:tcPr>
                <w:p w14:paraId="431AC35B">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保护对象</w:t>
                  </w:r>
                </w:p>
              </w:tc>
              <w:tc>
                <w:tcPr>
                  <w:tcW w:w="721" w:type="dxa"/>
                  <w:tcBorders>
                    <w:tl2br w:val="nil"/>
                    <w:tr2bl w:val="nil"/>
                  </w:tcBorders>
                  <w:noWrap w:val="0"/>
                  <w:vAlign w:val="center"/>
                </w:tcPr>
                <w:p w14:paraId="36C282B5">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保护内容</w:t>
                  </w:r>
                </w:p>
              </w:tc>
              <w:tc>
                <w:tcPr>
                  <w:tcW w:w="1827" w:type="dxa"/>
                  <w:tcBorders>
                    <w:tl2br w:val="nil"/>
                    <w:tr2bl w:val="nil"/>
                  </w:tcBorders>
                  <w:noWrap w:val="0"/>
                  <w:vAlign w:val="center"/>
                </w:tcPr>
                <w:p w14:paraId="21612567">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环境功能区</w:t>
                  </w:r>
                </w:p>
              </w:tc>
              <w:tc>
                <w:tcPr>
                  <w:tcW w:w="906" w:type="dxa"/>
                  <w:tcBorders>
                    <w:tl2br w:val="nil"/>
                    <w:tr2bl w:val="nil"/>
                  </w:tcBorders>
                  <w:noWrap w:val="0"/>
                  <w:vAlign w:val="center"/>
                </w:tcPr>
                <w:p w14:paraId="4D4036C5">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规模</w:t>
                  </w:r>
                </w:p>
              </w:tc>
              <w:tc>
                <w:tcPr>
                  <w:tcW w:w="775" w:type="dxa"/>
                  <w:tcBorders>
                    <w:tl2br w:val="nil"/>
                    <w:tr2bl w:val="nil"/>
                  </w:tcBorders>
                  <w:noWrap w:val="0"/>
                  <w:vAlign w:val="center"/>
                </w:tcPr>
                <w:p w14:paraId="2A74EB51">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方位</w:t>
                  </w:r>
                </w:p>
              </w:tc>
              <w:tc>
                <w:tcPr>
                  <w:tcW w:w="885" w:type="dxa"/>
                  <w:tcBorders>
                    <w:tl2br w:val="nil"/>
                    <w:tr2bl w:val="nil"/>
                  </w:tcBorders>
                  <w:noWrap w:val="0"/>
                  <w:vAlign w:val="center"/>
                </w:tcPr>
                <w:p w14:paraId="2E9C7470">
                  <w:pPr>
                    <w:autoSpaceDE w:val="0"/>
                    <w:autoSpaceDN w:val="0"/>
                    <w:jc w:val="center"/>
                    <w:rPr>
                      <w:rFonts w:hint="default" w:ascii="Times New Roman" w:hAnsi="Times New Roman" w:cs="Times New Roman"/>
                      <w:b/>
                      <w:bCs/>
                      <w:color w:val="auto"/>
                      <w:kern w:val="0"/>
                      <w:szCs w:val="21"/>
                    </w:rPr>
                  </w:pPr>
                  <w:r>
                    <w:rPr>
                      <w:rFonts w:hint="default" w:ascii="Times New Roman" w:hAnsi="Times New Roman" w:cs="Times New Roman"/>
                      <w:b/>
                      <w:bCs/>
                      <w:color w:val="auto"/>
                      <w:kern w:val="0"/>
                      <w:szCs w:val="21"/>
                    </w:rPr>
                    <w:t>相对厂界距离（m）</w:t>
                  </w:r>
                </w:p>
              </w:tc>
            </w:tr>
            <w:tr w14:paraId="1A7D6B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vMerge w:val="restart"/>
                  <w:tcBorders>
                    <w:tl2br w:val="nil"/>
                    <w:tr2bl w:val="nil"/>
                  </w:tcBorders>
                  <w:noWrap w:val="0"/>
                  <w:vAlign w:val="center"/>
                </w:tcPr>
                <w:p w14:paraId="6711B279">
                  <w:pPr>
                    <w:autoSpaceDE w:val="0"/>
                    <w:autoSpaceDN w:val="0"/>
                    <w:jc w:val="center"/>
                    <w:rPr>
                      <w:rFonts w:hint="default" w:ascii="Times New Roman" w:hAnsi="Times New Roman" w:cs="Times New Roman"/>
                      <w:color w:val="auto"/>
                      <w:kern w:val="0"/>
                      <w:szCs w:val="21"/>
                    </w:rPr>
                  </w:pPr>
                  <w:r>
                    <w:rPr>
                      <w:rFonts w:hint="default" w:ascii="Times New Roman" w:hAnsi="Times New Roman" w:cs="Times New Roman"/>
                      <w:color w:val="auto"/>
                      <w:szCs w:val="21"/>
                    </w:rPr>
                    <w:t>环境空气</w:t>
                  </w:r>
                </w:p>
              </w:tc>
              <w:tc>
                <w:tcPr>
                  <w:tcW w:w="1554" w:type="dxa"/>
                  <w:tcBorders>
                    <w:tl2br w:val="nil"/>
                    <w:tr2bl w:val="nil"/>
                  </w:tcBorders>
                  <w:noWrap w:val="0"/>
                  <w:vAlign w:val="center"/>
                </w:tcPr>
                <w:p w14:paraId="084D336A">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107.426677°</w:t>
                  </w:r>
                </w:p>
                <w:p w14:paraId="4E573075">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34.352542°</w:t>
                  </w:r>
                </w:p>
              </w:tc>
              <w:tc>
                <w:tcPr>
                  <w:tcW w:w="1010" w:type="dxa"/>
                  <w:tcBorders>
                    <w:tl2br w:val="nil"/>
                    <w:tr2bl w:val="nil"/>
                  </w:tcBorders>
                  <w:noWrap w:val="0"/>
                  <w:vAlign w:val="center"/>
                </w:tcPr>
                <w:p w14:paraId="5C9F3815">
                  <w:pPr>
                    <w:pStyle w:val="82"/>
                    <w:rPr>
                      <w:rFonts w:hint="default" w:ascii="Times New Roman" w:hAnsi="Times New Roman" w:eastAsia="宋体" w:cs="Times New Roman"/>
                      <w:bCs/>
                      <w:color w:val="auto"/>
                      <w:szCs w:val="21"/>
                      <w:lang w:val="en-US" w:eastAsia="zh-CN"/>
                    </w:rPr>
                  </w:pPr>
                  <w:r>
                    <w:rPr>
                      <w:rFonts w:hint="eastAsia" w:ascii="Times New Roman" w:hAnsi="Times New Roman" w:cs="Times New Roman"/>
                      <w:bCs/>
                      <w:color w:val="auto"/>
                      <w:szCs w:val="21"/>
                      <w:lang w:val="en-US" w:eastAsia="zh-CN"/>
                    </w:rPr>
                    <w:t>靳家庄</w:t>
                  </w:r>
                </w:p>
              </w:tc>
              <w:tc>
                <w:tcPr>
                  <w:tcW w:w="721" w:type="dxa"/>
                  <w:vMerge w:val="restart"/>
                  <w:tcBorders>
                    <w:tl2br w:val="nil"/>
                    <w:tr2bl w:val="nil"/>
                  </w:tcBorders>
                  <w:noWrap w:val="0"/>
                  <w:vAlign w:val="center"/>
                </w:tcPr>
                <w:p w14:paraId="323F1EFE">
                  <w:pPr>
                    <w:pStyle w:val="82"/>
                    <w:rPr>
                      <w:rFonts w:hint="default" w:ascii="Times New Roman" w:hAnsi="Times New Roman" w:cs="Times New Roman"/>
                      <w:color w:val="auto"/>
                      <w:szCs w:val="21"/>
                    </w:rPr>
                  </w:pPr>
                  <w:r>
                    <w:rPr>
                      <w:rFonts w:hint="default" w:ascii="Times New Roman" w:hAnsi="Times New Roman" w:cs="Times New Roman"/>
                      <w:color w:val="auto"/>
                      <w:szCs w:val="21"/>
                    </w:rPr>
                    <w:t>人群健康</w:t>
                  </w:r>
                </w:p>
              </w:tc>
              <w:tc>
                <w:tcPr>
                  <w:tcW w:w="1827" w:type="dxa"/>
                  <w:vMerge w:val="restart"/>
                  <w:tcBorders>
                    <w:tl2br w:val="nil"/>
                    <w:tr2bl w:val="nil"/>
                  </w:tcBorders>
                  <w:noWrap w:val="0"/>
                  <w:vAlign w:val="center"/>
                </w:tcPr>
                <w:p w14:paraId="071132BA">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w:t>
                  </w:r>
                  <w:r>
                    <w:rPr>
                      <w:rFonts w:hint="default" w:ascii="Times New Roman" w:hAnsi="Times New Roman" w:cs="Times New Roman"/>
                      <w:bCs/>
                      <w:color w:val="auto"/>
                      <w:szCs w:val="21"/>
                    </w:rPr>
                    <w:t>（GB3095-2012）</w:t>
                  </w:r>
                  <w:r>
                    <w:rPr>
                      <w:rFonts w:hint="default" w:ascii="Times New Roman" w:hAnsi="Times New Roman" w:cs="Times New Roman"/>
                      <w:color w:val="auto"/>
                      <w:szCs w:val="21"/>
                    </w:rPr>
                    <w:t>二级标准</w:t>
                  </w:r>
                </w:p>
              </w:tc>
              <w:tc>
                <w:tcPr>
                  <w:tcW w:w="906" w:type="dxa"/>
                  <w:tcBorders>
                    <w:tl2br w:val="nil"/>
                    <w:tr2bl w:val="nil"/>
                  </w:tcBorders>
                  <w:noWrap w:val="0"/>
                  <w:vAlign w:val="center"/>
                </w:tcPr>
                <w:p w14:paraId="59A8316A">
                  <w:pPr>
                    <w:pStyle w:val="82"/>
                    <w:rPr>
                      <w:rFonts w:hint="default" w:ascii="Times New Roman" w:hAnsi="Times New Roman" w:cs="Times New Roman"/>
                      <w:color w:val="auto"/>
                      <w:szCs w:val="21"/>
                    </w:rPr>
                  </w:pPr>
                  <w:r>
                    <w:rPr>
                      <w:rFonts w:hint="eastAsia" w:ascii="Times New Roman" w:hAnsi="Times New Roman" w:cs="Times New Roman"/>
                      <w:color w:val="auto"/>
                      <w:szCs w:val="21"/>
                      <w:lang w:val="en-US" w:eastAsia="zh-CN"/>
                    </w:rPr>
                    <w:t>365</w:t>
                  </w:r>
                  <w:r>
                    <w:rPr>
                      <w:rFonts w:hint="default" w:ascii="Times New Roman" w:hAnsi="Times New Roman" w:cs="Times New Roman"/>
                      <w:color w:val="auto"/>
                      <w:szCs w:val="21"/>
                    </w:rPr>
                    <w:t>人</w:t>
                  </w:r>
                </w:p>
              </w:tc>
              <w:tc>
                <w:tcPr>
                  <w:tcW w:w="775" w:type="dxa"/>
                  <w:tcBorders>
                    <w:tl2br w:val="nil"/>
                    <w:tr2bl w:val="nil"/>
                  </w:tcBorders>
                  <w:noWrap w:val="0"/>
                  <w:vAlign w:val="center"/>
                </w:tcPr>
                <w:p w14:paraId="14C7F01D">
                  <w:pPr>
                    <w:pStyle w:val="82"/>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北</w:t>
                  </w:r>
                </w:p>
              </w:tc>
              <w:tc>
                <w:tcPr>
                  <w:tcW w:w="885" w:type="dxa"/>
                  <w:tcBorders>
                    <w:tl2br w:val="nil"/>
                    <w:tr2bl w:val="nil"/>
                  </w:tcBorders>
                  <w:noWrap w:val="0"/>
                  <w:vAlign w:val="center"/>
                </w:tcPr>
                <w:p w14:paraId="3DDA431D">
                  <w:pPr>
                    <w:pStyle w:val="82"/>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245</w:t>
                  </w:r>
                </w:p>
              </w:tc>
            </w:tr>
            <w:tr w14:paraId="3B5DAF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vMerge w:val="continue"/>
                  <w:tcBorders>
                    <w:tl2br w:val="nil"/>
                    <w:tr2bl w:val="nil"/>
                  </w:tcBorders>
                  <w:noWrap w:val="0"/>
                  <w:vAlign w:val="center"/>
                </w:tcPr>
                <w:p w14:paraId="15D61FC1">
                  <w:pPr>
                    <w:autoSpaceDE w:val="0"/>
                    <w:autoSpaceDN w:val="0"/>
                    <w:jc w:val="center"/>
                    <w:rPr>
                      <w:rFonts w:hint="default" w:ascii="Times New Roman" w:hAnsi="Times New Roman" w:cs="Times New Roman"/>
                      <w:color w:val="auto"/>
                      <w:szCs w:val="21"/>
                    </w:rPr>
                  </w:pPr>
                </w:p>
              </w:tc>
              <w:tc>
                <w:tcPr>
                  <w:tcW w:w="1554" w:type="dxa"/>
                  <w:tcBorders>
                    <w:tl2br w:val="nil"/>
                    <w:tr2bl w:val="nil"/>
                  </w:tcBorders>
                  <w:noWrap w:val="0"/>
                  <w:vAlign w:val="center"/>
                </w:tcPr>
                <w:p w14:paraId="4B1DDCD7">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107.425518°</w:t>
                  </w:r>
                </w:p>
                <w:p w14:paraId="610E39D8">
                  <w:pPr>
                    <w:pStyle w:val="4"/>
                    <w:ind w:left="0" w:leftChars="0" w:firstLine="210" w:firstLineChars="100"/>
                    <w:rPr>
                      <w:rFonts w:hint="default"/>
                      <w:color w:val="auto"/>
                    </w:rPr>
                  </w:pPr>
                  <w:r>
                    <w:rPr>
                      <w:rFonts w:hint="default"/>
                      <w:color w:val="auto"/>
                    </w:rPr>
                    <w:t>34.353251°</w:t>
                  </w:r>
                </w:p>
              </w:tc>
              <w:tc>
                <w:tcPr>
                  <w:tcW w:w="1010" w:type="dxa"/>
                  <w:tcBorders>
                    <w:tl2br w:val="nil"/>
                    <w:tr2bl w:val="nil"/>
                  </w:tcBorders>
                  <w:noWrap w:val="0"/>
                  <w:vAlign w:val="center"/>
                </w:tcPr>
                <w:p w14:paraId="31949DBD">
                  <w:pPr>
                    <w:pStyle w:val="82"/>
                    <w:rPr>
                      <w:rFonts w:hint="default"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阁底堡</w:t>
                  </w:r>
                </w:p>
              </w:tc>
              <w:tc>
                <w:tcPr>
                  <w:tcW w:w="721" w:type="dxa"/>
                  <w:vMerge w:val="continue"/>
                  <w:tcBorders>
                    <w:tl2br w:val="nil"/>
                    <w:tr2bl w:val="nil"/>
                  </w:tcBorders>
                  <w:noWrap w:val="0"/>
                  <w:vAlign w:val="center"/>
                </w:tcPr>
                <w:p w14:paraId="497B3684">
                  <w:pPr>
                    <w:pStyle w:val="82"/>
                    <w:rPr>
                      <w:rFonts w:hint="default" w:ascii="Times New Roman" w:hAnsi="Times New Roman" w:cs="Times New Roman"/>
                      <w:color w:val="auto"/>
                      <w:szCs w:val="21"/>
                    </w:rPr>
                  </w:pPr>
                </w:p>
              </w:tc>
              <w:tc>
                <w:tcPr>
                  <w:tcW w:w="1827" w:type="dxa"/>
                  <w:vMerge w:val="continue"/>
                  <w:tcBorders>
                    <w:tl2br w:val="nil"/>
                    <w:tr2bl w:val="nil"/>
                  </w:tcBorders>
                  <w:noWrap w:val="0"/>
                  <w:vAlign w:val="center"/>
                </w:tcPr>
                <w:p w14:paraId="7A09D0A0">
                  <w:pPr>
                    <w:autoSpaceDE w:val="0"/>
                    <w:autoSpaceDN w:val="0"/>
                    <w:jc w:val="center"/>
                    <w:rPr>
                      <w:rFonts w:hint="default" w:ascii="Times New Roman" w:hAnsi="Times New Roman" w:cs="Times New Roman"/>
                      <w:color w:val="auto"/>
                      <w:szCs w:val="21"/>
                    </w:rPr>
                  </w:pPr>
                </w:p>
              </w:tc>
              <w:tc>
                <w:tcPr>
                  <w:tcW w:w="906" w:type="dxa"/>
                  <w:tcBorders>
                    <w:tl2br w:val="nil"/>
                    <w:tr2bl w:val="nil"/>
                  </w:tcBorders>
                  <w:noWrap w:val="0"/>
                  <w:vAlign w:val="center"/>
                </w:tcPr>
                <w:p w14:paraId="3D028602">
                  <w:pPr>
                    <w:pStyle w:val="8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540人</w:t>
                  </w:r>
                </w:p>
              </w:tc>
              <w:tc>
                <w:tcPr>
                  <w:tcW w:w="775" w:type="dxa"/>
                  <w:tcBorders>
                    <w:tl2br w:val="nil"/>
                    <w:tr2bl w:val="nil"/>
                  </w:tcBorders>
                  <w:noWrap w:val="0"/>
                  <w:vAlign w:val="center"/>
                </w:tcPr>
                <w:p w14:paraId="37ACC45B">
                  <w:pPr>
                    <w:pStyle w:val="8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西北</w:t>
                  </w:r>
                </w:p>
              </w:tc>
              <w:tc>
                <w:tcPr>
                  <w:tcW w:w="885" w:type="dxa"/>
                  <w:tcBorders>
                    <w:tl2br w:val="nil"/>
                    <w:tr2bl w:val="nil"/>
                  </w:tcBorders>
                  <w:noWrap w:val="0"/>
                  <w:vAlign w:val="center"/>
                </w:tcPr>
                <w:p w14:paraId="3285C8BD">
                  <w:pPr>
                    <w:pStyle w:val="8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319</w:t>
                  </w:r>
                </w:p>
              </w:tc>
            </w:tr>
            <w:tr w14:paraId="4CDCD9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vMerge w:val="continue"/>
                  <w:tcBorders>
                    <w:tl2br w:val="nil"/>
                    <w:tr2bl w:val="nil"/>
                  </w:tcBorders>
                  <w:noWrap w:val="0"/>
                  <w:vAlign w:val="center"/>
                </w:tcPr>
                <w:p w14:paraId="3B61666F">
                  <w:pPr>
                    <w:autoSpaceDE w:val="0"/>
                    <w:autoSpaceDN w:val="0"/>
                    <w:jc w:val="center"/>
                    <w:rPr>
                      <w:rFonts w:hint="default" w:ascii="Times New Roman" w:hAnsi="Times New Roman" w:cs="Times New Roman"/>
                      <w:color w:val="auto"/>
                      <w:szCs w:val="21"/>
                    </w:rPr>
                  </w:pPr>
                </w:p>
              </w:tc>
              <w:tc>
                <w:tcPr>
                  <w:tcW w:w="1554" w:type="dxa"/>
                  <w:tcBorders>
                    <w:tl2br w:val="nil"/>
                    <w:tr2bl w:val="nil"/>
                  </w:tcBorders>
                  <w:noWrap w:val="0"/>
                  <w:vAlign w:val="center"/>
                </w:tcPr>
                <w:p w14:paraId="2241DC92">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107.425594°</w:t>
                  </w:r>
                </w:p>
                <w:p w14:paraId="3948C78B">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34.351325°</w:t>
                  </w:r>
                </w:p>
              </w:tc>
              <w:tc>
                <w:tcPr>
                  <w:tcW w:w="1010" w:type="dxa"/>
                  <w:tcBorders>
                    <w:tl2br w:val="nil"/>
                    <w:tr2bl w:val="nil"/>
                  </w:tcBorders>
                  <w:noWrap w:val="0"/>
                  <w:vAlign w:val="center"/>
                </w:tcPr>
                <w:p w14:paraId="4CA5686D">
                  <w:pPr>
                    <w:pStyle w:val="82"/>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五一村</w:t>
                  </w:r>
                </w:p>
              </w:tc>
              <w:tc>
                <w:tcPr>
                  <w:tcW w:w="721" w:type="dxa"/>
                  <w:vMerge w:val="continue"/>
                  <w:tcBorders>
                    <w:tl2br w:val="nil"/>
                    <w:tr2bl w:val="nil"/>
                  </w:tcBorders>
                  <w:noWrap w:val="0"/>
                  <w:vAlign w:val="center"/>
                </w:tcPr>
                <w:p w14:paraId="550D01DE">
                  <w:pPr>
                    <w:pStyle w:val="82"/>
                    <w:rPr>
                      <w:rFonts w:hint="default" w:ascii="Times New Roman" w:hAnsi="Times New Roman" w:cs="Times New Roman"/>
                      <w:color w:val="auto"/>
                      <w:szCs w:val="21"/>
                    </w:rPr>
                  </w:pPr>
                </w:p>
              </w:tc>
              <w:tc>
                <w:tcPr>
                  <w:tcW w:w="1827" w:type="dxa"/>
                  <w:vMerge w:val="continue"/>
                  <w:tcBorders>
                    <w:tl2br w:val="nil"/>
                    <w:tr2bl w:val="nil"/>
                  </w:tcBorders>
                  <w:noWrap w:val="0"/>
                  <w:vAlign w:val="center"/>
                </w:tcPr>
                <w:p w14:paraId="27174D0E">
                  <w:pPr>
                    <w:autoSpaceDE w:val="0"/>
                    <w:autoSpaceDN w:val="0"/>
                    <w:jc w:val="center"/>
                    <w:rPr>
                      <w:rFonts w:hint="default" w:ascii="Times New Roman" w:hAnsi="Times New Roman" w:cs="Times New Roman"/>
                      <w:color w:val="auto"/>
                      <w:szCs w:val="21"/>
                    </w:rPr>
                  </w:pPr>
                </w:p>
              </w:tc>
              <w:tc>
                <w:tcPr>
                  <w:tcW w:w="906" w:type="dxa"/>
                  <w:tcBorders>
                    <w:tl2br w:val="nil"/>
                    <w:tr2bl w:val="nil"/>
                  </w:tcBorders>
                  <w:noWrap w:val="0"/>
                  <w:vAlign w:val="center"/>
                </w:tcPr>
                <w:p w14:paraId="5B5E57BD">
                  <w:pPr>
                    <w:pStyle w:val="8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45人</w:t>
                  </w:r>
                </w:p>
              </w:tc>
              <w:tc>
                <w:tcPr>
                  <w:tcW w:w="775" w:type="dxa"/>
                  <w:tcBorders>
                    <w:tl2br w:val="nil"/>
                    <w:tr2bl w:val="nil"/>
                  </w:tcBorders>
                  <w:noWrap w:val="0"/>
                  <w:vAlign w:val="center"/>
                </w:tcPr>
                <w:p w14:paraId="43DF4601">
                  <w:pPr>
                    <w:pStyle w:val="8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西北</w:t>
                  </w:r>
                </w:p>
              </w:tc>
              <w:tc>
                <w:tcPr>
                  <w:tcW w:w="885" w:type="dxa"/>
                  <w:tcBorders>
                    <w:tl2br w:val="nil"/>
                    <w:tr2bl w:val="nil"/>
                  </w:tcBorders>
                  <w:noWrap w:val="0"/>
                  <w:vAlign w:val="center"/>
                </w:tcPr>
                <w:p w14:paraId="52C06840">
                  <w:pPr>
                    <w:pStyle w:val="8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176</w:t>
                  </w:r>
                </w:p>
              </w:tc>
            </w:tr>
            <w:tr w14:paraId="72D939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74" w:type="dxa"/>
                  <w:vMerge w:val="continue"/>
                  <w:tcBorders>
                    <w:tl2br w:val="nil"/>
                    <w:tr2bl w:val="nil"/>
                  </w:tcBorders>
                  <w:noWrap w:val="0"/>
                  <w:vAlign w:val="center"/>
                </w:tcPr>
                <w:p w14:paraId="42FEE996">
                  <w:pPr>
                    <w:autoSpaceDE w:val="0"/>
                    <w:autoSpaceDN w:val="0"/>
                    <w:jc w:val="center"/>
                    <w:rPr>
                      <w:rFonts w:hint="default" w:ascii="Times New Roman" w:hAnsi="Times New Roman" w:cs="Times New Roman"/>
                      <w:color w:val="auto"/>
                      <w:szCs w:val="21"/>
                    </w:rPr>
                  </w:pPr>
                </w:p>
              </w:tc>
              <w:tc>
                <w:tcPr>
                  <w:tcW w:w="1554" w:type="dxa"/>
                  <w:tcBorders>
                    <w:tl2br w:val="nil"/>
                    <w:tr2bl w:val="nil"/>
                  </w:tcBorders>
                  <w:noWrap w:val="0"/>
                  <w:vAlign w:val="center"/>
                </w:tcPr>
                <w:p w14:paraId="66C00D08">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107.432987°</w:t>
                  </w:r>
                </w:p>
                <w:p w14:paraId="4611219F">
                  <w:pPr>
                    <w:autoSpaceDE w:val="0"/>
                    <w:autoSpaceDN w:val="0"/>
                    <w:jc w:val="center"/>
                    <w:rPr>
                      <w:rFonts w:hint="default" w:ascii="Times New Roman" w:hAnsi="Times New Roman" w:cs="Times New Roman"/>
                      <w:color w:val="auto"/>
                      <w:szCs w:val="21"/>
                    </w:rPr>
                  </w:pPr>
                  <w:r>
                    <w:rPr>
                      <w:rFonts w:hint="default" w:ascii="Times New Roman" w:hAnsi="Times New Roman" w:cs="Times New Roman"/>
                      <w:color w:val="auto"/>
                      <w:szCs w:val="21"/>
                    </w:rPr>
                    <w:t>34.351101°</w:t>
                  </w:r>
                </w:p>
              </w:tc>
              <w:tc>
                <w:tcPr>
                  <w:tcW w:w="1010" w:type="dxa"/>
                  <w:tcBorders>
                    <w:tl2br w:val="nil"/>
                    <w:tr2bl w:val="nil"/>
                  </w:tcBorders>
                  <w:noWrap w:val="0"/>
                  <w:vAlign w:val="center"/>
                </w:tcPr>
                <w:p w14:paraId="355F47D5">
                  <w:pPr>
                    <w:pStyle w:val="82"/>
                    <w:rPr>
                      <w:rFonts w:hint="eastAsia" w:ascii="Times New Roman" w:hAnsi="Times New Roman" w:cs="Times New Roman"/>
                      <w:bCs/>
                      <w:color w:val="auto"/>
                      <w:szCs w:val="21"/>
                      <w:lang w:val="en-US" w:eastAsia="zh-CN"/>
                    </w:rPr>
                  </w:pPr>
                  <w:r>
                    <w:rPr>
                      <w:rFonts w:hint="eastAsia" w:ascii="Times New Roman" w:hAnsi="Times New Roman" w:cs="Times New Roman"/>
                      <w:bCs/>
                      <w:color w:val="auto"/>
                      <w:szCs w:val="21"/>
                      <w:lang w:val="en-US" w:eastAsia="zh-CN"/>
                    </w:rPr>
                    <w:t>支赵庄</w:t>
                  </w:r>
                </w:p>
              </w:tc>
              <w:tc>
                <w:tcPr>
                  <w:tcW w:w="721" w:type="dxa"/>
                  <w:vMerge w:val="continue"/>
                  <w:tcBorders>
                    <w:tl2br w:val="nil"/>
                    <w:tr2bl w:val="nil"/>
                  </w:tcBorders>
                  <w:noWrap w:val="0"/>
                  <w:vAlign w:val="center"/>
                </w:tcPr>
                <w:p w14:paraId="17D2E863">
                  <w:pPr>
                    <w:pStyle w:val="82"/>
                    <w:rPr>
                      <w:rFonts w:hint="default" w:ascii="Times New Roman" w:hAnsi="Times New Roman" w:cs="Times New Roman"/>
                      <w:color w:val="auto"/>
                      <w:szCs w:val="21"/>
                    </w:rPr>
                  </w:pPr>
                </w:p>
              </w:tc>
              <w:tc>
                <w:tcPr>
                  <w:tcW w:w="1827" w:type="dxa"/>
                  <w:vMerge w:val="continue"/>
                  <w:tcBorders>
                    <w:tl2br w:val="nil"/>
                    <w:tr2bl w:val="nil"/>
                  </w:tcBorders>
                  <w:noWrap w:val="0"/>
                  <w:vAlign w:val="center"/>
                </w:tcPr>
                <w:p w14:paraId="1520A635">
                  <w:pPr>
                    <w:autoSpaceDE w:val="0"/>
                    <w:autoSpaceDN w:val="0"/>
                    <w:jc w:val="center"/>
                    <w:rPr>
                      <w:rFonts w:hint="default" w:ascii="Times New Roman" w:hAnsi="Times New Roman" w:cs="Times New Roman"/>
                      <w:color w:val="auto"/>
                      <w:szCs w:val="21"/>
                    </w:rPr>
                  </w:pPr>
                </w:p>
              </w:tc>
              <w:tc>
                <w:tcPr>
                  <w:tcW w:w="906" w:type="dxa"/>
                  <w:tcBorders>
                    <w:tl2br w:val="nil"/>
                    <w:tr2bl w:val="nil"/>
                  </w:tcBorders>
                  <w:noWrap w:val="0"/>
                  <w:vAlign w:val="center"/>
                </w:tcPr>
                <w:p w14:paraId="1B873826">
                  <w:pPr>
                    <w:pStyle w:val="8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267人</w:t>
                  </w:r>
                </w:p>
              </w:tc>
              <w:tc>
                <w:tcPr>
                  <w:tcW w:w="775" w:type="dxa"/>
                  <w:tcBorders>
                    <w:tl2br w:val="nil"/>
                    <w:tr2bl w:val="nil"/>
                  </w:tcBorders>
                  <w:noWrap w:val="0"/>
                  <w:vAlign w:val="center"/>
                </w:tcPr>
                <w:p w14:paraId="3992CB7C">
                  <w:pPr>
                    <w:pStyle w:val="82"/>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东北</w:t>
                  </w:r>
                </w:p>
              </w:tc>
              <w:tc>
                <w:tcPr>
                  <w:tcW w:w="885" w:type="dxa"/>
                  <w:tcBorders>
                    <w:tl2br w:val="nil"/>
                    <w:tr2bl w:val="nil"/>
                  </w:tcBorders>
                  <w:noWrap w:val="0"/>
                  <w:vAlign w:val="center"/>
                </w:tcPr>
                <w:p w14:paraId="01732818">
                  <w:pPr>
                    <w:pStyle w:val="82"/>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325</w:t>
                  </w:r>
                </w:p>
              </w:tc>
            </w:tr>
          </w:tbl>
          <w:p w14:paraId="2A95F176">
            <w:pPr>
              <w:pStyle w:val="74"/>
              <w:rPr>
                <w:color w:val="auto"/>
              </w:rPr>
            </w:pPr>
          </w:p>
        </w:tc>
      </w:tr>
      <w:tr w14:paraId="1777F8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57" w:hRule="atLeast"/>
          <w:jc w:val="center"/>
        </w:trPr>
        <w:tc>
          <w:tcPr>
            <w:tcW w:w="706" w:type="dxa"/>
            <w:noWrap w:val="0"/>
            <w:tcMar>
              <w:left w:w="28" w:type="dxa"/>
              <w:right w:w="28" w:type="dxa"/>
            </w:tcMar>
            <w:vAlign w:val="center"/>
          </w:tcPr>
          <w:p w14:paraId="3AA947C5">
            <w:pPr>
              <w:adjustRightInd w:val="0"/>
              <w:snapToGrid w:val="0"/>
              <w:jc w:val="center"/>
              <w:rPr>
                <w:color w:val="auto"/>
                <w:kern w:val="0"/>
                <w:szCs w:val="21"/>
              </w:rPr>
            </w:pPr>
            <w:r>
              <w:rPr>
                <w:color w:val="auto"/>
                <w:kern w:val="0"/>
                <w:szCs w:val="21"/>
              </w:rPr>
              <w:t>污染</w:t>
            </w:r>
          </w:p>
          <w:p w14:paraId="39F0A465">
            <w:pPr>
              <w:adjustRightInd w:val="0"/>
              <w:snapToGrid w:val="0"/>
              <w:jc w:val="center"/>
              <w:rPr>
                <w:color w:val="auto"/>
                <w:kern w:val="0"/>
                <w:szCs w:val="21"/>
              </w:rPr>
            </w:pPr>
            <w:r>
              <w:rPr>
                <w:color w:val="auto"/>
                <w:kern w:val="0"/>
                <w:szCs w:val="21"/>
              </w:rPr>
              <w:t>物排</w:t>
            </w:r>
          </w:p>
          <w:p w14:paraId="68CD2DC7">
            <w:pPr>
              <w:adjustRightInd w:val="0"/>
              <w:snapToGrid w:val="0"/>
              <w:jc w:val="center"/>
              <w:rPr>
                <w:color w:val="auto"/>
                <w:kern w:val="0"/>
                <w:szCs w:val="21"/>
              </w:rPr>
            </w:pPr>
            <w:r>
              <w:rPr>
                <w:color w:val="auto"/>
                <w:kern w:val="0"/>
                <w:szCs w:val="21"/>
              </w:rPr>
              <w:t>放控</w:t>
            </w:r>
          </w:p>
          <w:p w14:paraId="7B93BD61">
            <w:pPr>
              <w:adjustRightInd w:val="0"/>
              <w:snapToGrid w:val="0"/>
              <w:jc w:val="center"/>
              <w:rPr>
                <w:color w:val="auto"/>
                <w:kern w:val="0"/>
                <w:szCs w:val="21"/>
              </w:rPr>
            </w:pPr>
            <w:r>
              <w:rPr>
                <w:color w:val="auto"/>
                <w:kern w:val="0"/>
                <w:szCs w:val="21"/>
              </w:rPr>
              <w:t>制标</w:t>
            </w:r>
          </w:p>
          <w:p w14:paraId="62B8EFA7">
            <w:pPr>
              <w:adjustRightInd w:val="0"/>
              <w:snapToGrid w:val="0"/>
              <w:jc w:val="center"/>
              <w:rPr>
                <w:color w:val="auto"/>
                <w:kern w:val="0"/>
                <w:szCs w:val="21"/>
              </w:rPr>
            </w:pPr>
            <w:r>
              <w:rPr>
                <w:color w:val="auto"/>
                <w:kern w:val="0"/>
                <w:szCs w:val="21"/>
              </w:rPr>
              <w:t>准</w:t>
            </w:r>
          </w:p>
        </w:tc>
        <w:tc>
          <w:tcPr>
            <w:tcW w:w="8588" w:type="dxa"/>
            <w:noWrap w:val="0"/>
            <w:vAlign w:val="center"/>
          </w:tcPr>
          <w:p w14:paraId="79950D9B">
            <w:pPr>
              <w:adjustRightInd w:val="0"/>
              <w:snapToGrid w:val="0"/>
              <w:spacing w:line="360" w:lineRule="auto"/>
              <w:ind w:firstLine="482" w:firstLineChars="200"/>
              <w:jc w:val="left"/>
              <w:rPr>
                <w:rFonts w:hint="default" w:eastAsia="宋体"/>
                <w:b/>
                <w:color w:val="auto"/>
                <w:sz w:val="24"/>
                <w:lang w:val="en-US" w:eastAsia="zh-CN"/>
              </w:rPr>
            </w:pPr>
            <w:r>
              <w:rPr>
                <w:rFonts w:hint="eastAsia"/>
                <w:b/>
                <w:color w:val="auto"/>
                <w:sz w:val="24"/>
                <w:lang w:val="en-US" w:eastAsia="zh-CN"/>
              </w:rPr>
              <w:t>1</w:t>
            </w:r>
            <w:r>
              <w:rPr>
                <w:rFonts w:hint="eastAsia"/>
                <w:b/>
                <w:color w:val="auto"/>
                <w:sz w:val="24"/>
              </w:rPr>
              <w:t>.</w:t>
            </w:r>
            <w:r>
              <w:rPr>
                <w:rFonts w:hint="eastAsia"/>
                <w:b/>
                <w:color w:val="auto"/>
                <w:sz w:val="24"/>
                <w:lang w:val="en-US" w:eastAsia="zh-CN"/>
              </w:rPr>
              <w:t>废气排放标准</w:t>
            </w:r>
          </w:p>
          <w:p w14:paraId="7A772A9E">
            <w:pPr>
              <w:adjustRightInd w:val="0"/>
              <w:snapToGrid w:val="0"/>
              <w:spacing w:line="360" w:lineRule="auto"/>
              <w:ind w:firstLine="480"/>
              <w:rPr>
                <w:rFonts w:hint="default"/>
                <w:color w:val="auto"/>
                <w:kern w:val="0"/>
                <w:sz w:val="24"/>
                <w:lang w:val="en-US" w:eastAsia="zh-CN"/>
              </w:rPr>
            </w:pPr>
            <w:r>
              <w:rPr>
                <w:rFonts w:hint="default"/>
                <w:color w:val="auto"/>
                <w:kern w:val="0"/>
                <w:sz w:val="24"/>
                <w:lang w:val="en-US" w:eastAsia="zh-CN"/>
              </w:rPr>
              <w:t>项目</w:t>
            </w:r>
            <w:r>
              <w:rPr>
                <w:rFonts w:hint="eastAsia"/>
                <w:color w:val="auto"/>
                <w:kern w:val="0"/>
                <w:sz w:val="24"/>
                <w:lang w:val="en-US" w:eastAsia="zh-CN"/>
              </w:rPr>
              <w:t>拉丝工序产生的</w:t>
            </w:r>
            <w:r>
              <w:rPr>
                <w:rFonts w:hint="default"/>
                <w:color w:val="auto"/>
                <w:kern w:val="0"/>
                <w:sz w:val="24"/>
                <w:lang w:val="en-US" w:eastAsia="zh-CN"/>
              </w:rPr>
              <w:t>颗粒物执行《大气污染物综合排放标准》（GB16297-1996）表2中排放限值要求及无组织排放监控浓度限值</w:t>
            </w:r>
            <w:r>
              <w:rPr>
                <w:rFonts w:hint="eastAsia"/>
                <w:color w:val="auto"/>
                <w:kern w:val="0"/>
                <w:sz w:val="24"/>
                <w:lang w:val="en-US" w:eastAsia="zh-CN"/>
              </w:rPr>
              <w:t>；</w:t>
            </w:r>
            <w:r>
              <w:rPr>
                <w:rFonts w:hint="default"/>
                <w:color w:val="auto"/>
                <w:kern w:val="0"/>
                <w:sz w:val="24"/>
                <w:lang w:val="en-US" w:eastAsia="zh-CN"/>
              </w:rPr>
              <w:t>排放限值见下表：</w:t>
            </w:r>
          </w:p>
          <w:p w14:paraId="43484846">
            <w:pPr>
              <w:pStyle w:val="31"/>
              <w:bidi w:val="0"/>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表3-</w:t>
            </w:r>
            <w:r>
              <w:rPr>
                <w:rFonts w:hint="eastAsia" w:ascii="Times New Roman" w:hAnsi="Times New Roman" w:eastAsia="宋体" w:cs="Times New Roman"/>
                <w:b/>
                <w:bCs/>
                <w:color w:val="auto"/>
                <w:kern w:val="2"/>
                <w:sz w:val="21"/>
                <w:szCs w:val="21"/>
                <w:lang w:val="en-US" w:eastAsia="zh-CN" w:bidi="ar-SA"/>
              </w:rPr>
              <w:t xml:space="preserve">4 </w:t>
            </w:r>
            <w:r>
              <w:rPr>
                <w:rFonts w:hint="default" w:ascii="Times New Roman" w:hAnsi="Times New Roman" w:eastAsia="宋体" w:cs="Times New Roman"/>
                <w:b/>
                <w:bCs/>
                <w:color w:val="auto"/>
                <w:kern w:val="2"/>
                <w:sz w:val="21"/>
                <w:szCs w:val="21"/>
                <w:lang w:val="en-US" w:eastAsia="zh-CN" w:bidi="ar-SA"/>
              </w:rPr>
              <w:t xml:space="preserve">  废气排放标准限值</w:t>
            </w:r>
          </w:p>
          <w:tbl>
            <w:tblPr>
              <w:tblStyle w:val="23"/>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28"/>
              <w:gridCol w:w="1275"/>
              <w:gridCol w:w="1261"/>
              <w:gridCol w:w="1169"/>
              <w:gridCol w:w="2040"/>
              <w:gridCol w:w="2000"/>
            </w:tblGrid>
            <w:tr w14:paraId="7E024C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5" w:type="pct"/>
                  <w:vMerge w:val="restart"/>
                  <w:tcBorders>
                    <w:tl2br w:val="nil"/>
                    <w:tr2bl w:val="nil"/>
                  </w:tcBorders>
                  <w:shd w:val="clear" w:color="auto" w:fill="FFFFFF"/>
                  <w:noWrap w:val="0"/>
                  <w:vAlign w:val="center"/>
                </w:tcPr>
                <w:p w14:paraId="78915B6E">
                  <w:pPr>
                    <w:pStyle w:val="19"/>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污染物</w:t>
                  </w:r>
                </w:p>
              </w:tc>
              <w:tc>
                <w:tcPr>
                  <w:tcW w:w="761" w:type="pct"/>
                  <w:vMerge w:val="restart"/>
                  <w:tcBorders>
                    <w:tl2br w:val="nil"/>
                    <w:tr2bl w:val="nil"/>
                  </w:tcBorders>
                  <w:shd w:val="clear" w:color="auto" w:fill="FFFFFF"/>
                  <w:noWrap w:val="0"/>
                  <w:vAlign w:val="center"/>
                </w:tcPr>
                <w:p w14:paraId="5691EC7D">
                  <w:pPr>
                    <w:pStyle w:val="19"/>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最高允许排放浓度</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mg/m</w:t>
                  </w:r>
                  <w:r>
                    <w:rPr>
                      <w:rFonts w:hint="default" w:ascii="Times New Roman" w:hAnsi="Times New Roman" w:eastAsia="宋体" w:cs="Times New Roman"/>
                      <w:b/>
                      <w:bCs/>
                      <w:color w:val="auto"/>
                      <w:sz w:val="21"/>
                      <w:szCs w:val="21"/>
                      <w:vertAlign w:val="superscript"/>
                    </w:rPr>
                    <w:t>3</w:t>
                  </w:r>
                  <w:r>
                    <w:rPr>
                      <w:rFonts w:hint="eastAsia" w:ascii="Times New Roman" w:hAnsi="Times New Roman" w:eastAsia="宋体" w:cs="Times New Roman"/>
                      <w:b/>
                      <w:bCs/>
                      <w:color w:val="auto"/>
                      <w:sz w:val="21"/>
                      <w:szCs w:val="21"/>
                      <w:lang w:eastAsia="zh-CN"/>
                    </w:rPr>
                    <w:t>）</w:t>
                  </w:r>
                </w:p>
              </w:tc>
              <w:tc>
                <w:tcPr>
                  <w:tcW w:w="1451" w:type="pct"/>
                  <w:gridSpan w:val="2"/>
                  <w:tcBorders>
                    <w:tl2br w:val="nil"/>
                    <w:tr2bl w:val="nil"/>
                  </w:tcBorders>
                  <w:shd w:val="clear" w:color="auto" w:fill="FFFFFF"/>
                  <w:noWrap w:val="0"/>
                  <w:vAlign w:val="center"/>
                </w:tcPr>
                <w:p w14:paraId="4827209E">
                  <w:pPr>
                    <w:pStyle w:val="19"/>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最高允许排放速率</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kg/h</w:t>
                  </w:r>
                  <w:r>
                    <w:rPr>
                      <w:rFonts w:hint="eastAsia" w:ascii="Times New Roman" w:hAnsi="Times New Roman" w:eastAsia="宋体" w:cs="Times New Roman"/>
                      <w:b/>
                      <w:bCs/>
                      <w:color w:val="auto"/>
                      <w:sz w:val="21"/>
                      <w:szCs w:val="21"/>
                      <w:lang w:eastAsia="zh-CN"/>
                    </w:rPr>
                    <w:t>）</w:t>
                  </w:r>
                </w:p>
              </w:tc>
              <w:tc>
                <w:tcPr>
                  <w:tcW w:w="1218" w:type="pct"/>
                  <w:vMerge w:val="restart"/>
                  <w:tcBorders>
                    <w:tl2br w:val="nil"/>
                    <w:tr2bl w:val="nil"/>
                  </w:tcBorders>
                  <w:shd w:val="clear" w:color="auto" w:fill="FFFFFF"/>
                  <w:noWrap w:val="0"/>
                  <w:vAlign w:val="center"/>
                </w:tcPr>
                <w:p w14:paraId="0258FE05">
                  <w:pPr>
                    <w:pStyle w:val="19"/>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无组织排放监控浓度限值（mg/m³）</w:t>
                  </w:r>
                </w:p>
              </w:tc>
              <w:tc>
                <w:tcPr>
                  <w:tcW w:w="1194" w:type="pct"/>
                  <w:vMerge w:val="restart"/>
                  <w:tcBorders>
                    <w:tl2br w:val="nil"/>
                    <w:tr2bl w:val="nil"/>
                  </w:tcBorders>
                  <w:shd w:val="clear" w:color="auto" w:fill="FFFFFF"/>
                  <w:noWrap w:val="0"/>
                  <w:vAlign w:val="center"/>
                </w:tcPr>
                <w:p w14:paraId="032B31D9">
                  <w:pPr>
                    <w:pStyle w:val="19"/>
                    <w:autoSpaceDE w:val="0"/>
                    <w:adjustRightInd w:val="0"/>
                    <w:snapToGrid w:val="0"/>
                    <w:spacing w:before="0" w:beforeAutospacing="0" w:after="0" w:afterAutospacing="0"/>
                    <w:jc w:val="center"/>
                    <w:rPr>
                      <w:rFonts w:hint="eastAsia" w:ascii="Times New Roman" w:hAnsi="Times New Roman" w:eastAsia="宋体" w:cs="Times New Roman"/>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执行标准</w:t>
                  </w:r>
                </w:p>
              </w:tc>
            </w:tr>
            <w:tr w14:paraId="56D045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0" w:hRule="atLeast"/>
                <w:jc w:val="center"/>
              </w:trPr>
              <w:tc>
                <w:tcPr>
                  <w:tcW w:w="375" w:type="pct"/>
                  <w:vMerge w:val="continue"/>
                  <w:tcBorders>
                    <w:tl2br w:val="nil"/>
                    <w:tr2bl w:val="nil"/>
                  </w:tcBorders>
                  <w:shd w:val="clear" w:color="auto" w:fill="auto"/>
                  <w:noWrap w:val="0"/>
                  <w:vAlign w:val="center"/>
                </w:tcPr>
                <w:p w14:paraId="01656211">
                  <w:pPr>
                    <w:pStyle w:val="19"/>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c>
                <w:tcPr>
                  <w:tcW w:w="761" w:type="pct"/>
                  <w:vMerge w:val="continue"/>
                  <w:tcBorders>
                    <w:tl2br w:val="nil"/>
                    <w:tr2bl w:val="nil"/>
                  </w:tcBorders>
                  <w:shd w:val="clear" w:color="auto" w:fill="auto"/>
                  <w:noWrap w:val="0"/>
                  <w:vAlign w:val="center"/>
                </w:tcPr>
                <w:p w14:paraId="4F966C8E">
                  <w:pPr>
                    <w:pStyle w:val="19"/>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c>
                <w:tcPr>
                  <w:tcW w:w="753" w:type="pct"/>
                  <w:tcBorders>
                    <w:tl2br w:val="nil"/>
                    <w:tr2bl w:val="nil"/>
                  </w:tcBorders>
                  <w:shd w:val="clear" w:color="auto" w:fill="FFFFFF"/>
                  <w:noWrap w:val="0"/>
                  <w:vAlign w:val="center"/>
                </w:tcPr>
                <w:p w14:paraId="720125E9">
                  <w:pPr>
                    <w:pStyle w:val="19"/>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排气筒高度</w:t>
                  </w:r>
                  <w:r>
                    <w:rPr>
                      <w:rFonts w:hint="eastAsia" w:ascii="Times New Roman" w:hAnsi="Times New Roman" w:eastAsia="宋体" w:cs="Times New Roman"/>
                      <w:b/>
                      <w:bCs/>
                      <w:color w:val="auto"/>
                      <w:sz w:val="21"/>
                      <w:szCs w:val="21"/>
                      <w:lang w:eastAsia="zh-CN"/>
                    </w:rPr>
                    <w:t>（</w:t>
                  </w:r>
                  <w:r>
                    <w:rPr>
                      <w:rFonts w:hint="default" w:ascii="Times New Roman" w:hAnsi="Times New Roman" w:eastAsia="宋体" w:cs="Times New Roman"/>
                      <w:b/>
                      <w:bCs/>
                      <w:color w:val="auto"/>
                      <w:sz w:val="21"/>
                      <w:szCs w:val="21"/>
                    </w:rPr>
                    <w:t>m</w:t>
                  </w:r>
                  <w:r>
                    <w:rPr>
                      <w:rFonts w:hint="eastAsia" w:ascii="Times New Roman" w:hAnsi="Times New Roman" w:eastAsia="宋体" w:cs="Times New Roman"/>
                      <w:b/>
                      <w:bCs/>
                      <w:color w:val="auto"/>
                      <w:sz w:val="21"/>
                      <w:szCs w:val="21"/>
                      <w:lang w:eastAsia="zh-CN"/>
                    </w:rPr>
                    <w:t>）</w:t>
                  </w:r>
                </w:p>
              </w:tc>
              <w:tc>
                <w:tcPr>
                  <w:tcW w:w="698" w:type="pct"/>
                  <w:tcBorders>
                    <w:tl2br w:val="nil"/>
                    <w:tr2bl w:val="nil"/>
                  </w:tcBorders>
                  <w:shd w:val="clear" w:color="auto" w:fill="FFFFFF"/>
                  <w:noWrap w:val="0"/>
                  <w:vAlign w:val="center"/>
                </w:tcPr>
                <w:p w14:paraId="11A290DC">
                  <w:pPr>
                    <w:pStyle w:val="19"/>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二级</w:t>
                  </w:r>
                </w:p>
              </w:tc>
              <w:tc>
                <w:tcPr>
                  <w:tcW w:w="1218" w:type="pct"/>
                  <w:vMerge w:val="continue"/>
                  <w:tcBorders>
                    <w:tl2br w:val="nil"/>
                    <w:tr2bl w:val="nil"/>
                  </w:tcBorders>
                  <w:shd w:val="clear" w:color="auto" w:fill="FFFFFF"/>
                  <w:noWrap w:val="0"/>
                  <w:vAlign w:val="center"/>
                </w:tcPr>
                <w:p w14:paraId="55B197F0">
                  <w:pPr>
                    <w:pStyle w:val="19"/>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c>
                <w:tcPr>
                  <w:tcW w:w="1194" w:type="pct"/>
                  <w:vMerge w:val="continue"/>
                  <w:tcBorders>
                    <w:tl2br w:val="nil"/>
                    <w:tr2bl w:val="nil"/>
                  </w:tcBorders>
                  <w:shd w:val="clear" w:color="auto" w:fill="FFFFFF"/>
                  <w:noWrap w:val="0"/>
                  <w:vAlign w:val="center"/>
                </w:tcPr>
                <w:p w14:paraId="6B4549C2">
                  <w:pPr>
                    <w:pStyle w:val="19"/>
                    <w:autoSpaceDE w:val="0"/>
                    <w:adjustRightInd w:val="0"/>
                    <w:snapToGrid w:val="0"/>
                    <w:spacing w:before="0" w:beforeAutospacing="0" w:after="0" w:afterAutospacing="0"/>
                    <w:jc w:val="center"/>
                    <w:rPr>
                      <w:rFonts w:hint="default" w:ascii="Times New Roman" w:hAnsi="Times New Roman" w:eastAsia="宋体" w:cs="Times New Roman"/>
                      <w:b/>
                      <w:bCs/>
                      <w:color w:val="auto"/>
                      <w:sz w:val="21"/>
                      <w:szCs w:val="21"/>
                    </w:rPr>
                  </w:pPr>
                </w:p>
              </w:tc>
            </w:tr>
            <w:tr w14:paraId="3A34B9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375" w:type="pct"/>
                  <w:tcBorders>
                    <w:tl2br w:val="nil"/>
                    <w:tr2bl w:val="nil"/>
                  </w:tcBorders>
                  <w:shd w:val="clear" w:color="auto" w:fill="FFFFFF"/>
                  <w:noWrap w:val="0"/>
                  <w:vAlign w:val="center"/>
                </w:tcPr>
                <w:p w14:paraId="3C44E4C3">
                  <w:pPr>
                    <w:pStyle w:val="19"/>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颗粒物</w:t>
                  </w:r>
                </w:p>
              </w:tc>
              <w:tc>
                <w:tcPr>
                  <w:tcW w:w="761" w:type="pct"/>
                  <w:tcBorders>
                    <w:tl2br w:val="nil"/>
                    <w:tr2bl w:val="nil"/>
                  </w:tcBorders>
                  <w:shd w:val="clear" w:color="auto" w:fill="FFFFFF"/>
                  <w:noWrap w:val="0"/>
                  <w:vAlign w:val="center"/>
                </w:tcPr>
                <w:p w14:paraId="29AA25A2">
                  <w:pPr>
                    <w:pStyle w:val="19"/>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c>
                <w:tcPr>
                  <w:tcW w:w="753" w:type="pct"/>
                  <w:tcBorders>
                    <w:tl2br w:val="nil"/>
                    <w:tr2bl w:val="nil"/>
                  </w:tcBorders>
                  <w:shd w:val="clear" w:color="auto" w:fill="FFFFFF"/>
                  <w:noWrap w:val="0"/>
                  <w:vAlign w:val="center"/>
                </w:tcPr>
                <w:p w14:paraId="75E0B91B">
                  <w:pPr>
                    <w:pStyle w:val="19"/>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w:t>
                  </w:r>
                </w:p>
              </w:tc>
              <w:tc>
                <w:tcPr>
                  <w:tcW w:w="698" w:type="pct"/>
                  <w:tcBorders>
                    <w:tl2br w:val="nil"/>
                    <w:tr2bl w:val="nil"/>
                  </w:tcBorders>
                  <w:shd w:val="clear" w:color="auto" w:fill="FFFFFF"/>
                  <w:noWrap w:val="0"/>
                  <w:vAlign w:val="center"/>
                </w:tcPr>
                <w:p w14:paraId="31FC0059">
                  <w:pPr>
                    <w:pStyle w:val="19"/>
                    <w:autoSpaceDE w:val="0"/>
                    <w:adjustRightInd w:val="0"/>
                    <w:snapToGrid w:val="0"/>
                    <w:spacing w:before="0" w:beforeAutospacing="0" w:after="0" w:afterAutospacing="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w:t>
                  </w:r>
                </w:p>
              </w:tc>
              <w:tc>
                <w:tcPr>
                  <w:tcW w:w="1218" w:type="pct"/>
                  <w:tcBorders>
                    <w:tl2br w:val="nil"/>
                    <w:tr2bl w:val="nil"/>
                  </w:tcBorders>
                  <w:shd w:val="clear" w:color="auto" w:fill="FFFFFF"/>
                  <w:noWrap w:val="0"/>
                  <w:vAlign w:val="center"/>
                </w:tcPr>
                <w:p w14:paraId="46AAAA41">
                  <w:pPr>
                    <w:keepNext w:val="0"/>
                    <w:keepLines w:val="0"/>
                    <w:widowControl/>
                    <w:suppressLineNumbers w:val="0"/>
                    <w:jc w:val="center"/>
                    <w:rPr>
                      <w:color w:val="auto"/>
                      <w:sz w:val="21"/>
                      <w:szCs w:val="21"/>
                    </w:rPr>
                  </w:pPr>
                  <w:r>
                    <w:rPr>
                      <w:rFonts w:hint="eastAsia" w:ascii="宋体" w:hAnsi="宋体" w:eastAsia="宋体" w:cs="宋体"/>
                      <w:color w:val="auto"/>
                      <w:kern w:val="0"/>
                      <w:sz w:val="21"/>
                      <w:szCs w:val="21"/>
                      <w:lang w:val="en-US" w:eastAsia="zh-CN" w:bidi="ar"/>
                    </w:rPr>
                    <w:t>周界外浓度最高点</w:t>
                  </w:r>
                  <w:r>
                    <w:rPr>
                      <w:rFonts w:hint="default" w:ascii="Times New Roman" w:hAnsi="Times New Roman" w:eastAsia="宋体" w:cs="Times New Roman"/>
                      <w:color w:val="auto"/>
                      <w:sz w:val="21"/>
                      <w:szCs w:val="21"/>
                      <w:lang w:val="en-US" w:eastAsia="zh-CN"/>
                    </w:rPr>
                    <w:t>1</w:t>
                  </w:r>
                </w:p>
                <w:p w14:paraId="6B29AD78">
                  <w:pPr>
                    <w:pStyle w:val="19"/>
                    <w:autoSpaceDE w:val="0"/>
                    <w:adjustRightInd w:val="0"/>
                    <w:snapToGrid w:val="0"/>
                    <w:spacing w:before="0" w:beforeAutospacing="0" w:after="0" w:afterAutospacing="0"/>
                    <w:jc w:val="center"/>
                    <w:rPr>
                      <w:rFonts w:hint="eastAsia" w:ascii="Times New Roman" w:hAnsi="Times New Roman" w:eastAsia="宋体" w:cs="Times New Roman"/>
                      <w:color w:val="auto"/>
                      <w:sz w:val="21"/>
                      <w:szCs w:val="21"/>
                      <w:lang w:val="en-US" w:eastAsia="zh-CN"/>
                    </w:rPr>
                  </w:pPr>
                </w:p>
              </w:tc>
              <w:tc>
                <w:tcPr>
                  <w:tcW w:w="1194" w:type="pct"/>
                  <w:tcBorders>
                    <w:tl2br w:val="nil"/>
                    <w:tr2bl w:val="nil"/>
                  </w:tcBorders>
                  <w:shd w:val="clear" w:color="auto" w:fill="FFFFFF"/>
                  <w:noWrap w:val="0"/>
                  <w:vAlign w:val="center"/>
                </w:tcPr>
                <w:p w14:paraId="4A35192D">
                  <w:pPr>
                    <w:pStyle w:val="19"/>
                    <w:autoSpaceDE w:val="0"/>
                    <w:adjustRightInd w:val="0"/>
                    <w:snapToGrid w:val="0"/>
                    <w:spacing w:before="0" w:beforeAutospacing="0" w:after="0" w:afterAutospacing="0"/>
                    <w:jc w:val="center"/>
                    <w:rPr>
                      <w:rFonts w:hint="default" w:ascii="Times New Roman" w:hAnsi="Times New Roman" w:cs="Times New Roman"/>
                      <w:b w:val="0"/>
                      <w:bCs w:val="0"/>
                      <w:color w:val="auto"/>
                      <w:sz w:val="21"/>
                      <w:szCs w:val="21"/>
                      <w:lang w:val="en-US" w:eastAsia="zh-CN"/>
                    </w:rPr>
                  </w:pPr>
                  <w:r>
                    <w:rPr>
                      <w:rFonts w:hint="default" w:ascii="Times New Roman" w:hAnsi="Times New Roman" w:cs="Times New Roman"/>
                      <w:b w:val="0"/>
                      <w:bCs w:val="0"/>
                      <w:color w:val="auto"/>
                      <w:sz w:val="21"/>
                      <w:szCs w:val="21"/>
                      <w:lang w:val="en-US" w:eastAsia="zh-CN"/>
                    </w:rPr>
                    <w:t>《大气污染物综合排放标准》（GB16297-1996）表2</w:t>
                  </w:r>
                </w:p>
              </w:tc>
            </w:tr>
          </w:tbl>
          <w:p w14:paraId="65FD91E1">
            <w:pPr>
              <w:adjustRightInd w:val="0"/>
              <w:snapToGrid w:val="0"/>
              <w:spacing w:line="360" w:lineRule="auto"/>
              <w:ind w:firstLine="482" w:firstLineChars="200"/>
              <w:rPr>
                <w:b/>
                <w:color w:val="auto"/>
                <w:sz w:val="24"/>
              </w:rPr>
            </w:pPr>
            <w:r>
              <w:rPr>
                <w:rFonts w:hint="eastAsia"/>
                <w:b/>
                <w:color w:val="auto"/>
                <w:sz w:val="24"/>
                <w:lang w:val="en-US" w:eastAsia="zh-CN"/>
              </w:rPr>
              <w:t>2</w:t>
            </w:r>
            <w:r>
              <w:rPr>
                <w:rFonts w:hint="eastAsia"/>
                <w:b/>
                <w:color w:val="auto"/>
                <w:sz w:val="24"/>
              </w:rPr>
              <w:t>.</w:t>
            </w:r>
            <w:r>
              <w:rPr>
                <w:b/>
                <w:color w:val="auto"/>
                <w:sz w:val="24"/>
              </w:rPr>
              <w:t>噪声排放标准</w:t>
            </w:r>
          </w:p>
          <w:p w14:paraId="5547B3DB">
            <w:pPr>
              <w:autoSpaceDE w:val="0"/>
              <w:adjustRightInd w:val="0"/>
              <w:snapToGrid w:val="0"/>
              <w:spacing w:line="360" w:lineRule="auto"/>
              <w:ind w:firstLine="480" w:firstLineChars="200"/>
              <w:rPr>
                <w:color w:val="auto"/>
                <w:sz w:val="24"/>
              </w:rPr>
            </w:pPr>
            <w:r>
              <w:rPr>
                <w:rFonts w:hint="eastAsia"/>
                <w:color w:val="auto"/>
                <w:sz w:val="24"/>
                <w:lang w:val="en-US" w:eastAsia="zh-CN"/>
              </w:rPr>
              <w:t>根据宝鸡市城市区域噪声环境功能区划图，以及宝鸡市生态环境局发布的《关于〈宝鸡市声环境功能区划分情况评估报告〉的解释说明》，可知陈仓科技工业园属于3类区。结合本项目所在地位置（位于陈仓科技工业园内），本项目所在地属于3类区范围。本项目夜间不生产，本项目运营期项目</w:t>
            </w:r>
            <w:r>
              <w:rPr>
                <w:rFonts w:hint="eastAsia"/>
                <w:color w:val="auto"/>
                <w:sz w:val="24"/>
              </w:rPr>
              <w:t>厂界噪声执行《工业企业厂界环境噪声排放标准》（GB12348-2008）中</w:t>
            </w:r>
            <w:r>
              <w:rPr>
                <w:rFonts w:hint="eastAsia"/>
                <w:color w:val="auto"/>
                <w:sz w:val="24"/>
                <w:lang w:val="en-US" w:eastAsia="zh-CN"/>
              </w:rPr>
              <w:t>3</w:t>
            </w:r>
            <w:r>
              <w:rPr>
                <w:rFonts w:hint="eastAsia"/>
                <w:color w:val="auto"/>
                <w:sz w:val="24"/>
              </w:rPr>
              <w:t>类标准</w:t>
            </w:r>
            <w:r>
              <w:rPr>
                <w:color w:val="auto"/>
                <w:sz w:val="24"/>
              </w:rPr>
              <w:t>。</w:t>
            </w:r>
          </w:p>
          <w:p w14:paraId="2F3C9BAB">
            <w:pPr>
              <w:jc w:val="center"/>
              <w:rPr>
                <w:b/>
                <w:bCs w:val="0"/>
                <w:color w:val="auto"/>
                <w:szCs w:val="21"/>
              </w:rPr>
            </w:pPr>
            <w:r>
              <w:rPr>
                <w:b/>
                <w:bCs w:val="0"/>
                <w:color w:val="auto"/>
                <w:szCs w:val="21"/>
              </w:rPr>
              <w:t>表</w:t>
            </w:r>
            <w:r>
              <w:rPr>
                <w:rFonts w:hint="eastAsia"/>
                <w:b/>
                <w:bCs w:val="0"/>
                <w:color w:val="auto"/>
                <w:szCs w:val="21"/>
                <w:lang w:val="en-US" w:eastAsia="zh-CN"/>
              </w:rPr>
              <w:t>3</w:t>
            </w:r>
            <w:r>
              <w:rPr>
                <w:rFonts w:hint="eastAsia"/>
                <w:b/>
                <w:bCs w:val="0"/>
                <w:color w:val="auto"/>
                <w:lang w:val="en-US" w:eastAsia="zh-CN"/>
              </w:rPr>
              <w:t>-5</w:t>
            </w:r>
            <w:r>
              <w:rPr>
                <w:rFonts w:hint="eastAsia"/>
                <w:b/>
                <w:bCs w:val="0"/>
                <w:color w:val="auto"/>
                <w:szCs w:val="21"/>
              </w:rPr>
              <w:t xml:space="preserve">  </w:t>
            </w:r>
            <w:r>
              <w:rPr>
                <w:b/>
                <w:bCs w:val="0"/>
                <w:color w:val="auto"/>
                <w:szCs w:val="21"/>
              </w:rPr>
              <w:t>项目噪声排放标准   单位：</w:t>
            </w:r>
            <w:r>
              <w:rPr>
                <w:rFonts w:hint="eastAsia"/>
                <w:b/>
                <w:bCs w:val="0"/>
                <w:color w:val="auto"/>
                <w:szCs w:val="21"/>
                <w:lang w:eastAsia="zh-CN"/>
              </w:rPr>
              <w:t>dB（</w:t>
            </w:r>
            <w:r>
              <w:rPr>
                <w:b/>
                <w:bCs w:val="0"/>
                <w:color w:val="auto"/>
                <w:szCs w:val="21"/>
              </w:rPr>
              <w:t>A</w:t>
            </w:r>
            <w:r>
              <w:rPr>
                <w:rFonts w:hint="eastAsia"/>
                <w:b/>
                <w:bCs w:val="0"/>
                <w:color w:val="auto"/>
                <w:szCs w:val="21"/>
                <w:lang w:eastAsia="zh-CN"/>
              </w:rPr>
              <w:t>）</w:t>
            </w:r>
          </w:p>
          <w:tbl>
            <w:tblPr>
              <w:tblStyle w:val="23"/>
              <w:tblW w:w="83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82"/>
              <w:gridCol w:w="986"/>
              <w:gridCol w:w="950"/>
              <w:gridCol w:w="963"/>
              <w:gridCol w:w="2460"/>
            </w:tblGrid>
            <w:tr w14:paraId="78EC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82" w:type="dxa"/>
                  <w:noWrap w:val="0"/>
                  <w:vAlign w:val="center"/>
                </w:tcPr>
                <w:p w14:paraId="0FD873B8">
                  <w:pPr>
                    <w:adjustRightInd w:val="0"/>
                    <w:snapToGrid w:val="0"/>
                    <w:jc w:val="center"/>
                    <w:rPr>
                      <w:rFonts w:hint="eastAsia"/>
                      <w:bCs/>
                      <w:color w:val="auto"/>
                      <w:szCs w:val="21"/>
                    </w:rPr>
                  </w:pPr>
                  <w:r>
                    <w:rPr>
                      <w:rFonts w:hint="eastAsia"/>
                      <w:bCs/>
                      <w:color w:val="auto"/>
                      <w:szCs w:val="21"/>
                    </w:rPr>
                    <w:t>标准名称</w:t>
                  </w:r>
                </w:p>
              </w:tc>
              <w:tc>
                <w:tcPr>
                  <w:tcW w:w="986" w:type="dxa"/>
                  <w:noWrap w:val="0"/>
                  <w:vAlign w:val="center"/>
                </w:tcPr>
                <w:p w14:paraId="00395C85">
                  <w:pPr>
                    <w:adjustRightInd w:val="0"/>
                    <w:snapToGrid w:val="0"/>
                    <w:jc w:val="center"/>
                    <w:rPr>
                      <w:rFonts w:hint="eastAsia"/>
                      <w:bCs/>
                      <w:color w:val="auto"/>
                      <w:szCs w:val="21"/>
                    </w:rPr>
                  </w:pPr>
                  <w:r>
                    <w:rPr>
                      <w:rFonts w:hint="eastAsia"/>
                      <w:bCs/>
                      <w:color w:val="auto"/>
                      <w:szCs w:val="21"/>
                    </w:rPr>
                    <w:t>类别</w:t>
                  </w:r>
                </w:p>
              </w:tc>
              <w:tc>
                <w:tcPr>
                  <w:tcW w:w="950" w:type="dxa"/>
                  <w:noWrap w:val="0"/>
                  <w:vAlign w:val="center"/>
                </w:tcPr>
                <w:p w14:paraId="5AFB1555">
                  <w:pPr>
                    <w:adjustRightInd w:val="0"/>
                    <w:snapToGrid w:val="0"/>
                    <w:jc w:val="center"/>
                    <w:rPr>
                      <w:rFonts w:hint="eastAsia"/>
                      <w:bCs/>
                      <w:color w:val="auto"/>
                      <w:szCs w:val="21"/>
                    </w:rPr>
                  </w:pPr>
                  <w:r>
                    <w:rPr>
                      <w:rFonts w:hint="eastAsia"/>
                      <w:bCs/>
                      <w:color w:val="auto"/>
                      <w:szCs w:val="21"/>
                    </w:rPr>
                    <w:t>昼间</w:t>
                  </w:r>
                </w:p>
              </w:tc>
              <w:tc>
                <w:tcPr>
                  <w:tcW w:w="963" w:type="dxa"/>
                  <w:noWrap w:val="0"/>
                  <w:vAlign w:val="center"/>
                </w:tcPr>
                <w:p w14:paraId="0DBB47CD">
                  <w:pPr>
                    <w:adjustRightInd w:val="0"/>
                    <w:snapToGrid w:val="0"/>
                    <w:jc w:val="center"/>
                    <w:rPr>
                      <w:rFonts w:hint="eastAsia"/>
                      <w:bCs/>
                      <w:color w:val="auto"/>
                      <w:szCs w:val="21"/>
                    </w:rPr>
                  </w:pPr>
                  <w:r>
                    <w:rPr>
                      <w:rFonts w:hint="eastAsia"/>
                      <w:bCs/>
                      <w:color w:val="auto"/>
                      <w:szCs w:val="21"/>
                    </w:rPr>
                    <w:t>夜间</w:t>
                  </w:r>
                </w:p>
              </w:tc>
              <w:tc>
                <w:tcPr>
                  <w:tcW w:w="2460" w:type="dxa"/>
                  <w:noWrap w:val="0"/>
                  <w:vAlign w:val="center"/>
                </w:tcPr>
                <w:p w14:paraId="1DEA6CF4">
                  <w:pPr>
                    <w:adjustRightInd w:val="0"/>
                    <w:snapToGrid w:val="0"/>
                    <w:jc w:val="center"/>
                    <w:rPr>
                      <w:rFonts w:hint="eastAsia"/>
                      <w:bCs/>
                      <w:color w:val="auto"/>
                      <w:szCs w:val="21"/>
                    </w:rPr>
                  </w:pPr>
                  <w:r>
                    <w:rPr>
                      <w:rFonts w:hint="eastAsia"/>
                      <w:bCs/>
                      <w:color w:val="auto"/>
                      <w:szCs w:val="21"/>
                    </w:rPr>
                    <w:t>备注</w:t>
                  </w:r>
                </w:p>
              </w:tc>
            </w:tr>
            <w:tr w14:paraId="2254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82" w:type="dxa"/>
                  <w:noWrap w:val="0"/>
                  <w:vAlign w:val="center"/>
                </w:tcPr>
                <w:p w14:paraId="5FF9647D">
                  <w:pPr>
                    <w:adjustRightInd w:val="0"/>
                    <w:snapToGrid w:val="0"/>
                    <w:jc w:val="center"/>
                    <w:rPr>
                      <w:rFonts w:hint="eastAsia"/>
                      <w:bCs/>
                      <w:color w:val="auto"/>
                      <w:szCs w:val="21"/>
                    </w:rPr>
                  </w:pPr>
                  <w:r>
                    <w:rPr>
                      <w:rFonts w:hint="eastAsia"/>
                      <w:bCs/>
                      <w:color w:val="auto"/>
                      <w:szCs w:val="21"/>
                    </w:rPr>
                    <w:t>《工业企业厂界环境噪声排放标准》（GB12348-2008）</w:t>
                  </w:r>
                </w:p>
              </w:tc>
              <w:tc>
                <w:tcPr>
                  <w:tcW w:w="986" w:type="dxa"/>
                  <w:noWrap w:val="0"/>
                  <w:vAlign w:val="center"/>
                </w:tcPr>
                <w:p w14:paraId="36BA2ABA">
                  <w:pPr>
                    <w:adjustRightInd w:val="0"/>
                    <w:snapToGrid w:val="0"/>
                    <w:jc w:val="center"/>
                    <w:rPr>
                      <w:bCs/>
                      <w:color w:val="auto"/>
                      <w:szCs w:val="21"/>
                    </w:rPr>
                  </w:pPr>
                  <w:r>
                    <w:rPr>
                      <w:rFonts w:hint="eastAsia"/>
                      <w:bCs/>
                      <w:color w:val="auto"/>
                      <w:szCs w:val="21"/>
                      <w:lang w:val="en-US" w:eastAsia="zh-CN"/>
                    </w:rPr>
                    <w:t>3类</w:t>
                  </w:r>
                </w:p>
              </w:tc>
              <w:tc>
                <w:tcPr>
                  <w:tcW w:w="950" w:type="dxa"/>
                  <w:noWrap w:val="0"/>
                  <w:vAlign w:val="center"/>
                </w:tcPr>
                <w:p w14:paraId="6E1BA8B8">
                  <w:pPr>
                    <w:adjustRightInd w:val="0"/>
                    <w:snapToGrid w:val="0"/>
                    <w:jc w:val="center"/>
                    <w:rPr>
                      <w:rFonts w:hint="default" w:eastAsia="宋体"/>
                      <w:bCs/>
                      <w:color w:val="auto"/>
                      <w:szCs w:val="21"/>
                      <w:lang w:val="en-US" w:eastAsia="zh-CN"/>
                    </w:rPr>
                  </w:pPr>
                  <w:r>
                    <w:rPr>
                      <w:rFonts w:hint="eastAsia"/>
                      <w:bCs/>
                      <w:color w:val="auto"/>
                      <w:szCs w:val="21"/>
                      <w:lang w:val="en-US" w:eastAsia="zh-CN"/>
                    </w:rPr>
                    <w:t>65</w:t>
                  </w:r>
                </w:p>
              </w:tc>
              <w:tc>
                <w:tcPr>
                  <w:tcW w:w="963" w:type="dxa"/>
                  <w:noWrap w:val="0"/>
                  <w:vAlign w:val="center"/>
                </w:tcPr>
                <w:p w14:paraId="38CF8790">
                  <w:pPr>
                    <w:adjustRightInd w:val="0"/>
                    <w:snapToGrid w:val="0"/>
                    <w:jc w:val="center"/>
                    <w:rPr>
                      <w:rFonts w:hint="default" w:eastAsia="宋体"/>
                      <w:bCs/>
                      <w:color w:val="auto"/>
                      <w:szCs w:val="21"/>
                      <w:lang w:val="en-US" w:eastAsia="zh-CN"/>
                    </w:rPr>
                  </w:pPr>
                  <w:r>
                    <w:rPr>
                      <w:rFonts w:hint="eastAsia"/>
                      <w:bCs/>
                      <w:color w:val="auto"/>
                      <w:szCs w:val="21"/>
                      <w:lang w:val="en-US" w:eastAsia="zh-CN"/>
                    </w:rPr>
                    <w:t>55</w:t>
                  </w:r>
                </w:p>
              </w:tc>
              <w:tc>
                <w:tcPr>
                  <w:tcW w:w="2460" w:type="dxa"/>
                  <w:noWrap w:val="0"/>
                  <w:vAlign w:val="center"/>
                </w:tcPr>
                <w:p w14:paraId="3599A3A9">
                  <w:pPr>
                    <w:adjustRightInd w:val="0"/>
                    <w:snapToGrid w:val="0"/>
                    <w:jc w:val="center"/>
                    <w:rPr>
                      <w:rFonts w:hint="default" w:eastAsia="宋体"/>
                      <w:bCs/>
                      <w:color w:val="auto"/>
                      <w:szCs w:val="21"/>
                      <w:lang w:val="en-US" w:eastAsia="zh-CN"/>
                    </w:rPr>
                  </w:pPr>
                  <w:r>
                    <w:rPr>
                      <w:rFonts w:hint="eastAsia"/>
                      <w:bCs/>
                      <w:color w:val="auto"/>
                      <w:szCs w:val="21"/>
                      <w:lang w:val="en-US" w:eastAsia="zh-CN"/>
                    </w:rPr>
                    <w:t>厂界</w:t>
                  </w:r>
                </w:p>
              </w:tc>
            </w:tr>
          </w:tbl>
          <w:p w14:paraId="255E2F61">
            <w:pPr>
              <w:adjustRightInd w:val="0"/>
              <w:snapToGrid w:val="0"/>
              <w:spacing w:line="360" w:lineRule="auto"/>
              <w:ind w:firstLine="482" w:firstLineChars="200"/>
              <w:rPr>
                <w:b/>
                <w:color w:val="auto"/>
                <w:sz w:val="24"/>
              </w:rPr>
            </w:pPr>
            <w:r>
              <w:rPr>
                <w:rFonts w:hint="eastAsia"/>
                <w:b/>
                <w:color w:val="auto"/>
                <w:sz w:val="24"/>
                <w:lang w:val="en-US" w:eastAsia="zh-CN"/>
              </w:rPr>
              <w:t>3</w:t>
            </w:r>
            <w:r>
              <w:rPr>
                <w:rFonts w:hint="eastAsia"/>
                <w:b/>
                <w:color w:val="auto"/>
                <w:sz w:val="24"/>
              </w:rPr>
              <w:t>.</w:t>
            </w:r>
            <w:r>
              <w:rPr>
                <w:b/>
                <w:color w:val="auto"/>
                <w:sz w:val="24"/>
              </w:rPr>
              <w:t>固体废物执行标准</w:t>
            </w:r>
          </w:p>
          <w:p w14:paraId="0C813706">
            <w:pPr>
              <w:adjustRightInd w:val="0"/>
              <w:snapToGrid w:val="0"/>
              <w:spacing w:line="360" w:lineRule="auto"/>
              <w:ind w:firstLine="480" w:firstLineChars="200"/>
              <w:rPr>
                <w:rFonts w:hint="eastAsia" w:eastAsia="宋体"/>
                <w:bCs/>
                <w:color w:val="auto"/>
                <w:szCs w:val="21"/>
                <w:lang w:eastAsia="zh-CN"/>
              </w:rPr>
            </w:pPr>
            <w:r>
              <w:rPr>
                <w:bCs/>
                <w:color w:val="auto"/>
                <w:sz w:val="24"/>
              </w:rPr>
              <w:t>一般工业固体废物的贮存</w:t>
            </w:r>
            <w:r>
              <w:rPr>
                <w:rFonts w:hint="eastAsia"/>
                <w:bCs/>
                <w:color w:val="auto"/>
                <w:sz w:val="24"/>
                <w:lang w:eastAsia="zh-CN"/>
              </w:rPr>
              <w:t>、</w:t>
            </w:r>
            <w:r>
              <w:rPr>
                <w:rFonts w:hint="eastAsia"/>
                <w:bCs/>
                <w:color w:val="auto"/>
                <w:sz w:val="24"/>
                <w:lang w:val="en-US" w:eastAsia="zh-CN"/>
              </w:rPr>
              <w:t>处置</w:t>
            </w:r>
            <w:r>
              <w:rPr>
                <w:bCs/>
                <w:color w:val="auto"/>
                <w:sz w:val="24"/>
              </w:rPr>
              <w:t>过程污染控制应满足</w:t>
            </w:r>
            <w:r>
              <w:rPr>
                <w:rFonts w:hint="eastAsia"/>
                <w:bCs/>
                <w:color w:val="auto"/>
                <w:sz w:val="24"/>
                <w:lang w:eastAsia="zh-CN"/>
              </w:rPr>
              <w:t>《</w:t>
            </w:r>
            <w:r>
              <w:rPr>
                <w:bCs/>
                <w:color w:val="auto"/>
                <w:sz w:val="24"/>
              </w:rPr>
              <w:t>中华人民共和国固体废物污染环境防治法</w:t>
            </w:r>
            <w:r>
              <w:rPr>
                <w:rFonts w:hint="eastAsia"/>
                <w:bCs/>
                <w:color w:val="auto"/>
                <w:sz w:val="24"/>
                <w:lang w:eastAsia="zh-CN"/>
              </w:rPr>
              <w:t>》（</w:t>
            </w:r>
            <w:r>
              <w:rPr>
                <w:rFonts w:hint="eastAsia"/>
                <w:bCs/>
                <w:color w:val="auto"/>
                <w:sz w:val="24"/>
                <w:lang w:val="en-US" w:eastAsia="zh-CN"/>
              </w:rPr>
              <w:t>2020年9月1日起施行</w:t>
            </w:r>
            <w:r>
              <w:rPr>
                <w:rFonts w:hint="eastAsia"/>
                <w:bCs/>
                <w:color w:val="auto"/>
                <w:sz w:val="24"/>
                <w:lang w:eastAsia="zh-CN"/>
              </w:rPr>
              <w:t>）</w:t>
            </w:r>
            <w:r>
              <w:rPr>
                <w:rFonts w:hint="eastAsia"/>
                <w:bCs/>
                <w:color w:val="auto"/>
                <w:sz w:val="24"/>
                <w:lang w:val="en-US" w:eastAsia="zh-CN"/>
              </w:rPr>
              <w:t>中的有关规定</w:t>
            </w:r>
            <w:r>
              <w:rPr>
                <w:bCs/>
                <w:color w:val="auto"/>
                <w:sz w:val="24"/>
              </w:rPr>
              <w:t>要求；项目</w:t>
            </w:r>
            <w:r>
              <w:rPr>
                <w:rFonts w:hint="eastAsia"/>
                <w:bCs/>
                <w:color w:val="auto"/>
                <w:sz w:val="24"/>
                <w:lang w:val="en-US" w:eastAsia="zh-CN"/>
              </w:rPr>
              <w:t>危险废物</w:t>
            </w:r>
            <w:r>
              <w:rPr>
                <w:bCs/>
                <w:color w:val="auto"/>
                <w:sz w:val="24"/>
              </w:rPr>
              <w:t>执行《危险废物贮存污染控制标准》（GB18597</w:t>
            </w:r>
            <w:r>
              <w:rPr>
                <w:rFonts w:hint="default" w:ascii="Times New Roman" w:hAnsi="Times New Roman" w:cs="Times New Roman"/>
                <w:bCs/>
                <w:color w:val="auto"/>
                <w:sz w:val="24"/>
              </w:rPr>
              <w:t>－</w:t>
            </w:r>
            <w:r>
              <w:rPr>
                <w:bCs/>
                <w:color w:val="auto"/>
                <w:sz w:val="24"/>
              </w:rPr>
              <w:t>20</w:t>
            </w:r>
            <w:r>
              <w:rPr>
                <w:rFonts w:hint="eastAsia"/>
                <w:bCs/>
                <w:color w:val="auto"/>
                <w:sz w:val="24"/>
                <w:lang w:val="en-US" w:eastAsia="zh-CN"/>
              </w:rPr>
              <w:t>23</w:t>
            </w:r>
            <w:r>
              <w:rPr>
                <w:bCs/>
                <w:color w:val="auto"/>
                <w:sz w:val="24"/>
              </w:rPr>
              <w:t>）</w:t>
            </w:r>
            <w:r>
              <w:rPr>
                <w:rFonts w:hint="eastAsia"/>
                <w:bCs/>
                <w:color w:val="auto"/>
                <w:sz w:val="24"/>
                <w:lang w:val="en-US" w:eastAsia="zh-CN"/>
              </w:rPr>
              <w:t>中相关要求，危险废物贮存库及危废容器所使用的环保识别标志的设置按《危险废物识别标志设置技术规范》（HJ1276</w:t>
            </w:r>
            <w:r>
              <w:rPr>
                <w:bCs/>
                <w:color w:val="auto"/>
                <w:sz w:val="24"/>
              </w:rPr>
              <w:t>－</w:t>
            </w:r>
            <w:r>
              <w:rPr>
                <w:rFonts w:hint="eastAsia"/>
                <w:bCs/>
                <w:color w:val="auto"/>
                <w:sz w:val="24"/>
                <w:lang w:val="en-US" w:eastAsia="zh-CN"/>
              </w:rPr>
              <w:t>2022）中相关要求进行</w:t>
            </w:r>
            <w:r>
              <w:rPr>
                <w:bCs/>
                <w:color w:val="auto"/>
                <w:sz w:val="24"/>
              </w:rPr>
              <w:t>。</w:t>
            </w:r>
          </w:p>
        </w:tc>
      </w:tr>
      <w:tr w14:paraId="4A37B2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047" w:hRule="atLeast"/>
          <w:jc w:val="center"/>
        </w:trPr>
        <w:tc>
          <w:tcPr>
            <w:tcW w:w="706" w:type="dxa"/>
            <w:noWrap w:val="0"/>
            <w:vAlign w:val="center"/>
          </w:tcPr>
          <w:p w14:paraId="063E98AA">
            <w:pPr>
              <w:adjustRightInd w:val="0"/>
              <w:snapToGrid w:val="0"/>
              <w:jc w:val="center"/>
              <w:rPr>
                <w:color w:val="auto"/>
                <w:kern w:val="0"/>
                <w:sz w:val="24"/>
              </w:rPr>
            </w:pPr>
            <w:r>
              <w:rPr>
                <w:rFonts w:ascii="Times New Roman" w:hAnsi="Times New Roman" w:eastAsia="宋体" w:cs="Times New Roman"/>
                <w:color w:val="auto"/>
                <w:kern w:val="0"/>
                <w:szCs w:val="21"/>
              </w:rPr>
              <w:t>总量控制指标</w:t>
            </w:r>
          </w:p>
        </w:tc>
        <w:tc>
          <w:tcPr>
            <w:tcW w:w="8588" w:type="dxa"/>
            <w:noWrap w:val="0"/>
            <w:vAlign w:val="center"/>
          </w:tcPr>
          <w:p w14:paraId="1676C3F9">
            <w:pPr>
              <w:adjustRightInd w:val="0"/>
              <w:snapToGrid w:val="0"/>
              <w:spacing w:line="240" w:lineRule="auto"/>
              <w:ind w:firstLine="480" w:firstLineChars="200"/>
              <w:jc w:val="center"/>
              <w:rPr>
                <w:color w:val="auto"/>
                <w:kern w:val="0"/>
                <w:sz w:val="24"/>
              </w:rPr>
            </w:pPr>
            <w:r>
              <w:rPr>
                <w:rFonts w:hint="eastAsia"/>
                <w:color w:val="auto"/>
                <w:sz w:val="24"/>
                <w:szCs w:val="20"/>
                <w:lang w:val="en-US" w:eastAsia="zh-CN"/>
              </w:rPr>
              <w:t>无</w:t>
            </w:r>
          </w:p>
        </w:tc>
      </w:tr>
    </w:tbl>
    <w:p w14:paraId="352D8A5B">
      <w:pPr>
        <w:pStyle w:val="19"/>
        <w:spacing w:before="0" w:beforeAutospacing="0" w:after="0" w:afterAutospacing="0" w:line="360" w:lineRule="auto"/>
        <w:jc w:val="center"/>
        <w:outlineLvl w:val="0"/>
        <w:rPr>
          <w:rFonts w:ascii="Times New Roman" w:hAnsi="Times New Roman" w:eastAsia="黑体"/>
          <w:snapToGrid w:val="0"/>
          <w:color w:val="auto"/>
          <w:sz w:val="30"/>
          <w:szCs w:val="30"/>
        </w:rPr>
      </w:pPr>
      <w:r>
        <w:rPr>
          <w:rFonts w:ascii="Times New Roman" w:hAnsi="Times New Roman" w:eastAsia="黑体"/>
          <w:snapToGrid w:val="0"/>
          <w:color w:val="auto"/>
          <w:sz w:val="36"/>
          <w:szCs w:val="36"/>
        </w:rPr>
        <w:br w:type="page"/>
      </w:r>
      <w:bookmarkStart w:id="4" w:name="_Toc75422660"/>
      <w:r>
        <w:rPr>
          <w:rFonts w:ascii="Times New Roman" w:hAnsi="Times New Roman" w:eastAsia="黑体"/>
          <w:snapToGrid w:val="0"/>
          <w:color w:val="auto"/>
          <w:sz w:val="30"/>
          <w:szCs w:val="30"/>
        </w:rPr>
        <w:t>四、主要环境影响和保护措施</w:t>
      </w:r>
      <w:bookmarkEnd w:id="4"/>
    </w:p>
    <w:tbl>
      <w:tblPr>
        <w:tblStyle w:val="23"/>
        <w:tblW w:w="921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3"/>
        <w:gridCol w:w="8750"/>
      </w:tblGrid>
      <w:tr w14:paraId="0C7A3E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04" w:hRule="atLeast"/>
          <w:jc w:val="center"/>
        </w:trPr>
        <w:tc>
          <w:tcPr>
            <w:tcW w:w="463" w:type="dxa"/>
            <w:noWrap w:val="0"/>
            <w:tcMar>
              <w:left w:w="28" w:type="dxa"/>
              <w:right w:w="28" w:type="dxa"/>
            </w:tcMar>
            <w:vAlign w:val="center"/>
          </w:tcPr>
          <w:p w14:paraId="577F89B6">
            <w:pPr>
              <w:pStyle w:val="19"/>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14:paraId="74554DE5">
            <w:pPr>
              <w:pStyle w:val="19"/>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14:paraId="5F2B308C">
            <w:pPr>
              <w:pStyle w:val="19"/>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14:paraId="39F52B46">
            <w:pPr>
              <w:pStyle w:val="19"/>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14:paraId="2E65126E">
            <w:pPr>
              <w:pStyle w:val="19"/>
              <w:adjustRightInd w:val="0"/>
              <w:snapToGrid w:val="0"/>
              <w:spacing w:before="0" w:beforeAutospacing="0" w:after="0" w:afterAutospacing="0"/>
              <w:jc w:val="center"/>
              <w:rPr>
                <w:rFonts w:ascii="Times New Roman" w:hAnsi="Times New Roman"/>
                <w:bCs/>
                <w:color w:val="auto"/>
                <w:kern w:val="2"/>
                <w:szCs w:val="24"/>
              </w:rPr>
            </w:pPr>
            <w:r>
              <w:rPr>
                <w:rFonts w:ascii="Times New Roman" w:hAnsi="Times New Roman"/>
                <w:color w:val="auto"/>
                <w:kern w:val="2"/>
                <w:szCs w:val="24"/>
              </w:rPr>
              <w:t>施</w:t>
            </w:r>
          </w:p>
        </w:tc>
        <w:tc>
          <w:tcPr>
            <w:tcW w:w="8750" w:type="dxa"/>
            <w:noWrap w:val="0"/>
            <w:vAlign w:val="center"/>
          </w:tcPr>
          <w:p w14:paraId="79E46E27">
            <w:pPr>
              <w:adjustRightInd w:val="0"/>
              <w:snapToGrid w:val="0"/>
              <w:spacing w:line="360" w:lineRule="auto"/>
              <w:ind w:firstLine="480" w:firstLineChars="200"/>
              <w:rPr>
                <w:rFonts w:hint="eastAsia"/>
                <w:bCs/>
                <w:color w:val="auto"/>
                <w:kern w:val="0"/>
                <w:sz w:val="24"/>
                <w:lang w:eastAsia="zh-CN"/>
              </w:rPr>
            </w:pPr>
            <w:r>
              <w:rPr>
                <w:rFonts w:hint="eastAsia"/>
                <w:bCs/>
                <w:color w:val="auto"/>
                <w:kern w:val="0"/>
                <w:sz w:val="24"/>
                <w:lang w:eastAsia="zh-CN"/>
              </w:rPr>
              <w:t>本项目</w:t>
            </w:r>
            <w:r>
              <w:rPr>
                <w:rFonts w:hint="eastAsia"/>
                <w:bCs/>
                <w:color w:val="auto"/>
                <w:kern w:val="0"/>
                <w:sz w:val="24"/>
                <w:lang w:val="en-US" w:eastAsia="zh-CN"/>
              </w:rPr>
              <w:t>租赁现有空置厂房，施工期均需对所需的生产设施及环保设备进行安装</w:t>
            </w:r>
            <w:r>
              <w:rPr>
                <w:rFonts w:hint="eastAsia"/>
                <w:bCs/>
                <w:color w:val="auto"/>
                <w:kern w:val="0"/>
                <w:sz w:val="24"/>
                <w:lang w:eastAsia="zh-CN"/>
              </w:rPr>
              <w:t>，因此</w:t>
            </w:r>
            <w:r>
              <w:rPr>
                <w:rFonts w:hint="eastAsia"/>
                <w:b/>
                <w:bCs w:val="0"/>
                <w:color w:val="auto"/>
                <w:kern w:val="0"/>
                <w:sz w:val="24"/>
                <w:lang w:eastAsia="zh-CN"/>
              </w:rPr>
              <w:t>本项目施工期主要</w:t>
            </w:r>
            <w:r>
              <w:rPr>
                <w:rFonts w:hint="eastAsia"/>
                <w:b/>
                <w:bCs w:val="0"/>
                <w:color w:val="auto"/>
                <w:kern w:val="0"/>
                <w:sz w:val="24"/>
                <w:lang w:val="en-US" w:eastAsia="zh-CN"/>
              </w:rPr>
              <w:t>为</w:t>
            </w:r>
            <w:r>
              <w:rPr>
                <w:rFonts w:hint="eastAsia"/>
                <w:b/>
                <w:bCs w:val="0"/>
                <w:color w:val="auto"/>
                <w:kern w:val="0"/>
                <w:sz w:val="24"/>
                <w:lang w:eastAsia="zh-CN"/>
              </w:rPr>
              <w:t>生产设备</w:t>
            </w:r>
            <w:r>
              <w:rPr>
                <w:rFonts w:hint="eastAsia"/>
                <w:b/>
                <w:bCs w:val="0"/>
                <w:color w:val="auto"/>
                <w:kern w:val="0"/>
                <w:sz w:val="24"/>
                <w:lang w:val="en-US" w:eastAsia="zh-CN"/>
              </w:rPr>
              <w:t>及相应环保设备的</w:t>
            </w:r>
            <w:r>
              <w:rPr>
                <w:rFonts w:hint="eastAsia"/>
                <w:b/>
                <w:bCs w:val="0"/>
                <w:color w:val="auto"/>
                <w:kern w:val="0"/>
                <w:sz w:val="24"/>
                <w:lang w:eastAsia="zh-CN"/>
              </w:rPr>
              <w:t>安装</w:t>
            </w:r>
            <w:r>
              <w:rPr>
                <w:rFonts w:hint="eastAsia"/>
                <w:bCs/>
                <w:color w:val="auto"/>
                <w:kern w:val="0"/>
                <w:sz w:val="24"/>
                <w:lang w:eastAsia="zh-CN"/>
              </w:rPr>
              <w:t>，不涉及大型机械土方工程，安装过程需进行少量焊接、切割工作，因此会产生一定的废气及噪声。</w:t>
            </w:r>
          </w:p>
          <w:p w14:paraId="135B8D83">
            <w:pPr>
              <w:adjustRightInd w:val="0"/>
              <w:snapToGrid w:val="0"/>
              <w:spacing w:line="360" w:lineRule="auto"/>
              <w:ind w:firstLine="480" w:firstLineChars="200"/>
              <w:rPr>
                <w:rFonts w:hint="default"/>
                <w:bCs/>
                <w:color w:val="auto"/>
                <w:kern w:val="0"/>
                <w:sz w:val="24"/>
                <w:lang w:val="en-US" w:eastAsia="zh-CN"/>
              </w:rPr>
            </w:pPr>
            <w:r>
              <w:rPr>
                <w:rFonts w:hint="eastAsia"/>
                <w:bCs/>
                <w:color w:val="auto"/>
                <w:kern w:val="0"/>
                <w:sz w:val="24"/>
                <w:lang w:val="en-US" w:eastAsia="zh-CN"/>
              </w:rPr>
              <w:t>（1）评价要求施工作业尽量在生产车间内进行，减少露天焊接和切割，随着施工期的结束，废气的影响将消失，对周围环境的影响也随之消失。</w:t>
            </w:r>
          </w:p>
          <w:p w14:paraId="10FCA7B8">
            <w:pPr>
              <w:adjustRightInd w:val="0"/>
              <w:snapToGrid w:val="0"/>
              <w:spacing w:line="360" w:lineRule="auto"/>
              <w:ind w:firstLine="480" w:firstLineChars="200"/>
              <w:rPr>
                <w:rFonts w:hint="eastAsia"/>
                <w:bCs/>
                <w:color w:val="auto"/>
                <w:kern w:val="0"/>
                <w:sz w:val="24"/>
              </w:rPr>
            </w:pPr>
            <w:r>
              <w:rPr>
                <w:rFonts w:hint="eastAsia"/>
                <w:bCs/>
                <w:color w:val="auto"/>
                <w:kern w:val="0"/>
                <w:sz w:val="24"/>
                <w:lang w:eastAsia="zh-CN"/>
              </w:rPr>
              <w:t>（</w:t>
            </w:r>
            <w:r>
              <w:rPr>
                <w:rFonts w:hint="eastAsia"/>
                <w:bCs/>
                <w:color w:val="auto"/>
                <w:kern w:val="0"/>
                <w:sz w:val="24"/>
                <w:lang w:val="en-US" w:eastAsia="zh-CN"/>
              </w:rPr>
              <w:t>2</w:t>
            </w:r>
            <w:r>
              <w:rPr>
                <w:rFonts w:hint="eastAsia"/>
                <w:bCs/>
                <w:color w:val="auto"/>
                <w:kern w:val="0"/>
                <w:sz w:val="24"/>
                <w:lang w:eastAsia="zh-CN"/>
              </w:rPr>
              <w:t>）</w:t>
            </w:r>
            <w:r>
              <w:rPr>
                <w:rFonts w:hint="eastAsia"/>
                <w:bCs/>
                <w:color w:val="auto"/>
                <w:kern w:val="0"/>
                <w:sz w:val="24"/>
                <w:lang w:val="en-US" w:eastAsia="zh-CN"/>
              </w:rPr>
              <w:t>对</w:t>
            </w:r>
            <w:r>
              <w:rPr>
                <w:rFonts w:hint="eastAsia"/>
                <w:bCs/>
                <w:color w:val="auto"/>
                <w:kern w:val="0"/>
                <w:sz w:val="24"/>
                <w:lang w:eastAsia="zh-CN"/>
              </w:rPr>
              <w:t>施工期产生的</w:t>
            </w:r>
            <w:r>
              <w:rPr>
                <w:rFonts w:hint="eastAsia"/>
                <w:bCs/>
                <w:color w:val="auto"/>
                <w:kern w:val="0"/>
                <w:sz w:val="24"/>
              </w:rPr>
              <w:t xml:space="preserve">噪声控制提出以下措施： </w:t>
            </w:r>
          </w:p>
          <w:p w14:paraId="72946C32">
            <w:pPr>
              <w:adjustRightInd w:val="0"/>
              <w:snapToGrid w:val="0"/>
              <w:spacing w:line="360" w:lineRule="auto"/>
              <w:ind w:firstLine="480" w:firstLineChars="200"/>
              <w:rPr>
                <w:rFonts w:hint="eastAsia"/>
                <w:bCs/>
                <w:color w:val="auto"/>
                <w:kern w:val="0"/>
                <w:sz w:val="24"/>
              </w:rPr>
            </w:pPr>
            <w:r>
              <w:rPr>
                <w:rFonts w:hint="eastAsia"/>
                <w:bCs/>
                <w:color w:val="auto"/>
                <w:kern w:val="0"/>
                <w:sz w:val="24"/>
              </w:rPr>
              <w:t>①严格控制施工时间，合理安排施工计划，避开夜间、昼间午休时间施工，以免产生扰民现象。</w:t>
            </w:r>
          </w:p>
          <w:p w14:paraId="0B52ABC5">
            <w:pPr>
              <w:adjustRightInd w:val="0"/>
              <w:snapToGrid w:val="0"/>
              <w:spacing w:line="360" w:lineRule="auto"/>
              <w:ind w:firstLine="480" w:firstLineChars="200"/>
              <w:rPr>
                <w:rFonts w:hint="eastAsia"/>
                <w:bCs/>
                <w:color w:val="auto"/>
                <w:kern w:val="0"/>
                <w:sz w:val="24"/>
              </w:rPr>
            </w:pPr>
            <w:r>
              <w:rPr>
                <w:rFonts w:hint="eastAsia"/>
                <w:bCs/>
                <w:color w:val="auto"/>
                <w:kern w:val="0"/>
                <w:sz w:val="24"/>
              </w:rPr>
              <w:t>②要求施工单位进行文明施工，减轻施工期间施工人员产生的社会噪声对环境的影响。</w:t>
            </w:r>
          </w:p>
          <w:p w14:paraId="32DC3A2C">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eastAsia="宋体"/>
                <w:bCs/>
                <w:color w:val="auto"/>
                <w:kern w:val="0"/>
                <w:sz w:val="24"/>
                <w:lang w:eastAsia="zh-CN"/>
              </w:rPr>
            </w:pPr>
            <w:r>
              <w:rPr>
                <w:rFonts w:hint="eastAsia"/>
                <w:bCs/>
                <w:color w:val="auto"/>
                <w:kern w:val="0"/>
                <w:sz w:val="24"/>
                <w:lang w:eastAsia="zh-CN"/>
              </w:rPr>
              <w:t>（</w:t>
            </w:r>
            <w:r>
              <w:rPr>
                <w:rFonts w:hint="eastAsia"/>
                <w:bCs/>
                <w:color w:val="auto"/>
                <w:kern w:val="0"/>
                <w:sz w:val="24"/>
                <w:lang w:val="en-US" w:eastAsia="zh-CN"/>
              </w:rPr>
              <w:t>3</w:t>
            </w:r>
            <w:r>
              <w:rPr>
                <w:rFonts w:hint="eastAsia"/>
                <w:bCs/>
                <w:color w:val="auto"/>
                <w:kern w:val="0"/>
                <w:sz w:val="24"/>
                <w:lang w:eastAsia="zh-CN"/>
              </w:rPr>
              <w:t>）本项目施工期较短，工程量较小。施工过程中人员产生的生活污水依托</w:t>
            </w:r>
            <w:r>
              <w:rPr>
                <w:rFonts w:hint="eastAsia"/>
                <w:bCs/>
                <w:color w:val="auto"/>
                <w:kern w:val="0"/>
                <w:sz w:val="24"/>
                <w:lang w:val="en-US" w:eastAsia="zh-CN"/>
              </w:rPr>
              <w:t>厂区</w:t>
            </w:r>
            <w:r>
              <w:rPr>
                <w:rFonts w:hint="eastAsia"/>
                <w:bCs/>
                <w:color w:val="auto"/>
                <w:kern w:val="0"/>
                <w:sz w:val="24"/>
                <w:lang w:eastAsia="zh-CN"/>
              </w:rPr>
              <w:t>现有化粪池收集，</w:t>
            </w:r>
            <w:r>
              <w:rPr>
                <w:rFonts w:hint="eastAsia"/>
                <w:bCs/>
                <w:color w:val="auto"/>
                <w:kern w:val="0"/>
                <w:sz w:val="24"/>
                <w:lang w:val="en-US" w:eastAsia="zh-CN"/>
              </w:rPr>
              <w:t>定期委托附近村民清运施肥</w:t>
            </w:r>
            <w:r>
              <w:rPr>
                <w:rFonts w:hint="eastAsia"/>
                <w:bCs/>
                <w:color w:val="auto"/>
                <w:kern w:val="0"/>
                <w:sz w:val="24"/>
                <w:lang w:eastAsia="zh-CN"/>
              </w:rPr>
              <w:t>，不会对周围环境产生影响。</w:t>
            </w:r>
          </w:p>
          <w:p w14:paraId="0C5B7A19">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eastAsia="宋体"/>
                <w:bCs/>
                <w:color w:val="auto"/>
                <w:kern w:val="0"/>
                <w:sz w:val="24"/>
                <w:lang w:val="en-US" w:eastAsia="zh-CN"/>
              </w:rPr>
            </w:pPr>
            <w:r>
              <w:rPr>
                <w:rFonts w:hint="eastAsia"/>
                <w:bCs/>
                <w:color w:val="auto"/>
                <w:kern w:val="0"/>
                <w:sz w:val="24"/>
                <w:lang w:eastAsia="zh-CN"/>
              </w:rPr>
              <w:t>（</w:t>
            </w:r>
            <w:r>
              <w:rPr>
                <w:rFonts w:hint="eastAsia"/>
                <w:bCs/>
                <w:color w:val="auto"/>
                <w:kern w:val="0"/>
                <w:sz w:val="24"/>
                <w:lang w:val="en-US" w:eastAsia="zh-CN"/>
              </w:rPr>
              <w:t>4</w:t>
            </w:r>
            <w:r>
              <w:rPr>
                <w:rFonts w:hint="eastAsia"/>
                <w:bCs/>
                <w:color w:val="auto"/>
                <w:kern w:val="0"/>
                <w:sz w:val="24"/>
                <w:lang w:eastAsia="zh-CN"/>
              </w:rPr>
              <w:t>）施工过程中产生的固体废物主要为施工材料的废外包装、切割废料及施工人员的生活垃圾。</w:t>
            </w:r>
            <w:r>
              <w:rPr>
                <w:rFonts w:hint="eastAsia"/>
                <w:bCs/>
                <w:color w:val="auto"/>
                <w:kern w:val="0"/>
                <w:sz w:val="24"/>
                <w:lang w:val="en-US" w:eastAsia="zh-CN"/>
              </w:rPr>
              <w:t>在厂区设置</w:t>
            </w:r>
            <w:r>
              <w:rPr>
                <w:rFonts w:hint="eastAsia"/>
                <w:bCs/>
                <w:color w:val="auto"/>
                <w:kern w:val="0"/>
                <w:sz w:val="24"/>
                <w:lang w:eastAsia="zh-CN"/>
              </w:rPr>
              <w:t>生活垃圾桶，对生活垃圾进行收集，定期交由环卫部门清运处置；废外包装、切割废料经收集后外售至物资回收公司综合利用。</w:t>
            </w:r>
          </w:p>
          <w:p w14:paraId="78CA5BA0">
            <w:pPr>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bCs/>
                <w:color w:val="auto"/>
                <w:kern w:val="0"/>
                <w:sz w:val="24"/>
              </w:rPr>
            </w:pPr>
            <w:r>
              <w:rPr>
                <w:rFonts w:hint="eastAsia"/>
                <w:bCs/>
                <w:color w:val="auto"/>
                <w:kern w:val="0"/>
                <w:sz w:val="24"/>
                <w:lang w:eastAsia="zh-CN"/>
              </w:rPr>
              <w:t>通过上述措施，</w:t>
            </w:r>
            <w:r>
              <w:rPr>
                <w:rFonts w:hint="eastAsia"/>
                <w:bCs/>
                <w:color w:val="auto"/>
                <w:kern w:val="0"/>
                <w:sz w:val="24"/>
              </w:rPr>
              <w:t>本项目施工期较短，随着施工期的结束，施工期污染随之结束，对周围环境影响较小。</w:t>
            </w:r>
          </w:p>
        </w:tc>
      </w:tr>
      <w:tr w14:paraId="0253A1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7" w:hRule="atLeast"/>
          <w:jc w:val="center"/>
        </w:trPr>
        <w:tc>
          <w:tcPr>
            <w:tcW w:w="463" w:type="dxa"/>
            <w:noWrap w:val="0"/>
            <w:tcMar>
              <w:left w:w="28" w:type="dxa"/>
              <w:right w:w="28" w:type="dxa"/>
            </w:tcMar>
            <w:vAlign w:val="center"/>
          </w:tcPr>
          <w:p w14:paraId="6EF2BB75">
            <w:pPr>
              <w:adjustRightInd w:val="0"/>
              <w:snapToGrid w:val="0"/>
              <w:jc w:val="center"/>
              <w:rPr>
                <w:bCs/>
                <w:color w:val="auto"/>
                <w:sz w:val="24"/>
              </w:rPr>
            </w:pPr>
            <w:r>
              <w:rPr>
                <w:bCs/>
                <w:color w:val="auto"/>
                <w:sz w:val="24"/>
              </w:rPr>
              <w:t>运营</w:t>
            </w:r>
          </w:p>
          <w:p w14:paraId="064E1EF2">
            <w:pPr>
              <w:adjustRightInd w:val="0"/>
              <w:snapToGrid w:val="0"/>
              <w:jc w:val="center"/>
              <w:rPr>
                <w:bCs/>
                <w:color w:val="auto"/>
                <w:sz w:val="24"/>
              </w:rPr>
            </w:pPr>
            <w:r>
              <w:rPr>
                <w:bCs/>
                <w:color w:val="auto"/>
                <w:sz w:val="24"/>
              </w:rPr>
              <w:t>期环</w:t>
            </w:r>
          </w:p>
          <w:p w14:paraId="46198F91">
            <w:pPr>
              <w:adjustRightInd w:val="0"/>
              <w:snapToGrid w:val="0"/>
              <w:jc w:val="center"/>
              <w:rPr>
                <w:bCs/>
                <w:color w:val="auto"/>
                <w:sz w:val="24"/>
              </w:rPr>
            </w:pPr>
            <w:r>
              <w:rPr>
                <w:bCs/>
                <w:color w:val="auto"/>
                <w:sz w:val="24"/>
              </w:rPr>
              <w:t>境影</w:t>
            </w:r>
          </w:p>
          <w:p w14:paraId="62DB2C1C">
            <w:pPr>
              <w:adjustRightInd w:val="0"/>
              <w:snapToGrid w:val="0"/>
              <w:jc w:val="center"/>
              <w:rPr>
                <w:bCs/>
                <w:color w:val="auto"/>
                <w:sz w:val="24"/>
              </w:rPr>
            </w:pPr>
            <w:r>
              <w:rPr>
                <w:bCs/>
                <w:color w:val="auto"/>
                <w:sz w:val="24"/>
              </w:rPr>
              <w:t>响和</w:t>
            </w:r>
          </w:p>
          <w:p w14:paraId="6167CCB1">
            <w:pPr>
              <w:adjustRightInd w:val="0"/>
              <w:snapToGrid w:val="0"/>
              <w:jc w:val="center"/>
              <w:rPr>
                <w:bCs/>
                <w:color w:val="auto"/>
                <w:sz w:val="24"/>
              </w:rPr>
            </w:pPr>
            <w:r>
              <w:rPr>
                <w:bCs/>
                <w:color w:val="auto"/>
                <w:sz w:val="24"/>
              </w:rPr>
              <w:t>保护</w:t>
            </w:r>
          </w:p>
          <w:p w14:paraId="4BF6D94F">
            <w:pPr>
              <w:adjustRightInd w:val="0"/>
              <w:snapToGrid w:val="0"/>
              <w:jc w:val="center"/>
              <w:rPr>
                <w:bCs/>
                <w:color w:val="auto"/>
                <w:szCs w:val="21"/>
              </w:rPr>
            </w:pPr>
            <w:r>
              <w:rPr>
                <w:bCs/>
                <w:color w:val="auto"/>
                <w:sz w:val="24"/>
              </w:rPr>
              <w:t>措施</w:t>
            </w:r>
          </w:p>
        </w:tc>
        <w:tc>
          <w:tcPr>
            <w:tcW w:w="8750" w:type="dxa"/>
            <w:noWrap w:val="0"/>
            <w:vAlign w:val="center"/>
          </w:tcPr>
          <w:p w14:paraId="3C556F2E">
            <w:pPr>
              <w:adjustRightInd w:val="0"/>
              <w:snapToGrid w:val="0"/>
              <w:spacing w:line="360" w:lineRule="auto"/>
              <w:ind w:firstLine="482" w:firstLineChars="200"/>
              <w:rPr>
                <w:rFonts w:hint="eastAsia"/>
                <w:b/>
                <w:bCs/>
                <w:color w:val="auto"/>
                <w:sz w:val="24"/>
              </w:rPr>
            </w:pPr>
            <w:r>
              <w:rPr>
                <w:b/>
                <w:bCs/>
                <w:color w:val="auto"/>
                <w:sz w:val="24"/>
              </w:rPr>
              <w:t>1</w:t>
            </w:r>
            <w:r>
              <w:rPr>
                <w:rFonts w:hint="eastAsia"/>
                <w:b/>
                <w:bCs/>
                <w:color w:val="auto"/>
                <w:sz w:val="24"/>
              </w:rPr>
              <w:t>.废气</w:t>
            </w:r>
          </w:p>
          <w:p w14:paraId="60D20DFC">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项目</w:t>
            </w:r>
            <w:r>
              <w:rPr>
                <w:rFonts w:hint="eastAsia" w:ascii="Times New Roman" w:hAnsi="Times New Roman" w:cs="Times New Roman"/>
                <w:color w:val="auto"/>
                <w:sz w:val="24"/>
                <w:szCs w:val="24"/>
                <w:highlight w:val="none"/>
                <w:lang w:val="en-US" w:eastAsia="zh-CN"/>
              </w:rPr>
              <w:t>冷轧过程需在材料表面涂抹少量</w:t>
            </w:r>
            <w:r>
              <w:rPr>
                <w:rFonts w:hint="eastAsia" w:cs="Times New Roman"/>
                <w:color w:val="auto"/>
                <w:sz w:val="24"/>
                <w:szCs w:val="24"/>
                <w:highlight w:val="none"/>
                <w:lang w:val="en-US" w:eastAsia="zh-CN"/>
              </w:rPr>
              <w:t>轧制</w:t>
            </w:r>
            <w:r>
              <w:rPr>
                <w:rFonts w:hint="eastAsia" w:ascii="Times New Roman" w:hAnsi="Times New Roman" w:cs="Times New Roman"/>
                <w:color w:val="auto"/>
                <w:sz w:val="24"/>
                <w:szCs w:val="24"/>
                <w:highlight w:val="none"/>
                <w:lang w:val="en-US" w:eastAsia="zh-CN"/>
              </w:rPr>
              <w:t>油，由于冷轧工件表面的最高温度通常在50℃-60℃之间‌，工业用轧制油烟点温度在</w:t>
            </w:r>
            <w:r>
              <w:rPr>
                <w:rFonts w:hint="eastAsia" w:cs="Times New Roman"/>
                <w:color w:val="auto"/>
                <w:sz w:val="24"/>
                <w:szCs w:val="24"/>
                <w:highlight w:val="none"/>
                <w:lang w:val="en-US" w:eastAsia="zh-CN"/>
              </w:rPr>
              <w:t>180</w:t>
            </w:r>
            <w:r>
              <w:rPr>
                <w:rFonts w:hint="eastAsia" w:ascii="Times New Roman" w:hAnsi="Times New Roman" w:cs="Times New Roman"/>
                <w:color w:val="auto"/>
                <w:sz w:val="24"/>
                <w:szCs w:val="24"/>
                <w:highlight w:val="none"/>
                <w:lang w:val="en-US" w:eastAsia="zh-CN"/>
              </w:rPr>
              <w:t>℃-2</w:t>
            </w:r>
            <w:r>
              <w:rPr>
                <w:rFonts w:hint="eastAsia" w:cs="Times New Roman"/>
                <w:color w:val="auto"/>
                <w:sz w:val="24"/>
                <w:szCs w:val="24"/>
                <w:highlight w:val="none"/>
                <w:lang w:val="en-US" w:eastAsia="zh-CN"/>
              </w:rPr>
              <w:t>60</w:t>
            </w:r>
            <w:r>
              <w:rPr>
                <w:rFonts w:hint="eastAsia" w:ascii="Times New Roman" w:hAnsi="Times New Roman" w:cs="Times New Roman"/>
                <w:color w:val="auto"/>
                <w:sz w:val="24"/>
                <w:szCs w:val="24"/>
                <w:highlight w:val="none"/>
                <w:lang w:val="en-US" w:eastAsia="zh-CN"/>
              </w:rPr>
              <w:t>℃之间，因此冷轧过程无废气产生。本项目污染物产排情况及污染防治措施见下表。</w:t>
            </w:r>
          </w:p>
          <w:p w14:paraId="197C1B4E">
            <w:pPr>
              <w:adjustRightInd w:val="0"/>
              <w:snapToGrid w:val="0"/>
              <w:spacing w:line="240" w:lineRule="auto"/>
              <w:jc w:val="center"/>
              <w:rPr>
                <w:rFonts w:hint="eastAsia"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表</w:t>
            </w:r>
            <w:r>
              <w:rPr>
                <w:rFonts w:hint="eastAsia" w:cs="Times New Roman"/>
                <w:b/>
                <w:bCs/>
                <w:color w:val="auto"/>
                <w:szCs w:val="21"/>
                <w:highlight w:val="none"/>
                <w:lang w:val="en-US" w:eastAsia="zh-CN"/>
              </w:rPr>
              <w:t>4-1</w:t>
            </w:r>
            <w:r>
              <w:rPr>
                <w:rFonts w:hint="eastAsia" w:ascii="Times New Roman" w:hAnsi="Times New Roman" w:cs="Times New Roman"/>
                <w:b/>
                <w:bCs/>
                <w:color w:val="auto"/>
                <w:szCs w:val="21"/>
                <w:highlight w:val="none"/>
                <w:lang w:val="en-US" w:eastAsia="zh-CN"/>
              </w:rPr>
              <w:t xml:space="preserve">  项目污染物产排情况及污染防治措施一览表</w:t>
            </w:r>
          </w:p>
          <w:tbl>
            <w:tblPr>
              <w:tblStyle w:val="2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6"/>
              <w:gridCol w:w="636"/>
              <w:gridCol w:w="915"/>
              <w:gridCol w:w="810"/>
              <w:gridCol w:w="960"/>
              <w:gridCol w:w="690"/>
              <w:gridCol w:w="746"/>
              <w:gridCol w:w="889"/>
              <w:gridCol w:w="804"/>
              <w:gridCol w:w="856"/>
            </w:tblGrid>
            <w:tr w14:paraId="61BFC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6" w:type="dxa"/>
                  <w:tcBorders>
                    <w:tl2br w:val="nil"/>
                    <w:tr2bl w:val="nil"/>
                  </w:tcBorders>
                  <w:noWrap w:val="0"/>
                  <w:vAlign w:val="center"/>
                </w:tcPr>
                <w:p w14:paraId="6B8EB6BF">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产污环节</w:t>
                  </w:r>
                </w:p>
              </w:tc>
              <w:tc>
                <w:tcPr>
                  <w:tcW w:w="636" w:type="dxa"/>
                  <w:tcBorders>
                    <w:tl2br w:val="nil"/>
                    <w:tr2bl w:val="nil"/>
                  </w:tcBorders>
                  <w:noWrap w:val="0"/>
                  <w:vAlign w:val="center"/>
                </w:tcPr>
                <w:p w14:paraId="6B852844">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污染物种类</w:t>
                  </w:r>
                </w:p>
              </w:tc>
              <w:tc>
                <w:tcPr>
                  <w:tcW w:w="915" w:type="dxa"/>
                  <w:tcBorders>
                    <w:tl2br w:val="nil"/>
                    <w:tr2bl w:val="nil"/>
                  </w:tcBorders>
                  <w:noWrap w:val="0"/>
                  <w:vAlign w:val="center"/>
                </w:tcPr>
                <w:p w14:paraId="1CCD773F">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产生量（t/a）</w:t>
                  </w:r>
                </w:p>
              </w:tc>
              <w:tc>
                <w:tcPr>
                  <w:tcW w:w="810" w:type="dxa"/>
                  <w:tcBorders>
                    <w:tl2br w:val="nil"/>
                    <w:tr2bl w:val="nil"/>
                  </w:tcBorders>
                  <w:noWrap w:val="0"/>
                  <w:vAlign w:val="center"/>
                </w:tcPr>
                <w:p w14:paraId="3EA5B744">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产生浓度（mg/m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960" w:type="dxa"/>
                  <w:tcBorders>
                    <w:tl2br w:val="nil"/>
                    <w:tr2bl w:val="nil"/>
                  </w:tcBorders>
                  <w:noWrap w:val="0"/>
                  <w:vAlign w:val="center"/>
                </w:tcPr>
                <w:p w14:paraId="45ECE60D">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处理措施</w:t>
                  </w:r>
                </w:p>
              </w:tc>
              <w:tc>
                <w:tcPr>
                  <w:tcW w:w="690" w:type="dxa"/>
                  <w:tcBorders>
                    <w:tl2br w:val="nil"/>
                    <w:tr2bl w:val="nil"/>
                  </w:tcBorders>
                  <w:noWrap w:val="0"/>
                  <w:vAlign w:val="center"/>
                </w:tcPr>
                <w:p w14:paraId="6432ED34">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是否可行技术</w:t>
                  </w:r>
                </w:p>
              </w:tc>
              <w:tc>
                <w:tcPr>
                  <w:tcW w:w="746" w:type="dxa"/>
                  <w:tcBorders>
                    <w:tl2br w:val="nil"/>
                    <w:tr2bl w:val="nil"/>
                  </w:tcBorders>
                  <w:noWrap w:val="0"/>
                  <w:vAlign w:val="center"/>
                </w:tcPr>
                <w:p w14:paraId="3849A767">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排放量</w:t>
                  </w:r>
                  <w:r>
                    <w:rPr>
                      <w:rFonts w:hint="eastAsia" w:ascii="Times New Roman" w:hAnsi="Times New Roman" w:eastAsia="宋体" w:cs="Times New Roman"/>
                      <w:b/>
                      <w:bCs/>
                      <w:color w:val="auto"/>
                      <w:sz w:val="21"/>
                      <w:szCs w:val="21"/>
                      <w:highlight w:val="none"/>
                      <w:vertAlign w:val="baseline"/>
                      <w:lang w:val="en-US" w:eastAsia="zh-CN"/>
                    </w:rPr>
                    <w:t>（t/a）</w:t>
                  </w:r>
                </w:p>
              </w:tc>
              <w:tc>
                <w:tcPr>
                  <w:tcW w:w="889" w:type="dxa"/>
                  <w:tcBorders>
                    <w:tl2br w:val="nil"/>
                    <w:tr2bl w:val="nil"/>
                  </w:tcBorders>
                  <w:noWrap w:val="0"/>
                  <w:vAlign w:val="center"/>
                </w:tcPr>
                <w:p w14:paraId="42663E7E">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804" w:type="dxa"/>
                  <w:tcBorders>
                    <w:tl2br w:val="nil"/>
                    <w:tr2bl w:val="nil"/>
                  </w:tcBorders>
                  <w:noWrap w:val="0"/>
                  <w:vAlign w:val="center"/>
                </w:tcPr>
                <w:p w14:paraId="61B4533A">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排放速率（kg/h）</w:t>
                  </w:r>
                </w:p>
              </w:tc>
              <w:tc>
                <w:tcPr>
                  <w:tcW w:w="856" w:type="dxa"/>
                  <w:tcBorders>
                    <w:tl2br w:val="nil"/>
                    <w:tr2bl w:val="nil"/>
                  </w:tcBorders>
                  <w:noWrap w:val="0"/>
                  <w:vAlign w:val="center"/>
                </w:tcPr>
                <w:p w14:paraId="124065CA">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vertAlign w:val="baseline"/>
                      <w:lang w:val="en-US" w:eastAsia="zh-CN"/>
                    </w:rPr>
                    <w:t>排放形式</w:t>
                  </w:r>
                </w:p>
              </w:tc>
            </w:tr>
            <w:tr w14:paraId="68F3D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trPr>
              <w:tc>
                <w:tcPr>
                  <w:tcW w:w="976" w:type="dxa"/>
                  <w:tcBorders>
                    <w:tl2br w:val="nil"/>
                    <w:tr2bl w:val="nil"/>
                  </w:tcBorders>
                  <w:noWrap w:val="0"/>
                  <w:vAlign w:val="center"/>
                </w:tcPr>
                <w:p w14:paraId="7C71E47B">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拉丝</w:t>
                  </w:r>
                </w:p>
              </w:tc>
              <w:tc>
                <w:tcPr>
                  <w:tcW w:w="636" w:type="dxa"/>
                  <w:tcBorders>
                    <w:tl2br w:val="nil"/>
                    <w:tr2bl w:val="nil"/>
                  </w:tcBorders>
                  <w:noWrap w:val="0"/>
                  <w:vAlign w:val="center"/>
                </w:tcPr>
                <w:p w14:paraId="12673509">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颗粒物</w:t>
                  </w:r>
                </w:p>
              </w:tc>
              <w:tc>
                <w:tcPr>
                  <w:tcW w:w="915" w:type="dxa"/>
                  <w:tcBorders>
                    <w:tl2br w:val="nil"/>
                    <w:tr2bl w:val="nil"/>
                  </w:tcBorders>
                  <w:noWrap w:val="0"/>
                  <w:vAlign w:val="center"/>
                </w:tcPr>
                <w:p w14:paraId="5E5A28D7">
                  <w:pPr>
                    <w:pStyle w:val="31"/>
                    <w:bidi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0.33</w:t>
                  </w:r>
                </w:p>
              </w:tc>
              <w:tc>
                <w:tcPr>
                  <w:tcW w:w="810" w:type="dxa"/>
                  <w:tcBorders>
                    <w:tl2br w:val="nil"/>
                    <w:tr2bl w:val="nil"/>
                  </w:tcBorders>
                  <w:noWrap w:val="0"/>
                  <w:vAlign w:val="center"/>
                </w:tcPr>
                <w:p w14:paraId="101D5972">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960" w:type="dxa"/>
                  <w:tcBorders>
                    <w:tl2br w:val="nil"/>
                    <w:tr2bl w:val="nil"/>
                  </w:tcBorders>
                  <w:noWrap w:val="0"/>
                  <w:vAlign w:val="center"/>
                </w:tcPr>
                <w:p w14:paraId="68C6959B">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厂房阻隔</w:t>
                  </w:r>
                </w:p>
              </w:tc>
              <w:tc>
                <w:tcPr>
                  <w:tcW w:w="690" w:type="dxa"/>
                  <w:tcBorders>
                    <w:tl2br w:val="nil"/>
                    <w:tr2bl w:val="nil"/>
                  </w:tcBorders>
                  <w:noWrap w:val="0"/>
                  <w:vAlign w:val="center"/>
                </w:tcPr>
                <w:p w14:paraId="29E7EF0A">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是</w:t>
                  </w:r>
                </w:p>
              </w:tc>
              <w:tc>
                <w:tcPr>
                  <w:tcW w:w="746" w:type="dxa"/>
                  <w:tcBorders>
                    <w:tl2br w:val="nil"/>
                    <w:tr2bl w:val="nil"/>
                  </w:tcBorders>
                  <w:noWrap w:val="0"/>
                  <w:vAlign w:val="center"/>
                </w:tcPr>
                <w:p w14:paraId="4ED3493A">
                  <w:pPr>
                    <w:pStyle w:val="31"/>
                    <w:bidi w:val="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cs="Times New Roman"/>
                      <w:b w:val="0"/>
                      <w:bCs w:val="0"/>
                      <w:color w:val="auto"/>
                      <w:sz w:val="21"/>
                      <w:szCs w:val="21"/>
                      <w:highlight w:val="none"/>
                      <w:vertAlign w:val="baseline"/>
                      <w:lang w:val="en-US" w:eastAsia="zh-CN"/>
                    </w:rPr>
                    <w:t>0.013</w:t>
                  </w:r>
                </w:p>
              </w:tc>
              <w:tc>
                <w:tcPr>
                  <w:tcW w:w="889" w:type="dxa"/>
                  <w:tcBorders>
                    <w:tl2br w:val="nil"/>
                    <w:tr2bl w:val="nil"/>
                  </w:tcBorders>
                  <w:noWrap w:val="0"/>
                  <w:vAlign w:val="center"/>
                </w:tcPr>
                <w:p w14:paraId="52FDAA3A">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eastAsia="宋体" w:cs="Times New Roman"/>
                      <w:b w:val="0"/>
                      <w:bCs w:val="0"/>
                      <w:color w:val="auto"/>
                      <w:sz w:val="21"/>
                      <w:szCs w:val="21"/>
                      <w:highlight w:val="none"/>
                      <w:vertAlign w:val="baseline"/>
                      <w:lang w:val="en-US" w:eastAsia="zh-CN"/>
                    </w:rPr>
                    <w:t>/</w:t>
                  </w:r>
                </w:p>
              </w:tc>
              <w:tc>
                <w:tcPr>
                  <w:tcW w:w="804" w:type="dxa"/>
                  <w:tcBorders>
                    <w:tl2br w:val="nil"/>
                    <w:tr2bl w:val="nil"/>
                  </w:tcBorders>
                  <w:noWrap w:val="0"/>
                  <w:vAlign w:val="center"/>
                </w:tcPr>
                <w:p w14:paraId="2CBCA42C">
                  <w:pPr>
                    <w:pStyle w:val="31"/>
                    <w:bidi w:val="0"/>
                    <w:jc w:val="center"/>
                    <w:rPr>
                      <w:rFonts w:hint="default" w:ascii="Times New Roman" w:hAnsi="Times New Roman" w:eastAsia="宋体" w:cs="Times New Roman"/>
                      <w:color w:val="auto"/>
                      <w:kern w:val="2"/>
                      <w:sz w:val="21"/>
                      <w:szCs w:val="24"/>
                      <w:lang w:val="en-US" w:eastAsia="zh-CN" w:bidi="ar-SA"/>
                    </w:rPr>
                  </w:pPr>
                  <w:r>
                    <w:rPr>
                      <w:rFonts w:hint="eastAsia" w:eastAsia="宋体" w:cs="Times New Roman"/>
                      <w:color w:val="auto"/>
                      <w:kern w:val="2"/>
                      <w:sz w:val="21"/>
                      <w:szCs w:val="24"/>
                      <w:lang w:val="en-US" w:eastAsia="zh-CN" w:bidi="ar-SA"/>
                    </w:rPr>
                    <w:t>0.0</w:t>
                  </w:r>
                  <w:r>
                    <w:rPr>
                      <w:rFonts w:hint="eastAsia" w:cs="Times New Roman"/>
                      <w:color w:val="auto"/>
                      <w:kern w:val="2"/>
                      <w:sz w:val="21"/>
                      <w:szCs w:val="24"/>
                      <w:lang w:val="en-US" w:eastAsia="zh-CN" w:bidi="ar-SA"/>
                    </w:rPr>
                    <w:t>07</w:t>
                  </w:r>
                </w:p>
              </w:tc>
              <w:tc>
                <w:tcPr>
                  <w:tcW w:w="856" w:type="dxa"/>
                  <w:tcBorders>
                    <w:tl2br w:val="nil"/>
                    <w:tr2bl w:val="nil"/>
                  </w:tcBorders>
                  <w:noWrap w:val="0"/>
                  <w:vAlign w:val="center"/>
                </w:tcPr>
                <w:p w14:paraId="0B64DABC">
                  <w:pPr>
                    <w:pStyle w:val="3"/>
                    <w:keepNext/>
                    <w:keepLines/>
                    <w:pageBreakBefore w:val="0"/>
                    <w:widowControl w:val="0"/>
                    <w:kinsoku/>
                    <w:wordWrap/>
                    <w:overflowPunct/>
                    <w:topLinePunct w:val="0"/>
                    <w:autoSpaceDE/>
                    <w:autoSpaceDN/>
                    <w:bidi w:val="0"/>
                    <w:adjustRightInd/>
                    <w:snapToGrid/>
                    <w:spacing w:before="0" w:after="0" w:line="240" w:lineRule="auto"/>
                    <w:jc w:val="center"/>
                    <w:textAlignment w:val="auto"/>
                    <w:rPr>
                      <w:rFonts w:hint="default" w:ascii="宋体" w:hAnsi="宋体" w:eastAsia="宋体" w:cs="宋体"/>
                      <w:b w:val="0"/>
                      <w:bCs w:val="0"/>
                      <w:color w:val="auto"/>
                      <w:sz w:val="21"/>
                      <w:szCs w:val="21"/>
                      <w:highlight w:val="none"/>
                      <w:vertAlign w:val="baseline"/>
                      <w:lang w:val="en-US" w:eastAsia="zh-CN"/>
                    </w:rPr>
                  </w:pPr>
                  <w:r>
                    <w:rPr>
                      <w:rFonts w:hint="eastAsia" w:ascii="宋体" w:hAnsi="宋体" w:eastAsia="宋体" w:cs="宋体"/>
                      <w:b w:val="0"/>
                      <w:bCs w:val="0"/>
                      <w:color w:val="auto"/>
                      <w:sz w:val="21"/>
                      <w:szCs w:val="21"/>
                      <w:highlight w:val="none"/>
                      <w:vertAlign w:val="baseline"/>
                      <w:lang w:val="en-US" w:eastAsia="zh-CN"/>
                    </w:rPr>
                    <w:t>无组织</w:t>
                  </w:r>
                </w:p>
              </w:tc>
            </w:tr>
          </w:tbl>
          <w:p w14:paraId="5BF007AA">
            <w:pPr>
              <w:adjustRightInd w:val="0"/>
              <w:snapToGrid w:val="0"/>
              <w:spacing w:line="360" w:lineRule="auto"/>
              <w:ind w:firstLine="480" w:firstLineChars="200"/>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1</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废气源强估算</w:t>
            </w:r>
          </w:p>
          <w:p w14:paraId="7E500522">
            <w:pPr>
              <w:adjustRightInd w:val="0"/>
              <w:snapToGrid w:val="0"/>
              <w:spacing w:line="360" w:lineRule="auto"/>
              <w:ind w:firstLine="480" w:firstLineChars="200"/>
              <w:jc w:val="left"/>
              <w:rPr>
                <w:rFonts w:hint="eastAsia" w:cs="Times New Roman"/>
                <w:bCs/>
                <w:color w:val="auto"/>
                <w:sz w:val="24"/>
                <w:szCs w:val="24"/>
                <w:highlight w:val="none"/>
                <w:lang w:val="en-US" w:eastAsia="zh-CN"/>
              </w:rPr>
            </w:pPr>
            <w:r>
              <w:rPr>
                <w:rFonts w:hint="eastAsia" w:cs="Times New Roman"/>
                <w:bCs/>
                <w:color w:val="auto"/>
                <w:sz w:val="24"/>
                <w:szCs w:val="24"/>
                <w:highlight w:val="none"/>
                <w:lang w:val="en-US" w:eastAsia="zh-CN"/>
              </w:rPr>
              <w:t>拉丝废气（石墨微粉）</w:t>
            </w:r>
          </w:p>
          <w:p w14:paraId="1F8D5792">
            <w:pPr>
              <w:adjustRightInd w:val="0"/>
              <w:snapToGrid w:val="0"/>
              <w:spacing w:line="360" w:lineRule="auto"/>
              <w:ind w:firstLine="480" w:firstLineChars="200"/>
              <w:jc w:val="both"/>
              <w:rPr>
                <w:rFonts w:hint="eastAsia" w:cs="Times New Roman"/>
                <w:b w:val="0"/>
                <w:bCs w:val="0"/>
                <w:color w:val="auto"/>
                <w:sz w:val="24"/>
                <w:szCs w:val="24"/>
                <w:highlight w:val="none"/>
                <w:lang w:val="en-US" w:eastAsia="zh-CN"/>
              </w:rPr>
            </w:pPr>
            <w:r>
              <w:rPr>
                <w:rFonts w:hint="eastAsia" w:cs="Times New Roman"/>
                <w:bCs/>
                <w:color w:val="auto"/>
                <w:sz w:val="24"/>
                <w:szCs w:val="24"/>
                <w:highlight w:val="none"/>
                <w:lang w:val="en-US" w:eastAsia="zh-CN"/>
              </w:rPr>
              <w:t>拉丝工序通过对钛材的拉伸作用及热拉过程对钛材进行预热，使钛材表面温度较高。拉丝时，将石墨乳溶液带出，水分蒸发后会产生少量粉尘（碳粉）散落。根据</w:t>
            </w:r>
            <w:r>
              <w:rPr>
                <w:rFonts w:hint="eastAsia"/>
                <w:b w:val="0"/>
                <w:bCs w:val="0"/>
                <w:color w:val="auto"/>
                <w:sz w:val="24"/>
                <w:szCs w:val="32"/>
                <w:lang w:val="en-US" w:eastAsia="zh-CN"/>
              </w:rPr>
              <w:t>《化学物质安全性能表》可知，石墨乳中碳的含量为22%，项目年用石墨乳1.5t，则碳粉量为0.33t。参考同类已批复项目《宝鸡新普难熔金属有限公司钛材拉丝项目》（该项目生产工艺及生产条件与本项目相似，同为在标准化封闭生产车间内进行钛材热拉丝和冷拉丝项目，均使用石墨乳进行生产，年使用其石墨乳量为4t，因此具有可类比性）可知，约20%的碳粉会在拉丝过程中脱离丝材表面进入空气，则本项目粉尘产生量为0.066t/a。且项目在封闭厂房内进行生产，对产生粉尘具有一定的阻隔效果，最终溢出厂房粉尘量以产生量的20%计。本项目年工作300天，每天拉丝有效工作时间以6小时计。</w:t>
            </w:r>
            <w:r>
              <w:rPr>
                <w:rFonts w:hint="eastAsia" w:cs="Times New Roman"/>
                <w:b w:val="0"/>
                <w:bCs w:val="0"/>
                <w:color w:val="auto"/>
                <w:sz w:val="24"/>
                <w:szCs w:val="24"/>
                <w:highlight w:val="none"/>
                <w:lang w:val="en-US" w:eastAsia="zh-CN"/>
              </w:rPr>
              <w:t>则本项目粉尘年排放量为0.013t/a，排放速率为0.007kg/h。</w:t>
            </w:r>
          </w:p>
          <w:p w14:paraId="6156B0B4">
            <w:pPr>
              <w:adjustRightInd w:val="0"/>
              <w:snapToGrid w:val="0"/>
              <w:spacing w:line="360" w:lineRule="auto"/>
              <w:ind w:left="420"/>
              <w:jc w:val="left"/>
              <w:rPr>
                <w:rFonts w:hint="default" w:ascii="Times New Roman" w:hAnsi="Times New Roman" w:cs="Times New Roman"/>
                <w:b w:val="0"/>
                <w:bCs w:val="0"/>
                <w:color w:val="auto"/>
                <w:sz w:val="24"/>
                <w:szCs w:val="24"/>
                <w:highlight w:val="none"/>
              </w:rPr>
            </w:pPr>
            <w:r>
              <w:rPr>
                <w:rFonts w:hint="eastAsia" w:ascii="Times New Roman" w:hAnsi="Times New Roman" w:cs="Times New Roman"/>
                <w:b w:val="0"/>
                <w:bCs w:val="0"/>
                <w:color w:val="auto"/>
                <w:sz w:val="24"/>
                <w:szCs w:val="24"/>
                <w:highlight w:val="none"/>
                <w:lang w:val="en-US" w:eastAsia="zh-CN"/>
              </w:rPr>
              <w:t>（2）</w:t>
            </w:r>
            <w:r>
              <w:rPr>
                <w:rFonts w:hint="default" w:ascii="Times New Roman" w:hAnsi="Times New Roman" w:cs="Times New Roman"/>
                <w:b w:val="0"/>
                <w:bCs w:val="0"/>
                <w:color w:val="auto"/>
                <w:sz w:val="24"/>
                <w:szCs w:val="24"/>
                <w:highlight w:val="none"/>
              </w:rPr>
              <w:t>废气环境影响分析</w:t>
            </w:r>
          </w:p>
          <w:p w14:paraId="4231D74F">
            <w:pPr>
              <w:adjustRightInd w:val="0"/>
              <w:snapToGrid w:val="0"/>
              <w:spacing w:line="360" w:lineRule="auto"/>
              <w:ind w:firstLine="480" w:firstLineChars="200"/>
              <w:jc w:val="left"/>
              <w:rPr>
                <w:rFonts w:hint="default" w:ascii="Times New Roman" w:hAnsi="Times New Roman" w:cs="Times New Roman"/>
                <w:bCs/>
                <w:color w:val="auto"/>
                <w:sz w:val="24"/>
                <w:szCs w:val="24"/>
                <w:highlight w:val="none"/>
                <w:lang w:val="en-US" w:eastAsia="zh-CN"/>
              </w:rPr>
            </w:pPr>
            <w:r>
              <w:rPr>
                <w:rFonts w:hint="eastAsia" w:cs="Times New Roman"/>
                <w:bCs/>
                <w:color w:val="auto"/>
                <w:sz w:val="24"/>
                <w:szCs w:val="24"/>
                <w:highlight w:val="none"/>
                <w:lang w:val="en-US" w:eastAsia="zh-CN"/>
              </w:rPr>
              <w:t>本项目拉丝过程会产生少量粉尘，经封闭厂房阻隔后，通过上文核算，粉尘排放量</w:t>
            </w:r>
            <w:r>
              <w:rPr>
                <w:rFonts w:hint="eastAsia" w:cs="Times New Roman"/>
                <w:b w:val="0"/>
                <w:bCs w:val="0"/>
                <w:color w:val="auto"/>
                <w:sz w:val="24"/>
                <w:szCs w:val="24"/>
                <w:highlight w:val="none"/>
                <w:lang w:val="en-US" w:eastAsia="zh-CN"/>
              </w:rPr>
              <w:t>为0.013/a，排放速率为0.007kg/h。同时参考</w:t>
            </w:r>
            <w:r>
              <w:rPr>
                <w:rFonts w:hint="eastAsia"/>
                <w:b w:val="0"/>
                <w:bCs w:val="0"/>
                <w:color w:val="auto"/>
                <w:sz w:val="24"/>
                <w:szCs w:val="32"/>
                <w:lang w:val="en-US" w:eastAsia="zh-CN"/>
              </w:rPr>
              <w:t>《宝鸡新普难熔金属有限公司钛材拉丝项目》对厂界无组织颗粒物监测结果可知，厂界下风向颗粒物最大浓度值为0.323mg/m</w:t>
            </w:r>
            <w:r>
              <w:rPr>
                <w:rFonts w:hint="eastAsia"/>
                <w:b w:val="0"/>
                <w:bCs w:val="0"/>
                <w:color w:val="auto"/>
                <w:sz w:val="24"/>
                <w:szCs w:val="32"/>
                <w:vertAlign w:val="superscript"/>
                <w:lang w:val="en-US" w:eastAsia="zh-CN"/>
              </w:rPr>
              <w:t>3</w:t>
            </w:r>
            <w:r>
              <w:rPr>
                <w:rFonts w:hint="eastAsia"/>
                <w:b w:val="0"/>
                <w:bCs w:val="0"/>
                <w:color w:val="auto"/>
                <w:sz w:val="24"/>
                <w:szCs w:val="32"/>
                <w:lang w:val="en-US" w:eastAsia="zh-CN"/>
              </w:rPr>
              <w:t>，能够满足《大气污染物综合排放标准》（GB16297-1996）中颗粒物无组织排放限值要求，因此本项目亦能达标排放，</w:t>
            </w:r>
            <w:r>
              <w:rPr>
                <w:rFonts w:hint="eastAsia" w:cs="Times New Roman"/>
                <w:b w:val="0"/>
                <w:bCs/>
                <w:color w:val="auto"/>
                <w:sz w:val="24"/>
                <w:szCs w:val="24"/>
                <w:highlight w:val="none"/>
                <w:lang w:val="en-US" w:eastAsia="zh-CN"/>
              </w:rPr>
              <w:t>不会对周边环境产生较大影响。</w:t>
            </w:r>
          </w:p>
          <w:p w14:paraId="28B2EE6F">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color w:val="auto"/>
                <w:sz w:val="24"/>
                <w:szCs w:val="32"/>
                <w:highlight w:val="none"/>
                <w:lang w:val="en-US" w:eastAsia="zh-CN"/>
              </w:rPr>
            </w:pPr>
            <w:r>
              <w:rPr>
                <w:rFonts w:hint="eastAsia"/>
                <w:color w:val="auto"/>
                <w:sz w:val="24"/>
                <w:szCs w:val="32"/>
                <w:highlight w:val="none"/>
                <w:lang w:val="en-US" w:eastAsia="zh-CN"/>
              </w:rPr>
              <w:t>（3）非正常情况下大气污染物排放情况</w:t>
            </w:r>
          </w:p>
          <w:p w14:paraId="1745968E">
            <w:pPr>
              <w:spacing w:line="360" w:lineRule="auto"/>
              <w:ind w:firstLine="480" w:firstLineChars="200"/>
              <w:rPr>
                <w:rFonts w:hAnsi="宋体" w:eastAsia="宋体"/>
                <w:color w:val="auto"/>
                <w:kern w:val="0"/>
                <w:sz w:val="24"/>
                <w:highlight w:val="none"/>
              </w:rPr>
            </w:pPr>
            <w:r>
              <w:rPr>
                <w:color w:val="auto"/>
                <w:sz w:val="24"/>
                <w:highlight w:val="none"/>
              </w:rPr>
              <w:t>非正常排放指非正常情况下的污染物排放。如设备检修、污染物排放控制措施达不到应有效率、工艺设备运转异常等情况下的排放。</w:t>
            </w:r>
          </w:p>
          <w:p w14:paraId="51FCFA26">
            <w:pPr>
              <w:adjustRightInd w:val="0"/>
              <w:snapToGrid w:val="0"/>
              <w:spacing w:line="360" w:lineRule="auto"/>
              <w:ind w:firstLine="480" w:firstLineChars="200"/>
              <w:jc w:val="left"/>
              <w:rPr>
                <w:rFonts w:hint="default" w:eastAsia="宋体"/>
                <w:color w:val="auto"/>
                <w:sz w:val="24"/>
                <w:highlight w:val="none"/>
                <w:lang w:val="en-US" w:eastAsia="zh-CN"/>
              </w:rPr>
            </w:pPr>
            <w:r>
              <w:rPr>
                <w:rFonts w:hint="eastAsia"/>
                <w:color w:val="auto"/>
                <w:sz w:val="24"/>
                <w:highlight w:val="none"/>
                <w:lang w:val="en-US" w:eastAsia="zh-CN"/>
              </w:rPr>
              <w:t>本项目粉尘产生量较少，经厂房阻隔后，粉尘排放量小，由于生产设备均置于厂房内生产，一般情况不会发生厂房破损等情况导致粉尘直接溢出厂房。因此本项目无非正常情况。</w:t>
            </w:r>
          </w:p>
          <w:p w14:paraId="49D89C6E">
            <w:pPr>
              <w:adjustRightInd w:val="0"/>
              <w:snapToGrid w:val="0"/>
              <w:spacing w:line="360" w:lineRule="auto"/>
              <w:ind w:firstLine="480" w:firstLineChars="200"/>
              <w:jc w:val="left"/>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因此，本环评要求企业</w:t>
            </w:r>
            <w:r>
              <w:rPr>
                <w:rFonts w:hint="eastAsia" w:ascii="Times New Roman" w:hAnsi="Times New Roman" w:cs="Times New Roman"/>
                <w:color w:val="auto"/>
                <w:sz w:val="24"/>
                <w:szCs w:val="24"/>
                <w:highlight w:val="none"/>
                <w:lang w:eastAsia="zh-CN"/>
              </w:rPr>
              <w:t>安排专人负责</w:t>
            </w:r>
            <w:r>
              <w:rPr>
                <w:rFonts w:hint="eastAsia" w:cs="Times New Roman"/>
                <w:color w:val="auto"/>
                <w:sz w:val="24"/>
                <w:szCs w:val="24"/>
                <w:highlight w:val="none"/>
                <w:lang w:val="en-US" w:eastAsia="zh-CN"/>
              </w:rPr>
              <w:t>对生产</w:t>
            </w:r>
            <w:r>
              <w:rPr>
                <w:rFonts w:hint="eastAsia" w:ascii="Times New Roman" w:hAnsi="Times New Roman" w:cs="Times New Roman"/>
                <w:color w:val="auto"/>
                <w:sz w:val="24"/>
                <w:szCs w:val="24"/>
                <w:highlight w:val="none"/>
                <w:lang w:eastAsia="zh-CN"/>
              </w:rPr>
              <w:t>设备</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生产厂房</w:t>
            </w:r>
            <w:r>
              <w:rPr>
                <w:rFonts w:hint="eastAsia" w:ascii="Times New Roman" w:hAnsi="Times New Roman" w:cs="Times New Roman"/>
                <w:color w:val="auto"/>
                <w:sz w:val="24"/>
                <w:szCs w:val="24"/>
                <w:highlight w:val="none"/>
                <w:lang w:eastAsia="zh-CN"/>
              </w:rPr>
              <w:t>的日常维护和管理，每隔固定时间检查、汇报</w:t>
            </w:r>
            <w:r>
              <w:rPr>
                <w:rFonts w:hint="eastAsia" w:cs="Times New Roman"/>
                <w:color w:val="auto"/>
                <w:sz w:val="24"/>
                <w:szCs w:val="24"/>
                <w:highlight w:val="none"/>
                <w:lang w:val="en-US" w:eastAsia="zh-CN"/>
              </w:rPr>
              <w:t>情况。</w:t>
            </w:r>
          </w:p>
          <w:p w14:paraId="0F7CCB54">
            <w:pPr>
              <w:adjustRightInd w:val="0"/>
              <w:snapToGrid w:val="0"/>
              <w:spacing w:line="360" w:lineRule="auto"/>
              <w:ind w:firstLine="480" w:firstLineChars="200"/>
              <w:jc w:val="left"/>
              <w:rPr>
                <w:rFonts w:hint="default"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4</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废气处理可行性分析</w:t>
            </w:r>
          </w:p>
          <w:p w14:paraId="1153DEDC">
            <w:pPr>
              <w:pStyle w:val="22"/>
              <w:keepNext w:val="0"/>
              <w:keepLines w:val="0"/>
              <w:pageBreakBefore w:val="0"/>
              <w:widowControl w:val="0"/>
              <w:kinsoku/>
              <w:wordWrap/>
              <w:overflowPunct/>
              <w:topLinePunct w:val="0"/>
              <w:autoSpaceDE/>
              <w:autoSpaceDN/>
              <w:bidi w:val="0"/>
              <w:adjustRightInd/>
              <w:snapToGrid/>
              <w:spacing w:after="0" w:line="360" w:lineRule="auto"/>
              <w:ind w:left="0" w:leftChars="0" w:firstLine="480" w:firstLineChars="200"/>
              <w:textAlignment w:val="auto"/>
              <w:rPr>
                <w:rFonts w:hint="default" w:ascii="Times New Roman" w:hAnsi="Times New Roman" w:cs="Times New Roman"/>
                <w:color w:val="auto"/>
                <w:sz w:val="24"/>
                <w:szCs w:val="24"/>
                <w:highlight w:val="none"/>
                <w:lang w:val="en-US" w:eastAsia="zh-CN"/>
              </w:rPr>
            </w:pPr>
            <w:r>
              <w:rPr>
                <w:rFonts w:hint="eastAsia" w:eastAsia="宋体" w:cs="Times New Roman"/>
                <w:color w:val="auto"/>
                <w:sz w:val="24"/>
                <w:szCs w:val="32"/>
                <w:highlight w:val="none"/>
                <w:lang w:val="en-US" w:eastAsia="zh-CN"/>
              </w:rPr>
              <w:t>经上文核算，本项目粉尘排放量极小，同时参考其他同类项目及类比《</w:t>
            </w:r>
            <w:r>
              <w:rPr>
                <w:rFonts w:hint="eastAsia"/>
                <w:b w:val="0"/>
                <w:bCs w:val="0"/>
                <w:color w:val="auto"/>
                <w:sz w:val="24"/>
                <w:szCs w:val="32"/>
                <w:lang w:val="en-US" w:eastAsia="zh-CN"/>
              </w:rPr>
              <w:t>宝鸡新普难熔金属有限公司钛材拉丝项目》，拉丝过程产生少量废气均通过厂房阻隔后，能够达标排放，因此</w:t>
            </w:r>
            <w:r>
              <w:rPr>
                <w:rFonts w:hint="eastAsia" w:ascii="Times New Roman" w:hAnsi="Times New Roman" w:eastAsia="宋体" w:cs="Times New Roman"/>
                <w:color w:val="auto"/>
                <w:sz w:val="24"/>
                <w:szCs w:val="32"/>
                <w:highlight w:val="none"/>
                <w:lang w:val="en-US" w:eastAsia="zh-CN"/>
              </w:rPr>
              <w:t>，本项目废气处理措施可行。</w:t>
            </w:r>
          </w:p>
          <w:p w14:paraId="138D5CA3">
            <w:pPr>
              <w:adjustRightInd w:val="0"/>
              <w:snapToGrid w:val="0"/>
              <w:spacing w:line="360" w:lineRule="auto"/>
              <w:ind w:firstLine="480" w:firstLineChars="200"/>
              <w:rPr>
                <w:rFonts w:hint="eastAsia" w:ascii="Times New Roman" w:hAnsi="Times New Roman" w:cs="Times New Roman"/>
                <w:color w:val="auto"/>
                <w:sz w:val="24"/>
                <w:szCs w:val="24"/>
                <w:highlight w:val="none"/>
                <w:lang w:eastAsia="zh-CN"/>
              </w:rPr>
            </w:pP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5</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自行监测要求</w:t>
            </w:r>
          </w:p>
          <w:p w14:paraId="5B8E1566">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val="0"/>
                <w:bCs w:val="0"/>
                <w:color w:val="auto"/>
                <w:szCs w:val="21"/>
                <w:highlight w:val="none"/>
                <w:lang w:val="en-US" w:eastAsia="zh-CN"/>
              </w:rPr>
            </w:pPr>
            <w:r>
              <w:rPr>
                <w:rFonts w:hint="eastAsia" w:ascii="Times New Roman" w:hAnsi="Times New Roman" w:cs="Times New Roman"/>
                <w:b w:val="0"/>
                <w:bCs w:val="0"/>
                <w:color w:val="auto"/>
                <w:sz w:val="24"/>
                <w:szCs w:val="24"/>
                <w:highlight w:val="none"/>
                <w:lang w:val="en-US" w:eastAsia="zh-CN"/>
              </w:rPr>
              <w:t>监测工作可由企业自身完成，企业如不具备工作条件，可安排资金委托有资质单位完成，</w:t>
            </w:r>
            <w:r>
              <w:rPr>
                <w:rFonts w:hint="eastAsia" w:cs="Times New Roman"/>
                <w:b w:val="0"/>
                <w:bCs w:val="0"/>
                <w:color w:val="auto"/>
                <w:sz w:val="24"/>
                <w:szCs w:val="24"/>
                <w:highlight w:val="none"/>
                <w:lang w:val="en-US" w:eastAsia="zh-CN"/>
              </w:rPr>
              <w:t>根据《排污单位自行监测技术指南 总则》（HJ819-2017）</w:t>
            </w:r>
            <w:r>
              <w:rPr>
                <w:rFonts w:hint="eastAsia" w:ascii="Times New Roman" w:hAnsi="Times New Roman" w:cs="Times New Roman"/>
                <w:b w:val="0"/>
                <w:bCs w:val="0"/>
                <w:color w:val="auto"/>
                <w:sz w:val="24"/>
                <w:szCs w:val="24"/>
                <w:highlight w:val="none"/>
                <w:lang w:val="en-US" w:eastAsia="zh-CN"/>
              </w:rPr>
              <w:t>，</w:t>
            </w:r>
            <w:r>
              <w:rPr>
                <w:rFonts w:hint="eastAsia" w:cs="Times New Roman"/>
                <w:b w:val="0"/>
                <w:bCs w:val="0"/>
                <w:color w:val="auto"/>
                <w:sz w:val="24"/>
                <w:szCs w:val="24"/>
                <w:highlight w:val="none"/>
                <w:lang w:val="en-US" w:eastAsia="zh-CN"/>
              </w:rPr>
              <w:t>本项目废气污染源监测计划如下表所示</w:t>
            </w:r>
            <w:r>
              <w:rPr>
                <w:rFonts w:hint="eastAsia" w:ascii="Times New Roman" w:hAnsi="Times New Roman" w:cs="Times New Roman"/>
                <w:b w:val="0"/>
                <w:bCs w:val="0"/>
                <w:color w:val="auto"/>
                <w:sz w:val="24"/>
                <w:szCs w:val="24"/>
                <w:highlight w:val="none"/>
                <w:lang w:val="en-US" w:eastAsia="zh-CN"/>
              </w:rPr>
              <w:t>：</w:t>
            </w:r>
          </w:p>
          <w:p w14:paraId="720A63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b/>
                <w:bCs/>
                <w:color w:val="auto"/>
                <w:szCs w:val="21"/>
                <w:highlight w:val="none"/>
                <w:lang w:val="en-US" w:eastAsia="zh-CN"/>
              </w:rPr>
            </w:pPr>
            <w:r>
              <w:rPr>
                <w:rFonts w:hint="eastAsia" w:ascii="Times New Roman" w:hAnsi="Times New Roman" w:cs="Times New Roman"/>
                <w:b/>
                <w:bCs/>
                <w:color w:val="auto"/>
                <w:szCs w:val="21"/>
                <w:highlight w:val="none"/>
                <w:lang w:val="en-US" w:eastAsia="zh-CN"/>
              </w:rPr>
              <w:t>表</w:t>
            </w:r>
            <w:r>
              <w:rPr>
                <w:rFonts w:hint="eastAsia" w:cs="Times New Roman"/>
                <w:b/>
                <w:bCs/>
                <w:color w:val="auto"/>
                <w:szCs w:val="21"/>
                <w:highlight w:val="none"/>
                <w:lang w:val="en-US" w:eastAsia="zh-CN"/>
              </w:rPr>
              <w:t xml:space="preserve">4-2 </w:t>
            </w:r>
            <w:r>
              <w:rPr>
                <w:rFonts w:hint="eastAsia" w:ascii="Times New Roman" w:hAnsi="Times New Roman" w:cs="Times New Roman"/>
                <w:b/>
                <w:bCs/>
                <w:color w:val="auto"/>
                <w:szCs w:val="21"/>
                <w:highlight w:val="none"/>
                <w:lang w:val="en-US" w:eastAsia="zh-CN"/>
              </w:rPr>
              <w:t xml:space="preserve"> 项目废气污染源监测计划表</w:t>
            </w:r>
          </w:p>
          <w:tbl>
            <w:tblPr>
              <w:tblStyle w:val="24"/>
              <w:tblW w:w="4995"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6"/>
              <w:gridCol w:w="910"/>
              <w:gridCol w:w="1387"/>
              <w:gridCol w:w="1773"/>
              <w:gridCol w:w="881"/>
              <w:gridCol w:w="3059"/>
            </w:tblGrid>
            <w:tr w14:paraId="0B56F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7" w:type="pct"/>
                  <w:tcBorders>
                    <w:tl2br w:val="nil"/>
                    <w:tr2bl w:val="nil"/>
                  </w:tcBorders>
                  <w:noWrap w:val="0"/>
                  <w:vAlign w:val="center"/>
                </w:tcPr>
                <w:p w14:paraId="4A846AC6">
                  <w:pPr>
                    <w:adjustRightInd w:val="0"/>
                    <w:snapToGrid w:val="0"/>
                    <w:spacing w:line="240" w:lineRule="auto"/>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cs="Times New Roman"/>
                      <w:b/>
                      <w:bCs/>
                      <w:color w:val="auto"/>
                      <w:szCs w:val="21"/>
                      <w:highlight w:val="none"/>
                      <w:vertAlign w:val="baseline"/>
                      <w:lang w:val="en-US" w:eastAsia="zh-CN"/>
                    </w:rPr>
                    <w:t>类型</w:t>
                  </w:r>
                </w:p>
              </w:tc>
              <w:tc>
                <w:tcPr>
                  <w:tcW w:w="534" w:type="pct"/>
                  <w:tcBorders>
                    <w:tl2br w:val="nil"/>
                    <w:tr2bl w:val="nil"/>
                  </w:tcBorders>
                  <w:noWrap w:val="0"/>
                  <w:vAlign w:val="center"/>
                </w:tcPr>
                <w:p w14:paraId="00B8599D">
                  <w:pPr>
                    <w:adjustRightInd w:val="0"/>
                    <w:snapToGrid w:val="0"/>
                    <w:spacing w:line="240" w:lineRule="auto"/>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cs="Times New Roman"/>
                      <w:b/>
                      <w:bCs/>
                      <w:color w:val="auto"/>
                      <w:szCs w:val="21"/>
                      <w:highlight w:val="none"/>
                      <w:vertAlign w:val="baseline"/>
                      <w:lang w:val="en-US" w:eastAsia="zh-CN"/>
                    </w:rPr>
                    <w:t>污染源</w:t>
                  </w:r>
                </w:p>
              </w:tc>
              <w:tc>
                <w:tcPr>
                  <w:tcW w:w="814" w:type="pct"/>
                  <w:tcBorders>
                    <w:tl2br w:val="nil"/>
                    <w:tr2bl w:val="nil"/>
                  </w:tcBorders>
                  <w:noWrap w:val="0"/>
                  <w:vAlign w:val="center"/>
                </w:tcPr>
                <w:p w14:paraId="0E20AE69">
                  <w:pPr>
                    <w:adjustRightInd w:val="0"/>
                    <w:snapToGrid w:val="0"/>
                    <w:spacing w:line="240" w:lineRule="auto"/>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cs="Times New Roman"/>
                      <w:b/>
                      <w:bCs/>
                      <w:color w:val="auto"/>
                      <w:szCs w:val="21"/>
                      <w:highlight w:val="none"/>
                      <w:vertAlign w:val="baseline"/>
                      <w:lang w:val="en-US" w:eastAsia="zh-CN"/>
                    </w:rPr>
                    <w:t>监测因子</w:t>
                  </w:r>
                </w:p>
              </w:tc>
              <w:tc>
                <w:tcPr>
                  <w:tcW w:w="1040" w:type="pct"/>
                  <w:tcBorders>
                    <w:tl2br w:val="nil"/>
                    <w:tr2bl w:val="nil"/>
                  </w:tcBorders>
                  <w:noWrap w:val="0"/>
                  <w:vAlign w:val="center"/>
                </w:tcPr>
                <w:p w14:paraId="2B974AFC">
                  <w:pPr>
                    <w:adjustRightInd w:val="0"/>
                    <w:snapToGrid w:val="0"/>
                    <w:spacing w:line="240" w:lineRule="auto"/>
                    <w:jc w:val="center"/>
                    <w:rPr>
                      <w:rFonts w:hint="eastAsia" w:ascii="Times New Roman" w:hAnsi="Times New Roman" w:eastAsia="宋体" w:cs="Times New Roman"/>
                      <w:b/>
                      <w:bCs/>
                      <w:color w:val="auto"/>
                      <w:szCs w:val="21"/>
                      <w:highlight w:val="none"/>
                      <w:vertAlign w:val="baseline"/>
                      <w:lang w:val="en-US" w:eastAsia="zh-CN"/>
                    </w:rPr>
                  </w:pPr>
                  <w:r>
                    <w:rPr>
                      <w:rFonts w:hint="eastAsia" w:ascii="Times New Roman" w:hAnsi="Times New Roman" w:cs="Times New Roman"/>
                      <w:b/>
                      <w:bCs/>
                      <w:color w:val="auto"/>
                      <w:szCs w:val="21"/>
                      <w:highlight w:val="none"/>
                      <w:vertAlign w:val="baseline"/>
                      <w:lang w:val="en-US" w:eastAsia="zh-CN"/>
                    </w:rPr>
                    <w:t>监测点位</w:t>
                  </w:r>
                </w:p>
              </w:tc>
              <w:tc>
                <w:tcPr>
                  <w:tcW w:w="517" w:type="pct"/>
                  <w:tcBorders>
                    <w:tl2br w:val="nil"/>
                    <w:tr2bl w:val="nil"/>
                  </w:tcBorders>
                  <w:noWrap w:val="0"/>
                  <w:vAlign w:val="center"/>
                </w:tcPr>
                <w:p w14:paraId="7E23E130">
                  <w:pPr>
                    <w:adjustRightInd w:val="0"/>
                    <w:snapToGrid w:val="0"/>
                    <w:spacing w:line="240" w:lineRule="auto"/>
                    <w:jc w:val="center"/>
                    <w:rPr>
                      <w:rFonts w:hint="default" w:ascii="Times New Roman" w:hAnsi="Times New Roman" w:eastAsia="宋体" w:cs="Times New Roman"/>
                      <w:b/>
                      <w:bCs/>
                      <w:color w:val="auto"/>
                      <w:szCs w:val="21"/>
                      <w:highlight w:val="none"/>
                      <w:vertAlign w:val="baseline"/>
                      <w:lang w:val="en-US" w:eastAsia="zh-CN"/>
                    </w:rPr>
                  </w:pPr>
                  <w:r>
                    <w:rPr>
                      <w:rFonts w:hint="eastAsia" w:ascii="Times New Roman" w:hAnsi="Times New Roman" w:cs="Times New Roman"/>
                      <w:b/>
                      <w:bCs/>
                      <w:color w:val="auto"/>
                      <w:szCs w:val="21"/>
                      <w:highlight w:val="none"/>
                      <w:vertAlign w:val="baseline"/>
                      <w:lang w:val="en-US" w:eastAsia="zh-CN"/>
                    </w:rPr>
                    <w:t>监测频次</w:t>
                  </w:r>
                </w:p>
              </w:tc>
              <w:tc>
                <w:tcPr>
                  <w:tcW w:w="1796" w:type="pct"/>
                  <w:tcBorders>
                    <w:tl2br w:val="nil"/>
                    <w:tr2bl w:val="nil"/>
                  </w:tcBorders>
                  <w:noWrap w:val="0"/>
                  <w:vAlign w:val="center"/>
                </w:tcPr>
                <w:p w14:paraId="5EEC9244">
                  <w:pPr>
                    <w:adjustRightInd w:val="0"/>
                    <w:snapToGrid w:val="0"/>
                    <w:spacing w:line="240" w:lineRule="auto"/>
                    <w:jc w:val="center"/>
                    <w:rPr>
                      <w:rFonts w:hint="default" w:ascii="Times New Roman" w:hAnsi="Times New Roman" w:cs="Times New Roman"/>
                      <w:b/>
                      <w:bCs/>
                      <w:color w:val="auto"/>
                      <w:szCs w:val="21"/>
                      <w:highlight w:val="none"/>
                      <w:vertAlign w:val="baseline"/>
                    </w:rPr>
                  </w:pPr>
                  <w:r>
                    <w:rPr>
                      <w:rFonts w:hint="eastAsia" w:ascii="Times New Roman" w:hAnsi="Times New Roman" w:cs="Times New Roman"/>
                      <w:b/>
                      <w:bCs/>
                      <w:color w:val="auto"/>
                      <w:szCs w:val="21"/>
                      <w:highlight w:val="none"/>
                      <w:vertAlign w:val="baseline"/>
                      <w:lang w:val="en-US" w:eastAsia="zh-CN"/>
                    </w:rPr>
                    <w:t>执行标准</w:t>
                  </w:r>
                </w:p>
              </w:tc>
            </w:tr>
            <w:tr w14:paraId="439D5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97" w:type="pct"/>
                  <w:tcBorders>
                    <w:tl2br w:val="nil"/>
                    <w:tr2bl w:val="nil"/>
                  </w:tcBorders>
                  <w:noWrap w:val="0"/>
                  <w:vAlign w:val="center"/>
                </w:tcPr>
                <w:p w14:paraId="3056C97F">
                  <w:pPr>
                    <w:adjustRightInd w:val="0"/>
                    <w:snapToGrid w:val="0"/>
                    <w:spacing w:line="240" w:lineRule="auto"/>
                    <w:jc w:val="center"/>
                    <w:rPr>
                      <w:rFonts w:hint="eastAsia" w:ascii="Times New Roman" w:hAnsi="Times New Roman" w:eastAsia="宋体" w:cs="Times New Roman"/>
                      <w:color w:val="auto"/>
                      <w:szCs w:val="21"/>
                      <w:highlight w:val="none"/>
                      <w:vertAlign w:val="baseline"/>
                      <w:lang w:val="en-US" w:eastAsia="zh-CN"/>
                    </w:rPr>
                  </w:pPr>
                  <w:r>
                    <w:rPr>
                      <w:rFonts w:hint="eastAsia" w:ascii="Times New Roman" w:hAnsi="Times New Roman" w:cs="Times New Roman"/>
                      <w:color w:val="auto"/>
                      <w:szCs w:val="21"/>
                      <w:highlight w:val="none"/>
                      <w:vertAlign w:val="baseline"/>
                      <w:lang w:val="en-US" w:eastAsia="zh-CN"/>
                    </w:rPr>
                    <w:t>废气</w:t>
                  </w:r>
                </w:p>
              </w:tc>
              <w:tc>
                <w:tcPr>
                  <w:tcW w:w="534" w:type="pct"/>
                  <w:tcBorders>
                    <w:tl2br w:val="nil"/>
                    <w:tr2bl w:val="nil"/>
                  </w:tcBorders>
                  <w:noWrap w:val="0"/>
                  <w:vAlign w:val="center"/>
                </w:tcPr>
                <w:p w14:paraId="0B65FE86">
                  <w:pPr>
                    <w:adjustRightInd w:val="0"/>
                    <w:snapToGrid w:val="0"/>
                    <w:spacing w:line="240" w:lineRule="auto"/>
                    <w:jc w:val="center"/>
                    <w:rPr>
                      <w:rFonts w:hint="default" w:ascii="Times New Roman" w:hAnsi="Times New Roman" w:eastAsia="宋体" w:cs="Times New Roman"/>
                      <w:color w:val="auto"/>
                      <w:szCs w:val="21"/>
                      <w:highlight w:val="none"/>
                      <w:vertAlign w:val="baseline"/>
                      <w:lang w:val="en-US" w:eastAsia="zh-CN"/>
                    </w:rPr>
                  </w:pPr>
                  <w:r>
                    <w:rPr>
                      <w:rFonts w:hint="eastAsia" w:cs="Times New Roman"/>
                      <w:color w:val="auto"/>
                      <w:szCs w:val="21"/>
                      <w:highlight w:val="none"/>
                      <w:vertAlign w:val="baseline"/>
                      <w:lang w:val="en-US" w:eastAsia="zh-CN"/>
                    </w:rPr>
                    <w:t>拉丝</w:t>
                  </w:r>
                </w:p>
              </w:tc>
              <w:tc>
                <w:tcPr>
                  <w:tcW w:w="814" w:type="pct"/>
                  <w:tcBorders>
                    <w:tl2br w:val="nil"/>
                    <w:tr2bl w:val="nil"/>
                  </w:tcBorders>
                  <w:noWrap w:val="0"/>
                  <w:vAlign w:val="center"/>
                </w:tcPr>
                <w:p w14:paraId="04E094AE">
                  <w:pPr>
                    <w:adjustRightInd w:val="0"/>
                    <w:snapToGrid w:val="0"/>
                    <w:spacing w:line="240" w:lineRule="auto"/>
                    <w:jc w:val="center"/>
                    <w:rPr>
                      <w:rFonts w:hint="default" w:ascii="Times New Roman" w:hAnsi="Times New Roman" w:eastAsia="宋体" w:cs="Times New Roman"/>
                      <w:color w:val="auto"/>
                      <w:szCs w:val="21"/>
                      <w:highlight w:val="none"/>
                      <w:vertAlign w:val="baseline"/>
                      <w:lang w:val="en-US" w:eastAsia="zh-CN"/>
                    </w:rPr>
                  </w:pPr>
                  <w:r>
                    <w:rPr>
                      <w:rFonts w:hint="eastAsia" w:cs="Times New Roman"/>
                      <w:color w:val="auto"/>
                      <w:szCs w:val="21"/>
                      <w:highlight w:val="none"/>
                      <w:vertAlign w:val="baseline"/>
                      <w:lang w:val="en-US" w:eastAsia="zh-CN"/>
                    </w:rPr>
                    <w:t>颗粒物</w:t>
                  </w:r>
                </w:p>
              </w:tc>
              <w:tc>
                <w:tcPr>
                  <w:tcW w:w="1040" w:type="pct"/>
                  <w:tcBorders>
                    <w:tl2br w:val="nil"/>
                    <w:tr2bl w:val="nil"/>
                  </w:tcBorders>
                  <w:noWrap w:val="0"/>
                  <w:vAlign w:val="center"/>
                </w:tcPr>
                <w:p w14:paraId="07FA5999">
                  <w:pPr>
                    <w:adjustRightInd w:val="0"/>
                    <w:snapToGrid w:val="0"/>
                    <w:spacing w:line="240" w:lineRule="auto"/>
                    <w:jc w:val="center"/>
                    <w:rPr>
                      <w:rFonts w:hint="default" w:ascii="Times New Roman" w:hAnsi="Times New Roman" w:cs="Times New Roman"/>
                      <w:b w:val="0"/>
                      <w:bCs w:val="0"/>
                      <w:color w:val="auto"/>
                      <w:szCs w:val="21"/>
                      <w:highlight w:val="none"/>
                      <w:vertAlign w:val="baseline"/>
                      <w:lang w:val="en-US" w:eastAsia="zh-CN"/>
                    </w:rPr>
                  </w:pPr>
                  <w:r>
                    <w:rPr>
                      <w:rFonts w:hint="eastAsia" w:cs="Times New Roman"/>
                      <w:b w:val="0"/>
                      <w:bCs w:val="0"/>
                      <w:color w:val="auto"/>
                      <w:szCs w:val="21"/>
                      <w:highlight w:val="none"/>
                      <w:vertAlign w:val="baseline"/>
                      <w:lang w:val="en-US" w:eastAsia="zh-CN"/>
                    </w:rPr>
                    <w:t>厂界</w:t>
                  </w:r>
                  <w:r>
                    <w:rPr>
                      <w:rFonts w:hint="eastAsia" w:ascii="Times New Roman" w:hAnsi="Times New Roman" w:eastAsia="宋体" w:cs="Times New Roman"/>
                      <w:b w:val="0"/>
                      <w:bCs w:val="0"/>
                      <w:color w:val="auto"/>
                      <w:highlight w:val="none"/>
                      <w:lang w:val="en-US" w:eastAsia="zh-CN"/>
                    </w:rPr>
                    <w:t>上风向1个，下风向3个</w:t>
                  </w:r>
                </w:p>
              </w:tc>
              <w:tc>
                <w:tcPr>
                  <w:tcW w:w="517" w:type="pct"/>
                  <w:tcBorders>
                    <w:tl2br w:val="nil"/>
                    <w:tr2bl w:val="nil"/>
                  </w:tcBorders>
                  <w:noWrap w:val="0"/>
                  <w:vAlign w:val="center"/>
                </w:tcPr>
                <w:p w14:paraId="47B9029F">
                  <w:pPr>
                    <w:adjustRightInd w:val="0"/>
                    <w:snapToGrid w:val="0"/>
                    <w:spacing w:line="240" w:lineRule="auto"/>
                    <w:jc w:val="center"/>
                    <w:rPr>
                      <w:rFonts w:hint="eastAsia" w:ascii="Times New Roman" w:hAnsi="Times New Roman" w:eastAsia="宋体" w:cs="Times New Roman"/>
                      <w:b w:val="0"/>
                      <w:bCs w:val="0"/>
                      <w:color w:val="auto"/>
                      <w:szCs w:val="21"/>
                      <w:highlight w:val="none"/>
                      <w:vertAlign w:val="baseline"/>
                      <w:lang w:val="en-US" w:eastAsia="zh-CN"/>
                    </w:rPr>
                  </w:pPr>
                  <w:r>
                    <w:rPr>
                      <w:rFonts w:hint="eastAsia"/>
                      <w:bCs/>
                      <w:color w:val="auto"/>
                      <w:szCs w:val="21"/>
                    </w:rPr>
                    <w:t>1次/</w:t>
                  </w:r>
                  <w:r>
                    <w:rPr>
                      <w:rFonts w:hint="eastAsia"/>
                      <w:bCs/>
                      <w:color w:val="auto"/>
                      <w:szCs w:val="21"/>
                      <w:lang w:val="en-US" w:eastAsia="zh-CN"/>
                    </w:rPr>
                    <w:t>年</w:t>
                  </w:r>
                </w:p>
              </w:tc>
              <w:tc>
                <w:tcPr>
                  <w:tcW w:w="1796" w:type="pct"/>
                  <w:tcBorders>
                    <w:tl2br w:val="nil"/>
                    <w:tr2bl w:val="nil"/>
                  </w:tcBorders>
                  <w:noWrap w:val="0"/>
                  <w:vAlign w:val="center"/>
                </w:tcPr>
                <w:p w14:paraId="25C1771A">
                  <w:pPr>
                    <w:adjustRightInd w:val="0"/>
                    <w:snapToGrid w:val="0"/>
                    <w:spacing w:line="240" w:lineRule="auto"/>
                    <w:jc w:val="center"/>
                    <w:rPr>
                      <w:rFonts w:hint="default" w:ascii="Times New Roman" w:hAnsi="Times New Roman" w:cs="Times New Roman"/>
                      <w:color w:val="auto"/>
                      <w:szCs w:val="21"/>
                      <w:highlight w:val="none"/>
                      <w:vertAlign w:val="baseline"/>
                    </w:rPr>
                  </w:pPr>
                  <w:r>
                    <w:rPr>
                      <w:rFonts w:hint="default" w:ascii="Times New Roman" w:hAnsi="Times New Roman" w:cs="Times New Roman"/>
                      <w:color w:val="auto"/>
                      <w:szCs w:val="21"/>
                      <w:highlight w:val="none"/>
                      <w:vertAlign w:val="baseline"/>
                      <w:lang w:val="en-US" w:eastAsia="zh-CN"/>
                    </w:rPr>
                    <w:t>《大气污染物综合排放标准》（GB16297-1996）</w:t>
                  </w:r>
                </w:p>
              </w:tc>
            </w:tr>
          </w:tbl>
          <w:p w14:paraId="33D25032">
            <w:pPr>
              <w:adjustRightInd w:val="0"/>
              <w:snapToGrid w:val="0"/>
              <w:spacing w:line="360" w:lineRule="auto"/>
              <w:ind w:firstLine="482" w:firstLineChars="200"/>
              <w:rPr>
                <w:color w:val="auto"/>
                <w:sz w:val="24"/>
              </w:rPr>
            </w:pPr>
            <w:r>
              <w:rPr>
                <w:b/>
                <w:bCs/>
                <w:color w:val="auto"/>
                <w:sz w:val="24"/>
              </w:rPr>
              <w:t>2</w:t>
            </w:r>
            <w:r>
              <w:rPr>
                <w:rFonts w:hint="eastAsia"/>
                <w:b/>
                <w:bCs/>
                <w:color w:val="auto"/>
                <w:sz w:val="24"/>
              </w:rPr>
              <w:t>.</w:t>
            </w:r>
            <w:r>
              <w:rPr>
                <w:b/>
                <w:bCs/>
                <w:color w:val="auto"/>
                <w:sz w:val="24"/>
              </w:rPr>
              <w:t>水环境影响及保护措施</w:t>
            </w:r>
          </w:p>
          <w:p w14:paraId="47661B5C">
            <w:pPr>
              <w:adjustRightInd w:val="0"/>
              <w:snapToGrid w:val="0"/>
              <w:spacing w:line="360" w:lineRule="auto"/>
              <w:ind w:firstLine="480" w:firstLineChars="200"/>
              <w:jc w:val="left"/>
              <w:rPr>
                <w:bCs/>
                <w:color w:val="auto"/>
                <w:kern w:val="0"/>
                <w:sz w:val="24"/>
              </w:rPr>
            </w:pPr>
            <w:r>
              <w:rPr>
                <w:rFonts w:hint="eastAsia"/>
                <w:bCs/>
                <w:color w:val="auto"/>
                <w:kern w:val="0"/>
                <w:sz w:val="24"/>
              </w:rPr>
              <w:t>（1）</w:t>
            </w:r>
            <w:r>
              <w:rPr>
                <w:bCs/>
                <w:color w:val="auto"/>
                <w:kern w:val="0"/>
                <w:sz w:val="24"/>
              </w:rPr>
              <w:t>废水</w:t>
            </w:r>
            <w:r>
              <w:rPr>
                <w:rFonts w:hint="eastAsia"/>
                <w:bCs/>
                <w:color w:val="auto"/>
                <w:kern w:val="0"/>
                <w:sz w:val="24"/>
              </w:rPr>
              <w:t>排放源强及污染防治措施</w:t>
            </w:r>
          </w:p>
          <w:p w14:paraId="1D39A35F">
            <w:pPr>
              <w:adjustRightInd w:val="0"/>
              <w:snapToGrid w:val="0"/>
              <w:spacing w:line="360" w:lineRule="auto"/>
              <w:ind w:firstLine="480" w:firstLineChars="200"/>
              <w:jc w:val="left"/>
              <w:rPr>
                <w:rFonts w:hint="eastAsia"/>
                <w:color w:val="auto"/>
                <w:sz w:val="24"/>
                <w:lang w:eastAsia="zh-CN"/>
              </w:rPr>
            </w:pPr>
            <w:r>
              <w:rPr>
                <w:rFonts w:hint="eastAsia"/>
                <w:color w:val="auto"/>
                <w:sz w:val="24"/>
                <w:szCs w:val="32"/>
              </w:rPr>
              <w:t>项目石墨乳配制用水蒸发损耗，定期补充，不产生废水；项目</w:t>
            </w:r>
            <w:r>
              <w:rPr>
                <w:rFonts w:hint="eastAsia"/>
                <w:color w:val="auto"/>
                <w:sz w:val="24"/>
                <w:szCs w:val="32"/>
                <w:lang w:val="en-US" w:eastAsia="zh-CN"/>
              </w:rPr>
              <w:t>生活污水产生量为120</w:t>
            </w:r>
            <w:r>
              <w:rPr>
                <w:color w:val="auto"/>
                <w:sz w:val="24"/>
              </w:rPr>
              <w:t>m</w:t>
            </w:r>
            <w:r>
              <w:rPr>
                <w:color w:val="auto"/>
                <w:sz w:val="24"/>
                <w:vertAlign w:val="superscript"/>
              </w:rPr>
              <w:t>3</w:t>
            </w:r>
            <w:r>
              <w:rPr>
                <w:color w:val="auto"/>
                <w:sz w:val="24"/>
              </w:rPr>
              <w:t>/a</w:t>
            </w:r>
            <w:r>
              <w:rPr>
                <w:rFonts w:hint="eastAsia"/>
                <w:color w:val="auto"/>
                <w:sz w:val="24"/>
                <w:lang w:eastAsia="zh-CN"/>
              </w:rPr>
              <w:t>，</w:t>
            </w:r>
            <w:r>
              <w:rPr>
                <w:rFonts w:hint="eastAsia"/>
                <w:color w:val="auto"/>
                <w:sz w:val="24"/>
                <w:lang w:val="en-US" w:eastAsia="zh-CN"/>
              </w:rPr>
              <w:t>生活污水进入租赁厂区化粪池，经化粪池收集后，定期委托附近村民清运施肥，不外排</w:t>
            </w:r>
            <w:r>
              <w:rPr>
                <w:rFonts w:hint="eastAsia"/>
                <w:color w:val="auto"/>
                <w:sz w:val="24"/>
                <w:lang w:eastAsia="zh-CN"/>
              </w:rPr>
              <w:t>。</w:t>
            </w:r>
          </w:p>
          <w:p w14:paraId="2FF025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b/>
                <w:bCs/>
                <w:color w:val="auto"/>
                <w:kern w:val="0"/>
                <w:szCs w:val="21"/>
                <w:lang w:val="en-US" w:eastAsia="zh-CN"/>
              </w:rPr>
            </w:pPr>
            <w:r>
              <w:rPr>
                <w:rStyle w:val="75"/>
                <w:rFonts w:hint="eastAsia"/>
                <w:b/>
                <w:bCs/>
                <w:color w:val="auto"/>
                <w:lang w:val="en-US" w:eastAsia="zh-CN"/>
              </w:rPr>
              <w:t>表4</w:t>
            </w:r>
            <w:r>
              <w:rPr>
                <w:rFonts w:hint="eastAsia"/>
                <w:b/>
                <w:bCs/>
                <w:color w:val="auto"/>
                <w:lang w:val="en-US" w:eastAsia="zh-CN"/>
              </w:rPr>
              <w:t>-3</w:t>
            </w:r>
            <w:r>
              <w:rPr>
                <w:rFonts w:hint="eastAsia" w:ascii="Times New Roman" w:hAnsi="Times New Roman" w:cs="Times New Roman"/>
                <w:b/>
                <w:bCs/>
                <w:color w:val="auto"/>
                <w:kern w:val="0"/>
                <w:sz w:val="21"/>
                <w:szCs w:val="21"/>
                <w:highlight w:val="none"/>
                <w:lang w:val="en-US" w:eastAsia="zh-CN"/>
              </w:rPr>
              <w:t xml:space="preserve">  废水污染源强核算结果及相关参数</w:t>
            </w:r>
          </w:p>
          <w:tbl>
            <w:tblPr>
              <w:tblStyle w:val="24"/>
              <w:tblW w:w="8557" w:type="dxa"/>
              <w:tblInd w:w="-6"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66"/>
              <w:gridCol w:w="1711"/>
              <w:gridCol w:w="1312"/>
              <w:gridCol w:w="1658"/>
              <w:gridCol w:w="1797"/>
              <w:gridCol w:w="1413"/>
            </w:tblGrid>
            <w:tr w14:paraId="2F491E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6" w:type="dxa"/>
                  <w:tcBorders>
                    <w:tl2br w:val="nil"/>
                    <w:tr2bl w:val="nil"/>
                  </w:tcBorders>
                  <w:vAlign w:val="center"/>
                </w:tcPr>
                <w:p w14:paraId="54055ABD">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类别</w:t>
                  </w:r>
                </w:p>
              </w:tc>
              <w:tc>
                <w:tcPr>
                  <w:tcW w:w="1711" w:type="dxa"/>
                  <w:tcBorders>
                    <w:tl2br w:val="nil"/>
                    <w:tr2bl w:val="nil"/>
                  </w:tcBorders>
                  <w:vAlign w:val="center"/>
                </w:tcPr>
                <w:p w14:paraId="1A7DA8B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产污环节</w:t>
                  </w:r>
                </w:p>
              </w:tc>
              <w:tc>
                <w:tcPr>
                  <w:tcW w:w="1312" w:type="dxa"/>
                  <w:tcBorders>
                    <w:tl2br w:val="nil"/>
                    <w:tr2bl w:val="nil"/>
                  </w:tcBorders>
                  <w:vAlign w:val="center"/>
                </w:tcPr>
                <w:p w14:paraId="76B09F1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污染物种类</w:t>
                  </w:r>
                </w:p>
              </w:tc>
              <w:tc>
                <w:tcPr>
                  <w:tcW w:w="1658" w:type="dxa"/>
                  <w:tcBorders>
                    <w:tl2br w:val="nil"/>
                    <w:tr2bl w:val="nil"/>
                  </w:tcBorders>
                  <w:vAlign w:val="center"/>
                </w:tcPr>
                <w:p w14:paraId="604348A4">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废水产生量（t/a）</w:t>
                  </w:r>
                </w:p>
              </w:tc>
              <w:tc>
                <w:tcPr>
                  <w:tcW w:w="1797" w:type="dxa"/>
                  <w:tcBorders>
                    <w:tl2br w:val="nil"/>
                    <w:tr2bl w:val="nil"/>
                  </w:tcBorders>
                  <w:vAlign w:val="center"/>
                </w:tcPr>
                <w:p w14:paraId="724176D0">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lang w:val="en-US" w:eastAsia="zh-CN" w:bidi="ar"/>
                    </w:rPr>
                  </w:pPr>
                  <w:r>
                    <w:rPr>
                      <w:rFonts w:hint="default" w:ascii="Times New Roman" w:hAnsi="Times New Roman" w:eastAsia="宋体" w:cs="Times New Roman"/>
                      <w:b w:val="0"/>
                      <w:bCs w:val="0"/>
                      <w:color w:val="auto"/>
                      <w:kern w:val="0"/>
                      <w:sz w:val="21"/>
                      <w:szCs w:val="21"/>
                      <w:lang w:val="en-US" w:eastAsia="zh-CN" w:bidi="ar"/>
                    </w:rPr>
                    <w:t>产生浓度（mg/L）</w:t>
                  </w:r>
                </w:p>
              </w:tc>
              <w:tc>
                <w:tcPr>
                  <w:tcW w:w="1413" w:type="dxa"/>
                  <w:tcBorders>
                    <w:tl2br w:val="nil"/>
                    <w:tr2bl w:val="nil"/>
                  </w:tcBorders>
                  <w:vAlign w:val="center"/>
                </w:tcPr>
                <w:p w14:paraId="636F8CD9">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lang w:val="en-US" w:eastAsia="zh-CN" w:bidi="ar"/>
                    </w:rPr>
                    <w:t>产生量（t/a）</w:t>
                  </w:r>
                </w:p>
              </w:tc>
            </w:tr>
            <w:tr w14:paraId="4BCCD0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6" w:type="dxa"/>
                  <w:vMerge w:val="restart"/>
                  <w:tcBorders>
                    <w:tl2br w:val="nil"/>
                    <w:tr2bl w:val="nil"/>
                  </w:tcBorders>
                  <w:vAlign w:val="center"/>
                </w:tcPr>
                <w:p w14:paraId="3FEBE0FB">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b w:val="0"/>
                      <w:bCs w:val="0"/>
                      <w:color w:val="auto"/>
                      <w:kern w:val="0"/>
                      <w:sz w:val="21"/>
                      <w:szCs w:val="21"/>
                      <w:vertAlign w:val="baseline"/>
                      <w:lang w:val="en-US" w:eastAsia="zh-CN" w:bidi="ar"/>
                    </w:rPr>
                    <w:t>生活污水</w:t>
                  </w:r>
                </w:p>
              </w:tc>
              <w:tc>
                <w:tcPr>
                  <w:tcW w:w="1711" w:type="dxa"/>
                  <w:vMerge w:val="restart"/>
                  <w:tcBorders>
                    <w:tl2br w:val="nil"/>
                    <w:tr2bl w:val="nil"/>
                  </w:tcBorders>
                  <w:vAlign w:val="center"/>
                </w:tcPr>
                <w:p w14:paraId="6179189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生活污水</w:t>
                  </w:r>
                </w:p>
              </w:tc>
              <w:tc>
                <w:tcPr>
                  <w:tcW w:w="1312" w:type="dxa"/>
                  <w:tcBorders>
                    <w:tl2br w:val="nil"/>
                    <w:tr2bl w:val="nil"/>
                  </w:tcBorders>
                  <w:shd w:val="clear" w:color="auto" w:fill="auto"/>
                  <w:vAlign w:val="center"/>
                </w:tcPr>
                <w:p w14:paraId="4FD8ED9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COD</w:t>
                  </w:r>
                </w:p>
              </w:tc>
              <w:tc>
                <w:tcPr>
                  <w:tcW w:w="1658" w:type="dxa"/>
                  <w:vMerge w:val="restart"/>
                  <w:tcBorders>
                    <w:tl2br w:val="nil"/>
                    <w:tr2bl w:val="nil"/>
                  </w:tcBorders>
                  <w:shd w:val="clear" w:color="auto" w:fill="auto"/>
                  <w:vAlign w:val="center"/>
                </w:tcPr>
                <w:p w14:paraId="436BD856">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eastAsia" w:ascii="Times New Roman" w:hAnsi="Times New Roman" w:eastAsia="宋体" w:cs="Times New Roman"/>
                      <w:i w:val="0"/>
                      <w:iCs w:val="0"/>
                      <w:color w:val="auto"/>
                      <w:kern w:val="0"/>
                      <w:sz w:val="21"/>
                      <w:szCs w:val="21"/>
                      <w:u w:val="none"/>
                      <w:lang w:val="en-US" w:eastAsia="zh-CN" w:bidi="ar"/>
                    </w:rPr>
                    <w:t>120</w:t>
                  </w:r>
                </w:p>
              </w:tc>
              <w:tc>
                <w:tcPr>
                  <w:tcW w:w="1797" w:type="dxa"/>
                  <w:tcBorders>
                    <w:tl2br w:val="nil"/>
                    <w:tr2bl w:val="nil"/>
                  </w:tcBorders>
                  <w:shd w:val="clear" w:color="auto" w:fill="auto"/>
                  <w:vAlign w:val="center"/>
                </w:tcPr>
                <w:p w14:paraId="5071C78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460</w:t>
                  </w:r>
                </w:p>
              </w:tc>
              <w:tc>
                <w:tcPr>
                  <w:tcW w:w="1413" w:type="dxa"/>
                  <w:tcBorders>
                    <w:tl2br w:val="nil"/>
                    <w:tr2bl w:val="nil"/>
                  </w:tcBorders>
                  <w:shd w:val="clear" w:color="auto" w:fill="auto"/>
                  <w:vAlign w:val="center"/>
                </w:tcPr>
                <w:p w14:paraId="7DE5B7CD">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0.055</w:t>
                  </w:r>
                </w:p>
              </w:tc>
            </w:tr>
            <w:tr w14:paraId="6E268A7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6" w:type="dxa"/>
                  <w:vMerge w:val="continue"/>
                  <w:tcBorders>
                    <w:tl2br w:val="nil"/>
                    <w:tr2bl w:val="nil"/>
                  </w:tcBorders>
                  <w:vAlign w:val="center"/>
                </w:tcPr>
                <w:p w14:paraId="3292D69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711" w:type="dxa"/>
                  <w:vMerge w:val="continue"/>
                  <w:tcBorders>
                    <w:tl2br w:val="nil"/>
                    <w:tr2bl w:val="nil"/>
                  </w:tcBorders>
                  <w:vAlign w:val="center"/>
                </w:tcPr>
                <w:p w14:paraId="4586307D">
                  <w:pPr>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312" w:type="dxa"/>
                  <w:tcBorders>
                    <w:tl2br w:val="nil"/>
                    <w:tr2bl w:val="nil"/>
                  </w:tcBorders>
                  <w:shd w:val="clear" w:color="auto" w:fill="auto"/>
                  <w:vAlign w:val="center"/>
                </w:tcPr>
                <w:p w14:paraId="2A90A42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BOD</w:t>
                  </w:r>
                  <w:r>
                    <w:rPr>
                      <w:rFonts w:hint="default" w:ascii="Times New Roman" w:hAnsi="Times New Roman" w:eastAsia="宋体" w:cs="Times New Roman"/>
                      <w:i w:val="0"/>
                      <w:iCs w:val="0"/>
                      <w:color w:val="auto"/>
                      <w:kern w:val="0"/>
                      <w:sz w:val="21"/>
                      <w:szCs w:val="21"/>
                      <w:u w:val="none"/>
                      <w:vertAlign w:val="subscript"/>
                      <w:lang w:val="en-US" w:eastAsia="zh-CN" w:bidi="ar"/>
                    </w:rPr>
                    <w:t>5</w:t>
                  </w:r>
                </w:p>
              </w:tc>
              <w:tc>
                <w:tcPr>
                  <w:tcW w:w="1658" w:type="dxa"/>
                  <w:vMerge w:val="continue"/>
                  <w:tcBorders>
                    <w:tl2br w:val="nil"/>
                    <w:tr2bl w:val="nil"/>
                  </w:tcBorders>
                  <w:shd w:val="clear" w:color="auto" w:fill="auto"/>
                  <w:vAlign w:val="center"/>
                </w:tcPr>
                <w:p w14:paraId="44FFC4E4">
                  <w:pPr>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797" w:type="dxa"/>
                  <w:tcBorders>
                    <w:tl2br w:val="nil"/>
                    <w:tr2bl w:val="nil"/>
                  </w:tcBorders>
                  <w:shd w:val="clear" w:color="auto" w:fill="auto"/>
                  <w:vAlign w:val="center"/>
                </w:tcPr>
                <w:p w14:paraId="072455CF">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230</w:t>
                  </w:r>
                </w:p>
              </w:tc>
              <w:tc>
                <w:tcPr>
                  <w:tcW w:w="1413" w:type="dxa"/>
                  <w:tcBorders>
                    <w:tl2br w:val="nil"/>
                    <w:tr2bl w:val="nil"/>
                  </w:tcBorders>
                  <w:shd w:val="clear" w:color="auto" w:fill="auto"/>
                  <w:vAlign w:val="center"/>
                </w:tcPr>
                <w:p w14:paraId="6ABB18E4">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0.02</w:t>
                  </w:r>
                  <w:r>
                    <w:rPr>
                      <w:rFonts w:hint="eastAsia" w:ascii="Times New Roman" w:hAnsi="Times New Roman" w:eastAsia="宋体" w:cs="Times New Roman"/>
                      <w:i w:val="0"/>
                      <w:iCs w:val="0"/>
                      <w:color w:val="auto"/>
                      <w:kern w:val="0"/>
                      <w:sz w:val="21"/>
                      <w:szCs w:val="21"/>
                      <w:u w:val="none"/>
                      <w:lang w:val="en-US" w:eastAsia="zh-CN" w:bidi="ar"/>
                    </w:rPr>
                    <w:t>8</w:t>
                  </w:r>
                </w:p>
              </w:tc>
            </w:tr>
            <w:tr w14:paraId="39CAA5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6" w:type="dxa"/>
                  <w:vMerge w:val="continue"/>
                  <w:tcBorders>
                    <w:tl2br w:val="nil"/>
                    <w:tr2bl w:val="nil"/>
                  </w:tcBorders>
                  <w:vAlign w:val="center"/>
                </w:tcPr>
                <w:p w14:paraId="332CB52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711" w:type="dxa"/>
                  <w:vMerge w:val="continue"/>
                  <w:tcBorders>
                    <w:tl2br w:val="nil"/>
                    <w:tr2bl w:val="nil"/>
                  </w:tcBorders>
                  <w:vAlign w:val="center"/>
                </w:tcPr>
                <w:p w14:paraId="7472B966">
                  <w:pPr>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312" w:type="dxa"/>
                  <w:tcBorders>
                    <w:tl2br w:val="nil"/>
                    <w:tr2bl w:val="nil"/>
                  </w:tcBorders>
                  <w:shd w:val="clear" w:color="auto" w:fill="auto"/>
                  <w:vAlign w:val="center"/>
                </w:tcPr>
                <w:p w14:paraId="14B7D97D">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NH</w:t>
                  </w:r>
                  <w:r>
                    <w:rPr>
                      <w:rFonts w:hint="default" w:ascii="Times New Roman" w:hAnsi="Times New Roman" w:eastAsia="宋体" w:cs="Times New Roman"/>
                      <w:i w:val="0"/>
                      <w:iCs w:val="0"/>
                      <w:color w:val="auto"/>
                      <w:kern w:val="0"/>
                      <w:sz w:val="21"/>
                      <w:szCs w:val="21"/>
                      <w:u w:val="none"/>
                      <w:vertAlign w:val="sub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-N</w:t>
                  </w:r>
                </w:p>
              </w:tc>
              <w:tc>
                <w:tcPr>
                  <w:tcW w:w="1658" w:type="dxa"/>
                  <w:vMerge w:val="continue"/>
                  <w:tcBorders>
                    <w:tl2br w:val="nil"/>
                    <w:tr2bl w:val="nil"/>
                  </w:tcBorders>
                  <w:shd w:val="clear" w:color="auto" w:fill="auto"/>
                  <w:vAlign w:val="center"/>
                </w:tcPr>
                <w:p w14:paraId="35AEB7E3">
                  <w:pPr>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797" w:type="dxa"/>
                  <w:tcBorders>
                    <w:tl2br w:val="nil"/>
                    <w:tr2bl w:val="nil"/>
                  </w:tcBorders>
                  <w:shd w:val="clear" w:color="auto" w:fill="auto"/>
                  <w:vAlign w:val="center"/>
                </w:tcPr>
                <w:p w14:paraId="069A3A5E">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22</w:t>
                  </w:r>
                </w:p>
              </w:tc>
              <w:tc>
                <w:tcPr>
                  <w:tcW w:w="1413" w:type="dxa"/>
                  <w:tcBorders>
                    <w:tl2br w:val="nil"/>
                    <w:tr2bl w:val="nil"/>
                  </w:tcBorders>
                  <w:shd w:val="clear" w:color="auto" w:fill="auto"/>
                  <w:vAlign w:val="center"/>
                </w:tcPr>
                <w:p w14:paraId="008333EA">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3</w:t>
                  </w:r>
                </w:p>
              </w:tc>
            </w:tr>
            <w:tr w14:paraId="5E74AA6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6" w:type="dxa"/>
                  <w:vMerge w:val="continue"/>
                  <w:tcBorders>
                    <w:tl2br w:val="nil"/>
                    <w:tr2bl w:val="nil"/>
                  </w:tcBorders>
                  <w:vAlign w:val="center"/>
                </w:tcPr>
                <w:p w14:paraId="1CE5B016">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711" w:type="dxa"/>
                  <w:vMerge w:val="continue"/>
                  <w:tcBorders>
                    <w:tl2br w:val="nil"/>
                    <w:tr2bl w:val="nil"/>
                  </w:tcBorders>
                  <w:vAlign w:val="center"/>
                </w:tcPr>
                <w:p w14:paraId="5F9A5458">
                  <w:pPr>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312" w:type="dxa"/>
                  <w:tcBorders>
                    <w:tl2br w:val="nil"/>
                    <w:tr2bl w:val="nil"/>
                  </w:tcBorders>
                  <w:shd w:val="clear" w:color="auto" w:fill="auto"/>
                  <w:vAlign w:val="center"/>
                </w:tcPr>
                <w:p w14:paraId="7DCEC600">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总磷</w:t>
                  </w:r>
                </w:p>
              </w:tc>
              <w:tc>
                <w:tcPr>
                  <w:tcW w:w="1658" w:type="dxa"/>
                  <w:vMerge w:val="continue"/>
                  <w:tcBorders>
                    <w:tl2br w:val="nil"/>
                    <w:tr2bl w:val="nil"/>
                  </w:tcBorders>
                  <w:shd w:val="clear" w:color="auto" w:fill="auto"/>
                  <w:vAlign w:val="center"/>
                </w:tcPr>
                <w:p w14:paraId="24324434">
                  <w:pPr>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797" w:type="dxa"/>
                  <w:tcBorders>
                    <w:tl2br w:val="nil"/>
                    <w:tr2bl w:val="nil"/>
                  </w:tcBorders>
                  <w:shd w:val="clear" w:color="auto" w:fill="auto"/>
                  <w:vAlign w:val="center"/>
                </w:tcPr>
                <w:p w14:paraId="20C68355">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1413" w:type="dxa"/>
                  <w:tcBorders>
                    <w:tl2br w:val="nil"/>
                    <w:tr2bl w:val="nil"/>
                  </w:tcBorders>
                  <w:shd w:val="clear" w:color="auto" w:fill="auto"/>
                  <w:vAlign w:val="center"/>
                </w:tcPr>
                <w:p w14:paraId="49E37EE3">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0.0006</w:t>
                  </w:r>
                </w:p>
              </w:tc>
            </w:tr>
            <w:tr w14:paraId="46DE70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6" w:type="dxa"/>
                  <w:vMerge w:val="continue"/>
                  <w:tcBorders>
                    <w:tl2br w:val="nil"/>
                    <w:tr2bl w:val="nil"/>
                  </w:tcBorders>
                  <w:vAlign w:val="center"/>
                </w:tcPr>
                <w:p w14:paraId="2D37F181">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kern w:val="0"/>
                      <w:sz w:val="21"/>
                      <w:szCs w:val="21"/>
                      <w:vertAlign w:val="baseline"/>
                      <w:lang w:val="en-US" w:eastAsia="zh-CN" w:bidi="ar"/>
                    </w:rPr>
                  </w:pPr>
                </w:p>
              </w:tc>
              <w:tc>
                <w:tcPr>
                  <w:tcW w:w="1711" w:type="dxa"/>
                  <w:vMerge w:val="continue"/>
                  <w:tcBorders>
                    <w:tl2br w:val="nil"/>
                    <w:tr2bl w:val="nil"/>
                  </w:tcBorders>
                  <w:vAlign w:val="center"/>
                </w:tcPr>
                <w:p w14:paraId="565A4814">
                  <w:pPr>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312" w:type="dxa"/>
                  <w:tcBorders>
                    <w:tl2br w:val="nil"/>
                    <w:tr2bl w:val="nil"/>
                  </w:tcBorders>
                  <w:shd w:val="clear" w:color="auto" w:fill="auto"/>
                  <w:vAlign w:val="center"/>
                </w:tcPr>
                <w:p w14:paraId="0D488ACA">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总氮</w:t>
                  </w:r>
                </w:p>
              </w:tc>
              <w:tc>
                <w:tcPr>
                  <w:tcW w:w="1658" w:type="dxa"/>
                  <w:vMerge w:val="continue"/>
                  <w:tcBorders>
                    <w:tl2br w:val="nil"/>
                    <w:tr2bl w:val="nil"/>
                  </w:tcBorders>
                  <w:shd w:val="clear" w:color="auto" w:fill="auto"/>
                  <w:vAlign w:val="center"/>
                </w:tcPr>
                <w:p w14:paraId="4ED7219F">
                  <w:pPr>
                    <w:jc w:val="center"/>
                    <w:rPr>
                      <w:rFonts w:hint="default" w:ascii="Times New Roman" w:hAnsi="Times New Roman" w:eastAsia="宋体" w:cs="Times New Roman"/>
                      <w:b w:val="0"/>
                      <w:bCs w:val="0"/>
                      <w:color w:val="auto"/>
                      <w:kern w:val="0"/>
                      <w:sz w:val="21"/>
                      <w:szCs w:val="21"/>
                      <w:vertAlign w:val="baseline"/>
                      <w:lang w:val="en-US" w:eastAsia="zh-CN" w:bidi="ar"/>
                    </w:rPr>
                  </w:pPr>
                </w:p>
              </w:tc>
              <w:tc>
                <w:tcPr>
                  <w:tcW w:w="1797" w:type="dxa"/>
                  <w:tcBorders>
                    <w:tl2br w:val="nil"/>
                    <w:tr2bl w:val="nil"/>
                  </w:tcBorders>
                  <w:shd w:val="clear" w:color="auto" w:fill="auto"/>
                  <w:vAlign w:val="center"/>
                </w:tcPr>
                <w:p w14:paraId="4A66A0EE">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w:t>
                  </w:r>
                </w:p>
              </w:tc>
              <w:tc>
                <w:tcPr>
                  <w:tcW w:w="1413" w:type="dxa"/>
                  <w:tcBorders>
                    <w:tl2br w:val="nil"/>
                    <w:tr2bl w:val="nil"/>
                  </w:tcBorders>
                  <w:shd w:val="clear" w:color="auto" w:fill="auto"/>
                  <w:vAlign w:val="center"/>
                </w:tcPr>
                <w:p w14:paraId="3F568155">
                  <w:pPr>
                    <w:keepNext w:val="0"/>
                    <w:keepLines w:val="0"/>
                    <w:widowControl/>
                    <w:suppressLineNumbers w:val="0"/>
                    <w:jc w:val="center"/>
                    <w:textAlignment w:val="center"/>
                    <w:rPr>
                      <w:rFonts w:hint="default" w:ascii="Times New Roman" w:hAnsi="Times New Roman" w:eastAsia="宋体" w:cs="Times New Roman"/>
                      <w:b w:val="0"/>
                      <w:bCs w:val="0"/>
                      <w:color w:val="auto"/>
                      <w:kern w:val="0"/>
                      <w:sz w:val="21"/>
                      <w:szCs w:val="21"/>
                      <w:vertAlign w:val="baseli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w:t>
                  </w:r>
                  <w:r>
                    <w:rPr>
                      <w:rFonts w:hint="eastAsia" w:ascii="Times New Roman" w:hAnsi="Times New Roman" w:eastAsia="宋体" w:cs="Times New Roman"/>
                      <w:i w:val="0"/>
                      <w:iCs w:val="0"/>
                      <w:color w:val="auto"/>
                      <w:kern w:val="0"/>
                      <w:sz w:val="21"/>
                      <w:szCs w:val="21"/>
                      <w:u w:val="none"/>
                      <w:lang w:val="en-US" w:eastAsia="zh-CN" w:bidi="ar"/>
                    </w:rPr>
                    <w:t>9</w:t>
                  </w:r>
                </w:p>
              </w:tc>
            </w:tr>
          </w:tbl>
          <w:p w14:paraId="087B1909">
            <w:pPr>
              <w:numPr>
                <w:ilvl w:val="0"/>
                <w:numId w:val="2"/>
              </w:numPr>
              <w:adjustRightInd w:val="0"/>
              <w:snapToGrid w:val="0"/>
              <w:spacing w:line="360" w:lineRule="auto"/>
              <w:ind w:firstLine="480" w:firstLineChars="200"/>
              <w:jc w:val="left"/>
              <w:rPr>
                <w:rFonts w:hint="eastAsia"/>
                <w:color w:val="auto"/>
                <w:sz w:val="24"/>
              </w:rPr>
            </w:pPr>
            <w:r>
              <w:rPr>
                <w:rFonts w:hint="eastAsia"/>
                <w:color w:val="auto"/>
                <w:sz w:val="24"/>
              </w:rPr>
              <w:t>废水源强核算过程</w:t>
            </w:r>
          </w:p>
          <w:p w14:paraId="7A2BDC5F">
            <w:pPr>
              <w:spacing w:line="360" w:lineRule="auto"/>
              <w:ind w:firstLine="480" w:firstLineChars="200"/>
              <w:rPr>
                <w:rFonts w:hint="default" w:ascii="Times New Roman" w:hAnsi="Times New Roman" w:cs="Times New Roman"/>
                <w:color w:val="auto"/>
                <w:sz w:val="24"/>
                <w:lang w:val="en-US" w:eastAsia="zh-CN"/>
              </w:rPr>
            </w:pPr>
            <w:r>
              <w:rPr>
                <w:rFonts w:hint="default" w:ascii="Times New Roman" w:hAnsi="Times New Roman" w:cs="Times New Roman"/>
                <w:color w:val="auto"/>
                <w:sz w:val="24"/>
                <w:lang w:val="en-US" w:eastAsia="zh-CN"/>
              </w:rPr>
              <w:t>本项目排水采取雨污分流，雨水经厂区雨水排水系统收集后排入市政雨水管网；项目无生产废水。因此，本项目主要产生生活污水。</w:t>
            </w:r>
          </w:p>
          <w:p w14:paraId="0FD865FA">
            <w:pPr>
              <w:spacing w:line="360" w:lineRule="auto"/>
              <w:ind w:firstLine="480" w:firstLineChars="200"/>
              <w:rPr>
                <w:rFonts w:hint="default" w:ascii="Times New Roman" w:hAnsi="Times New Roman" w:eastAsia="宋体" w:cs="Times New Roman"/>
                <w:color w:val="auto"/>
                <w:sz w:val="24"/>
                <w:lang w:val="en-US" w:eastAsia="zh-CN"/>
              </w:rPr>
            </w:pPr>
            <w:r>
              <w:rPr>
                <w:rFonts w:hint="default" w:ascii="Times New Roman" w:hAnsi="Times New Roman" w:cs="Times New Roman"/>
                <w:color w:val="auto"/>
                <w:sz w:val="24"/>
                <w:lang w:val="en-US" w:eastAsia="zh-CN"/>
              </w:rPr>
              <w:t>本项目生活污水经化粪池处理后定期清掏。生活污水污染物产生浓度</w:t>
            </w:r>
            <w:r>
              <w:rPr>
                <w:rFonts w:hint="eastAsia" w:cs="Times New Roman"/>
                <w:color w:val="auto"/>
                <w:sz w:val="24"/>
                <w:lang w:val="en-US" w:eastAsia="zh-CN"/>
              </w:rPr>
              <w:t>参考</w:t>
            </w:r>
            <w:r>
              <w:rPr>
                <w:rFonts w:hint="default" w:ascii="Times New Roman" w:hAnsi="Times New Roman" w:cs="Times New Roman"/>
                <w:color w:val="auto"/>
                <w:sz w:val="24"/>
                <w:lang w:val="en-US" w:eastAsia="zh-CN"/>
              </w:rPr>
              <w:t>《生活源产排污核算方法和系数手册》。生活污水经化粪池处理定期清掏。</w:t>
            </w:r>
          </w:p>
          <w:p w14:paraId="1CB0E0D9">
            <w:pPr>
              <w:numPr>
                <w:ilvl w:val="0"/>
                <w:numId w:val="2"/>
              </w:numPr>
              <w:adjustRightInd w:val="0"/>
              <w:snapToGrid w:val="0"/>
              <w:spacing w:line="360" w:lineRule="auto"/>
              <w:ind w:firstLine="480" w:firstLineChars="200"/>
              <w:jc w:val="left"/>
              <w:rPr>
                <w:rFonts w:hint="eastAsia"/>
                <w:color w:val="auto"/>
                <w:sz w:val="24"/>
              </w:rPr>
            </w:pPr>
            <w:r>
              <w:rPr>
                <w:rFonts w:hint="eastAsia"/>
                <w:color w:val="auto"/>
                <w:sz w:val="24"/>
              </w:rPr>
              <w:t>废水排放达标情况</w:t>
            </w:r>
          </w:p>
          <w:p w14:paraId="08DC3563">
            <w:pPr>
              <w:adjustRightInd w:val="0"/>
              <w:snapToGrid w:val="0"/>
              <w:spacing w:line="360" w:lineRule="auto"/>
              <w:ind w:firstLine="480" w:firstLineChars="200"/>
              <w:rPr>
                <w:rFonts w:hint="eastAsia"/>
                <w:color w:val="auto"/>
                <w:sz w:val="24"/>
              </w:rPr>
            </w:pPr>
            <w:r>
              <w:rPr>
                <w:rFonts w:hint="eastAsia"/>
                <w:color w:val="auto"/>
                <w:sz w:val="24"/>
              </w:rPr>
              <w:t>生活污水经化粪池处理后定期清掏，不外排。综上，本项目运营期废水不外排，不会对周边水环境造成影响。</w:t>
            </w:r>
          </w:p>
          <w:p w14:paraId="1131B220">
            <w:pPr>
              <w:adjustRightInd w:val="0"/>
              <w:snapToGrid w:val="0"/>
              <w:spacing w:line="360" w:lineRule="auto"/>
              <w:ind w:firstLine="482" w:firstLineChars="200"/>
              <w:rPr>
                <w:color w:val="auto"/>
                <w:sz w:val="24"/>
              </w:rPr>
            </w:pPr>
            <w:r>
              <w:rPr>
                <w:b/>
                <w:bCs/>
                <w:color w:val="auto"/>
                <w:sz w:val="24"/>
              </w:rPr>
              <w:t>3</w:t>
            </w:r>
            <w:r>
              <w:rPr>
                <w:rFonts w:hint="eastAsia"/>
                <w:b/>
                <w:bCs/>
                <w:color w:val="auto"/>
                <w:sz w:val="24"/>
              </w:rPr>
              <w:t>.</w:t>
            </w:r>
            <w:r>
              <w:rPr>
                <w:b/>
                <w:bCs/>
                <w:color w:val="auto"/>
                <w:sz w:val="24"/>
              </w:rPr>
              <w:t>声环境影响及保护措施</w:t>
            </w:r>
          </w:p>
          <w:p w14:paraId="31F4B3A4">
            <w:pPr>
              <w:adjustRightInd w:val="0"/>
              <w:snapToGrid w:val="0"/>
              <w:spacing w:line="360" w:lineRule="auto"/>
              <w:ind w:firstLine="480" w:firstLineChars="200"/>
              <w:rPr>
                <w:color w:val="auto"/>
                <w:sz w:val="24"/>
              </w:rPr>
            </w:pPr>
            <w:r>
              <w:rPr>
                <w:rFonts w:hint="eastAsia"/>
                <w:color w:val="auto"/>
                <w:sz w:val="24"/>
              </w:rPr>
              <w:t>（1）</w:t>
            </w:r>
            <w:r>
              <w:rPr>
                <w:color w:val="auto"/>
                <w:sz w:val="24"/>
              </w:rPr>
              <w:t>噪声源强</w:t>
            </w:r>
          </w:p>
          <w:p w14:paraId="083CD68F">
            <w:pPr>
              <w:adjustRightInd w:val="0"/>
              <w:snapToGrid w:val="0"/>
              <w:spacing w:line="360" w:lineRule="auto"/>
              <w:ind w:firstLine="480" w:firstLineChars="200"/>
              <w:rPr>
                <w:color w:val="auto"/>
                <w:sz w:val="24"/>
              </w:rPr>
            </w:pPr>
            <w:r>
              <w:rPr>
                <w:rFonts w:hint="eastAsia"/>
                <w:color w:val="auto"/>
                <w:sz w:val="24"/>
              </w:rPr>
              <w:t>本项目噪声来源主要来自</w:t>
            </w:r>
            <w:r>
              <w:rPr>
                <w:rFonts w:hint="eastAsia"/>
                <w:color w:val="auto"/>
                <w:sz w:val="24"/>
                <w:lang w:val="en-US" w:eastAsia="zh-CN"/>
              </w:rPr>
              <w:t>拉丝机</w:t>
            </w:r>
            <w:r>
              <w:rPr>
                <w:rFonts w:hint="eastAsia"/>
                <w:color w:val="auto"/>
                <w:sz w:val="24"/>
              </w:rPr>
              <w:t>等设备运行时的噪声。</w:t>
            </w:r>
            <w:r>
              <w:rPr>
                <w:color w:val="auto"/>
                <w:kern w:val="0"/>
                <w:sz w:val="24"/>
              </w:rPr>
              <w:t>类比</w:t>
            </w:r>
            <w:r>
              <w:rPr>
                <w:color w:val="auto"/>
                <w:sz w:val="24"/>
              </w:rPr>
              <w:t>《环境噪声与振动控制工程技术导则》</w:t>
            </w:r>
            <w:r>
              <w:rPr>
                <w:rFonts w:hint="eastAsia"/>
                <w:color w:val="auto"/>
                <w:sz w:val="24"/>
                <w:lang w:eastAsia="zh-CN"/>
              </w:rPr>
              <w:t>（</w:t>
            </w:r>
            <w:r>
              <w:rPr>
                <w:color w:val="auto"/>
                <w:sz w:val="24"/>
              </w:rPr>
              <w:t>HJ2034-2013</w:t>
            </w:r>
            <w:r>
              <w:rPr>
                <w:rFonts w:hint="eastAsia"/>
                <w:color w:val="auto"/>
                <w:sz w:val="24"/>
                <w:lang w:eastAsia="zh-CN"/>
              </w:rPr>
              <w:t>）</w:t>
            </w:r>
            <w:r>
              <w:rPr>
                <w:color w:val="auto"/>
                <w:sz w:val="24"/>
              </w:rPr>
              <w:t>相关设备噪声源源强及</w:t>
            </w:r>
            <w:r>
              <w:rPr>
                <w:rFonts w:hint="eastAsia"/>
                <w:color w:val="auto"/>
                <w:sz w:val="24"/>
              </w:rPr>
              <w:t>查阅资料，设备生产的噪声值约为</w:t>
            </w:r>
            <w:r>
              <w:rPr>
                <w:rFonts w:hint="eastAsia"/>
                <w:color w:val="auto"/>
                <w:sz w:val="24"/>
                <w:lang w:val="en-US" w:eastAsia="zh-CN"/>
              </w:rPr>
              <w:t>85</w:t>
            </w:r>
            <w:r>
              <w:rPr>
                <w:color w:val="auto"/>
                <w:sz w:val="24"/>
              </w:rPr>
              <w:t xml:space="preserve"> </w:t>
            </w:r>
            <w:r>
              <w:rPr>
                <w:color w:val="auto"/>
                <w:spacing w:val="-2"/>
                <w:sz w:val="24"/>
              </w:rPr>
              <w:t>dB</w:t>
            </w:r>
            <w:r>
              <w:rPr>
                <w:rFonts w:hint="eastAsia"/>
                <w:color w:val="auto"/>
                <w:spacing w:val="-2"/>
                <w:sz w:val="24"/>
                <w:lang w:eastAsia="zh-CN"/>
              </w:rPr>
              <w:t>（</w:t>
            </w:r>
            <w:r>
              <w:rPr>
                <w:color w:val="auto"/>
                <w:spacing w:val="-2"/>
                <w:sz w:val="24"/>
              </w:rPr>
              <w:t>A</w:t>
            </w:r>
            <w:r>
              <w:rPr>
                <w:rFonts w:hint="eastAsia"/>
                <w:color w:val="auto"/>
                <w:spacing w:val="-2"/>
                <w:sz w:val="24"/>
                <w:lang w:eastAsia="zh-CN"/>
              </w:rPr>
              <w:t>）</w:t>
            </w:r>
            <w:r>
              <w:rPr>
                <w:rFonts w:hint="eastAsia"/>
                <w:color w:val="auto"/>
                <w:spacing w:val="-2"/>
                <w:sz w:val="24"/>
              </w:rPr>
              <w:t>，</w:t>
            </w:r>
            <w:r>
              <w:rPr>
                <w:rFonts w:hint="eastAsia"/>
                <w:color w:val="auto"/>
                <w:sz w:val="24"/>
                <w:lang w:val="en-US" w:eastAsia="zh-CN"/>
              </w:rPr>
              <w:t>本项目以厂区西南角为原点（0，0，0），向东为X轴正方向，向北为Y轴正方向，向上为Z轴正方向，本项目噪声源基本信息见下表</w:t>
            </w:r>
            <w:r>
              <w:rPr>
                <w:rFonts w:hint="eastAsia"/>
                <w:color w:val="auto"/>
                <w:sz w:val="24"/>
              </w:rPr>
              <w:t>：</w:t>
            </w:r>
          </w:p>
          <w:p w14:paraId="203B20B9">
            <w:pPr>
              <w:adjustRightInd w:val="0"/>
              <w:snapToGrid w:val="0"/>
              <w:jc w:val="center"/>
              <w:rPr>
                <w:rFonts w:hint="eastAsia"/>
                <w:b/>
                <w:bCs/>
                <w:color w:val="auto"/>
                <w:szCs w:val="21"/>
                <w:lang w:val="en-US" w:eastAsia="zh-CN"/>
              </w:rPr>
            </w:pPr>
            <w:r>
              <w:rPr>
                <w:rFonts w:hint="eastAsia"/>
                <w:b/>
                <w:bCs/>
                <w:color w:val="auto"/>
                <w:szCs w:val="21"/>
              </w:rPr>
              <w:t>表</w:t>
            </w:r>
            <w:r>
              <w:rPr>
                <w:rFonts w:hint="eastAsia"/>
                <w:b/>
                <w:bCs/>
                <w:color w:val="auto"/>
                <w:szCs w:val="21"/>
                <w:lang w:val="en-US" w:eastAsia="zh-CN"/>
              </w:rPr>
              <w:t>4</w:t>
            </w:r>
            <w:r>
              <w:rPr>
                <w:rFonts w:hint="eastAsia"/>
                <w:b/>
                <w:bCs/>
                <w:color w:val="auto"/>
                <w:lang w:val="en-US" w:eastAsia="zh-CN"/>
              </w:rPr>
              <w:t>-</w:t>
            </w:r>
            <w:r>
              <w:rPr>
                <w:rFonts w:hint="eastAsia"/>
                <w:b/>
                <w:bCs/>
                <w:color w:val="auto"/>
                <w:szCs w:val="21"/>
                <w:lang w:val="en-US" w:eastAsia="zh-CN"/>
              </w:rPr>
              <w:t>4</w:t>
            </w:r>
            <w:r>
              <w:rPr>
                <w:rFonts w:hint="eastAsia"/>
                <w:b/>
                <w:bCs/>
                <w:color w:val="auto"/>
                <w:szCs w:val="21"/>
              </w:rPr>
              <w:t xml:space="preserve">  </w:t>
            </w:r>
            <w:r>
              <w:rPr>
                <w:rFonts w:hint="eastAsia"/>
                <w:b/>
                <w:bCs/>
                <w:color w:val="auto"/>
                <w:szCs w:val="21"/>
                <w:lang w:val="en-US" w:eastAsia="zh-CN"/>
              </w:rPr>
              <w:t>工业企业噪声源强调查清单</w:t>
            </w:r>
          </w:p>
          <w:tbl>
            <w:tblPr>
              <w:tblStyle w:val="23"/>
              <w:tblW w:w="4971" w:type="pct"/>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64"/>
              <w:gridCol w:w="1681"/>
              <w:gridCol w:w="737"/>
              <w:gridCol w:w="565"/>
              <w:gridCol w:w="472"/>
              <w:gridCol w:w="450"/>
              <w:gridCol w:w="345"/>
              <w:gridCol w:w="720"/>
              <w:gridCol w:w="720"/>
              <w:gridCol w:w="429"/>
              <w:gridCol w:w="702"/>
              <w:gridCol w:w="668"/>
              <w:gridCol w:w="512"/>
            </w:tblGrid>
            <w:tr w14:paraId="099FEC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274" w:type="pct"/>
                  <w:vMerge w:val="restart"/>
                  <w:tcBorders>
                    <w:tl2br w:val="nil"/>
                    <w:tr2bl w:val="nil"/>
                  </w:tcBorders>
                  <w:shd w:val="clear" w:color="auto" w:fill="auto"/>
                  <w:vAlign w:val="center"/>
                </w:tcPr>
                <w:p w14:paraId="789A9B20">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序号</w:t>
                  </w:r>
                </w:p>
              </w:tc>
              <w:tc>
                <w:tcPr>
                  <w:tcW w:w="992" w:type="pct"/>
                  <w:vMerge w:val="restart"/>
                  <w:tcBorders>
                    <w:tl2br w:val="nil"/>
                    <w:tr2bl w:val="nil"/>
                  </w:tcBorders>
                  <w:shd w:val="clear" w:color="auto" w:fill="auto"/>
                  <w:vAlign w:val="center"/>
                </w:tcPr>
                <w:p w14:paraId="2F62A65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声源名称</w:t>
                  </w:r>
                </w:p>
              </w:tc>
              <w:tc>
                <w:tcPr>
                  <w:tcW w:w="435" w:type="pct"/>
                  <w:vMerge w:val="restart"/>
                  <w:tcBorders>
                    <w:tl2br w:val="nil"/>
                    <w:tr2bl w:val="nil"/>
                  </w:tcBorders>
                  <w:shd w:val="clear" w:color="auto" w:fill="auto"/>
                  <w:vAlign w:val="center"/>
                </w:tcPr>
                <w:p w14:paraId="18272235">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声压级</w:t>
                  </w:r>
                  <w:r>
                    <w:rPr>
                      <w:rStyle w:val="78"/>
                      <w:rFonts w:eastAsia="宋体"/>
                      <w:b/>
                      <w:bCs/>
                      <w:color w:val="auto"/>
                      <w:lang w:val="en-US" w:eastAsia="zh-CN" w:bidi="ar"/>
                    </w:rPr>
                    <w:t>/</w:t>
                  </w:r>
                  <w:r>
                    <w:rPr>
                      <w:rStyle w:val="79"/>
                      <w:b/>
                      <w:bCs/>
                      <w:color w:val="auto"/>
                      <w:lang w:val="en-US" w:eastAsia="zh-CN" w:bidi="ar"/>
                    </w:rPr>
                    <w:t>距声压级距离（</w:t>
                  </w:r>
                  <w:r>
                    <w:rPr>
                      <w:rStyle w:val="78"/>
                      <w:rFonts w:eastAsia="宋体"/>
                      <w:b/>
                      <w:bCs/>
                      <w:color w:val="auto"/>
                      <w:lang w:val="en-US" w:eastAsia="zh-CN" w:bidi="ar"/>
                    </w:rPr>
                    <w:t>dB</w:t>
                  </w:r>
                  <w:r>
                    <w:rPr>
                      <w:rStyle w:val="79"/>
                      <w:b/>
                      <w:bCs/>
                      <w:color w:val="auto"/>
                      <w:lang w:val="en-US" w:eastAsia="zh-CN" w:bidi="ar"/>
                    </w:rPr>
                    <w:t>（</w:t>
                  </w:r>
                  <w:r>
                    <w:rPr>
                      <w:rStyle w:val="78"/>
                      <w:rFonts w:eastAsia="宋体"/>
                      <w:b/>
                      <w:bCs/>
                      <w:color w:val="auto"/>
                      <w:lang w:val="en-US" w:eastAsia="zh-CN" w:bidi="ar"/>
                    </w:rPr>
                    <w:t>A</w:t>
                  </w:r>
                  <w:r>
                    <w:rPr>
                      <w:rStyle w:val="79"/>
                      <w:b/>
                      <w:bCs/>
                      <w:color w:val="auto"/>
                      <w:lang w:val="en-US" w:eastAsia="zh-CN" w:bidi="ar"/>
                    </w:rPr>
                    <w:t>）</w:t>
                  </w:r>
                  <w:r>
                    <w:rPr>
                      <w:rStyle w:val="78"/>
                      <w:rFonts w:eastAsia="宋体"/>
                      <w:b/>
                      <w:bCs/>
                      <w:color w:val="auto"/>
                      <w:lang w:val="en-US" w:eastAsia="zh-CN" w:bidi="ar"/>
                    </w:rPr>
                    <w:t>/m</w:t>
                  </w:r>
                  <w:r>
                    <w:rPr>
                      <w:rStyle w:val="79"/>
                      <w:b/>
                      <w:bCs/>
                      <w:color w:val="auto"/>
                      <w:lang w:val="en-US" w:eastAsia="zh-CN" w:bidi="ar"/>
                    </w:rPr>
                    <w:t>）</w:t>
                  </w:r>
                </w:p>
              </w:tc>
              <w:tc>
                <w:tcPr>
                  <w:tcW w:w="333" w:type="pct"/>
                  <w:vMerge w:val="restart"/>
                  <w:tcBorders>
                    <w:tl2br w:val="nil"/>
                    <w:tr2bl w:val="nil"/>
                  </w:tcBorders>
                  <w:shd w:val="clear" w:color="auto" w:fill="auto"/>
                  <w:vAlign w:val="center"/>
                </w:tcPr>
                <w:p w14:paraId="23176C82">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声源控制措施</w:t>
                  </w:r>
                </w:p>
              </w:tc>
              <w:tc>
                <w:tcPr>
                  <w:tcW w:w="748" w:type="pct"/>
                  <w:gridSpan w:val="3"/>
                  <w:tcBorders>
                    <w:tl2br w:val="nil"/>
                    <w:tr2bl w:val="nil"/>
                  </w:tcBorders>
                  <w:shd w:val="clear" w:color="auto" w:fill="auto"/>
                  <w:vAlign w:val="center"/>
                </w:tcPr>
                <w:p w14:paraId="6B7026EC">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空间相对位置</w:t>
                  </w:r>
                  <w:r>
                    <w:rPr>
                      <w:rStyle w:val="78"/>
                      <w:rFonts w:eastAsia="宋体"/>
                      <w:b/>
                      <w:bCs/>
                      <w:color w:val="auto"/>
                      <w:lang w:val="en-US" w:eastAsia="zh-CN" w:bidi="ar"/>
                    </w:rPr>
                    <w:t>/m</w:t>
                  </w:r>
                </w:p>
              </w:tc>
              <w:tc>
                <w:tcPr>
                  <w:tcW w:w="425" w:type="pct"/>
                  <w:vMerge w:val="restart"/>
                  <w:tcBorders>
                    <w:tl2br w:val="nil"/>
                    <w:tr2bl w:val="nil"/>
                  </w:tcBorders>
                  <w:shd w:val="clear" w:color="auto" w:fill="auto"/>
                  <w:vAlign w:val="center"/>
                </w:tcPr>
                <w:p w14:paraId="0E46233A">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距室内边界距离</w:t>
                  </w:r>
                  <w:r>
                    <w:rPr>
                      <w:rStyle w:val="78"/>
                      <w:rFonts w:eastAsia="宋体"/>
                      <w:b/>
                      <w:bCs/>
                      <w:color w:val="auto"/>
                      <w:lang w:val="en-US" w:eastAsia="zh-CN" w:bidi="ar"/>
                    </w:rPr>
                    <w:t>/m</w:t>
                  </w:r>
                </w:p>
              </w:tc>
              <w:tc>
                <w:tcPr>
                  <w:tcW w:w="425" w:type="pct"/>
                  <w:vMerge w:val="restart"/>
                  <w:tcBorders>
                    <w:tl2br w:val="nil"/>
                    <w:tr2bl w:val="nil"/>
                  </w:tcBorders>
                  <w:shd w:val="clear" w:color="auto" w:fill="auto"/>
                  <w:vAlign w:val="center"/>
                </w:tcPr>
                <w:p w14:paraId="7AB0FFC8">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室内边界声级</w:t>
                  </w:r>
                  <w:r>
                    <w:rPr>
                      <w:rStyle w:val="78"/>
                      <w:rFonts w:eastAsia="宋体"/>
                      <w:b/>
                      <w:bCs/>
                      <w:color w:val="auto"/>
                      <w:lang w:val="en-US" w:eastAsia="zh-CN" w:bidi="ar"/>
                    </w:rPr>
                    <w:t>/dB</w:t>
                  </w:r>
                  <w:r>
                    <w:rPr>
                      <w:rStyle w:val="79"/>
                      <w:b/>
                      <w:bCs/>
                      <w:color w:val="auto"/>
                      <w:lang w:val="en-US" w:eastAsia="zh-CN" w:bidi="ar"/>
                    </w:rPr>
                    <w:t>（</w:t>
                  </w:r>
                  <w:r>
                    <w:rPr>
                      <w:rStyle w:val="78"/>
                      <w:rFonts w:eastAsia="宋体"/>
                      <w:b/>
                      <w:bCs/>
                      <w:color w:val="auto"/>
                      <w:lang w:val="en-US" w:eastAsia="zh-CN" w:bidi="ar"/>
                    </w:rPr>
                    <w:t>A</w:t>
                  </w:r>
                  <w:r>
                    <w:rPr>
                      <w:rStyle w:val="79"/>
                      <w:b/>
                      <w:bCs/>
                      <w:color w:val="auto"/>
                      <w:lang w:val="en-US" w:eastAsia="zh-CN" w:bidi="ar"/>
                    </w:rPr>
                    <w:t>）</w:t>
                  </w:r>
                </w:p>
              </w:tc>
              <w:tc>
                <w:tcPr>
                  <w:tcW w:w="253" w:type="pct"/>
                  <w:vMerge w:val="restart"/>
                  <w:tcBorders>
                    <w:tl2br w:val="nil"/>
                    <w:tr2bl w:val="nil"/>
                  </w:tcBorders>
                  <w:shd w:val="clear" w:color="auto" w:fill="auto"/>
                  <w:vAlign w:val="center"/>
                </w:tcPr>
                <w:p w14:paraId="32A2D70B">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运行时段</w:t>
                  </w:r>
                </w:p>
              </w:tc>
              <w:tc>
                <w:tcPr>
                  <w:tcW w:w="414" w:type="pct"/>
                  <w:vMerge w:val="restart"/>
                  <w:tcBorders>
                    <w:tl2br w:val="nil"/>
                    <w:tr2bl w:val="nil"/>
                  </w:tcBorders>
                  <w:shd w:val="clear" w:color="auto" w:fill="auto"/>
                  <w:vAlign w:val="center"/>
                </w:tcPr>
                <w:p w14:paraId="3CC77428">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建筑物插入损失</w:t>
                  </w:r>
                  <w:r>
                    <w:rPr>
                      <w:rStyle w:val="78"/>
                      <w:rFonts w:eastAsia="宋体"/>
                      <w:b/>
                      <w:bCs/>
                      <w:color w:val="auto"/>
                      <w:lang w:val="en-US" w:eastAsia="zh-CN" w:bidi="ar"/>
                    </w:rPr>
                    <w:t>/dB</w:t>
                  </w:r>
                  <w:r>
                    <w:rPr>
                      <w:rStyle w:val="79"/>
                      <w:b/>
                      <w:bCs/>
                      <w:color w:val="auto"/>
                      <w:lang w:val="en-US" w:eastAsia="zh-CN" w:bidi="ar"/>
                    </w:rPr>
                    <w:t>（</w:t>
                  </w:r>
                  <w:r>
                    <w:rPr>
                      <w:rStyle w:val="78"/>
                      <w:rFonts w:eastAsia="宋体"/>
                      <w:b/>
                      <w:bCs/>
                      <w:color w:val="auto"/>
                      <w:lang w:val="en-US" w:eastAsia="zh-CN" w:bidi="ar"/>
                    </w:rPr>
                    <w:t>A</w:t>
                  </w:r>
                  <w:r>
                    <w:rPr>
                      <w:rStyle w:val="79"/>
                      <w:b/>
                      <w:bCs/>
                      <w:color w:val="auto"/>
                      <w:lang w:val="en-US" w:eastAsia="zh-CN" w:bidi="ar"/>
                    </w:rPr>
                    <w:t>）</w:t>
                  </w:r>
                </w:p>
              </w:tc>
              <w:tc>
                <w:tcPr>
                  <w:tcW w:w="696" w:type="pct"/>
                  <w:gridSpan w:val="2"/>
                  <w:tcBorders>
                    <w:tl2br w:val="nil"/>
                    <w:tr2bl w:val="nil"/>
                  </w:tcBorders>
                  <w:shd w:val="clear" w:color="auto" w:fill="auto"/>
                  <w:vAlign w:val="center"/>
                </w:tcPr>
                <w:p w14:paraId="182EC074">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建筑物外噪声</w:t>
                  </w:r>
                </w:p>
              </w:tc>
            </w:tr>
            <w:tr w14:paraId="533F41C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vMerge w:val="continue"/>
                  <w:tcBorders>
                    <w:tl2br w:val="nil"/>
                    <w:tr2bl w:val="nil"/>
                  </w:tcBorders>
                  <w:shd w:val="clear" w:color="auto" w:fill="auto"/>
                  <w:vAlign w:val="center"/>
                </w:tcPr>
                <w:p w14:paraId="5B81A0F0">
                  <w:pPr>
                    <w:jc w:val="center"/>
                    <w:rPr>
                      <w:rFonts w:hint="eastAsia" w:ascii="宋体" w:hAnsi="宋体" w:eastAsia="宋体" w:cs="宋体"/>
                      <w:b/>
                      <w:bCs/>
                      <w:i w:val="0"/>
                      <w:iCs w:val="0"/>
                      <w:color w:val="auto"/>
                      <w:sz w:val="21"/>
                      <w:szCs w:val="21"/>
                      <w:u w:val="none"/>
                    </w:rPr>
                  </w:pPr>
                </w:p>
              </w:tc>
              <w:tc>
                <w:tcPr>
                  <w:tcW w:w="992" w:type="pct"/>
                  <w:vMerge w:val="continue"/>
                  <w:tcBorders>
                    <w:tl2br w:val="nil"/>
                    <w:tr2bl w:val="nil"/>
                  </w:tcBorders>
                  <w:shd w:val="clear" w:color="auto" w:fill="auto"/>
                  <w:vAlign w:val="center"/>
                </w:tcPr>
                <w:p w14:paraId="11E99212">
                  <w:pPr>
                    <w:jc w:val="center"/>
                    <w:rPr>
                      <w:rFonts w:hint="eastAsia" w:ascii="宋体" w:hAnsi="宋体" w:eastAsia="宋体" w:cs="宋体"/>
                      <w:b/>
                      <w:bCs/>
                      <w:i w:val="0"/>
                      <w:iCs w:val="0"/>
                      <w:color w:val="auto"/>
                      <w:sz w:val="21"/>
                      <w:szCs w:val="21"/>
                      <w:u w:val="none"/>
                    </w:rPr>
                  </w:pPr>
                </w:p>
              </w:tc>
              <w:tc>
                <w:tcPr>
                  <w:tcW w:w="435" w:type="pct"/>
                  <w:vMerge w:val="continue"/>
                  <w:tcBorders>
                    <w:tl2br w:val="nil"/>
                    <w:tr2bl w:val="nil"/>
                  </w:tcBorders>
                  <w:shd w:val="clear" w:color="auto" w:fill="auto"/>
                  <w:vAlign w:val="center"/>
                </w:tcPr>
                <w:p w14:paraId="24D5AA65">
                  <w:pPr>
                    <w:jc w:val="center"/>
                    <w:rPr>
                      <w:rFonts w:hint="eastAsia" w:ascii="宋体" w:hAnsi="宋体" w:eastAsia="宋体" w:cs="宋体"/>
                      <w:b/>
                      <w:bCs/>
                      <w:i w:val="0"/>
                      <w:iCs w:val="0"/>
                      <w:color w:val="auto"/>
                      <w:sz w:val="21"/>
                      <w:szCs w:val="21"/>
                      <w:u w:val="none"/>
                    </w:rPr>
                  </w:pPr>
                </w:p>
              </w:tc>
              <w:tc>
                <w:tcPr>
                  <w:tcW w:w="333" w:type="pct"/>
                  <w:vMerge w:val="continue"/>
                  <w:tcBorders>
                    <w:tl2br w:val="nil"/>
                    <w:tr2bl w:val="nil"/>
                  </w:tcBorders>
                  <w:shd w:val="clear" w:color="auto" w:fill="auto"/>
                  <w:vAlign w:val="center"/>
                </w:tcPr>
                <w:p w14:paraId="3D5970F1">
                  <w:pPr>
                    <w:jc w:val="center"/>
                    <w:rPr>
                      <w:rFonts w:hint="eastAsia" w:ascii="宋体" w:hAnsi="宋体" w:eastAsia="宋体" w:cs="宋体"/>
                      <w:b/>
                      <w:bCs/>
                      <w:i w:val="0"/>
                      <w:iCs w:val="0"/>
                      <w:color w:val="auto"/>
                      <w:sz w:val="21"/>
                      <w:szCs w:val="21"/>
                      <w:u w:val="none"/>
                    </w:rPr>
                  </w:pPr>
                </w:p>
              </w:tc>
              <w:tc>
                <w:tcPr>
                  <w:tcW w:w="278" w:type="pct"/>
                  <w:tcBorders>
                    <w:tl2br w:val="nil"/>
                    <w:tr2bl w:val="nil"/>
                  </w:tcBorders>
                  <w:shd w:val="clear" w:color="auto" w:fill="auto"/>
                  <w:vAlign w:val="center"/>
                </w:tcPr>
                <w:p w14:paraId="266F92F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X</w:t>
                  </w:r>
                </w:p>
              </w:tc>
              <w:tc>
                <w:tcPr>
                  <w:tcW w:w="265" w:type="pct"/>
                  <w:tcBorders>
                    <w:tl2br w:val="nil"/>
                    <w:tr2bl w:val="nil"/>
                  </w:tcBorders>
                  <w:shd w:val="clear" w:color="auto" w:fill="auto"/>
                  <w:vAlign w:val="center"/>
                </w:tcPr>
                <w:p w14:paraId="66E27E4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Y</w:t>
                  </w:r>
                </w:p>
              </w:tc>
              <w:tc>
                <w:tcPr>
                  <w:tcW w:w="203" w:type="pct"/>
                  <w:tcBorders>
                    <w:tl2br w:val="nil"/>
                    <w:tr2bl w:val="nil"/>
                  </w:tcBorders>
                  <w:shd w:val="clear" w:color="auto" w:fill="auto"/>
                  <w:vAlign w:val="center"/>
                </w:tcPr>
                <w:p w14:paraId="39C7511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Z</w:t>
                  </w:r>
                </w:p>
              </w:tc>
              <w:tc>
                <w:tcPr>
                  <w:tcW w:w="425" w:type="pct"/>
                  <w:vMerge w:val="continue"/>
                  <w:tcBorders>
                    <w:tl2br w:val="nil"/>
                    <w:tr2bl w:val="nil"/>
                  </w:tcBorders>
                  <w:shd w:val="clear" w:color="auto" w:fill="auto"/>
                  <w:vAlign w:val="center"/>
                </w:tcPr>
                <w:p w14:paraId="1F151D94">
                  <w:pPr>
                    <w:jc w:val="center"/>
                    <w:rPr>
                      <w:rFonts w:hint="eastAsia" w:ascii="宋体" w:hAnsi="宋体" w:eastAsia="宋体" w:cs="宋体"/>
                      <w:b/>
                      <w:bCs/>
                      <w:i w:val="0"/>
                      <w:iCs w:val="0"/>
                      <w:color w:val="auto"/>
                      <w:sz w:val="21"/>
                      <w:szCs w:val="21"/>
                      <w:u w:val="none"/>
                    </w:rPr>
                  </w:pPr>
                </w:p>
              </w:tc>
              <w:tc>
                <w:tcPr>
                  <w:tcW w:w="425" w:type="pct"/>
                  <w:vMerge w:val="continue"/>
                  <w:tcBorders>
                    <w:tl2br w:val="nil"/>
                    <w:tr2bl w:val="nil"/>
                  </w:tcBorders>
                  <w:shd w:val="clear" w:color="auto" w:fill="auto"/>
                  <w:vAlign w:val="center"/>
                </w:tcPr>
                <w:p w14:paraId="11E1ECAE">
                  <w:pPr>
                    <w:jc w:val="center"/>
                    <w:rPr>
                      <w:rFonts w:hint="eastAsia" w:ascii="宋体" w:hAnsi="宋体" w:eastAsia="宋体" w:cs="宋体"/>
                      <w:b/>
                      <w:bCs/>
                      <w:i w:val="0"/>
                      <w:iCs w:val="0"/>
                      <w:color w:val="auto"/>
                      <w:sz w:val="21"/>
                      <w:szCs w:val="21"/>
                      <w:u w:val="none"/>
                    </w:rPr>
                  </w:pPr>
                </w:p>
              </w:tc>
              <w:tc>
                <w:tcPr>
                  <w:tcW w:w="253" w:type="pct"/>
                  <w:vMerge w:val="continue"/>
                  <w:tcBorders>
                    <w:tl2br w:val="nil"/>
                    <w:tr2bl w:val="nil"/>
                  </w:tcBorders>
                  <w:shd w:val="clear" w:color="auto" w:fill="auto"/>
                  <w:vAlign w:val="center"/>
                </w:tcPr>
                <w:p w14:paraId="64B12B55">
                  <w:pPr>
                    <w:jc w:val="center"/>
                    <w:rPr>
                      <w:rFonts w:hint="eastAsia" w:ascii="宋体" w:hAnsi="宋体" w:eastAsia="宋体" w:cs="宋体"/>
                      <w:b/>
                      <w:bCs/>
                      <w:i w:val="0"/>
                      <w:iCs w:val="0"/>
                      <w:color w:val="auto"/>
                      <w:sz w:val="21"/>
                      <w:szCs w:val="21"/>
                      <w:u w:val="none"/>
                    </w:rPr>
                  </w:pPr>
                </w:p>
              </w:tc>
              <w:tc>
                <w:tcPr>
                  <w:tcW w:w="414" w:type="pct"/>
                  <w:vMerge w:val="continue"/>
                  <w:tcBorders>
                    <w:tl2br w:val="nil"/>
                    <w:tr2bl w:val="nil"/>
                  </w:tcBorders>
                  <w:shd w:val="clear" w:color="auto" w:fill="auto"/>
                  <w:vAlign w:val="center"/>
                </w:tcPr>
                <w:p w14:paraId="2568858C">
                  <w:pPr>
                    <w:jc w:val="center"/>
                    <w:rPr>
                      <w:rFonts w:hint="eastAsia" w:ascii="宋体" w:hAnsi="宋体" w:eastAsia="宋体" w:cs="宋体"/>
                      <w:b/>
                      <w:bCs/>
                      <w:i w:val="0"/>
                      <w:iCs w:val="0"/>
                      <w:color w:val="auto"/>
                      <w:sz w:val="21"/>
                      <w:szCs w:val="21"/>
                      <w:u w:val="none"/>
                    </w:rPr>
                  </w:pPr>
                </w:p>
              </w:tc>
              <w:tc>
                <w:tcPr>
                  <w:tcW w:w="394" w:type="pct"/>
                  <w:tcBorders>
                    <w:tl2br w:val="nil"/>
                    <w:tr2bl w:val="nil"/>
                  </w:tcBorders>
                  <w:shd w:val="clear" w:color="auto" w:fill="auto"/>
                  <w:vAlign w:val="center"/>
                </w:tcPr>
                <w:p w14:paraId="01250A40">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声压级</w:t>
                  </w:r>
                  <w:r>
                    <w:rPr>
                      <w:rStyle w:val="78"/>
                      <w:rFonts w:eastAsia="宋体"/>
                      <w:b/>
                      <w:bCs/>
                      <w:color w:val="auto"/>
                      <w:lang w:val="en-US" w:eastAsia="zh-CN" w:bidi="ar"/>
                    </w:rPr>
                    <w:t>/dB</w:t>
                  </w:r>
                  <w:r>
                    <w:rPr>
                      <w:rStyle w:val="79"/>
                      <w:b/>
                      <w:bCs/>
                      <w:color w:val="auto"/>
                      <w:lang w:val="en-US" w:eastAsia="zh-CN" w:bidi="ar"/>
                    </w:rPr>
                    <w:t>（</w:t>
                  </w:r>
                  <w:r>
                    <w:rPr>
                      <w:rStyle w:val="78"/>
                      <w:rFonts w:eastAsia="宋体"/>
                      <w:b/>
                      <w:bCs/>
                      <w:color w:val="auto"/>
                      <w:lang w:val="en-US" w:eastAsia="zh-CN" w:bidi="ar"/>
                    </w:rPr>
                    <w:t>A</w:t>
                  </w:r>
                  <w:r>
                    <w:rPr>
                      <w:rStyle w:val="79"/>
                      <w:b/>
                      <w:bCs/>
                      <w:color w:val="auto"/>
                      <w:lang w:val="en-US" w:eastAsia="zh-CN" w:bidi="ar"/>
                    </w:rPr>
                    <w:t>）</w:t>
                  </w:r>
                </w:p>
              </w:tc>
              <w:tc>
                <w:tcPr>
                  <w:tcW w:w="302" w:type="pct"/>
                  <w:tcBorders>
                    <w:tl2br w:val="nil"/>
                    <w:tr2bl w:val="nil"/>
                  </w:tcBorders>
                  <w:shd w:val="clear" w:color="auto" w:fill="auto"/>
                  <w:vAlign w:val="center"/>
                </w:tcPr>
                <w:p w14:paraId="5E3936E0">
                  <w:pPr>
                    <w:keepNext w:val="0"/>
                    <w:keepLines w:val="0"/>
                    <w:widowControl/>
                    <w:suppressLineNumbers w:val="0"/>
                    <w:jc w:val="center"/>
                    <w:textAlignment w:val="center"/>
                    <w:rPr>
                      <w:rFonts w:hint="eastAsia" w:ascii="宋体" w:hAnsi="宋体" w:eastAsia="宋体" w:cs="宋体"/>
                      <w:b/>
                      <w:bCs/>
                      <w:i w:val="0"/>
                      <w:iCs w:val="0"/>
                      <w:color w:val="auto"/>
                      <w:sz w:val="21"/>
                      <w:szCs w:val="21"/>
                      <w:u w:val="none"/>
                    </w:rPr>
                  </w:pPr>
                  <w:r>
                    <w:rPr>
                      <w:rFonts w:hint="eastAsia" w:ascii="宋体" w:hAnsi="宋体" w:eastAsia="宋体" w:cs="宋体"/>
                      <w:b/>
                      <w:bCs/>
                      <w:i w:val="0"/>
                      <w:iCs w:val="0"/>
                      <w:color w:val="auto"/>
                      <w:kern w:val="0"/>
                      <w:sz w:val="21"/>
                      <w:szCs w:val="21"/>
                      <w:u w:val="none"/>
                      <w:lang w:val="en-US" w:eastAsia="zh-CN" w:bidi="ar"/>
                    </w:rPr>
                    <w:t>建筑物外距离</w:t>
                  </w:r>
                </w:p>
              </w:tc>
            </w:tr>
            <w:tr w14:paraId="7D951A6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020D0C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992" w:type="pct"/>
                  <w:tcBorders>
                    <w:tl2br w:val="nil"/>
                    <w:tr2bl w:val="nil"/>
                  </w:tcBorders>
                  <w:shd w:val="clear" w:color="auto" w:fill="auto"/>
                  <w:vAlign w:val="center"/>
                </w:tcPr>
                <w:p w14:paraId="5A3D8DC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拉丝机（热）1</w:t>
                  </w:r>
                </w:p>
              </w:tc>
              <w:tc>
                <w:tcPr>
                  <w:tcW w:w="435" w:type="pct"/>
                  <w:tcBorders>
                    <w:tl2br w:val="nil"/>
                    <w:tr2bl w:val="nil"/>
                  </w:tcBorders>
                  <w:shd w:val="clear" w:color="auto" w:fill="auto"/>
                  <w:vAlign w:val="center"/>
                </w:tcPr>
                <w:p w14:paraId="5C7046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80</w:t>
                  </w:r>
                </w:p>
              </w:tc>
              <w:tc>
                <w:tcPr>
                  <w:tcW w:w="333" w:type="pct"/>
                  <w:vMerge w:val="restart"/>
                  <w:tcBorders>
                    <w:tl2br w:val="nil"/>
                    <w:tr2bl w:val="nil"/>
                  </w:tcBorders>
                  <w:shd w:val="clear" w:color="auto" w:fill="auto"/>
                  <w:vAlign w:val="center"/>
                </w:tcPr>
                <w:p w14:paraId="36BB4752">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安装于车间内，经厂房隔声、距离衰减等</w:t>
                  </w:r>
                </w:p>
              </w:tc>
              <w:tc>
                <w:tcPr>
                  <w:tcW w:w="278" w:type="pct"/>
                  <w:tcBorders>
                    <w:tl2br w:val="nil"/>
                    <w:tr2bl w:val="nil"/>
                  </w:tcBorders>
                  <w:shd w:val="clear" w:color="auto" w:fill="auto"/>
                  <w:vAlign w:val="center"/>
                </w:tcPr>
                <w:p w14:paraId="659D3E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w:t>
                  </w:r>
                </w:p>
              </w:tc>
              <w:tc>
                <w:tcPr>
                  <w:tcW w:w="265" w:type="pct"/>
                  <w:tcBorders>
                    <w:tl2br w:val="nil"/>
                    <w:tr2bl w:val="nil"/>
                  </w:tcBorders>
                  <w:shd w:val="clear" w:color="auto" w:fill="auto"/>
                  <w:vAlign w:val="center"/>
                </w:tcPr>
                <w:p w14:paraId="2E7F5E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3AC117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064096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4</w:t>
                  </w:r>
                </w:p>
              </w:tc>
              <w:tc>
                <w:tcPr>
                  <w:tcW w:w="720" w:type="dxa"/>
                  <w:tcBorders>
                    <w:tl2br w:val="nil"/>
                    <w:tr2bl w:val="nil"/>
                  </w:tcBorders>
                  <w:shd w:val="clear" w:color="auto" w:fill="auto"/>
                  <w:vAlign w:val="center"/>
                </w:tcPr>
                <w:p w14:paraId="4C6563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68 </w:t>
                  </w:r>
                </w:p>
              </w:tc>
              <w:tc>
                <w:tcPr>
                  <w:tcW w:w="253" w:type="pct"/>
                  <w:vMerge w:val="restart"/>
                  <w:tcBorders>
                    <w:tl2br w:val="nil"/>
                    <w:tr2bl w:val="nil"/>
                  </w:tcBorders>
                  <w:shd w:val="clear" w:color="auto" w:fill="auto"/>
                  <w:vAlign w:val="center"/>
                </w:tcPr>
                <w:p w14:paraId="28FC61B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昼</w:t>
                  </w:r>
                </w:p>
              </w:tc>
              <w:tc>
                <w:tcPr>
                  <w:tcW w:w="414" w:type="pct"/>
                  <w:vMerge w:val="restart"/>
                  <w:tcBorders>
                    <w:tl2br w:val="nil"/>
                    <w:tr2bl w:val="nil"/>
                  </w:tcBorders>
                  <w:shd w:val="clear" w:color="auto" w:fill="auto"/>
                  <w:vAlign w:val="center"/>
                </w:tcPr>
                <w:p w14:paraId="49759F50">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668" w:type="dxa"/>
                  <w:tcBorders>
                    <w:tl2br w:val="nil"/>
                    <w:tr2bl w:val="nil"/>
                  </w:tcBorders>
                  <w:shd w:val="clear" w:color="auto" w:fill="auto"/>
                  <w:vAlign w:val="center"/>
                </w:tcPr>
                <w:p w14:paraId="4D8667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53 </w:t>
                  </w:r>
                </w:p>
              </w:tc>
              <w:tc>
                <w:tcPr>
                  <w:tcW w:w="302" w:type="pct"/>
                  <w:tcBorders>
                    <w:tl2br w:val="nil"/>
                    <w:tr2bl w:val="nil"/>
                  </w:tcBorders>
                  <w:shd w:val="clear" w:color="auto" w:fill="auto"/>
                  <w:vAlign w:val="center"/>
                </w:tcPr>
                <w:p w14:paraId="660BE1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551B6F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2A3A91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p>
              </w:tc>
              <w:tc>
                <w:tcPr>
                  <w:tcW w:w="992" w:type="pct"/>
                  <w:tcBorders>
                    <w:tl2br w:val="nil"/>
                    <w:tr2bl w:val="nil"/>
                  </w:tcBorders>
                  <w:shd w:val="clear" w:color="auto" w:fill="auto"/>
                  <w:vAlign w:val="center"/>
                </w:tcPr>
                <w:p w14:paraId="427B0C8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拉丝机（热）2</w:t>
                  </w:r>
                </w:p>
              </w:tc>
              <w:tc>
                <w:tcPr>
                  <w:tcW w:w="435" w:type="pct"/>
                  <w:tcBorders>
                    <w:tl2br w:val="nil"/>
                    <w:tr2bl w:val="nil"/>
                  </w:tcBorders>
                  <w:shd w:val="clear" w:color="auto" w:fill="auto"/>
                  <w:vAlign w:val="center"/>
                </w:tcPr>
                <w:p w14:paraId="0BFD8A0D">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80</w:t>
                  </w:r>
                </w:p>
              </w:tc>
              <w:tc>
                <w:tcPr>
                  <w:tcW w:w="333" w:type="pct"/>
                  <w:vMerge w:val="continue"/>
                  <w:tcBorders>
                    <w:tl2br w:val="nil"/>
                    <w:tr2bl w:val="nil"/>
                  </w:tcBorders>
                  <w:shd w:val="clear" w:color="auto" w:fill="auto"/>
                  <w:vAlign w:val="center"/>
                </w:tcPr>
                <w:p w14:paraId="64E632AA">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2FA7BB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w:t>
                  </w:r>
                </w:p>
              </w:tc>
              <w:tc>
                <w:tcPr>
                  <w:tcW w:w="265" w:type="pct"/>
                  <w:tcBorders>
                    <w:tl2br w:val="nil"/>
                    <w:tr2bl w:val="nil"/>
                  </w:tcBorders>
                  <w:shd w:val="clear" w:color="auto" w:fill="auto"/>
                  <w:vAlign w:val="center"/>
                </w:tcPr>
                <w:p w14:paraId="5BD0F0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07321E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7E49CC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6</w:t>
                  </w:r>
                </w:p>
              </w:tc>
              <w:tc>
                <w:tcPr>
                  <w:tcW w:w="720" w:type="dxa"/>
                  <w:tcBorders>
                    <w:tl2br w:val="nil"/>
                    <w:tr2bl w:val="nil"/>
                  </w:tcBorders>
                  <w:shd w:val="clear" w:color="auto" w:fill="auto"/>
                  <w:vAlign w:val="center"/>
                </w:tcPr>
                <w:p w14:paraId="5529D2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64 </w:t>
                  </w:r>
                </w:p>
              </w:tc>
              <w:tc>
                <w:tcPr>
                  <w:tcW w:w="253" w:type="pct"/>
                  <w:vMerge w:val="continue"/>
                  <w:tcBorders>
                    <w:tl2br w:val="nil"/>
                    <w:tr2bl w:val="nil"/>
                  </w:tcBorders>
                  <w:shd w:val="clear" w:color="auto" w:fill="auto"/>
                  <w:vAlign w:val="center"/>
                </w:tcPr>
                <w:p w14:paraId="73DE76F5">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769B0154">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03916D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49 </w:t>
                  </w:r>
                </w:p>
              </w:tc>
              <w:tc>
                <w:tcPr>
                  <w:tcW w:w="302" w:type="pct"/>
                  <w:tcBorders>
                    <w:tl2br w:val="nil"/>
                    <w:tr2bl w:val="nil"/>
                  </w:tcBorders>
                  <w:shd w:val="clear" w:color="auto" w:fill="auto"/>
                  <w:vAlign w:val="center"/>
                </w:tcPr>
                <w:p w14:paraId="4C8B48B1">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F2AA66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7F0B0B0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w:t>
                  </w:r>
                </w:p>
              </w:tc>
              <w:tc>
                <w:tcPr>
                  <w:tcW w:w="992" w:type="pct"/>
                  <w:tcBorders>
                    <w:tl2br w:val="nil"/>
                    <w:tr2bl w:val="nil"/>
                  </w:tcBorders>
                  <w:shd w:val="clear" w:color="auto" w:fill="auto"/>
                  <w:vAlign w:val="center"/>
                </w:tcPr>
                <w:p w14:paraId="463581F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拉丝机（热）3</w:t>
                  </w:r>
                </w:p>
              </w:tc>
              <w:tc>
                <w:tcPr>
                  <w:tcW w:w="435" w:type="pct"/>
                  <w:tcBorders>
                    <w:tl2br w:val="nil"/>
                    <w:tr2bl w:val="nil"/>
                  </w:tcBorders>
                  <w:shd w:val="clear" w:color="auto" w:fill="auto"/>
                  <w:vAlign w:val="center"/>
                </w:tcPr>
                <w:p w14:paraId="7B526C97">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80</w:t>
                  </w:r>
                </w:p>
              </w:tc>
              <w:tc>
                <w:tcPr>
                  <w:tcW w:w="333" w:type="pct"/>
                  <w:vMerge w:val="continue"/>
                  <w:tcBorders>
                    <w:tl2br w:val="nil"/>
                    <w:tr2bl w:val="nil"/>
                  </w:tcBorders>
                  <w:shd w:val="clear" w:color="auto" w:fill="auto"/>
                  <w:vAlign w:val="center"/>
                </w:tcPr>
                <w:p w14:paraId="1F222D2A">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1F6352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w:t>
                  </w:r>
                </w:p>
              </w:tc>
              <w:tc>
                <w:tcPr>
                  <w:tcW w:w="265" w:type="pct"/>
                  <w:tcBorders>
                    <w:tl2br w:val="nil"/>
                    <w:tr2bl w:val="nil"/>
                  </w:tcBorders>
                  <w:shd w:val="clear" w:color="auto" w:fill="auto"/>
                  <w:vAlign w:val="center"/>
                </w:tcPr>
                <w:p w14:paraId="4246B3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222746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7C85A4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6</w:t>
                  </w:r>
                </w:p>
              </w:tc>
              <w:tc>
                <w:tcPr>
                  <w:tcW w:w="720" w:type="dxa"/>
                  <w:tcBorders>
                    <w:tl2br w:val="nil"/>
                    <w:tr2bl w:val="nil"/>
                  </w:tcBorders>
                  <w:shd w:val="clear" w:color="auto" w:fill="auto"/>
                  <w:vAlign w:val="center"/>
                </w:tcPr>
                <w:p w14:paraId="7B286F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64 </w:t>
                  </w:r>
                </w:p>
              </w:tc>
              <w:tc>
                <w:tcPr>
                  <w:tcW w:w="253" w:type="pct"/>
                  <w:vMerge w:val="continue"/>
                  <w:tcBorders>
                    <w:tl2br w:val="nil"/>
                    <w:tr2bl w:val="nil"/>
                  </w:tcBorders>
                  <w:shd w:val="clear" w:color="auto" w:fill="auto"/>
                  <w:vAlign w:val="center"/>
                </w:tcPr>
                <w:p w14:paraId="631AC22F">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619F7024">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712542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49 </w:t>
                  </w:r>
                </w:p>
              </w:tc>
              <w:tc>
                <w:tcPr>
                  <w:tcW w:w="302" w:type="pct"/>
                  <w:tcBorders>
                    <w:tl2br w:val="nil"/>
                    <w:tr2bl w:val="nil"/>
                  </w:tcBorders>
                  <w:shd w:val="clear" w:color="auto" w:fill="auto"/>
                  <w:vAlign w:val="center"/>
                </w:tcPr>
                <w:p w14:paraId="0A4C9AAD">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188211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70BCF4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w:t>
                  </w:r>
                </w:p>
              </w:tc>
              <w:tc>
                <w:tcPr>
                  <w:tcW w:w="992" w:type="pct"/>
                  <w:tcBorders>
                    <w:tl2br w:val="nil"/>
                    <w:tr2bl w:val="nil"/>
                  </w:tcBorders>
                  <w:shd w:val="clear" w:color="auto" w:fill="auto"/>
                  <w:vAlign w:val="center"/>
                </w:tcPr>
                <w:p w14:paraId="3EC2DEF7">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拉丝机（热）4</w:t>
                  </w:r>
                </w:p>
              </w:tc>
              <w:tc>
                <w:tcPr>
                  <w:tcW w:w="435" w:type="pct"/>
                  <w:tcBorders>
                    <w:tl2br w:val="nil"/>
                    <w:tr2bl w:val="nil"/>
                  </w:tcBorders>
                  <w:shd w:val="clear" w:color="auto" w:fill="auto"/>
                  <w:vAlign w:val="center"/>
                </w:tcPr>
                <w:p w14:paraId="2332FBA2">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80</w:t>
                  </w:r>
                </w:p>
              </w:tc>
              <w:tc>
                <w:tcPr>
                  <w:tcW w:w="333" w:type="pct"/>
                  <w:vMerge w:val="continue"/>
                  <w:tcBorders>
                    <w:tl2br w:val="nil"/>
                    <w:tr2bl w:val="nil"/>
                  </w:tcBorders>
                  <w:shd w:val="clear" w:color="auto" w:fill="auto"/>
                  <w:vAlign w:val="center"/>
                </w:tcPr>
                <w:p w14:paraId="7A26337C">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56C00E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w:t>
                  </w:r>
                </w:p>
              </w:tc>
              <w:tc>
                <w:tcPr>
                  <w:tcW w:w="265" w:type="pct"/>
                  <w:tcBorders>
                    <w:tl2br w:val="nil"/>
                    <w:tr2bl w:val="nil"/>
                  </w:tcBorders>
                  <w:shd w:val="clear" w:color="auto" w:fill="auto"/>
                  <w:vAlign w:val="center"/>
                </w:tcPr>
                <w:p w14:paraId="1A2D87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5B7B0A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20298B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6</w:t>
                  </w:r>
                </w:p>
              </w:tc>
              <w:tc>
                <w:tcPr>
                  <w:tcW w:w="720" w:type="dxa"/>
                  <w:tcBorders>
                    <w:tl2br w:val="nil"/>
                    <w:tr2bl w:val="nil"/>
                  </w:tcBorders>
                  <w:shd w:val="clear" w:color="auto" w:fill="auto"/>
                  <w:vAlign w:val="center"/>
                </w:tcPr>
                <w:p w14:paraId="537F13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64 </w:t>
                  </w:r>
                </w:p>
              </w:tc>
              <w:tc>
                <w:tcPr>
                  <w:tcW w:w="253" w:type="pct"/>
                  <w:vMerge w:val="continue"/>
                  <w:tcBorders>
                    <w:tl2br w:val="nil"/>
                    <w:tr2bl w:val="nil"/>
                  </w:tcBorders>
                  <w:shd w:val="clear" w:color="auto" w:fill="auto"/>
                  <w:vAlign w:val="center"/>
                </w:tcPr>
                <w:p w14:paraId="6C687240">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134F4C55">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6ABE45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49 </w:t>
                  </w:r>
                </w:p>
              </w:tc>
              <w:tc>
                <w:tcPr>
                  <w:tcW w:w="302" w:type="pct"/>
                  <w:tcBorders>
                    <w:tl2br w:val="nil"/>
                    <w:tr2bl w:val="nil"/>
                  </w:tcBorders>
                  <w:shd w:val="clear" w:color="auto" w:fill="auto"/>
                  <w:vAlign w:val="center"/>
                </w:tcPr>
                <w:p w14:paraId="4896591E">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8C227C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664E61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w:t>
                  </w:r>
                </w:p>
              </w:tc>
              <w:tc>
                <w:tcPr>
                  <w:tcW w:w="992" w:type="pct"/>
                  <w:tcBorders>
                    <w:tl2br w:val="nil"/>
                    <w:tr2bl w:val="nil"/>
                  </w:tcBorders>
                  <w:shd w:val="clear" w:color="auto" w:fill="auto"/>
                  <w:vAlign w:val="center"/>
                </w:tcPr>
                <w:p w14:paraId="16A60D2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拉丝机（热）5</w:t>
                  </w:r>
                </w:p>
              </w:tc>
              <w:tc>
                <w:tcPr>
                  <w:tcW w:w="435" w:type="pct"/>
                  <w:tcBorders>
                    <w:tl2br w:val="nil"/>
                    <w:tr2bl w:val="nil"/>
                  </w:tcBorders>
                  <w:shd w:val="clear" w:color="auto" w:fill="auto"/>
                  <w:vAlign w:val="center"/>
                </w:tcPr>
                <w:p w14:paraId="02A82B98">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80</w:t>
                  </w:r>
                </w:p>
              </w:tc>
              <w:tc>
                <w:tcPr>
                  <w:tcW w:w="333" w:type="pct"/>
                  <w:vMerge w:val="continue"/>
                  <w:tcBorders>
                    <w:tl2br w:val="nil"/>
                    <w:tr2bl w:val="nil"/>
                  </w:tcBorders>
                  <w:shd w:val="clear" w:color="auto" w:fill="auto"/>
                  <w:vAlign w:val="center"/>
                </w:tcPr>
                <w:p w14:paraId="2746D3C7">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126796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w:t>
                  </w:r>
                </w:p>
              </w:tc>
              <w:tc>
                <w:tcPr>
                  <w:tcW w:w="265" w:type="pct"/>
                  <w:tcBorders>
                    <w:tl2br w:val="nil"/>
                    <w:tr2bl w:val="nil"/>
                  </w:tcBorders>
                  <w:shd w:val="clear" w:color="auto" w:fill="auto"/>
                  <w:vAlign w:val="center"/>
                </w:tcPr>
                <w:p w14:paraId="1D3B2D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432297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5B7982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4</w:t>
                  </w:r>
                </w:p>
              </w:tc>
              <w:tc>
                <w:tcPr>
                  <w:tcW w:w="720" w:type="dxa"/>
                  <w:tcBorders>
                    <w:tl2br w:val="nil"/>
                    <w:tr2bl w:val="nil"/>
                  </w:tcBorders>
                  <w:shd w:val="clear" w:color="auto" w:fill="auto"/>
                  <w:vAlign w:val="center"/>
                </w:tcPr>
                <w:p w14:paraId="73A168D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 </w:t>
                  </w:r>
                </w:p>
              </w:tc>
              <w:tc>
                <w:tcPr>
                  <w:tcW w:w="253" w:type="pct"/>
                  <w:vMerge w:val="continue"/>
                  <w:tcBorders>
                    <w:tl2br w:val="nil"/>
                    <w:tr2bl w:val="nil"/>
                  </w:tcBorders>
                  <w:shd w:val="clear" w:color="auto" w:fill="auto"/>
                  <w:vAlign w:val="center"/>
                </w:tcPr>
                <w:p w14:paraId="1CCF62A1">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7BC9E474">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205C99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53 </w:t>
                  </w:r>
                </w:p>
              </w:tc>
              <w:tc>
                <w:tcPr>
                  <w:tcW w:w="302" w:type="pct"/>
                  <w:tcBorders>
                    <w:tl2br w:val="nil"/>
                    <w:tr2bl w:val="nil"/>
                  </w:tcBorders>
                  <w:shd w:val="clear" w:color="auto" w:fill="auto"/>
                  <w:vAlign w:val="center"/>
                </w:tcPr>
                <w:p w14:paraId="3003DE37">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53A3A7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619D25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w:t>
                  </w:r>
                </w:p>
              </w:tc>
              <w:tc>
                <w:tcPr>
                  <w:tcW w:w="992" w:type="pct"/>
                  <w:tcBorders>
                    <w:tl2br w:val="nil"/>
                    <w:tr2bl w:val="nil"/>
                  </w:tcBorders>
                  <w:shd w:val="clear" w:color="auto" w:fill="auto"/>
                  <w:vAlign w:val="center"/>
                </w:tcPr>
                <w:p w14:paraId="68E9C89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拉丝机（热）6</w:t>
                  </w:r>
                </w:p>
              </w:tc>
              <w:tc>
                <w:tcPr>
                  <w:tcW w:w="435" w:type="pct"/>
                  <w:tcBorders>
                    <w:tl2br w:val="nil"/>
                    <w:tr2bl w:val="nil"/>
                  </w:tcBorders>
                  <w:shd w:val="clear" w:color="auto" w:fill="auto"/>
                  <w:vAlign w:val="center"/>
                </w:tcPr>
                <w:p w14:paraId="7BE0625F">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80</w:t>
                  </w:r>
                </w:p>
              </w:tc>
              <w:tc>
                <w:tcPr>
                  <w:tcW w:w="333" w:type="pct"/>
                  <w:vMerge w:val="continue"/>
                  <w:tcBorders>
                    <w:tl2br w:val="nil"/>
                    <w:tr2bl w:val="nil"/>
                  </w:tcBorders>
                  <w:shd w:val="clear" w:color="auto" w:fill="auto"/>
                  <w:vAlign w:val="center"/>
                </w:tcPr>
                <w:p w14:paraId="307A89D7">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0AF30D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265" w:type="pct"/>
                  <w:tcBorders>
                    <w:tl2br w:val="nil"/>
                    <w:tr2bl w:val="nil"/>
                  </w:tcBorders>
                  <w:shd w:val="clear" w:color="auto" w:fill="auto"/>
                  <w:vAlign w:val="center"/>
                </w:tcPr>
                <w:p w14:paraId="558BB5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0D68F3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5F6AA5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4</w:t>
                  </w:r>
                </w:p>
              </w:tc>
              <w:tc>
                <w:tcPr>
                  <w:tcW w:w="720" w:type="dxa"/>
                  <w:tcBorders>
                    <w:tl2br w:val="nil"/>
                    <w:tr2bl w:val="nil"/>
                  </w:tcBorders>
                  <w:shd w:val="clear" w:color="auto" w:fill="auto"/>
                  <w:vAlign w:val="center"/>
                </w:tcPr>
                <w:p w14:paraId="4F895B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 </w:t>
                  </w:r>
                </w:p>
              </w:tc>
              <w:tc>
                <w:tcPr>
                  <w:tcW w:w="253" w:type="pct"/>
                  <w:vMerge w:val="continue"/>
                  <w:tcBorders>
                    <w:tl2br w:val="nil"/>
                    <w:tr2bl w:val="nil"/>
                  </w:tcBorders>
                  <w:shd w:val="clear" w:color="auto" w:fill="auto"/>
                  <w:vAlign w:val="center"/>
                </w:tcPr>
                <w:p w14:paraId="6E1F58D4">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5C0903D5">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03F902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53 </w:t>
                  </w:r>
                </w:p>
              </w:tc>
              <w:tc>
                <w:tcPr>
                  <w:tcW w:w="302" w:type="pct"/>
                  <w:tcBorders>
                    <w:tl2br w:val="nil"/>
                    <w:tr2bl w:val="nil"/>
                  </w:tcBorders>
                  <w:shd w:val="clear" w:color="auto" w:fill="auto"/>
                  <w:vAlign w:val="center"/>
                </w:tcPr>
                <w:p w14:paraId="0982E15E">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C39CC8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4AD414B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w:t>
                  </w:r>
                </w:p>
              </w:tc>
              <w:tc>
                <w:tcPr>
                  <w:tcW w:w="992" w:type="pct"/>
                  <w:tcBorders>
                    <w:tl2br w:val="nil"/>
                    <w:tr2bl w:val="nil"/>
                  </w:tcBorders>
                  <w:shd w:val="clear" w:color="auto" w:fill="auto"/>
                  <w:vAlign w:val="center"/>
                </w:tcPr>
                <w:p w14:paraId="1E62FFB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拉丝机（热）7</w:t>
                  </w:r>
                </w:p>
              </w:tc>
              <w:tc>
                <w:tcPr>
                  <w:tcW w:w="435" w:type="pct"/>
                  <w:tcBorders>
                    <w:tl2br w:val="nil"/>
                    <w:tr2bl w:val="nil"/>
                  </w:tcBorders>
                  <w:shd w:val="clear" w:color="auto" w:fill="auto"/>
                  <w:vAlign w:val="center"/>
                </w:tcPr>
                <w:p w14:paraId="16DC1F9C">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80</w:t>
                  </w:r>
                </w:p>
              </w:tc>
              <w:tc>
                <w:tcPr>
                  <w:tcW w:w="333" w:type="pct"/>
                  <w:vMerge w:val="continue"/>
                  <w:tcBorders>
                    <w:tl2br w:val="nil"/>
                    <w:tr2bl w:val="nil"/>
                  </w:tcBorders>
                  <w:shd w:val="clear" w:color="auto" w:fill="auto"/>
                  <w:vAlign w:val="center"/>
                </w:tcPr>
                <w:p w14:paraId="189F8190">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78E8C5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w:t>
                  </w:r>
                </w:p>
              </w:tc>
              <w:tc>
                <w:tcPr>
                  <w:tcW w:w="265" w:type="pct"/>
                  <w:tcBorders>
                    <w:tl2br w:val="nil"/>
                    <w:tr2bl w:val="nil"/>
                  </w:tcBorders>
                  <w:shd w:val="clear" w:color="auto" w:fill="auto"/>
                  <w:vAlign w:val="center"/>
                </w:tcPr>
                <w:p w14:paraId="4845A2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1538A4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7DC5FD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4</w:t>
                  </w:r>
                </w:p>
              </w:tc>
              <w:tc>
                <w:tcPr>
                  <w:tcW w:w="720" w:type="dxa"/>
                  <w:tcBorders>
                    <w:tl2br w:val="nil"/>
                    <w:tr2bl w:val="nil"/>
                  </w:tcBorders>
                  <w:shd w:val="clear" w:color="auto" w:fill="auto"/>
                  <w:vAlign w:val="center"/>
                </w:tcPr>
                <w:p w14:paraId="538484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68 </w:t>
                  </w:r>
                </w:p>
              </w:tc>
              <w:tc>
                <w:tcPr>
                  <w:tcW w:w="253" w:type="pct"/>
                  <w:vMerge w:val="continue"/>
                  <w:tcBorders>
                    <w:tl2br w:val="nil"/>
                    <w:tr2bl w:val="nil"/>
                  </w:tcBorders>
                  <w:shd w:val="clear" w:color="auto" w:fill="auto"/>
                  <w:vAlign w:val="center"/>
                </w:tcPr>
                <w:p w14:paraId="7ADBE28D">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53192232">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4C92EA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53 </w:t>
                  </w:r>
                </w:p>
              </w:tc>
              <w:tc>
                <w:tcPr>
                  <w:tcW w:w="302" w:type="pct"/>
                  <w:tcBorders>
                    <w:tl2br w:val="nil"/>
                    <w:tr2bl w:val="nil"/>
                  </w:tcBorders>
                  <w:shd w:val="clear" w:color="auto" w:fill="auto"/>
                  <w:vAlign w:val="center"/>
                </w:tcPr>
                <w:p w14:paraId="7EB4CA01">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F90AB1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492E6B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w:t>
                  </w:r>
                </w:p>
              </w:tc>
              <w:tc>
                <w:tcPr>
                  <w:tcW w:w="992" w:type="pct"/>
                  <w:tcBorders>
                    <w:tl2br w:val="nil"/>
                    <w:tr2bl w:val="nil"/>
                  </w:tcBorders>
                  <w:shd w:val="clear" w:color="auto" w:fill="auto"/>
                  <w:vAlign w:val="center"/>
                </w:tcPr>
                <w:p w14:paraId="208D68F3">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拉丝机（热）8</w:t>
                  </w:r>
                </w:p>
              </w:tc>
              <w:tc>
                <w:tcPr>
                  <w:tcW w:w="435" w:type="pct"/>
                  <w:tcBorders>
                    <w:tl2br w:val="nil"/>
                    <w:tr2bl w:val="nil"/>
                  </w:tcBorders>
                  <w:shd w:val="clear" w:color="auto" w:fill="auto"/>
                  <w:vAlign w:val="center"/>
                </w:tcPr>
                <w:p w14:paraId="14A74B33">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80</w:t>
                  </w:r>
                </w:p>
              </w:tc>
              <w:tc>
                <w:tcPr>
                  <w:tcW w:w="333" w:type="pct"/>
                  <w:vMerge w:val="continue"/>
                  <w:tcBorders>
                    <w:tl2br w:val="nil"/>
                    <w:tr2bl w:val="nil"/>
                  </w:tcBorders>
                  <w:shd w:val="clear" w:color="auto" w:fill="auto"/>
                  <w:vAlign w:val="center"/>
                </w:tcPr>
                <w:p w14:paraId="734510DA">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73148F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w:t>
                  </w:r>
                </w:p>
              </w:tc>
              <w:tc>
                <w:tcPr>
                  <w:tcW w:w="265" w:type="pct"/>
                  <w:tcBorders>
                    <w:tl2br w:val="nil"/>
                    <w:tr2bl w:val="nil"/>
                  </w:tcBorders>
                  <w:shd w:val="clear" w:color="auto" w:fill="auto"/>
                  <w:vAlign w:val="center"/>
                </w:tcPr>
                <w:p w14:paraId="00D916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49CEDC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321F61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6</w:t>
                  </w:r>
                </w:p>
              </w:tc>
              <w:tc>
                <w:tcPr>
                  <w:tcW w:w="720" w:type="dxa"/>
                  <w:tcBorders>
                    <w:tl2br w:val="nil"/>
                    <w:tr2bl w:val="nil"/>
                  </w:tcBorders>
                  <w:shd w:val="clear" w:color="auto" w:fill="auto"/>
                  <w:vAlign w:val="center"/>
                </w:tcPr>
                <w:p w14:paraId="212155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64 </w:t>
                  </w:r>
                </w:p>
              </w:tc>
              <w:tc>
                <w:tcPr>
                  <w:tcW w:w="253" w:type="pct"/>
                  <w:vMerge w:val="continue"/>
                  <w:tcBorders>
                    <w:tl2br w:val="nil"/>
                    <w:tr2bl w:val="nil"/>
                  </w:tcBorders>
                  <w:shd w:val="clear" w:color="auto" w:fill="auto"/>
                  <w:vAlign w:val="center"/>
                </w:tcPr>
                <w:p w14:paraId="734FE12F">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40B57036">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4A2D35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49 </w:t>
                  </w:r>
                </w:p>
              </w:tc>
              <w:tc>
                <w:tcPr>
                  <w:tcW w:w="302" w:type="pct"/>
                  <w:tcBorders>
                    <w:tl2br w:val="nil"/>
                    <w:tr2bl w:val="nil"/>
                  </w:tcBorders>
                  <w:shd w:val="clear" w:color="auto" w:fill="auto"/>
                  <w:vAlign w:val="center"/>
                </w:tcPr>
                <w:p w14:paraId="0F7233E4">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2CBC082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32AF37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w:t>
                  </w:r>
                </w:p>
              </w:tc>
              <w:tc>
                <w:tcPr>
                  <w:tcW w:w="992" w:type="pct"/>
                  <w:tcBorders>
                    <w:tl2br w:val="nil"/>
                    <w:tr2bl w:val="nil"/>
                  </w:tcBorders>
                  <w:shd w:val="clear" w:color="auto" w:fill="auto"/>
                  <w:vAlign w:val="center"/>
                </w:tcPr>
                <w:p w14:paraId="6EB2C339">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冷拉双头拉丝机</w:t>
                  </w:r>
                  <w:r>
                    <w:rPr>
                      <w:rFonts w:hint="eastAsia" w:ascii="宋体" w:hAnsi="宋体" w:cs="宋体"/>
                      <w:i w:val="0"/>
                      <w:iCs w:val="0"/>
                      <w:color w:val="auto"/>
                      <w:kern w:val="0"/>
                      <w:sz w:val="21"/>
                      <w:szCs w:val="21"/>
                      <w:u w:val="none"/>
                      <w:lang w:val="en-US" w:eastAsia="zh-CN" w:bidi="ar"/>
                    </w:rPr>
                    <w:t>1</w:t>
                  </w:r>
                </w:p>
              </w:tc>
              <w:tc>
                <w:tcPr>
                  <w:tcW w:w="435" w:type="pct"/>
                  <w:tcBorders>
                    <w:tl2br w:val="nil"/>
                    <w:tr2bl w:val="nil"/>
                  </w:tcBorders>
                  <w:shd w:val="clear" w:color="auto" w:fill="auto"/>
                  <w:vAlign w:val="center"/>
                </w:tcPr>
                <w:p w14:paraId="08123062">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80</w:t>
                  </w:r>
                </w:p>
              </w:tc>
              <w:tc>
                <w:tcPr>
                  <w:tcW w:w="333" w:type="pct"/>
                  <w:vMerge w:val="continue"/>
                  <w:tcBorders>
                    <w:tl2br w:val="nil"/>
                    <w:tr2bl w:val="nil"/>
                  </w:tcBorders>
                  <w:shd w:val="clear" w:color="auto" w:fill="auto"/>
                  <w:vAlign w:val="center"/>
                </w:tcPr>
                <w:p w14:paraId="1D7876FD">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255EE1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w:t>
                  </w:r>
                </w:p>
              </w:tc>
              <w:tc>
                <w:tcPr>
                  <w:tcW w:w="265" w:type="pct"/>
                  <w:tcBorders>
                    <w:tl2br w:val="nil"/>
                    <w:tr2bl w:val="nil"/>
                  </w:tcBorders>
                  <w:shd w:val="clear" w:color="auto" w:fill="auto"/>
                  <w:vAlign w:val="center"/>
                </w:tcPr>
                <w:p w14:paraId="56EF1D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445BDE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6AD299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115FD4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66 </w:t>
                  </w:r>
                </w:p>
              </w:tc>
              <w:tc>
                <w:tcPr>
                  <w:tcW w:w="253" w:type="pct"/>
                  <w:vMerge w:val="continue"/>
                  <w:tcBorders>
                    <w:tl2br w:val="nil"/>
                    <w:tr2bl w:val="nil"/>
                  </w:tcBorders>
                  <w:shd w:val="clear" w:color="auto" w:fill="auto"/>
                  <w:vAlign w:val="center"/>
                </w:tcPr>
                <w:p w14:paraId="51F40652">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069BEA2F">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1EA0DFC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51 </w:t>
                  </w:r>
                </w:p>
              </w:tc>
              <w:tc>
                <w:tcPr>
                  <w:tcW w:w="302" w:type="pct"/>
                  <w:tcBorders>
                    <w:tl2br w:val="nil"/>
                    <w:tr2bl w:val="nil"/>
                  </w:tcBorders>
                  <w:shd w:val="clear" w:color="auto" w:fill="auto"/>
                  <w:vAlign w:val="center"/>
                </w:tcPr>
                <w:p w14:paraId="4DB002A7">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29D910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34652B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92" w:type="pct"/>
                  <w:tcBorders>
                    <w:tl2br w:val="nil"/>
                    <w:tr2bl w:val="nil"/>
                  </w:tcBorders>
                  <w:shd w:val="clear" w:color="auto" w:fill="auto"/>
                  <w:vAlign w:val="center"/>
                </w:tcPr>
                <w:p w14:paraId="6B9A116F">
                  <w:pPr>
                    <w:keepNext w:val="0"/>
                    <w:keepLines w:val="0"/>
                    <w:widowControl/>
                    <w:suppressLineNumbers w:val="0"/>
                    <w:jc w:val="both"/>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冷拉双头拉丝机</w:t>
                  </w:r>
                  <w:r>
                    <w:rPr>
                      <w:rFonts w:hint="eastAsia" w:ascii="宋体" w:hAnsi="宋体" w:cs="宋体"/>
                      <w:i w:val="0"/>
                      <w:iCs w:val="0"/>
                      <w:color w:val="auto"/>
                      <w:kern w:val="0"/>
                      <w:sz w:val="21"/>
                      <w:szCs w:val="21"/>
                      <w:u w:val="none"/>
                      <w:lang w:val="en-US" w:eastAsia="zh-CN" w:bidi="ar"/>
                    </w:rPr>
                    <w:t>2</w:t>
                  </w:r>
                </w:p>
              </w:tc>
              <w:tc>
                <w:tcPr>
                  <w:tcW w:w="435" w:type="pct"/>
                  <w:tcBorders>
                    <w:tl2br w:val="nil"/>
                    <w:tr2bl w:val="nil"/>
                  </w:tcBorders>
                  <w:shd w:val="clear" w:color="auto" w:fill="auto"/>
                  <w:vAlign w:val="center"/>
                </w:tcPr>
                <w:p w14:paraId="2F69A1C8">
                  <w:pPr>
                    <w:jc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80</w:t>
                  </w:r>
                </w:p>
              </w:tc>
              <w:tc>
                <w:tcPr>
                  <w:tcW w:w="333" w:type="pct"/>
                  <w:vMerge w:val="continue"/>
                  <w:tcBorders>
                    <w:tl2br w:val="nil"/>
                    <w:tr2bl w:val="nil"/>
                  </w:tcBorders>
                  <w:shd w:val="clear" w:color="auto" w:fill="auto"/>
                  <w:vAlign w:val="center"/>
                </w:tcPr>
                <w:p w14:paraId="13EA01D8">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7F475C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w:t>
                  </w:r>
                </w:p>
              </w:tc>
              <w:tc>
                <w:tcPr>
                  <w:tcW w:w="265" w:type="pct"/>
                  <w:tcBorders>
                    <w:tl2br w:val="nil"/>
                    <w:tr2bl w:val="nil"/>
                  </w:tcBorders>
                  <w:shd w:val="clear" w:color="auto" w:fill="auto"/>
                  <w:vAlign w:val="center"/>
                </w:tcPr>
                <w:p w14:paraId="5C2373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418EDC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540E75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4597A0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66 </w:t>
                  </w:r>
                </w:p>
              </w:tc>
              <w:tc>
                <w:tcPr>
                  <w:tcW w:w="253" w:type="pct"/>
                  <w:vMerge w:val="continue"/>
                  <w:tcBorders>
                    <w:tl2br w:val="nil"/>
                    <w:tr2bl w:val="nil"/>
                  </w:tcBorders>
                  <w:shd w:val="clear" w:color="auto" w:fill="auto"/>
                  <w:vAlign w:val="center"/>
                </w:tcPr>
                <w:p w14:paraId="674ECF3A">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29B1FBD1">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3A8BDEC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51 </w:t>
                  </w:r>
                </w:p>
              </w:tc>
              <w:tc>
                <w:tcPr>
                  <w:tcW w:w="302" w:type="pct"/>
                  <w:tcBorders>
                    <w:tl2br w:val="nil"/>
                    <w:tr2bl w:val="nil"/>
                  </w:tcBorders>
                  <w:shd w:val="clear" w:color="auto" w:fill="auto"/>
                  <w:vAlign w:val="center"/>
                </w:tcPr>
                <w:p w14:paraId="53DEA4C1">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B61024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70CBDA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992" w:type="pct"/>
                  <w:tcBorders>
                    <w:tl2br w:val="nil"/>
                    <w:tr2bl w:val="nil"/>
                  </w:tcBorders>
                  <w:shd w:val="clear" w:color="auto" w:fill="auto"/>
                  <w:vAlign w:val="center"/>
                </w:tcPr>
                <w:p w14:paraId="6AB02539">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w:t>
                  </w:r>
                  <w:r>
                    <w:rPr>
                      <w:rFonts w:hint="eastAsia" w:ascii="宋体" w:hAnsi="宋体" w:cs="宋体"/>
                      <w:i w:val="0"/>
                      <w:iCs w:val="0"/>
                      <w:color w:val="auto"/>
                      <w:kern w:val="0"/>
                      <w:sz w:val="21"/>
                      <w:szCs w:val="21"/>
                      <w:u w:val="none"/>
                      <w:lang w:val="en-US" w:eastAsia="zh-CN" w:bidi="ar"/>
                    </w:rPr>
                    <w:t>冷</w:t>
                  </w:r>
                  <w:r>
                    <w:rPr>
                      <w:rFonts w:hint="eastAsia" w:ascii="宋体" w:hAnsi="宋体" w:eastAsia="宋体" w:cs="宋体"/>
                      <w:i w:val="0"/>
                      <w:iCs w:val="0"/>
                      <w:color w:val="auto"/>
                      <w:kern w:val="0"/>
                      <w:sz w:val="21"/>
                      <w:szCs w:val="21"/>
                      <w:u w:val="none"/>
                      <w:lang w:val="en-US" w:eastAsia="zh-CN" w:bidi="ar"/>
                    </w:rPr>
                    <w:t>）1</w:t>
                  </w:r>
                </w:p>
              </w:tc>
              <w:tc>
                <w:tcPr>
                  <w:tcW w:w="435" w:type="pct"/>
                  <w:tcBorders>
                    <w:tl2br w:val="nil"/>
                    <w:tr2bl w:val="nil"/>
                  </w:tcBorders>
                  <w:shd w:val="clear" w:color="auto" w:fill="auto"/>
                  <w:vAlign w:val="center"/>
                </w:tcPr>
                <w:p w14:paraId="5B3822A9">
                  <w:pPr>
                    <w:jc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7CC543C1">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4B702D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w:t>
                  </w:r>
                </w:p>
              </w:tc>
              <w:tc>
                <w:tcPr>
                  <w:tcW w:w="265" w:type="pct"/>
                  <w:tcBorders>
                    <w:tl2br w:val="nil"/>
                    <w:tr2bl w:val="nil"/>
                  </w:tcBorders>
                  <w:shd w:val="clear" w:color="auto" w:fill="auto"/>
                  <w:vAlign w:val="center"/>
                </w:tcPr>
                <w:p w14:paraId="244A21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2D53C5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187676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7</w:t>
                  </w:r>
                </w:p>
              </w:tc>
              <w:tc>
                <w:tcPr>
                  <w:tcW w:w="720" w:type="dxa"/>
                  <w:tcBorders>
                    <w:tl2br w:val="nil"/>
                    <w:tr2bl w:val="nil"/>
                  </w:tcBorders>
                  <w:shd w:val="clear" w:color="auto" w:fill="auto"/>
                  <w:vAlign w:val="center"/>
                </w:tcPr>
                <w:p w14:paraId="29580E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 </w:t>
                  </w:r>
                </w:p>
              </w:tc>
              <w:tc>
                <w:tcPr>
                  <w:tcW w:w="253" w:type="pct"/>
                  <w:vMerge w:val="continue"/>
                  <w:tcBorders>
                    <w:tl2br w:val="nil"/>
                    <w:tr2bl w:val="nil"/>
                  </w:tcBorders>
                  <w:shd w:val="clear" w:color="auto" w:fill="auto"/>
                  <w:vAlign w:val="center"/>
                </w:tcPr>
                <w:p w14:paraId="441AE35D">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52925747">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0460C9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302" w:type="pct"/>
                  <w:tcBorders>
                    <w:tl2br w:val="nil"/>
                    <w:tr2bl w:val="nil"/>
                  </w:tcBorders>
                  <w:shd w:val="clear" w:color="auto" w:fill="auto"/>
                  <w:vAlign w:val="center"/>
                </w:tcPr>
                <w:p w14:paraId="65BD8E21">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7719B2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223BBA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992" w:type="pct"/>
                  <w:tcBorders>
                    <w:tl2br w:val="nil"/>
                    <w:tr2bl w:val="nil"/>
                  </w:tcBorders>
                  <w:shd w:val="clear" w:color="auto" w:fill="auto"/>
                  <w:vAlign w:val="center"/>
                </w:tcPr>
                <w:p w14:paraId="05E7184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w:t>
                  </w:r>
                  <w:r>
                    <w:rPr>
                      <w:rFonts w:hint="eastAsia" w:ascii="宋体" w:hAnsi="宋体" w:cs="宋体"/>
                      <w:i w:val="0"/>
                      <w:iCs w:val="0"/>
                      <w:color w:val="auto"/>
                      <w:kern w:val="0"/>
                      <w:sz w:val="21"/>
                      <w:szCs w:val="21"/>
                      <w:u w:val="none"/>
                      <w:lang w:val="en-US" w:eastAsia="zh-CN" w:bidi="ar"/>
                    </w:rPr>
                    <w:t>冷</w:t>
                  </w:r>
                  <w:r>
                    <w:rPr>
                      <w:rFonts w:hint="eastAsia" w:ascii="宋体" w:hAnsi="宋体" w:eastAsia="宋体" w:cs="宋体"/>
                      <w:i w:val="0"/>
                      <w:iCs w:val="0"/>
                      <w:color w:val="auto"/>
                      <w:kern w:val="0"/>
                      <w:sz w:val="21"/>
                      <w:szCs w:val="21"/>
                      <w:u w:val="none"/>
                      <w:lang w:val="en-US" w:eastAsia="zh-CN" w:bidi="ar"/>
                    </w:rPr>
                    <w:t>）2</w:t>
                  </w:r>
                </w:p>
              </w:tc>
              <w:tc>
                <w:tcPr>
                  <w:tcW w:w="435" w:type="pct"/>
                  <w:tcBorders>
                    <w:tl2br w:val="nil"/>
                    <w:tr2bl w:val="nil"/>
                  </w:tcBorders>
                  <w:shd w:val="clear" w:color="auto" w:fill="auto"/>
                  <w:vAlign w:val="center"/>
                </w:tcPr>
                <w:p w14:paraId="1FFB6D31">
                  <w:pPr>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37E432DF">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3B122F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265" w:type="pct"/>
                  <w:tcBorders>
                    <w:tl2br w:val="nil"/>
                    <w:tr2bl w:val="nil"/>
                  </w:tcBorders>
                  <w:shd w:val="clear" w:color="auto" w:fill="auto"/>
                  <w:vAlign w:val="center"/>
                </w:tcPr>
                <w:p w14:paraId="7D0031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6B388E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662223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7</w:t>
                  </w:r>
                </w:p>
              </w:tc>
              <w:tc>
                <w:tcPr>
                  <w:tcW w:w="720" w:type="dxa"/>
                  <w:tcBorders>
                    <w:tl2br w:val="nil"/>
                    <w:tr2bl w:val="nil"/>
                  </w:tcBorders>
                  <w:shd w:val="clear" w:color="auto" w:fill="auto"/>
                  <w:vAlign w:val="center"/>
                </w:tcPr>
                <w:p w14:paraId="585D1F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 </w:t>
                  </w:r>
                </w:p>
              </w:tc>
              <w:tc>
                <w:tcPr>
                  <w:tcW w:w="253" w:type="pct"/>
                  <w:vMerge w:val="continue"/>
                  <w:tcBorders>
                    <w:tl2br w:val="nil"/>
                    <w:tr2bl w:val="nil"/>
                  </w:tcBorders>
                  <w:shd w:val="clear" w:color="auto" w:fill="auto"/>
                  <w:vAlign w:val="center"/>
                </w:tcPr>
                <w:p w14:paraId="3B4A5016">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62667BB6">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346280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302" w:type="pct"/>
                  <w:tcBorders>
                    <w:tl2br w:val="nil"/>
                    <w:tr2bl w:val="nil"/>
                  </w:tcBorders>
                  <w:shd w:val="clear" w:color="auto" w:fill="auto"/>
                  <w:vAlign w:val="center"/>
                </w:tcPr>
                <w:p w14:paraId="45C7666E">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C72797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78ACDE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992" w:type="pct"/>
                  <w:tcBorders>
                    <w:tl2br w:val="nil"/>
                    <w:tr2bl w:val="nil"/>
                  </w:tcBorders>
                  <w:shd w:val="clear" w:color="auto" w:fill="auto"/>
                  <w:vAlign w:val="center"/>
                </w:tcPr>
                <w:p w14:paraId="768FA74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w:t>
                  </w:r>
                  <w:r>
                    <w:rPr>
                      <w:rFonts w:hint="eastAsia" w:ascii="宋体" w:hAnsi="宋体" w:cs="宋体"/>
                      <w:i w:val="0"/>
                      <w:iCs w:val="0"/>
                      <w:color w:val="auto"/>
                      <w:kern w:val="0"/>
                      <w:sz w:val="21"/>
                      <w:szCs w:val="21"/>
                      <w:u w:val="none"/>
                      <w:lang w:val="en-US" w:eastAsia="zh-CN" w:bidi="ar"/>
                    </w:rPr>
                    <w:t>冷</w:t>
                  </w:r>
                  <w:r>
                    <w:rPr>
                      <w:rFonts w:hint="eastAsia" w:ascii="宋体" w:hAnsi="宋体" w:eastAsia="宋体" w:cs="宋体"/>
                      <w:i w:val="0"/>
                      <w:iCs w:val="0"/>
                      <w:color w:val="auto"/>
                      <w:kern w:val="0"/>
                      <w:sz w:val="21"/>
                      <w:szCs w:val="21"/>
                      <w:u w:val="none"/>
                      <w:lang w:val="en-US" w:eastAsia="zh-CN" w:bidi="ar"/>
                    </w:rPr>
                    <w:t>）3</w:t>
                  </w:r>
                </w:p>
              </w:tc>
              <w:tc>
                <w:tcPr>
                  <w:tcW w:w="435" w:type="pct"/>
                  <w:tcBorders>
                    <w:tl2br w:val="nil"/>
                    <w:tr2bl w:val="nil"/>
                  </w:tcBorders>
                  <w:shd w:val="clear" w:color="auto" w:fill="auto"/>
                  <w:vAlign w:val="center"/>
                </w:tcPr>
                <w:p w14:paraId="073E8E2C">
                  <w:pPr>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3650664E">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13EDBE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265" w:type="pct"/>
                  <w:tcBorders>
                    <w:tl2br w:val="nil"/>
                    <w:tr2bl w:val="nil"/>
                  </w:tcBorders>
                  <w:shd w:val="clear" w:color="auto" w:fill="auto"/>
                  <w:vAlign w:val="center"/>
                </w:tcPr>
                <w:p w14:paraId="3B3EBE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6FF6D21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668FBA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7</w:t>
                  </w:r>
                </w:p>
              </w:tc>
              <w:tc>
                <w:tcPr>
                  <w:tcW w:w="720" w:type="dxa"/>
                  <w:tcBorders>
                    <w:tl2br w:val="nil"/>
                    <w:tr2bl w:val="nil"/>
                  </w:tcBorders>
                  <w:shd w:val="clear" w:color="auto" w:fill="auto"/>
                  <w:vAlign w:val="center"/>
                </w:tcPr>
                <w:p w14:paraId="21C21D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 </w:t>
                  </w:r>
                </w:p>
              </w:tc>
              <w:tc>
                <w:tcPr>
                  <w:tcW w:w="253" w:type="pct"/>
                  <w:vMerge w:val="continue"/>
                  <w:tcBorders>
                    <w:tl2br w:val="nil"/>
                    <w:tr2bl w:val="nil"/>
                  </w:tcBorders>
                  <w:shd w:val="clear" w:color="auto" w:fill="auto"/>
                  <w:vAlign w:val="center"/>
                </w:tcPr>
                <w:p w14:paraId="7C613552">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1793F5C3">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27A0CF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302" w:type="pct"/>
                  <w:tcBorders>
                    <w:tl2br w:val="nil"/>
                    <w:tr2bl w:val="nil"/>
                  </w:tcBorders>
                  <w:shd w:val="clear" w:color="auto" w:fill="auto"/>
                  <w:vAlign w:val="center"/>
                </w:tcPr>
                <w:p w14:paraId="29C2D050">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9950E5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7B7194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992" w:type="pct"/>
                  <w:tcBorders>
                    <w:tl2br w:val="nil"/>
                    <w:tr2bl w:val="nil"/>
                  </w:tcBorders>
                  <w:shd w:val="clear" w:color="auto" w:fill="auto"/>
                  <w:vAlign w:val="center"/>
                </w:tcPr>
                <w:p w14:paraId="148E03E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w:t>
                  </w:r>
                  <w:r>
                    <w:rPr>
                      <w:rFonts w:hint="eastAsia" w:ascii="宋体" w:hAnsi="宋体" w:cs="宋体"/>
                      <w:i w:val="0"/>
                      <w:iCs w:val="0"/>
                      <w:color w:val="auto"/>
                      <w:kern w:val="0"/>
                      <w:sz w:val="21"/>
                      <w:szCs w:val="21"/>
                      <w:u w:val="none"/>
                      <w:lang w:val="en-US" w:eastAsia="zh-CN" w:bidi="ar"/>
                    </w:rPr>
                    <w:t>冷</w:t>
                  </w:r>
                  <w:r>
                    <w:rPr>
                      <w:rFonts w:hint="eastAsia" w:ascii="宋体" w:hAnsi="宋体" w:eastAsia="宋体" w:cs="宋体"/>
                      <w:i w:val="0"/>
                      <w:iCs w:val="0"/>
                      <w:color w:val="auto"/>
                      <w:kern w:val="0"/>
                      <w:sz w:val="21"/>
                      <w:szCs w:val="21"/>
                      <w:u w:val="none"/>
                      <w:lang w:val="en-US" w:eastAsia="zh-CN" w:bidi="ar"/>
                    </w:rPr>
                    <w:t>）4</w:t>
                  </w:r>
                </w:p>
              </w:tc>
              <w:tc>
                <w:tcPr>
                  <w:tcW w:w="435" w:type="pct"/>
                  <w:tcBorders>
                    <w:tl2br w:val="nil"/>
                    <w:tr2bl w:val="nil"/>
                  </w:tcBorders>
                  <w:shd w:val="clear" w:color="auto" w:fill="auto"/>
                  <w:vAlign w:val="center"/>
                </w:tcPr>
                <w:p w14:paraId="0974E0AB">
                  <w:pPr>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4C69F67D">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140F02A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265" w:type="pct"/>
                  <w:tcBorders>
                    <w:tl2br w:val="nil"/>
                    <w:tr2bl w:val="nil"/>
                  </w:tcBorders>
                  <w:shd w:val="clear" w:color="auto" w:fill="auto"/>
                  <w:vAlign w:val="center"/>
                </w:tcPr>
                <w:p w14:paraId="03E493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2A27F2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4E8DFD2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7</w:t>
                  </w:r>
                </w:p>
              </w:tc>
              <w:tc>
                <w:tcPr>
                  <w:tcW w:w="720" w:type="dxa"/>
                  <w:tcBorders>
                    <w:tl2br w:val="nil"/>
                    <w:tr2bl w:val="nil"/>
                  </w:tcBorders>
                  <w:shd w:val="clear" w:color="auto" w:fill="auto"/>
                  <w:vAlign w:val="center"/>
                </w:tcPr>
                <w:p w14:paraId="4C30C6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 </w:t>
                  </w:r>
                </w:p>
              </w:tc>
              <w:tc>
                <w:tcPr>
                  <w:tcW w:w="253" w:type="pct"/>
                  <w:vMerge w:val="continue"/>
                  <w:tcBorders>
                    <w:tl2br w:val="nil"/>
                    <w:tr2bl w:val="nil"/>
                  </w:tcBorders>
                  <w:shd w:val="clear" w:color="auto" w:fill="auto"/>
                  <w:vAlign w:val="center"/>
                </w:tcPr>
                <w:p w14:paraId="095DBB12">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376E904E">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11B14A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302" w:type="pct"/>
                  <w:tcBorders>
                    <w:tl2br w:val="nil"/>
                    <w:tr2bl w:val="nil"/>
                  </w:tcBorders>
                  <w:shd w:val="clear" w:color="auto" w:fill="auto"/>
                  <w:vAlign w:val="center"/>
                </w:tcPr>
                <w:p w14:paraId="76C6958E">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560532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40D98A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992" w:type="pct"/>
                  <w:tcBorders>
                    <w:tl2br w:val="nil"/>
                    <w:tr2bl w:val="nil"/>
                  </w:tcBorders>
                  <w:shd w:val="clear" w:color="auto" w:fill="auto"/>
                  <w:vAlign w:val="center"/>
                </w:tcPr>
                <w:p w14:paraId="042E9490">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w:t>
                  </w:r>
                  <w:r>
                    <w:rPr>
                      <w:rFonts w:hint="eastAsia" w:ascii="宋体" w:hAnsi="宋体" w:cs="宋体"/>
                      <w:i w:val="0"/>
                      <w:iCs w:val="0"/>
                      <w:color w:val="auto"/>
                      <w:kern w:val="0"/>
                      <w:sz w:val="21"/>
                      <w:szCs w:val="21"/>
                      <w:u w:val="none"/>
                      <w:lang w:val="en-US" w:eastAsia="zh-CN" w:bidi="ar"/>
                    </w:rPr>
                    <w:t>冷</w:t>
                  </w:r>
                  <w:r>
                    <w:rPr>
                      <w:rFonts w:hint="eastAsia" w:ascii="宋体" w:hAnsi="宋体" w:eastAsia="宋体" w:cs="宋体"/>
                      <w:i w:val="0"/>
                      <w:iCs w:val="0"/>
                      <w:color w:val="auto"/>
                      <w:kern w:val="0"/>
                      <w:sz w:val="21"/>
                      <w:szCs w:val="21"/>
                      <w:u w:val="none"/>
                      <w:lang w:val="en-US" w:eastAsia="zh-CN" w:bidi="ar"/>
                    </w:rPr>
                    <w:t>）5</w:t>
                  </w:r>
                </w:p>
              </w:tc>
              <w:tc>
                <w:tcPr>
                  <w:tcW w:w="435" w:type="pct"/>
                  <w:tcBorders>
                    <w:tl2br w:val="nil"/>
                    <w:tr2bl w:val="nil"/>
                  </w:tcBorders>
                  <w:shd w:val="clear" w:color="auto" w:fill="auto"/>
                  <w:vAlign w:val="center"/>
                </w:tcPr>
                <w:p w14:paraId="0B4DDB38">
                  <w:pPr>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4874F43F">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7FCD7D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w:t>
                  </w:r>
                </w:p>
              </w:tc>
              <w:tc>
                <w:tcPr>
                  <w:tcW w:w="265" w:type="pct"/>
                  <w:tcBorders>
                    <w:tl2br w:val="nil"/>
                    <w:tr2bl w:val="nil"/>
                  </w:tcBorders>
                  <w:shd w:val="clear" w:color="auto" w:fill="auto"/>
                  <w:vAlign w:val="center"/>
                </w:tcPr>
                <w:p w14:paraId="0D05EC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6B2B04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258A39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7</w:t>
                  </w:r>
                </w:p>
              </w:tc>
              <w:tc>
                <w:tcPr>
                  <w:tcW w:w="720" w:type="dxa"/>
                  <w:tcBorders>
                    <w:tl2br w:val="nil"/>
                    <w:tr2bl w:val="nil"/>
                  </w:tcBorders>
                  <w:shd w:val="clear" w:color="auto" w:fill="auto"/>
                  <w:vAlign w:val="center"/>
                </w:tcPr>
                <w:p w14:paraId="5E9865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 </w:t>
                  </w:r>
                </w:p>
              </w:tc>
              <w:tc>
                <w:tcPr>
                  <w:tcW w:w="253" w:type="pct"/>
                  <w:vMerge w:val="continue"/>
                  <w:tcBorders>
                    <w:tl2br w:val="nil"/>
                    <w:tr2bl w:val="nil"/>
                  </w:tcBorders>
                  <w:shd w:val="clear" w:color="auto" w:fill="auto"/>
                  <w:vAlign w:val="center"/>
                </w:tcPr>
                <w:p w14:paraId="2729CC9C">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5571104B">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2C629E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302" w:type="pct"/>
                  <w:tcBorders>
                    <w:tl2br w:val="nil"/>
                    <w:tr2bl w:val="nil"/>
                  </w:tcBorders>
                  <w:shd w:val="clear" w:color="auto" w:fill="auto"/>
                  <w:vAlign w:val="center"/>
                </w:tcPr>
                <w:p w14:paraId="3C9BFD60">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6FA48A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74783D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992" w:type="pct"/>
                  <w:tcBorders>
                    <w:tl2br w:val="nil"/>
                    <w:tr2bl w:val="nil"/>
                  </w:tcBorders>
                  <w:shd w:val="clear" w:color="auto" w:fill="auto"/>
                  <w:vAlign w:val="center"/>
                </w:tcPr>
                <w:p w14:paraId="2F4494D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w:t>
                  </w:r>
                  <w:r>
                    <w:rPr>
                      <w:rFonts w:hint="eastAsia" w:ascii="宋体" w:hAnsi="宋体" w:cs="宋体"/>
                      <w:i w:val="0"/>
                      <w:iCs w:val="0"/>
                      <w:color w:val="auto"/>
                      <w:kern w:val="0"/>
                      <w:sz w:val="21"/>
                      <w:szCs w:val="21"/>
                      <w:u w:val="none"/>
                      <w:lang w:val="en-US" w:eastAsia="zh-CN" w:bidi="ar"/>
                    </w:rPr>
                    <w:t>冷</w:t>
                  </w:r>
                  <w:r>
                    <w:rPr>
                      <w:rFonts w:hint="eastAsia" w:ascii="宋体" w:hAnsi="宋体" w:eastAsia="宋体" w:cs="宋体"/>
                      <w:i w:val="0"/>
                      <w:iCs w:val="0"/>
                      <w:color w:val="auto"/>
                      <w:kern w:val="0"/>
                      <w:sz w:val="21"/>
                      <w:szCs w:val="21"/>
                      <w:u w:val="none"/>
                      <w:lang w:val="en-US" w:eastAsia="zh-CN" w:bidi="ar"/>
                    </w:rPr>
                    <w:t>）6</w:t>
                  </w:r>
                </w:p>
              </w:tc>
              <w:tc>
                <w:tcPr>
                  <w:tcW w:w="435" w:type="pct"/>
                  <w:tcBorders>
                    <w:tl2br w:val="nil"/>
                    <w:tr2bl w:val="nil"/>
                  </w:tcBorders>
                  <w:shd w:val="clear" w:color="auto" w:fill="auto"/>
                  <w:vAlign w:val="center"/>
                </w:tcPr>
                <w:p w14:paraId="6436F03A">
                  <w:pPr>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044DD038">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756032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265" w:type="pct"/>
                  <w:tcBorders>
                    <w:tl2br w:val="nil"/>
                    <w:tr2bl w:val="nil"/>
                  </w:tcBorders>
                  <w:shd w:val="clear" w:color="auto" w:fill="auto"/>
                  <w:vAlign w:val="center"/>
                </w:tcPr>
                <w:p w14:paraId="28AEEF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35BE7B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660CF5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7</w:t>
                  </w:r>
                </w:p>
              </w:tc>
              <w:tc>
                <w:tcPr>
                  <w:tcW w:w="720" w:type="dxa"/>
                  <w:tcBorders>
                    <w:tl2br w:val="nil"/>
                    <w:tr2bl w:val="nil"/>
                  </w:tcBorders>
                  <w:shd w:val="clear" w:color="auto" w:fill="auto"/>
                  <w:vAlign w:val="center"/>
                </w:tcPr>
                <w:p w14:paraId="4B050B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 </w:t>
                  </w:r>
                </w:p>
              </w:tc>
              <w:tc>
                <w:tcPr>
                  <w:tcW w:w="253" w:type="pct"/>
                  <w:vMerge w:val="continue"/>
                  <w:tcBorders>
                    <w:tl2br w:val="nil"/>
                    <w:tr2bl w:val="nil"/>
                  </w:tcBorders>
                  <w:shd w:val="clear" w:color="auto" w:fill="auto"/>
                  <w:vAlign w:val="center"/>
                </w:tcPr>
                <w:p w14:paraId="7FB528FB">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4B99DBE8">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195528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302" w:type="pct"/>
                  <w:tcBorders>
                    <w:tl2br w:val="nil"/>
                    <w:tr2bl w:val="nil"/>
                  </w:tcBorders>
                  <w:shd w:val="clear" w:color="auto" w:fill="auto"/>
                  <w:vAlign w:val="center"/>
                </w:tcPr>
                <w:p w14:paraId="72A3768D">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6C7F12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6E0A59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992" w:type="pct"/>
                  <w:tcBorders>
                    <w:tl2br w:val="nil"/>
                    <w:tr2bl w:val="nil"/>
                  </w:tcBorders>
                  <w:shd w:val="clear" w:color="auto" w:fill="auto"/>
                  <w:vAlign w:val="center"/>
                </w:tcPr>
                <w:p w14:paraId="444E7DB1">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w:t>
                  </w:r>
                  <w:r>
                    <w:rPr>
                      <w:rFonts w:hint="eastAsia" w:ascii="宋体" w:hAnsi="宋体" w:cs="宋体"/>
                      <w:i w:val="0"/>
                      <w:iCs w:val="0"/>
                      <w:color w:val="auto"/>
                      <w:kern w:val="0"/>
                      <w:sz w:val="21"/>
                      <w:szCs w:val="21"/>
                      <w:u w:val="none"/>
                      <w:lang w:val="en-US" w:eastAsia="zh-CN" w:bidi="ar"/>
                    </w:rPr>
                    <w:t>冷</w:t>
                  </w:r>
                  <w:r>
                    <w:rPr>
                      <w:rFonts w:hint="eastAsia" w:ascii="宋体" w:hAnsi="宋体" w:eastAsia="宋体" w:cs="宋体"/>
                      <w:i w:val="0"/>
                      <w:iCs w:val="0"/>
                      <w:color w:val="auto"/>
                      <w:kern w:val="0"/>
                      <w:sz w:val="21"/>
                      <w:szCs w:val="21"/>
                      <w:u w:val="none"/>
                      <w:lang w:val="en-US" w:eastAsia="zh-CN" w:bidi="ar"/>
                    </w:rPr>
                    <w:t>）7</w:t>
                  </w:r>
                </w:p>
              </w:tc>
              <w:tc>
                <w:tcPr>
                  <w:tcW w:w="435" w:type="pct"/>
                  <w:tcBorders>
                    <w:tl2br w:val="nil"/>
                    <w:tr2bl w:val="nil"/>
                  </w:tcBorders>
                  <w:shd w:val="clear" w:color="auto" w:fill="auto"/>
                  <w:vAlign w:val="center"/>
                </w:tcPr>
                <w:p w14:paraId="7175AA7F">
                  <w:pPr>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5A41FC44">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5AF317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265" w:type="pct"/>
                  <w:tcBorders>
                    <w:tl2br w:val="nil"/>
                    <w:tr2bl w:val="nil"/>
                  </w:tcBorders>
                  <w:shd w:val="clear" w:color="auto" w:fill="auto"/>
                  <w:vAlign w:val="center"/>
                </w:tcPr>
                <w:p w14:paraId="720BD8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6BE0082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6597E1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7</w:t>
                  </w:r>
                </w:p>
              </w:tc>
              <w:tc>
                <w:tcPr>
                  <w:tcW w:w="720" w:type="dxa"/>
                  <w:tcBorders>
                    <w:tl2br w:val="nil"/>
                    <w:tr2bl w:val="nil"/>
                  </w:tcBorders>
                  <w:shd w:val="clear" w:color="auto" w:fill="auto"/>
                  <w:vAlign w:val="center"/>
                </w:tcPr>
                <w:p w14:paraId="440E89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 </w:t>
                  </w:r>
                </w:p>
              </w:tc>
              <w:tc>
                <w:tcPr>
                  <w:tcW w:w="253" w:type="pct"/>
                  <w:vMerge w:val="continue"/>
                  <w:tcBorders>
                    <w:tl2br w:val="nil"/>
                    <w:tr2bl w:val="nil"/>
                  </w:tcBorders>
                  <w:shd w:val="clear" w:color="auto" w:fill="auto"/>
                  <w:vAlign w:val="center"/>
                </w:tcPr>
                <w:p w14:paraId="6C3D8BAD">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7A50EC6C">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78519B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302" w:type="pct"/>
                  <w:tcBorders>
                    <w:tl2br w:val="nil"/>
                    <w:tr2bl w:val="nil"/>
                  </w:tcBorders>
                  <w:shd w:val="clear" w:color="auto" w:fill="auto"/>
                  <w:vAlign w:val="center"/>
                </w:tcPr>
                <w:p w14:paraId="44BFFC29">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A9EE87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6BA00B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992" w:type="pct"/>
                  <w:tcBorders>
                    <w:tl2br w:val="nil"/>
                    <w:tr2bl w:val="nil"/>
                  </w:tcBorders>
                  <w:shd w:val="clear" w:color="auto" w:fill="auto"/>
                  <w:vAlign w:val="center"/>
                </w:tcPr>
                <w:p w14:paraId="048BEAE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w:t>
                  </w:r>
                  <w:r>
                    <w:rPr>
                      <w:rFonts w:hint="eastAsia" w:ascii="宋体" w:hAnsi="宋体" w:cs="宋体"/>
                      <w:i w:val="0"/>
                      <w:iCs w:val="0"/>
                      <w:color w:val="auto"/>
                      <w:kern w:val="0"/>
                      <w:sz w:val="21"/>
                      <w:szCs w:val="21"/>
                      <w:u w:val="none"/>
                      <w:lang w:val="en-US" w:eastAsia="zh-CN" w:bidi="ar"/>
                    </w:rPr>
                    <w:t>冷</w:t>
                  </w:r>
                  <w:r>
                    <w:rPr>
                      <w:rFonts w:hint="eastAsia" w:ascii="宋体" w:hAnsi="宋体" w:eastAsia="宋体" w:cs="宋体"/>
                      <w:i w:val="0"/>
                      <w:iCs w:val="0"/>
                      <w:color w:val="auto"/>
                      <w:kern w:val="0"/>
                      <w:sz w:val="21"/>
                      <w:szCs w:val="21"/>
                      <w:u w:val="none"/>
                      <w:lang w:val="en-US" w:eastAsia="zh-CN" w:bidi="ar"/>
                    </w:rPr>
                    <w:t>）8</w:t>
                  </w:r>
                </w:p>
              </w:tc>
              <w:tc>
                <w:tcPr>
                  <w:tcW w:w="435" w:type="pct"/>
                  <w:tcBorders>
                    <w:tl2br w:val="nil"/>
                    <w:tr2bl w:val="nil"/>
                  </w:tcBorders>
                  <w:shd w:val="clear" w:color="auto" w:fill="auto"/>
                  <w:vAlign w:val="center"/>
                </w:tcPr>
                <w:p w14:paraId="4EF5DC96">
                  <w:pPr>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35CF1C23">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1CE010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265" w:type="pct"/>
                  <w:tcBorders>
                    <w:tl2br w:val="nil"/>
                    <w:tr2bl w:val="nil"/>
                  </w:tcBorders>
                  <w:shd w:val="clear" w:color="auto" w:fill="auto"/>
                  <w:vAlign w:val="center"/>
                </w:tcPr>
                <w:p w14:paraId="1861DB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77AD2E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1FBF1D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7</w:t>
                  </w:r>
                </w:p>
              </w:tc>
              <w:tc>
                <w:tcPr>
                  <w:tcW w:w="720" w:type="dxa"/>
                  <w:tcBorders>
                    <w:tl2br w:val="nil"/>
                    <w:tr2bl w:val="nil"/>
                  </w:tcBorders>
                  <w:shd w:val="clear" w:color="auto" w:fill="auto"/>
                  <w:vAlign w:val="center"/>
                </w:tcPr>
                <w:p w14:paraId="6DEE43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 </w:t>
                  </w:r>
                </w:p>
              </w:tc>
              <w:tc>
                <w:tcPr>
                  <w:tcW w:w="253" w:type="pct"/>
                  <w:vMerge w:val="continue"/>
                  <w:tcBorders>
                    <w:tl2br w:val="nil"/>
                    <w:tr2bl w:val="nil"/>
                  </w:tcBorders>
                  <w:shd w:val="clear" w:color="auto" w:fill="auto"/>
                  <w:vAlign w:val="center"/>
                </w:tcPr>
                <w:p w14:paraId="1CDCD2FB">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20734040">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4B6689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302" w:type="pct"/>
                  <w:tcBorders>
                    <w:tl2br w:val="nil"/>
                    <w:tr2bl w:val="nil"/>
                  </w:tcBorders>
                  <w:shd w:val="clear" w:color="auto" w:fill="auto"/>
                  <w:vAlign w:val="center"/>
                </w:tcPr>
                <w:p w14:paraId="4C5BDCCF">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0B394F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09CA22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992" w:type="pct"/>
                  <w:tcBorders>
                    <w:tl2br w:val="nil"/>
                    <w:tr2bl w:val="nil"/>
                  </w:tcBorders>
                  <w:shd w:val="clear" w:color="auto" w:fill="auto"/>
                  <w:vAlign w:val="center"/>
                </w:tcPr>
                <w:p w14:paraId="0851F67A">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w:t>
                  </w:r>
                  <w:r>
                    <w:rPr>
                      <w:rFonts w:hint="eastAsia" w:ascii="宋体" w:hAnsi="宋体" w:cs="宋体"/>
                      <w:i w:val="0"/>
                      <w:iCs w:val="0"/>
                      <w:color w:val="auto"/>
                      <w:kern w:val="0"/>
                      <w:sz w:val="21"/>
                      <w:szCs w:val="21"/>
                      <w:u w:val="none"/>
                      <w:lang w:val="en-US" w:eastAsia="zh-CN" w:bidi="ar"/>
                    </w:rPr>
                    <w:t>冷</w:t>
                  </w:r>
                  <w:r>
                    <w:rPr>
                      <w:rFonts w:hint="eastAsia" w:ascii="宋体" w:hAnsi="宋体" w:eastAsia="宋体" w:cs="宋体"/>
                      <w:i w:val="0"/>
                      <w:iCs w:val="0"/>
                      <w:color w:val="auto"/>
                      <w:kern w:val="0"/>
                      <w:sz w:val="21"/>
                      <w:szCs w:val="21"/>
                      <w:u w:val="none"/>
                      <w:lang w:val="en-US" w:eastAsia="zh-CN" w:bidi="ar"/>
                    </w:rPr>
                    <w:t>）9</w:t>
                  </w:r>
                </w:p>
              </w:tc>
              <w:tc>
                <w:tcPr>
                  <w:tcW w:w="435" w:type="pct"/>
                  <w:tcBorders>
                    <w:tl2br w:val="nil"/>
                    <w:tr2bl w:val="nil"/>
                  </w:tcBorders>
                  <w:shd w:val="clear" w:color="auto" w:fill="auto"/>
                  <w:vAlign w:val="center"/>
                </w:tcPr>
                <w:p w14:paraId="378CBB62">
                  <w:pPr>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76E5C765">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19DBD34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w:t>
                  </w:r>
                </w:p>
              </w:tc>
              <w:tc>
                <w:tcPr>
                  <w:tcW w:w="265" w:type="pct"/>
                  <w:tcBorders>
                    <w:tl2br w:val="nil"/>
                    <w:tr2bl w:val="nil"/>
                  </w:tcBorders>
                  <w:shd w:val="clear" w:color="auto" w:fill="auto"/>
                  <w:vAlign w:val="center"/>
                </w:tcPr>
                <w:p w14:paraId="46BF87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5E8936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3982F8F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7</w:t>
                  </w:r>
                </w:p>
              </w:tc>
              <w:tc>
                <w:tcPr>
                  <w:tcW w:w="720" w:type="dxa"/>
                  <w:tcBorders>
                    <w:tl2br w:val="nil"/>
                    <w:tr2bl w:val="nil"/>
                  </w:tcBorders>
                  <w:shd w:val="clear" w:color="auto" w:fill="auto"/>
                  <w:vAlign w:val="center"/>
                </w:tcPr>
                <w:p w14:paraId="42A2CB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 </w:t>
                  </w:r>
                </w:p>
              </w:tc>
              <w:tc>
                <w:tcPr>
                  <w:tcW w:w="253" w:type="pct"/>
                  <w:vMerge w:val="continue"/>
                  <w:tcBorders>
                    <w:tl2br w:val="nil"/>
                    <w:tr2bl w:val="nil"/>
                  </w:tcBorders>
                  <w:shd w:val="clear" w:color="auto" w:fill="auto"/>
                  <w:vAlign w:val="center"/>
                </w:tcPr>
                <w:p w14:paraId="6F069DCF">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6353FE29">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07ED7B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302" w:type="pct"/>
                  <w:tcBorders>
                    <w:tl2br w:val="nil"/>
                    <w:tr2bl w:val="nil"/>
                  </w:tcBorders>
                  <w:shd w:val="clear" w:color="auto" w:fill="auto"/>
                  <w:vAlign w:val="center"/>
                </w:tcPr>
                <w:p w14:paraId="283071AA">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309E65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0DFFC7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992" w:type="pct"/>
                  <w:tcBorders>
                    <w:tl2br w:val="nil"/>
                    <w:tr2bl w:val="nil"/>
                  </w:tcBorders>
                  <w:shd w:val="clear" w:color="auto" w:fill="auto"/>
                  <w:vAlign w:val="center"/>
                </w:tcPr>
                <w:p w14:paraId="2CB589B4">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w:t>
                  </w:r>
                  <w:r>
                    <w:rPr>
                      <w:rFonts w:hint="eastAsia" w:ascii="宋体" w:hAnsi="宋体" w:cs="宋体"/>
                      <w:i w:val="0"/>
                      <w:iCs w:val="0"/>
                      <w:color w:val="auto"/>
                      <w:kern w:val="0"/>
                      <w:sz w:val="21"/>
                      <w:szCs w:val="21"/>
                      <w:u w:val="none"/>
                      <w:lang w:val="en-US" w:eastAsia="zh-CN" w:bidi="ar"/>
                    </w:rPr>
                    <w:t>冷</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0</w:t>
                  </w:r>
                </w:p>
              </w:tc>
              <w:tc>
                <w:tcPr>
                  <w:tcW w:w="435" w:type="pct"/>
                  <w:tcBorders>
                    <w:tl2br w:val="nil"/>
                    <w:tr2bl w:val="nil"/>
                  </w:tcBorders>
                  <w:shd w:val="clear" w:color="auto" w:fill="auto"/>
                  <w:vAlign w:val="center"/>
                </w:tcPr>
                <w:p w14:paraId="1309A196">
                  <w:pPr>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18750B1F">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579F8C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265" w:type="pct"/>
                  <w:tcBorders>
                    <w:tl2br w:val="nil"/>
                    <w:tr2bl w:val="nil"/>
                  </w:tcBorders>
                  <w:shd w:val="clear" w:color="auto" w:fill="auto"/>
                  <w:vAlign w:val="center"/>
                </w:tcPr>
                <w:p w14:paraId="03D381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6F0852B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7DE471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02AD6A4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75 </w:t>
                  </w:r>
                </w:p>
              </w:tc>
              <w:tc>
                <w:tcPr>
                  <w:tcW w:w="253" w:type="pct"/>
                  <w:vMerge w:val="continue"/>
                  <w:tcBorders>
                    <w:tl2br w:val="nil"/>
                    <w:tr2bl w:val="nil"/>
                  </w:tcBorders>
                  <w:shd w:val="clear" w:color="auto" w:fill="auto"/>
                  <w:vAlign w:val="center"/>
                </w:tcPr>
                <w:p w14:paraId="56907B62">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7D0812DE">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10A443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302" w:type="pct"/>
                  <w:tcBorders>
                    <w:tl2br w:val="nil"/>
                    <w:tr2bl w:val="nil"/>
                  </w:tcBorders>
                  <w:shd w:val="clear" w:color="auto" w:fill="auto"/>
                  <w:vAlign w:val="center"/>
                </w:tcPr>
                <w:p w14:paraId="569850A8">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4B8A46F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7DFE5D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w:t>
                  </w:r>
                </w:p>
              </w:tc>
              <w:tc>
                <w:tcPr>
                  <w:tcW w:w="992" w:type="pct"/>
                  <w:tcBorders>
                    <w:tl2br w:val="nil"/>
                    <w:tr2bl w:val="nil"/>
                  </w:tcBorders>
                  <w:shd w:val="clear" w:color="auto" w:fill="auto"/>
                  <w:vAlign w:val="center"/>
                </w:tcPr>
                <w:p w14:paraId="7BFA492C">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w:t>
                  </w:r>
                  <w:r>
                    <w:rPr>
                      <w:rFonts w:hint="eastAsia" w:ascii="宋体" w:hAnsi="宋体" w:cs="宋体"/>
                      <w:i w:val="0"/>
                      <w:iCs w:val="0"/>
                      <w:color w:val="auto"/>
                      <w:kern w:val="0"/>
                      <w:sz w:val="21"/>
                      <w:szCs w:val="21"/>
                      <w:u w:val="none"/>
                      <w:lang w:val="en-US" w:eastAsia="zh-CN" w:bidi="ar"/>
                    </w:rPr>
                    <w:t>冷</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1</w:t>
                  </w:r>
                </w:p>
              </w:tc>
              <w:tc>
                <w:tcPr>
                  <w:tcW w:w="435" w:type="pct"/>
                  <w:tcBorders>
                    <w:tl2br w:val="nil"/>
                    <w:tr2bl w:val="nil"/>
                  </w:tcBorders>
                  <w:shd w:val="clear" w:color="auto" w:fill="auto"/>
                  <w:vAlign w:val="center"/>
                </w:tcPr>
                <w:p w14:paraId="7FEBC72A">
                  <w:pPr>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50E7D2BF">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2E729F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265" w:type="pct"/>
                  <w:tcBorders>
                    <w:tl2br w:val="nil"/>
                    <w:tr2bl w:val="nil"/>
                  </w:tcBorders>
                  <w:shd w:val="clear" w:color="auto" w:fill="auto"/>
                  <w:vAlign w:val="center"/>
                </w:tcPr>
                <w:p w14:paraId="5DB2C1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3DC2E6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79A50A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1F8D24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69 </w:t>
                  </w:r>
                </w:p>
              </w:tc>
              <w:tc>
                <w:tcPr>
                  <w:tcW w:w="253" w:type="pct"/>
                  <w:vMerge w:val="continue"/>
                  <w:tcBorders>
                    <w:tl2br w:val="nil"/>
                    <w:tr2bl w:val="nil"/>
                  </w:tcBorders>
                  <w:shd w:val="clear" w:color="auto" w:fill="auto"/>
                  <w:vAlign w:val="center"/>
                </w:tcPr>
                <w:p w14:paraId="68BFF840">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2DE20745">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0110599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302" w:type="pct"/>
                  <w:tcBorders>
                    <w:tl2br w:val="nil"/>
                    <w:tr2bl w:val="nil"/>
                  </w:tcBorders>
                  <w:shd w:val="clear" w:color="auto" w:fill="auto"/>
                  <w:vAlign w:val="center"/>
                </w:tcPr>
                <w:p w14:paraId="7D94A034">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2C3A67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5D60F5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w:t>
                  </w:r>
                </w:p>
              </w:tc>
              <w:tc>
                <w:tcPr>
                  <w:tcW w:w="992" w:type="pct"/>
                  <w:tcBorders>
                    <w:tl2br w:val="nil"/>
                    <w:tr2bl w:val="nil"/>
                  </w:tcBorders>
                  <w:shd w:val="clear" w:color="auto" w:fill="auto"/>
                  <w:vAlign w:val="center"/>
                </w:tcPr>
                <w:p w14:paraId="1A6AC95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w:t>
                  </w:r>
                  <w:r>
                    <w:rPr>
                      <w:rFonts w:hint="eastAsia" w:ascii="宋体" w:hAnsi="宋体" w:cs="宋体"/>
                      <w:i w:val="0"/>
                      <w:iCs w:val="0"/>
                      <w:color w:val="auto"/>
                      <w:kern w:val="0"/>
                      <w:sz w:val="21"/>
                      <w:szCs w:val="21"/>
                      <w:u w:val="none"/>
                      <w:lang w:val="en-US" w:eastAsia="zh-CN" w:bidi="ar"/>
                    </w:rPr>
                    <w:t>冷</w:t>
                  </w:r>
                  <w:r>
                    <w:rPr>
                      <w:rFonts w:hint="eastAsia" w:ascii="宋体" w:hAnsi="宋体" w:eastAsia="宋体" w:cs="宋体"/>
                      <w:i w:val="0"/>
                      <w:iCs w:val="0"/>
                      <w:color w:val="auto"/>
                      <w:kern w:val="0"/>
                      <w:sz w:val="21"/>
                      <w:szCs w:val="21"/>
                      <w:u w:val="none"/>
                      <w:lang w:val="en-US" w:eastAsia="zh-CN" w:bidi="ar"/>
                    </w:rPr>
                    <w:t>）</w:t>
                  </w:r>
                  <w:r>
                    <w:rPr>
                      <w:rFonts w:hint="eastAsia" w:ascii="宋体" w:hAnsi="宋体" w:cs="宋体"/>
                      <w:i w:val="0"/>
                      <w:iCs w:val="0"/>
                      <w:color w:val="auto"/>
                      <w:kern w:val="0"/>
                      <w:sz w:val="21"/>
                      <w:szCs w:val="21"/>
                      <w:u w:val="none"/>
                      <w:lang w:val="en-US" w:eastAsia="zh-CN" w:bidi="ar"/>
                    </w:rPr>
                    <w:t>1</w:t>
                  </w:r>
                  <w:r>
                    <w:rPr>
                      <w:rFonts w:hint="eastAsia" w:ascii="宋体" w:hAnsi="宋体" w:eastAsia="宋体" w:cs="宋体"/>
                      <w:i w:val="0"/>
                      <w:iCs w:val="0"/>
                      <w:color w:val="auto"/>
                      <w:kern w:val="0"/>
                      <w:sz w:val="21"/>
                      <w:szCs w:val="21"/>
                      <w:u w:val="none"/>
                      <w:lang w:val="en-US" w:eastAsia="zh-CN" w:bidi="ar"/>
                    </w:rPr>
                    <w:t>2</w:t>
                  </w:r>
                </w:p>
              </w:tc>
              <w:tc>
                <w:tcPr>
                  <w:tcW w:w="435" w:type="pct"/>
                  <w:tcBorders>
                    <w:tl2br w:val="nil"/>
                    <w:tr2bl w:val="nil"/>
                  </w:tcBorders>
                  <w:shd w:val="clear" w:color="auto" w:fill="auto"/>
                  <w:vAlign w:val="center"/>
                </w:tcPr>
                <w:p w14:paraId="050D6D84">
                  <w:pPr>
                    <w:jc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3A5CBC79">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6BB3F4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w:t>
                  </w:r>
                </w:p>
              </w:tc>
              <w:tc>
                <w:tcPr>
                  <w:tcW w:w="265" w:type="pct"/>
                  <w:tcBorders>
                    <w:tl2br w:val="nil"/>
                    <w:tr2bl w:val="nil"/>
                  </w:tcBorders>
                  <w:shd w:val="clear" w:color="auto" w:fill="auto"/>
                  <w:vAlign w:val="center"/>
                </w:tcPr>
                <w:p w14:paraId="3B9D9E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w:t>
                  </w:r>
                </w:p>
              </w:tc>
              <w:tc>
                <w:tcPr>
                  <w:tcW w:w="203" w:type="pct"/>
                  <w:tcBorders>
                    <w:tl2br w:val="nil"/>
                    <w:tr2bl w:val="nil"/>
                  </w:tcBorders>
                  <w:shd w:val="clear" w:color="auto" w:fill="auto"/>
                  <w:vAlign w:val="center"/>
                </w:tcPr>
                <w:p w14:paraId="54C339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2FEF2D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5E7C63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69 </w:t>
                  </w:r>
                </w:p>
              </w:tc>
              <w:tc>
                <w:tcPr>
                  <w:tcW w:w="253" w:type="pct"/>
                  <w:vMerge w:val="continue"/>
                  <w:tcBorders>
                    <w:tl2br w:val="nil"/>
                    <w:tr2bl w:val="nil"/>
                  </w:tcBorders>
                  <w:shd w:val="clear" w:color="auto" w:fill="auto"/>
                  <w:vAlign w:val="center"/>
                </w:tcPr>
                <w:p w14:paraId="2687ABC5">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60727221">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17B649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302" w:type="pct"/>
                  <w:tcBorders>
                    <w:tl2br w:val="nil"/>
                    <w:tr2bl w:val="nil"/>
                  </w:tcBorders>
                  <w:shd w:val="clear" w:color="auto" w:fill="auto"/>
                  <w:vAlign w:val="center"/>
                </w:tcPr>
                <w:p w14:paraId="210C4A07">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59B20E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5E6A90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23</w:t>
                  </w:r>
                </w:p>
              </w:tc>
              <w:tc>
                <w:tcPr>
                  <w:tcW w:w="992" w:type="pct"/>
                  <w:tcBorders>
                    <w:tl2br w:val="nil"/>
                    <w:tr2bl w:val="nil"/>
                  </w:tcBorders>
                  <w:shd w:val="clear" w:color="auto" w:fill="auto"/>
                  <w:vAlign w:val="center"/>
                </w:tcPr>
                <w:p w14:paraId="1C7EF40B">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拉丝机（冷）1</w:t>
                  </w:r>
                  <w:r>
                    <w:rPr>
                      <w:rFonts w:hint="eastAsia" w:ascii="宋体" w:hAnsi="宋体" w:cs="宋体"/>
                      <w:i w:val="0"/>
                      <w:iCs w:val="0"/>
                      <w:color w:val="auto"/>
                      <w:kern w:val="0"/>
                      <w:sz w:val="21"/>
                      <w:szCs w:val="21"/>
                      <w:u w:val="none"/>
                      <w:lang w:val="en-US" w:eastAsia="zh-CN" w:bidi="ar"/>
                    </w:rPr>
                    <w:t>3</w:t>
                  </w:r>
                </w:p>
              </w:tc>
              <w:tc>
                <w:tcPr>
                  <w:tcW w:w="435" w:type="pct"/>
                  <w:tcBorders>
                    <w:tl2br w:val="nil"/>
                    <w:tr2bl w:val="nil"/>
                  </w:tcBorders>
                  <w:shd w:val="clear" w:color="auto" w:fill="auto"/>
                  <w:vAlign w:val="center"/>
                </w:tcPr>
                <w:p w14:paraId="644325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ascii="Times New Roman" w:hAnsi="Times New Roman" w:eastAsia="宋体"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23DC961D">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7F84AE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w:t>
                  </w:r>
                </w:p>
              </w:tc>
              <w:tc>
                <w:tcPr>
                  <w:tcW w:w="265" w:type="pct"/>
                  <w:tcBorders>
                    <w:tl2br w:val="nil"/>
                    <w:tr2bl w:val="nil"/>
                  </w:tcBorders>
                  <w:shd w:val="clear" w:color="auto" w:fill="auto"/>
                  <w:vAlign w:val="center"/>
                </w:tcPr>
                <w:p w14:paraId="01EB9E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03" w:type="pct"/>
                  <w:tcBorders>
                    <w:tl2br w:val="nil"/>
                    <w:tr2bl w:val="nil"/>
                  </w:tcBorders>
                  <w:shd w:val="clear" w:color="auto" w:fill="auto"/>
                  <w:vAlign w:val="center"/>
                </w:tcPr>
                <w:p w14:paraId="74A559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297FBF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5A7B25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69 </w:t>
                  </w:r>
                </w:p>
              </w:tc>
              <w:tc>
                <w:tcPr>
                  <w:tcW w:w="253" w:type="pct"/>
                  <w:vMerge w:val="continue"/>
                  <w:tcBorders>
                    <w:tl2br w:val="nil"/>
                    <w:tr2bl w:val="nil"/>
                  </w:tcBorders>
                  <w:shd w:val="clear" w:color="auto" w:fill="auto"/>
                  <w:vAlign w:val="center"/>
                </w:tcPr>
                <w:p w14:paraId="4E0F23C5">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7C572140">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086303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302" w:type="pct"/>
                  <w:tcBorders>
                    <w:tl2br w:val="nil"/>
                    <w:tr2bl w:val="nil"/>
                  </w:tcBorders>
                  <w:shd w:val="clear" w:color="auto" w:fill="auto"/>
                  <w:vAlign w:val="center"/>
                </w:tcPr>
                <w:p w14:paraId="694CEB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938C0F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3D8995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w:t>
                  </w:r>
                </w:p>
              </w:tc>
              <w:tc>
                <w:tcPr>
                  <w:tcW w:w="992" w:type="pct"/>
                  <w:tcBorders>
                    <w:tl2br w:val="nil"/>
                    <w:tr2bl w:val="nil"/>
                  </w:tcBorders>
                  <w:shd w:val="clear" w:color="auto" w:fill="auto"/>
                  <w:vAlign w:val="center"/>
                </w:tcPr>
                <w:p w14:paraId="79064D8D">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拉丝机（冷）</w:t>
                  </w:r>
                  <w:r>
                    <w:rPr>
                      <w:rFonts w:hint="eastAsia" w:ascii="宋体" w:hAnsi="宋体" w:cs="宋体"/>
                      <w:i w:val="0"/>
                      <w:iCs w:val="0"/>
                      <w:color w:val="auto"/>
                      <w:kern w:val="0"/>
                      <w:sz w:val="21"/>
                      <w:szCs w:val="21"/>
                      <w:u w:val="none"/>
                      <w:lang w:val="en-US" w:eastAsia="zh-CN" w:bidi="ar"/>
                    </w:rPr>
                    <w:t>14</w:t>
                  </w:r>
                </w:p>
              </w:tc>
              <w:tc>
                <w:tcPr>
                  <w:tcW w:w="435" w:type="pct"/>
                  <w:tcBorders>
                    <w:tl2br w:val="nil"/>
                    <w:tr2bl w:val="nil"/>
                  </w:tcBorders>
                  <w:shd w:val="clear" w:color="auto" w:fill="auto"/>
                  <w:vAlign w:val="center"/>
                </w:tcPr>
                <w:p w14:paraId="5F631C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4449421F">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78FDDD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w:t>
                  </w:r>
                </w:p>
              </w:tc>
              <w:tc>
                <w:tcPr>
                  <w:tcW w:w="265" w:type="pct"/>
                  <w:tcBorders>
                    <w:tl2br w:val="nil"/>
                    <w:tr2bl w:val="nil"/>
                  </w:tcBorders>
                  <w:shd w:val="clear" w:color="auto" w:fill="auto"/>
                  <w:vAlign w:val="center"/>
                </w:tcPr>
                <w:p w14:paraId="24D8C7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03" w:type="pct"/>
                  <w:tcBorders>
                    <w:tl2br w:val="nil"/>
                    <w:tr2bl w:val="nil"/>
                  </w:tcBorders>
                  <w:shd w:val="clear" w:color="auto" w:fill="auto"/>
                  <w:vAlign w:val="center"/>
                </w:tcPr>
                <w:p w14:paraId="2D59E6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5F0EAB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74C83E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69 </w:t>
                  </w:r>
                </w:p>
              </w:tc>
              <w:tc>
                <w:tcPr>
                  <w:tcW w:w="253" w:type="pct"/>
                  <w:vMerge w:val="continue"/>
                  <w:tcBorders>
                    <w:tl2br w:val="nil"/>
                    <w:tr2bl w:val="nil"/>
                  </w:tcBorders>
                  <w:shd w:val="clear" w:color="auto" w:fill="auto"/>
                  <w:vAlign w:val="center"/>
                </w:tcPr>
                <w:p w14:paraId="516D38AD">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195936A0">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62D80C8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302" w:type="pct"/>
                  <w:tcBorders>
                    <w:tl2br w:val="nil"/>
                    <w:tr2bl w:val="nil"/>
                  </w:tcBorders>
                  <w:shd w:val="clear" w:color="auto" w:fill="auto"/>
                  <w:vAlign w:val="center"/>
                </w:tcPr>
                <w:p w14:paraId="63AAB9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65EDBEA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25E332A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w:t>
                  </w:r>
                </w:p>
              </w:tc>
              <w:tc>
                <w:tcPr>
                  <w:tcW w:w="992" w:type="pct"/>
                  <w:tcBorders>
                    <w:tl2br w:val="nil"/>
                    <w:tr2bl w:val="nil"/>
                  </w:tcBorders>
                  <w:shd w:val="clear" w:color="auto" w:fill="auto"/>
                  <w:vAlign w:val="center"/>
                </w:tcPr>
                <w:p w14:paraId="1BDF1F90">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拉丝机（冷）</w:t>
                  </w:r>
                  <w:r>
                    <w:rPr>
                      <w:rFonts w:hint="eastAsia" w:ascii="宋体" w:hAnsi="宋体" w:cs="宋体"/>
                      <w:i w:val="0"/>
                      <w:iCs w:val="0"/>
                      <w:color w:val="auto"/>
                      <w:kern w:val="0"/>
                      <w:sz w:val="21"/>
                      <w:szCs w:val="21"/>
                      <w:u w:val="none"/>
                      <w:lang w:val="en-US" w:eastAsia="zh-CN" w:bidi="ar"/>
                    </w:rPr>
                    <w:t>15</w:t>
                  </w:r>
                </w:p>
              </w:tc>
              <w:tc>
                <w:tcPr>
                  <w:tcW w:w="435" w:type="pct"/>
                  <w:tcBorders>
                    <w:tl2br w:val="nil"/>
                    <w:tr2bl w:val="nil"/>
                  </w:tcBorders>
                  <w:shd w:val="clear" w:color="auto" w:fill="auto"/>
                  <w:vAlign w:val="center"/>
                </w:tcPr>
                <w:p w14:paraId="24974CB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697FEB82">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5C4277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265" w:type="pct"/>
                  <w:tcBorders>
                    <w:tl2br w:val="nil"/>
                    <w:tr2bl w:val="nil"/>
                  </w:tcBorders>
                  <w:shd w:val="clear" w:color="auto" w:fill="auto"/>
                  <w:vAlign w:val="center"/>
                </w:tcPr>
                <w:p w14:paraId="363A88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03" w:type="pct"/>
                  <w:tcBorders>
                    <w:tl2br w:val="nil"/>
                    <w:tr2bl w:val="nil"/>
                  </w:tcBorders>
                  <w:shd w:val="clear" w:color="auto" w:fill="auto"/>
                  <w:vAlign w:val="center"/>
                </w:tcPr>
                <w:p w14:paraId="042928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6EA4DD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1ECDDD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69 </w:t>
                  </w:r>
                </w:p>
              </w:tc>
              <w:tc>
                <w:tcPr>
                  <w:tcW w:w="253" w:type="pct"/>
                  <w:vMerge w:val="continue"/>
                  <w:tcBorders>
                    <w:tl2br w:val="nil"/>
                    <w:tr2bl w:val="nil"/>
                  </w:tcBorders>
                  <w:shd w:val="clear" w:color="auto" w:fill="auto"/>
                  <w:vAlign w:val="center"/>
                </w:tcPr>
                <w:p w14:paraId="75B007F1">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2BF58EDC">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584EA0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302" w:type="pct"/>
                  <w:tcBorders>
                    <w:tl2br w:val="nil"/>
                    <w:tr2bl w:val="nil"/>
                  </w:tcBorders>
                  <w:shd w:val="clear" w:color="auto" w:fill="auto"/>
                  <w:vAlign w:val="center"/>
                </w:tcPr>
                <w:p w14:paraId="0605F4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EAFCA56">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60F9EE7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w:t>
                  </w:r>
                </w:p>
              </w:tc>
              <w:tc>
                <w:tcPr>
                  <w:tcW w:w="992" w:type="pct"/>
                  <w:tcBorders>
                    <w:tl2br w:val="nil"/>
                    <w:tr2bl w:val="nil"/>
                  </w:tcBorders>
                  <w:shd w:val="clear" w:color="auto" w:fill="auto"/>
                  <w:vAlign w:val="center"/>
                </w:tcPr>
                <w:p w14:paraId="47C17709">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拉丝机（冷）</w:t>
                  </w:r>
                  <w:r>
                    <w:rPr>
                      <w:rFonts w:hint="eastAsia" w:ascii="宋体" w:hAnsi="宋体" w:cs="宋体"/>
                      <w:i w:val="0"/>
                      <w:iCs w:val="0"/>
                      <w:color w:val="auto"/>
                      <w:kern w:val="0"/>
                      <w:sz w:val="21"/>
                      <w:szCs w:val="21"/>
                      <w:u w:val="none"/>
                      <w:lang w:val="en-US" w:eastAsia="zh-CN" w:bidi="ar"/>
                    </w:rPr>
                    <w:t>16</w:t>
                  </w:r>
                </w:p>
              </w:tc>
              <w:tc>
                <w:tcPr>
                  <w:tcW w:w="435" w:type="pct"/>
                  <w:tcBorders>
                    <w:tl2br w:val="nil"/>
                    <w:tr2bl w:val="nil"/>
                  </w:tcBorders>
                  <w:shd w:val="clear" w:color="auto" w:fill="auto"/>
                  <w:vAlign w:val="center"/>
                </w:tcPr>
                <w:p w14:paraId="121AA6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33781D19">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0C7281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w:t>
                  </w:r>
                </w:p>
              </w:tc>
              <w:tc>
                <w:tcPr>
                  <w:tcW w:w="265" w:type="pct"/>
                  <w:tcBorders>
                    <w:tl2br w:val="nil"/>
                    <w:tr2bl w:val="nil"/>
                  </w:tcBorders>
                  <w:shd w:val="clear" w:color="auto" w:fill="auto"/>
                  <w:vAlign w:val="center"/>
                </w:tcPr>
                <w:p w14:paraId="1A80C0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03" w:type="pct"/>
                  <w:tcBorders>
                    <w:tl2br w:val="nil"/>
                    <w:tr2bl w:val="nil"/>
                  </w:tcBorders>
                  <w:shd w:val="clear" w:color="auto" w:fill="auto"/>
                  <w:vAlign w:val="center"/>
                </w:tcPr>
                <w:p w14:paraId="151A64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42D576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2137C3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69 </w:t>
                  </w:r>
                </w:p>
              </w:tc>
              <w:tc>
                <w:tcPr>
                  <w:tcW w:w="253" w:type="pct"/>
                  <w:vMerge w:val="continue"/>
                  <w:tcBorders>
                    <w:tl2br w:val="nil"/>
                    <w:tr2bl w:val="nil"/>
                  </w:tcBorders>
                  <w:shd w:val="clear" w:color="auto" w:fill="auto"/>
                  <w:vAlign w:val="center"/>
                </w:tcPr>
                <w:p w14:paraId="63F67FF1">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076465C5">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6AD5AE6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302" w:type="pct"/>
                  <w:tcBorders>
                    <w:tl2br w:val="nil"/>
                    <w:tr2bl w:val="nil"/>
                  </w:tcBorders>
                  <w:shd w:val="clear" w:color="auto" w:fill="auto"/>
                  <w:vAlign w:val="center"/>
                </w:tcPr>
                <w:p w14:paraId="15CDA0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312EA7D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56346F2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w:t>
                  </w:r>
                </w:p>
              </w:tc>
              <w:tc>
                <w:tcPr>
                  <w:tcW w:w="992" w:type="pct"/>
                  <w:tcBorders>
                    <w:tl2br w:val="nil"/>
                    <w:tr2bl w:val="nil"/>
                  </w:tcBorders>
                  <w:shd w:val="clear" w:color="auto" w:fill="auto"/>
                  <w:vAlign w:val="center"/>
                </w:tcPr>
                <w:p w14:paraId="4FED526F">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拉丝机（冷）</w:t>
                  </w:r>
                  <w:r>
                    <w:rPr>
                      <w:rFonts w:hint="eastAsia" w:ascii="宋体" w:hAnsi="宋体" w:cs="宋体"/>
                      <w:i w:val="0"/>
                      <w:iCs w:val="0"/>
                      <w:color w:val="auto"/>
                      <w:kern w:val="0"/>
                      <w:sz w:val="21"/>
                      <w:szCs w:val="21"/>
                      <w:u w:val="none"/>
                      <w:lang w:val="en-US" w:eastAsia="zh-CN" w:bidi="ar"/>
                    </w:rPr>
                    <w:t>17</w:t>
                  </w:r>
                </w:p>
              </w:tc>
              <w:tc>
                <w:tcPr>
                  <w:tcW w:w="435" w:type="pct"/>
                  <w:tcBorders>
                    <w:tl2br w:val="nil"/>
                    <w:tr2bl w:val="nil"/>
                  </w:tcBorders>
                  <w:shd w:val="clear" w:color="auto" w:fill="auto"/>
                  <w:vAlign w:val="center"/>
                </w:tcPr>
                <w:p w14:paraId="2809C2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08A57405">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521D80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265" w:type="pct"/>
                  <w:tcBorders>
                    <w:tl2br w:val="nil"/>
                    <w:tr2bl w:val="nil"/>
                  </w:tcBorders>
                  <w:shd w:val="clear" w:color="auto" w:fill="auto"/>
                  <w:vAlign w:val="center"/>
                </w:tcPr>
                <w:p w14:paraId="249893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03" w:type="pct"/>
                  <w:tcBorders>
                    <w:tl2br w:val="nil"/>
                    <w:tr2bl w:val="nil"/>
                  </w:tcBorders>
                  <w:shd w:val="clear" w:color="auto" w:fill="auto"/>
                  <w:vAlign w:val="center"/>
                </w:tcPr>
                <w:p w14:paraId="5DD73A9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5F9DE1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6641F3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69 </w:t>
                  </w:r>
                </w:p>
              </w:tc>
              <w:tc>
                <w:tcPr>
                  <w:tcW w:w="253" w:type="pct"/>
                  <w:vMerge w:val="continue"/>
                  <w:tcBorders>
                    <w:tl2br w:val="nil"/>
                    <w:tr2bl w:val="nil"/>
                  </w:tcBorders>
                  <w:shd w:val="clear" w:color="auto" w:fill="auto"/>
                  <w:vAlign w:val="center"/>
                </w:tcPr>
                <w:p w14:paraId="402BB5A1">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58936EBC">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50E3DA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302" w:type="pct"/>
                  <w:tcBorders>
                    <w:tl2br w:val="nil"/>
                    <w:tr2bl w:val="nil"/>
                  </w:tcBorders>
                  <w:shd w:val="clear" w:color="auto" w:fill="auto"/>
                  <w:vAlign w:val="center"/>
                </w:tcPr>
                <w:p w14:paraId="340985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71DE3A8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3B8FD2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992" w:type="pct"/>
                  <w:tcBorders>
                    <w:tl2br w:val="nil"/>
                    <w:tr2bl w:val="nil"/>
                  </w:tcBorders>
                  <w:shd w:val="clear" w:color="auto" w:fill="auto"/>
                  <w:vAlign w:val="center"/>
                </w:tcPr>
                <w:p w14:paraId="38D05953">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拉丝机（冷）</w:t>
                  </w:r>
                  <w:r>
                    <w:rPr>
                      <w:rFonts w:hint="eastAsia" w:ascii="宋体" w:hAnsi="宋体" w:cs="宋体"/>
                      <w:i w:val="0"/>
                      <w:iCs w:val="0"/>
                      <w:color w:val="auto"/>
                      <w:kern w:val="0"/>
                      <w:sz w:val="21"/>
                      <w:szCs w:val="21"/>
                      <w:u w:val="none"/>
                      <w:lang w:val="en-US" w:eastAsia="zh-CN" w:bidi="ar"/>
                    </w:rPr>
                    <w:t>18</w:t>
                  </w:r>
                </w:p>
              </w:tc>
              <w:tc>
                <w:tcPr>
                  <w:tcW w:w="435" w:type="pct"/>
                  <w:tcBorders>
                    <w:tl2br w:val="nil"/>
                    <w:tr2bl w:val="nil"/>
                  </w:tcBorders>
                  <w:shd w:val="clear" w:color="auto" w:fill="auto"/>
                  <w:vAlign w:val="center"/>
                </w:tcPr>
                <w:p w14:paraId="5464CE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31B29755">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370564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w:t>
                  </w:r>
                </w:p>
              </w:tc>
              <w:tc>
                <w:tcPr>
                  <w:tcW w:w="265" w:type="pct"/>
                  <w:tcBorders>
                    <w:tl2br w:val="nil"/>
                    <w:tr2bl w:val="nil"/>
                  </w:tcBorders>
                  <w:shd w:val="clear" w:color="auto" w:fill="auto"/>
                  <w:vAlign w:val="center"/>
                </w:tcPr>
                <w:p w14:paraId="357CAC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03" w:type="pct"/>
                  <w:tcBorders>
                    <w:tl2br w:val="nil"/>
                    <w:tr2bl w:val="nil"/>
                  </w:tcBorders>
                  <w:shd w:val="clear" w:color="auto" w:fill="auto"/>
                  <w:vAlign w:val="center"/>
                </w:tcPr>
                <w:p w14:paraId="6B3CA2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43CA31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26B9AD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69 </w:t>
                  </w:r>
                </w:p>
              </w:tc>
              <w:tc>
                <w:tcPr>
                  <w:tcW w:w="253" w:type="pct"/>
                  <w:vMerge w:val="continue"/>
                  <w:tcBorders>
                    <w:tl2br w:val="nil"/>
                    <w:tr2bl w:val="nil"/>
                  </w:tcBorders>
                  <w:shd w:val="clear" w:color="auto" w:fill="auto"/>
                  <w:vAlign w:val="center"/>
                </w:tcPr>
                <w:p w14:paraId="675DDA3B">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002628E7">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70A583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302" w:type="pct"/>
                  <w:tcBorders>
                    <w:tl2br w:val="nil"/>
                    <w:tr2bl w:val="nil"/>
                  </w:tcBorders>
                  <w:shd w:val="clear" w:color="auto" w:fill="auto"/>
                  <w:vAlign w:val="center"/>
                </w:tcPr>
                <w:p w14:paraId="2E74C4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08CD8E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189BE5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w:t>
                  </w:r>
                </w:p>
              </w:tc>
              <w:tc>
                <w:tcPr>
                  <w:tcW w:w="992" w:type="pct"/>
                  <w:tcBorders>
                    <w:tl2br w:val="nil"/>
                    <w:tr2bl w:val="nil"/>
                  </w:tcBorders>
                  <w:shd w:val="clear" w:color="auto" w:fill="auto"/>
                  <w:vAlign w:val="center"/>
                </w:tcPr>
                <w:p w14:paraId="76B9E01E">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拉丝机（冷）</w:t>
                  </w:r>
                  <w:r>
                    <w:rPr>
                      <w:rFonts w:hint="eastAsia" w:ascii="宋体" w:hAnsi="宋体" w:cs="宋体"/>
                      <w:i w:val="0"/>
                      <w:iCs w:val="0"/>
                      <w:color w:val="auto"/>
                      <w:kern w:val="0"/>
                      <w:sz w:val="21"/>
                      <w:szCs w:val="21"/>
                      <w:u w:val="none"/>
                      <w:lang w:val="en-US" w:eastAsia="zh-CN" w:bidi="ar"/>
                    </w:rPr>
                    <w:t>19</w:t>
                  </w:r>
                </w:p>
              </w:tc>
              <w:tc>
                <w:tcPr>
                  <w:tcW w:w="435" w:type="pct"/>
                  <w:tcBorders>
                    <w:tl2br w:val="nil"/>
                    <w:tr2bl w:val="nil"/>
                  </w:tcBorders>
                  <w:shd w:val="clear" w:color="auto" w:fill="auto"/>
                  <w:vAlign w:val="center"/>
                </w:tcPr>
                <w:p w14:paraId="466557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6FE7FC96">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36C116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w:t>
                  </w:r>
                </w:p>
              </w:tc>
              <w:tc>
                <w:tcPr>
                  <w:tcW w:w="265" w:type="pct"/>
                  <w:tcBorders>
                    <w:tl2br w:val="nil"/>
                    <w:tr2bl w:val="nil"/>
                  </w:tcBorders>
                  <w:shd w:val="clear" w:color="auto" w:fill="auto"/>
                  <w:vAlign w:val="center"/>
                </w:tcPr>
                <w:p w14:paraId="408D37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03" w:type="pct"/>
                  <w:tcBorders>
                    <w:tl2br w:val="nil"/>
                    <w:tr2bl w:val="nil"/>
                  </w:tcBorders>
                  <w:shd w:val="clear" w:color="auto" w:fill="auto"/>
                  <w:vAlign w:val="center"/>
                </w:tcPr>
                <w:p w14:paraId="59C8AB3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6BA88FD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286D54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69 </w:t>
                  </w:r>
                </w:p>
              </w:tc>
              <w:tc>
                <w:tcPr>
                  <w:tcW w:w="253" w:type="pct"/>
                  <w:vMerge w:val="continue"/>
                  <w:tcBorders>
                    <w:tl2br w:val="nil"/>
                    <w:tr2bl w:val="nil"/>
                  </w:tcBorders>
                  <w:shd w:val="clear" w:color="auto" w:fill="auto"/>
                  <w:vAlign w:val="center"/>
                </w:tcPr>
                <w:p w14:paraId="0D65F760">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2744E2C3">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1519B1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302" w:type="pct"/>
                  <w:tcBorders>
                    <w:tl2br w:val="nil"/>
                    <w:tr2bl w:val="nil"/>
                  </w:tcBorders>
                  <w:shd w:val="clear" w:color="auto" w:fill="auto"/>
                  <w:vAlign w:val="center"/>
                </w:tcPr>
                <w:p w14:paraId="32D944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15B069F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5B2AF2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w:t>
                  </w:r>
                </w:p>
              </w:tc>
              <w:tc>
                <w:tcPr>
                  <w:tcW w:w="992" w:type="pct"/>
                  <w:tcBorders>
                    <w:tl2br w:val="nil"/>
                    <w:tr2bl w:val="nil"/>
                  </w:tcBorders>
                  <w:shd w:val="clear" w:color="auto" w:fill="auto"/>
                  <w:vAlign w:val="center"/>
                </w:tcPr>
                <w:p w14:paraId="714D151E">
                  <w:pPr>
                    <w:keepNext w:val="0"/>
                    <w:keepLines w:val="0"/>
                    <w:widowControl/>
                    <w:suppressLineNumbers w:val="0"/>
                    <w:jc w:val="center"/>
                    <w:textAlignment w:val="center"/>
                    <w:rPr>
                      <w:rFonts w:hint="default" w:ascii="宋体" w:hAnsi="宋体" w:eastAsia="宋体" w:cs="宋体"/>
                      <w:i w:val="0"/>
                      <w:iCs w:val="0"/>
                      <w:color w:val="auto"/>
                      <w:sz w:val="21"/>
                      <w:szCs w:val="21"/>
                      <w:u w:val="none"/>
                      <w:lang w:val="en-US"/>
                    </w:rPr>
                  </w:pPr>
                  <w:r>
                    <w:rPr>
                      <w:rFonts w:hint="eastAsia" w:ascii="宋体" w:hAnsi="宋体" w:eastAsia="宋体" w:cs="宋体"/>
                      <w:i w:val="0"/>
                      <w:iCs w:val="0"/>
                      <w:color w:val="auto"/>
                      <w:kern w:val="0"/>
                      <w:sz w:val="21"/>
                      <w:szCs w:val="21"/>
                      <w:u w:val="none"/>
                      <w:lang w:val="en-US" w:eastAsia="zh-CN" w:bidi="ar"/>
                    </w:rPr>
                    <w:t>拉丝机（冷）</w:t>
                  </w:r>
                  <w:r>
                    <w:rPr>
                      <w:rFonts w:hint="eastAsia" w:ascii="宋体" w:hAnsi="宋体" w:cs="宋体"/>
                      <w:i w:val="0"/>
                      <w:iCs w:val="0"/>
                      <w:color w:val="auto"/>
                      <w:kern w:val="0"/>
                      <w:sz w:val="21"/>
                      <w:szCs w:val="21"/>
                      <w:u w:val="none"/>
                      <w:lang w:val="en-US" w:eastAsia="zh-CN" w:bidi="ar"/>
                    </w:rPr>
                    <w:t>20</w:t>
                  </w:r>
                </w:p>
              </w:tc>
              <w:tc>
                <w:tcPr>
                  <w:tcW w:w="435" w:type="pct"/>
                  <w:tcBorders>
                    <w:tl2br w:val="nil"/>
                    <w:tr2bl w:val="nil"/>
                  </w:tcBorders>
                  <w:shd w:val="clear" w:color="auto" w:fill="auto"/>
                  <w:vAlign w:val="center"/>
                </w:tcPr>
                <w:p w14:paraId="0204B2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Times New Roman" w:hAnsi="Times New Roman" w:eastAsia="宋体" w:cs="Times New Roman"/>
                      <w:i w:val="0"/>
                      <w:iCs w:val="0"/>
                      <w:color w:val="auto"/>
                      <w:kern w:val="0"/>
                      <w:sz w:val="21"/>
                      <w:szCs w:val="21"/>
                      <w:u w:val="none"/>
                      <w:lang w:val="en-US" w:eastAsia="zh-CN" w:bidi="ar"/>
                    </w:rPr>
                    <w:t>85</w:t>
                  </w:r>
                </w:p>
              </w:tc>
              <w:tc>
                <w:tcPr>
                  <w:tcW w:w="333" w:type="pct"/>
                  <w:vMerge w:val="continue"/>
                  <w:tcBorders>
                    <w:tl2br w:val="nil"/>
                    <w:tr2bl w:val="nil"/>
                  </w:tcBorders>
                  <w:shd w:val="clear" w:color="auto" w:fill="auto"/>
                  <w:vAlign w:val="center"/>
                </w:tcPr>
                <w:p w14:paraId="6FE6959F">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0583D3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c>
                <w:tcPr>
                  <w:tcW w:w="265" w:type="pct"/>
                  <w:tcBorders>
                    <w:tl2br w:val="nil"/>
                    <w:tr2bl w:val="nil"/>
                  </w:tcBorders>
                  <w:shd w:val="clear" w:color="auto" w:fill="auto"/>
                  <w:vAlign w:val="center"/>
                </w:tcPr>
                <w:p w14:paraId="03AA72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203" w:type="pct"/>
                  <w:tcBorders>
                    <w:tl2br w:val="nil"/>
                    <w:tr2bl w:val="nil"/>
                  </w:tcBorders>
                  <w:shd w:val="clear" w:color="auto" w:fill="auto"/>
                  <w:vAlign w:val="center"/>
                </w:tcPr>
                <w:p w14:paraId="6CF3154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1123FC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9</w:t>
                  </w:r>
                </w:p>
              </w:tc>
              <w:tc>
                <w:tcPr>
                  <w:tcW w:w="720" w:type="dxa"/>
                  <w:tcBorders>
                    <w:tl2br w:val="nil"/>
                    <w:tr2bl w:val="nil"/>
                  </w:tcBorders>
                  <w:shd w:val="clear" w:color="auto" w:fill="auto"/>
                  <w:vAlign w:val="center"/>
                </w:tcPr>
                <w:p w14:paraId="2C7E78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69 </w:t>
                  </w:r>
                </w:p>
              </w:tc>
              <w:tc>
                <w:tcPr>
                  <w:tcW w:w="253" w:type="pct"/>
                  <w:vMerge w:val="continue"/>
                  <w:tcBorders>
                    <w:tl2br w:val="nil"/>
                    <w:tr2bl w:val="nil"/>
                  </w:tcBorders>
                  <w:shd w:val="clear" w:color="auto" w:fill="auto"/>
                  <w:vAlign w:val="center"/>
                </w:tcPr>
                <w:p w14:paraId="1A0017DC">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5BBC7837">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1D8891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54 </w:t>
                  </w:r>
                </w:p>
              </w:tc>
              <w:tc>
                <w:tcPr>
                  <w:tcW w:w="302" w:type="pct"/>
                  <w:tcBorders>
                    <w:tl2br w:val="nil"/>
                    <w:tr2bl w:val="nil"/>
                  </w:tcBorders>
                  <w:shd w:val="clear" w:color="auto" w:fill="auto"/>
                  <w:vAlign w:val="center"/>
                </w:tcPr>
                <w:p w14:paraId="4E01D5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14:paraId="5D818B8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74" w:type="pct"/>
                  <w:tcBorders>
                    <w:tl2br w:val="nil"/>
                    <w:tr2bl w:val="nil"/>
                  </w:tcBorders>
                  <w:shd w:val="clear" w:color="auto" w:fill="auto"/>
                  <w:vAlign w:val="center"/>
                </w:tcPr>
                <w:p w14:paraId="5D221F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w:t>
                  </w:r>
                </w:p>
              </w:tc>
              <w:tc>
                <w:tcPr>
                  <w:tcW w:w="992" w:type="pct"/>
                  <w:tcBorders>
                    <w:tl2br w:val="nil"/>
                    <w:tr2bl w:val="nil"/>
                  </w:tcBorders>
                  <w:shd w:val="clear" w:color="auto" w:fill="auto"/>
                  <w:vAlign w:val="center"/>
                </w:tcPr>
                <w:p w14:paraId="6B95CDAD">
                  <w:pPr>
                    <w:keepNext w:val="0"/>
                    <w:keepLines w:val="0"/>
                    <w:widowControl/>
                    <w:suppressLineNumbers w:val="0"/>
                    <w:jc w:val="center"/>
                    <w:textAlignment w:val="center"/>
                    <w:rPr>
                      <w:rFonts w:hint="eastAsia" w:ascii="宋体" w:hAnsi="宋体" w:eastAsia="宋体" w:cs="宋体"/>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无心车</w:t>
                  </w:r>
                  <w:r>
                    <w:rPr>
                      <w:rFonts w:hint="eastAsia" w:ascii="宋体" w:hAnsi="宋体" w:cs="宋体"/>
                      <w:i w:val="0"/>
                      <w:iCs w:val="0"/>
                      <w:color w:val="auto"/>
                      <w:kern w:val="0"/>
                      <w:sz w:val="21"/>
                      <w:szCs w:val="21"/>
                      <w:u w:val="none"/>
                      <w:lang w:val="en-US" w:eastAsia="zh-CN" w:bidi="ar"/>
                    </w:rPr>
                    <w:t>床</w:t>
                  </w:r>
                </w:p>
              </w:tc>
              <w:tc>
                <w:tcPr>
                  <w:tcW w:w="435" w:type="pct"/>
                  <w:tcBorders>
                    <w:tl2br w:val="nil"/>
                    <w:tr2bl w:val="nil"/>
                  </w:tcBorders>
                  <w:shd w:val="clear" w:color="auto" w:fill="auto"/>
                  <w:vAlign w:val="center"/>
                </w:tcPr>
                <w:p w14:paraId="1258F6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80</w:t>
                  </w:r>
                </w:p>
              </w:tc>
              <w:tc>
                <w:tcPr>
                  <w:tcW w:w="333" w:type="pct"/>
                  <w:vMerge w:val="continue"/>
                  <w:tcBorders>
                    <w:tl2br w:val="nil"/>
                    <w:tr2bl w:val="nil"/>
                  </w:tcBorders>
                  <w:shd w:val="clear" w:color="auto" w:fill="auto"/>
                  <w:vAlign w:val="center"/>
                </w:tcPr>
                <w:p w14:paraId="70CA1113">
                  <w:pPr>
                    <w:jc w:val="center"/>
                    <w:rPr>
                      <w:rFonts w:hint="eastAsia" w:ascii="宋体" w:hAnsi="宋体" w:eastAsia="宋体" w:cs="宋体"/>
                      <w:i w:val="0"/>
                      <w:iCs w:val="0"/>
                      <w:color w:val="auto"/>
                      <w:sz w:val="21"/>
                      <w:szCs w:val="21"/>
                      <w:u w:val="none"/>
                    </w:rPr>
                  </w:pPr>
                </w:p>
              </w:tc>
              <w:tc>
                <w:tcPr>
                  <w:tcW w:w="278" w:type="pct"/>
                  <w:tcBorders>
                    <w:tl2br w:val="nil"/>
                    <w:tr2bl w:val="nil"/>
                  </w:tcBorders>
                  <w:shd w:val="clear" w:color="auto" w:fill="auto"/>
                  <w:vAlign w:val="center"/>
                </w:tcPr>
                <w:p w14:paraId="531C9762">
                  <w:pPr>
                    <w:pStyle w:val="83"/>
                    <w:ind w:right="0" w:rightChars="0"/>
                    <w:rPr>
                      <w:rFonts w:hint="default" w:ascii="Times New Roman" w:hAnsi="Times New Roman" w:eastAsia="宋体" w:cs="Times New Roman"/>
                      <w:i w:val="0"/>
                      <w:iCs w:val="0"/>
                      <w:color w:val="auto"/>
                      <w:sz w:val="21"/>
                      <w:szCs w:val="21"/>
                      <w:u w:val="none"/>
                    </w:rPr>
                  </w:pPr>
                  <w:r>
                    <w:rPr>
                      <w:rFonts w:hint="eastAsia"/>
                      <w:b w:val="0"/>
                      <w:bCs/>
                      <w:color w:val="auto"/>
                    </w:rPr>
                    <w:t>43</w:t>
                  </w:r>
                </w:p>
              </w:tc>
              <w:tc>
                <w:tcPr>
                  <w:tcW w:w="265" w:type="pct"/>
                  <w:tcBorders>
                    <w:tl2br w:val="nil"/>
                    <w:tr2bl w:val="nil"/>
                  </w:tcBorders>
                  <w:shd w:val="clear" w:color="auto" w:fill="auto"/>
                  <w:vAlign w:val="center"/>
                </w:tcPr>
                <w:p w14:paraId="45F1A210">
                  <w:pPr>
                    <w:pStyle w:val="83"/>
                    <w:ind w:right="0" w:rightChars="0"/>
                    <w:rPr>
                      <w:rFonts w:hint="default" w:ascii="Times New Roman" w:hAnsi="Times New Roman" w:eastAsia="宋体" w:cs="Times New Roman"/>
                      <w:i w:val="0"/>
                      <w:iCs w:val="0"/>
                      <w:color w:val="auto"/>
                      <w:sz w:val="21"/>
                      <w:szCs w:val="21"/>
                      <w:u w:val="none"/>
                    </w:rPr>
                  </w:pPr>
                  <w:r>
                    <w:rPr>
                      <w:rFonts w:hint="eastAsia"/>
                      <w:b w:val="0"/>
                      <w:bCs/>
                      <w:color w:val="auto"/>
                    </w:rPr>
                    <w:t>14</w:t>
                  </w:r>
                </w:p>
              </w:tc>
              <w:tc>
                <w:tcPr>
                  <w:tcW w:w="203" w:type="pct"/>
                  <w:tcBorders>
                    <w:tl2br w:val="nil"/>
                    <w:tr2bl w:val="nil"/>
                  </w:tcBorders>
                  <w:shd w:val="clear" w:color="auto" w:fill="auto"/>
                  <w:vAlign w:val="center"/>
                </w:tcPr>
                <w:p w14:paraId="66E381C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425" w:type="pct"/>
                  <w:tcBorders>
                    <w:tl2br w:val="nil"/>
                    <w:tr2bl w:val="nil"/>
                  </w:tcBorders>
                  <w:shd w:val="clear" w:color="auto" w:fill="auto"/>
                  <w:vAlign w:val="center"/>
                </w:tcPr>
                <w:p w14:paraId="2D1560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12</w:t>
                  </w:r>
                </w:p>
              </w:tc>
              <w:tc>
                <w:tcPr>
                  <w:tcW w:w="720" w:type="dxa"/>
                  <w:tcBorders>
                    <w:tl2br w:val="nil"/>
                    <w:tr2bl w:val="nil"/>
                  </w:tcBorders>
                  <w:shd w:val="clear" w:color="auto" w:fill="auto"/>
                  <w:vAlign w:val="center"/>
                </w:tcPr>
                <w:p w14:paraId="75938A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60 </w:t>
                  </w:r>
                </w:p>
              </w:tc>
              <w:tc>
                <w:tcPr>
                  <w:tcW w:w="253" w:type="pct"/>
                  <w:vMerge w:val="continue"/>
                  <w:tcBorders>
                    <w:tl2br w:val="nil"/>
                    <w:tr2bl w:val="nil"/>
                  </w:tcBorders>
                  <w:shd w:val="clear" w:color="auto" w:fill="auto"/>
                  <w:vAlign w:val="center"/>
                </w:tcPr>
                <w:p w14:paraId="66E37B7B">
                  <w:pPr>
                    <w:jc w:val="center"/>
                    <w:rPr>
                      <w:rFonts w:hint="eastAsia" w:ascii="宋体" w:hAnsi="宋体" w:eastAsia="宋体" w:cs="宋体"/>
                      <w:i w:val="0"/>
                      <w:iCs w:val="0"/>
                      <w:color w:val="auto"/>
                      <w:sz w:val="21"/>
                      <w:szCs w:val="21"/>
                      <w:u w:val="none"/>
                    </w:rPr>
                  </w:pPr>
                </w:p>
              </w:tc>
              <w:tc>
                <w:tcPr>
                  <w:tcW w:w="414" w:type="pct"/>
                  <w:vMerge w:val="continue"/>
                  <w:tcBorders>
                    <w:tl2br w:val="nil"/>
                    <w:tr2bl w:val="nil"/>
                  </w:tcBorders>
                  <w:shd w:val="clear" w:color="auto" w:fill="auto"/>
                  <w:vAlign w:val="center"/>
                </w:tcPr>
                <w:p w14:paraId="5FAF10D5">
                  <w:pPr>
                    <w:rPr>
                      <w:rFonts w:hint="default" w:ascii="Times New Roman" w:hAnsi="Times New Roman" w:eastAsia="宋体" w:cs="Times New Roman"/>
                      <w:i w:val="0"/>
                      <w:iCs w:val="0"/>
                      <w:color w:val="auto"/>
                      <w:sz w:val="21"/>
                      <w:szCs w:val="21"/>
                      <w:u w:val="none"/>
                    </w:rPr>
                  </w:pPr>
                </w:p>
              </w:tc>
              <w:tc>
                <w:tcPr>
                  <w:tcW w:w="668" w:type="dxa"/>
                  <w:tcBorders>
                    <w:tl2br w:val="nil"/>
                    <w:tr2bl w:val="nil"/>
                  </w:tcBorders>
                  <w:shd w:val="clear" w:color="auto" w:fill="auto"/>
                  <w:vAlign w:val="center"/>
                </w:tcPr>
                <w:p w14:paraId="3E29E2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45 </w:t>
                  </w:r>
                </w:p>
              </w:tc>
              <w:tc>
                <w:tcPr>
                  <w:tcW w:w="302" w:type="pct"/>
                  <w:tcBorders>
                    <w:tl2br w:val="nil"/>
                    <w:tr2bl w:val="nil"/>
                  </w:tcBorders>
                  <w:shd w:val="clear" w:color="auto" w:fill="auto"/>
                  <w:vAlign w:val="center"/>
                </w:tcPr>
                <w:p w14:paraId="581703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bl>
          <w:p w14:paraId="054F4E50">
            <w:pPr>
              <w:pStyle w:val="8"/>
              <w:ind w:left="0" w:leftChars="0" w:firstLine="0" w:firstLineChars="0"/>
              <w:rPr>
                <w:color w:val="auto"/>
              </w:rPr>
            </w:pPr>
          </w:p>
          <w:p w14:paraId="4E8928B9">
            <w:pPr>
              <w:adjustRightInd w:val="0"/>
              <w:snapToGrid w:val="0"/>
              <w:spacing w:line="360" w:lineRule="auto"/>
              <w:ind w:firstLine="480" w:firstLineChars="200"/>
              <w:rPr>
                <w:rFonts w:hint="eastAsia"/>
                <w:color w:val="auto"/>
                <w:sz w:val="24"/>
              </w:rPr>
            </w:pPr>
            <w:r>
              <w:rPr>
                <w:rFonts w:hint="eastAsia"/>
                <w:color w:val="auto"/>
                <w:sz w:val="24"/>
              </w:rPr>
              <w:t>（2）降噪治理措施</w:t>
            </w:r>
          </w:p>
          <w:p w14:paraId="428314F8">
            <w:pPr>
              <w:adjustRightInd w:val="0"/>
              <w:snapToGrid w:val="0"/>
              <w:spacing w:line="360" w:lineRule="auto"/>
              <w:ind w:firstLine="480" w:firstLineChars="200"/>
              <w:rPr>
                <w:rFonts w:hint="eastAsia"/>
                <w:color w:val="auto"/>
                <w:sz w:val="24"/>
                <w:szCs w:val="32"/>
              </w:rPr>
            </w:pPr>
            <w:r>
              <w:rPr>
                <w:rFonts w:hint="eastAsia"/>
                <w:color w:val="auto"/>
                <w:kern w:val="0"/>
                <w:sz w:val="24"/>
              </w:rPr>
              <w:t>①</w:t>
            </w:r>
            <w:r>
              <w:rPr>
                <w:rFonts w:hint="eastAsia"/>
                <w:color w:val="auto"/>
                <w:sz w:val="24"/>
                <w:szCs w:val="32"/>
                <w:lang w:val="en-US" w:eastAsia="zh-CN"/>
              </w:rPr>
              <w:t>生产设施</w:t>
            </w:r>
            <w:r>
              <w:rPr>
                <w:rFonts w:hint="eastAsia"/>
                <w:color w:val="auto"/>
                <w:kern w:val="0"/>
                <w:sz w:val="24"/>
              </w:rPr>
              <w:t>设置在厂房内，采用建筑物隔声，防止噪声的扩散和传播，并避免高噪声设备集中放置；生产作业时尽量避免开窗，以增强隔声效果</w:t>
            </w:r>
            <w:r>
              <w:rPr>
                <w:rFonts w:hint="eastAsia"/>
                <w:color w:val="auto"/>
                <w:sz w:val="24"/>
                <w:szCs w:val="32"/>
              </w:rPr>
              <w:t>；</w:t>
            </w:r>
          </w:p>
          <w:p w14:paraId="64ABE21E">
            <w:pPr>
              <w:adjustRightInd w:val="0"/>
              <w:snapToGrid w:val="0"/>
              <w:spacing w:line="360" w:lineRule="auto"/>
              <w:ind w:firstLine="480" w:firstLineChars="200"/>
              <w:rPr>
                <w:rFonts w:hint="default" w:eastAsia="宋体"/>
                <w:color w:val="auto"/>
                <w:kern w:val="0"/>
                <w:sz w:val="24"/>
                <w:lang w:val="en-US" w:eastAsia="zh-CN"/>
              </w:rPr>
            </w:pPr>
            <w:r>
              <w:rPr>
                <w:rFonts w:hint="eastAsia"/>
                <w:color w:val="auto"/>
                <w:kern w:val="0"/>
                <w:sz w:val="24"/>
              </w:rPr>
              <w:t>②加强设备的维护和保养，确保设备处于良好的运转状态，预防维修不良的机械设备因部件</w:t>
            </w:r>
            <w:r>
              <w:rPr>
                <w:rFonts w:hint="eastAsia"/>
                <w:color w:val="auto"/>
                <w:kern w:val="0"/>
                <w:sz w:val="24"/>
                <w:lang w:eastAsia="zh-CN"/>
              </w:rPr>
              <w:t>振动</w:t>
            </w:r>
            <w:r>
              <w:rPr>
                <w:rFonts w:hint="eastAsia"/>
                <w:color w:val="auto"/>
                <w:kern w:val="0"/>
                <w:sz w:val="24"/>
              </w:rPr>
              <w:t>而增加其工作噪声，从而在声源处达到降噪措施；</w:t>
            </w:r>
          </w:p>
          <w:p w14:paraId="4DF7900A">
            <w:pPr>
              <w:adjustRightInd w:val="0"/>
              <w:snapToGrid w:val="0"/>
              <w:spacing w:line="360" w:lineRule="auto"/>
              <w:ind w:firstLine="480" w:firstLineChars="200"/>
              <w:rPr>
                <w:rFonts w:hint="eastAsia" w:eastAsia="宋体"/>
                <w:color w:val="auto"/>
                <w:sz w:val="24"/>
                <w:szCs w:val="32"/>
                <w:lang w:eastAsia="zh-CN"/>
              </w:rPr>
            </w:pPr>
            <w:r>
              <w:rPr>
                <w:rFonts w:hint="eastAsia"/>
                <w:color w:val="auto"/>
                <w:sz w:val="24"/>
              </w:rPr>
              <w:t>③</w:t>
            </w:r>
            <w:r>
              <w:rPr>
                <w:rFonts w:hint="eastAsia"/>
                <w:color w:val="auto"/>
                <w:sz w:val="24"/>
                <w:szCs w:val="32"/>
                <w:lang w:eastAsia="zh-CN"/>
              </w:rPr>
              <w:t>合理布局，将高噪声设备尽可能地远离居民区安装，并严格执行白天一班制工作制度，杜绝夜间工作。</w:t>
            </w:r>
          </w:p>
          <w:p w14:paraId="32294CF3">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rPr>
              <w:t>（3）</w:t>
            </w:r>
            <w:r>
              <w:rPr>
                <w:rFonts w:hint="eastAsia"/>
                <w:color w:val="auto"/>
                <w:sz w:val="24"/>
                <w:lang w:val="en-US" w:eastAsia="zh-CN"/>
              </w:rPr>
              <w:t>预测模式</w:t>
            </w:r>
          </w:p>
          <w:p w14:paraId="03ECDC7C">
            <w:pPr>
              <w:widowControl w:val="0"/>
              <w:spacing w:line="360" w:lineRule="auto"/>
              <w:ind w:leftChars="0" w:firstLine="480" w:firstLineChars="200"/>
              <w:jc w:val="both"/>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1）条件概化</w:t>
            </w:r>
          </w:p>
          <w:p w14:paraId="1B969B9C">
            <w:pPr>
              <w:widowControl w:val="0"/>
              <w:spacing w:line="360" w:lineRule="auto"/>
              <w:ind w:leftChars="0" w:firstLine="480" w:firstLineChars="200"/>
              <w:jc w:val="both"/>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①所有产噪设备均在正常工况条件下运行；</w:t>
            </w:r>
          </w:p>
          <w:p w14:paraId="64E1EF8D">
            <w:pPr>
              <w:widowControl w:val="0"/>
              <w:spacing w:line="360" w:lineRule="auto"/>
              <w:ind w:leftChars="0" w:firstLine="480" w:firstLineChars="200"/>
              <w:jc w:val="both"/>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②室内噪声源考虑声源所在厂房围护结构处的声屏障作用；</w:t>
            </w:r>
          </w:p>
          <w:p w14:paraId="253600D4">
            <w:pPr>
              <w:widowControl w:val="0"/>
              <w:spacing w:line="360" w:lineRule="auto"/>
              <w:ind w:leftChars="0" w:firstLine="480" w:firstLineChars="200"/>
              <w:jc w:val="both"/>
              <w:rPr>
                <w:rFonts w:hint="default" w:ascii="Times New Roman" w:hAnsi="Times New Roman" w:eastAsia="宋体" w:cs="Times New Roman"/>
                <w:color w:val="auto"/>
                <w:kern w:val="0"/>
                <w:sz w:val="24"/>
                <w:szCs w:val="24"/>
                <w:lang w:val="en-US" w:eastAsia="zh-CN" w:bidi="ar-SA"/>
              </w:rPr>
            </w:pPr>
            <w:r>
              <w:rPr>
                <w:rFonts w:hint="eastAsia" w:ascii="Times New Roman" w:hAnsi="Times New Roman" w:eastAsia="宋体" w:cs="Times New Roman"/>
                <w:color w:val="auto"/>
                <w:kern w:val="0"/>
                <w:sz w:val="24"/>
                <w:szCs w:val="24"/>
                <w:lang w:val="en-US" w:eastAsia="zh-CN" w:bidi="ar-SA"/>
              </w:rPr>
              <w:t>③考虑声源至预测点的距离衰减，忽略传播中建筑物的阻挡、地面反射以及空气吸收、雨、雪、温度等影响。</w:t>
            </w:r>
          </w:p>
          <w:p w14:paraId="6BA1F464">
            <w:pPr>
              <w:widowControl w:val="0"/>
              <w:spacing w:line="360" w:lineRule="auto"/>
              <w:ind w:leftChars="0" w:firstLine="480" w:firstLineChars="200"/>
              <w:jc w:val="both"/>
              <w:rPr>
                <w:rFonts w:hint="default" w:ascii="Times New Roman" w:hAnsi="Times New Roman" w:eastAsia="宋体" w:cs="Times New Roman"/>
                <w:color w:val="auto"/>
                <w:spacing w:val="0"/>
                <w:kern w:val="0"/>
                <w:position w:val="0"/>
                <w:sz w:val="24"/>
                <w:szCs w:val="24"/>
                <w:lang w:val="en-US" w:eastAsia="zh-CN" w:bidi="ar-SA"/>
              </w:rPr>
            </w:pPr>
            <w:r>
              <w:rPr>
                <w:rFonts w:hint="eastAsia" w:ascii="Times New Roman" w:hAnsi="Times New Roman" w:eastAsia="宋体" w:cs="Times New Roman"/>
                <w:color w:val="auto"/>
                <w:spacing w:val="0"/>
                <w:kern w:val="0"/>
                <w:position w:val="0"/>
                <w:sz w:val="24"/>
                <w:szCs w:val="24"/>
                <w:lang w:val="en-US" w:eastAsia="zh-CN" w:bidi="ar-SA"/>
              </w:rPr>
              <w:t>2）室内声源噪声预测模式</w:t>
            </w:r>
          </w:p>
          <w:p w14:paraId="15C48304">
            <w:pPr>
              <w:keepNext w:val="0"/>
              <w:keepLines w:val="0"/>
              <w:widowControl/>
              <w:suppressLineNumbers w:val="0"/>
              <w:spacing w:line="360" w:lineRule="auto"/>
              <w:ind w:firstLine="480" w:firstLineChars="200"/>
              <w:jc w:val="left"/>
              <w:rPr>
                <w:rFonts w:hint="default" w:ascii="Times New Roman" w:hAnsi="Times New Roman" w:eastAsia="宋体" w:cs="Times New Roman"/>
                <w:color w:val="auto"/>
                <w:spacing w:val="0"/>
                <w:position w:val="0"/>
                <w:sz w:val="24"/>
                <w:szCs w:val="24"/>
              </w:rPr>
            </w:pPr>
            <w:r>
              <w:rPr>
                <w:rFonts w:hint="default" w:ascii="Times New Roman" w:hAnsi="Times New Roman" w:eastAsia="宋体" w:cs="Times New Roman"/>
                <w:color w:val="auto"/>
                <w:spacing w:val="0"/>
                <w:position w:val="0"/>
                <w:sz w:val="24"/>
                <w:szCs w:val="24"/>
              </w:rPr>
              <w:t>本项目仅考虑距离衰减值，忽略大气吸收、障碍物屏障等因素，从最为不利的情况出发，根据《环境影响评价技术导则声环境》</w:t>
            </w:r>
            <w:r>
              <w:rPr>
                <w:rFonts w:hint="eastAsia"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HJ2.4-2021</w:t>
            </w:r>
            <w:r>
              <w:rPr>
                <w:rFonts w:hint="eastAsia" w:ascii="Times New Roman" w:hAnsi="Times New Roman" w:eastAsia="宋体" w:cs="Times New Roman"/>
                <w:color w:val="auto"/>
                <w:spacing w:val="0"/>
                <w:position w:val="0"/>
                <w:sz w:val="24"/>
                <w:szCs w:val="24"/>
                <w:lang w:eastAsia="zh-CN"/>
              </w:rPr>
              <w:t>）</w:t>
            </w:r>
            <w:r>
              <w:rPr>
                <w:rFonts w:hint="default" w:ascii="Times New Roman" w:hAnsi="Times New Roman" w:eastAsia="宋体" w:cs="Times New Roman"/>
                <w:color w:val="auto"/>
                <w:spacing w:val="0"/>
                <w:position w:val="0"/>
                <w:sz w:val="24"/>
                <w:szCs w:val="24"/>
              </w:rPr>
              <w:t>的要求，采用以下计算公式计算某一室内声源靠近围护结构处产生的倍频带声压级或A声级：</w:t>
            </w:r>
          </w:p>
          <w:p w14:paraId="7951576A">
            <w:pPr>
              <w:widowControl w:val="0"/>
              <w:spacing w:line="360" w:lineRule="auto"/>
              <w:ind w:left="0" w:leftChars="0" w:firstLine="0" w:firstLineChars="0"/>
              <w:jc w:val="center"/>
              <w:rPr>
                <w:rFonts w:hint="default" w:ascii="Times New Roman" w:hAnsi="Times New Roman" w:eastAsia="宋体" w:cs="Times New Roman"/>
                <w:color w:val="auto"/>
                <w:spacing w:val="0"/>
                <w:kern w:val="0"/>
                <w:position w:val="0"/>
                <w:sz w:val="24"/>
                <w:szCs w:val="24"/>
                <w:lang w:val="en-US" w:eastAsia="zh-CN" w:bidi="ar-SA"/>
              </w:rPr>
            </w:pPr>
            <w:r>
              <w:rPr>
                <w:rFonts w:hint="default" w:ascii="Times New Roman" w:hAnsi="Times New Roman" w:eastAsia="宋体" w:cs="Times New Roman"/>
                <w:i w:val="0"/>
                <w:iCs w:val="0"/>
                <w:color w:val="auto"/>
                <w:spacing w:val="0"/>
                <w:kern w:val="0"/>
                <w:position w:val="0"/>
                <w:sz w:val="24"/>
                <w:szCs w:val="24"/>
                <w:lang w:val="en-US" w:eastAsia="zh-CN" w:bidi="ar"/>
              </w:rPr>
              <w:t>L</w:t>
            </w:r>
            <w:r>
              <w:rPr>
                <w:rFonts w:hint="default" w:ascii="Times New Roman" w:hAnsi="Times New Roman" w:eastAsia="宋体" w:cs="Times New Roman"/>
                <w:i w:val="0"/>
                <w:iCs w:val="0"/>
                <w:color w:val="auto"/>
                <w:spacing w:val="0"/>
                <w:kern w:val="0"/>
                <w:position w:val="0"/>
                <w:sz w:val="24"/>
                <w:szCs w:val="24"/>
                <w:vertAlign w:val="subscript"/>
                <w:lang w:val="en-US" w:eastAsia="zh-CN" w:bidi="ar"/>
              </w:rPr>
              <w:t>p1=</w:t>
            </w:r>
            <w:r>
              <w:rPr>
                <w:rFonts w:hint="default" w:ascii="Times New Roman" w:hAnsi="Times New Roman" w:eastAsia="宋体" w:cs="Times New Roman"/>
                <w:i w:val="0"/>
                <w:iCs w:val="0"/>
                <w:color w:val="auto"/>
                <w:spacing w:val="0"/>
                <w:kern w:val="0"/>
                <w:position w:val="0"/>
                <w:sz w:val="24"/>
                <w:szCs w:val="24"/>
                <w:lang w:val="en-US" w:eastAsia="zh-CN" w:bidi="ar"/>
              </w:rPr>
              <w:t>L</w:t>
            </w:r>
            <w:r>
              <w:rPr>
                <w:rFonts w:hint="default" w:ascii="Times New Roman" w:hAnsi="Times New Roman" w:eastAsia="宋体" w:cs="Times New Roman"/>
                <w:i w:val="0"/>
                <w:iCs w:val="0"/>
                <w:color w:val="auto"/>
                <w:spacing w:val="0"/>
                <w:kern w:val="0"/>
                <w:position w:val="0"/>
                <w:sz w:val="24"/>
                <w:szCs w:val="24"/>
                <w:vertAlign w:val="subscript"/>
                <w:lang w:val="en-US" w:eastAsia="zh-CN" w:bidi="ar"/>
              </w:rPr>
              <w:t>W</w:t>
            </w:r>
            <w:r>
              <w:rPr>
                <w:rFonts w:hint="default" w:ascii="Times New Roman" w:hAnsi="Times New Roman" w:eastAsia="宋体" w:cs="Times New Roman"/>
                <w:i w:val="0"/>
                <w:iCs w:val="0"/>
                <w:color w:val="auto"/>
                <w:spacing w:val="0"/>
                <w:kern w:val="0"/>
                <w:position w:val="0"/>
                <w:sz w:val="24"/>
                <w:szCs w:val="24"/>
                <w:vertAlign w:val="baseline"/>
                <w:lang w:val="en-US" w:eastAsia="zh-CN" w:bidi="ar"/>
              </w:rPr>
              <w:t>+10lg</w:t>
            </w:r>
            <w:r>
              <w:rPr>
                <w:rFonts w:hint="eastAsia" w:cs="Times New Roman"/>
                <w:i w:val="0"/>
                <w:iCs w:val="0"/>
                <w:color w:val="auto"/>
                <w:spacing w:val="0"/>
                <w:kern w:val="0"/>
                <w:position w:val="0"/>
                <w:sz w:val="24"/>
                <w:szCs w:val="24"/>
                <w:vertAlign w:val="baseline"/>
                <w:lang w:val="en-US" w:eastAsia="zh-CN" w:bidi="ar"/>
              </w:rPr>
              <w:t>(</w:t>
            </w:r>
            <w:r>
              <w:rPr>
                <w:rFonts w:hint="default" w:ascii="Times New Roman" w:hAnsi="Times New Roman" w:eastAsia="宋体" w:cs="Times New Roman"/>
                <w:i w:val="0"/>
                <w:iCs w:val="0"/>
                <w:color w:val="auto"/>
                <w:spacing w:val="0"/>
                <w:kern w:val="0"/>
                <w:position w:val="0"/>
                <w:sz w:val="24"/>
                <w:szCs w:val="24"/>
                <w:vertAlign w:val="baseline"/>
                <w:lang w:val="en-US" w:eastAsia="zh-CN" w:bidi="ar"/>
              </w:rPr>
              <w:t>Q/4πr</w:t>
            </w:r>
            <w:r>
              <w:rPr>
                <w:rFonts w:hint="default" w:ascii="Times New Roman" w:hAnsi="Times New Roman" w:eastAsia="宋体" w:cs="Times New Roman"/>
                <w:i w:val="0"/>
                <w:iCs w:val="0"/>
                <w:color w:val="auto"/>
                <w:spacing w:val="0"/>
                <w:kern w:val="0"/>
                <w:position w:val="0"/>
                <w:sz w:val="24"/>
                <w:szCs w:val="24"/>
                <w:vertAlign w:val="superscript"/>
                <w:lang w:val="en-US" w:eastAsia="zh-CN" w:bidi="ar"/>
              </w:rPr>
              <w:t>2</w:t>
            </w:r>
            <w:r>
              <w:rPr>
                <w:rFonts w:hint="default" w:ascii="Times New Roman" w:hAnsi="Times New Roman" w:eastAsia="宋体" w:cs="Times New Roman"/>
                <w:i w:val="0"/>
                <w:iCs w:val="0"/>
                <w:color w:val="auto"/>
                <w:spacing w:val="0"/>
                <w:kern w:val="0"/>
                <w:position w:val="0"/>
                <w:sz w:val="24"/>
                <w:szCs w:val="24"/>
                <w:vertAlign w:val="baseline"/>
                <w:lang w:val="en-US" w:eastAsia="zh-CN" w:bidi="ar"/>
              </w:rPr>
              <w:t>+4/R</w:t>
            </w:r>
            <w:r>
              <w:rPr>
                <w:rFonts w:hint="eastAsia" w:cs="Times New Roman"/>
                <w:i w:val="0"/>
                <w:iCs w:val="0"/>
                <w:color w:val="auto"/>
                <w:spacing w:val="0"/>
                <w:kern w:val="0"/>
                <w:position w:val="0"/>
                <w:sz w:val="24"/>
                <w:szCs w:val="24"/>
                <w:vertAlign w:val="baseline"/>
                <w:lang w:val="en-US" w:eastAsia="zh-CN" w:bidi="ar"/>
              </w:rPr>
              <w:t>)</w:t>
            </w:r>
          </w:p>
          <w:p w14:paraId="51E2F06E">
            <w:pPr>
              <w:widowControl w:val="0"/>
              <w:spacing w:line="360" w:lineRule="auto"/>
              <w:ind w:leftChars="0" w:firstLine="480" w:firstLineChars="200"/>
              <w:jc w:val="both"/>
              <w:rPr>
                <w:rFonts w:hint="default" w:ascii="Times New Roman" w:hAnsi="Times New Roman" w:eastAsia="宋体" w:cs="Times New Roman"/>
                <w:color w:val="auto"/>
                <w:spacing w:val="0"/>
                <w:kern w:val="0"/>
                <w:position w:val="0"/>
                <w:sz w:val="24"/>
                <w:szCs w:val="24"/>
                <w:vertAlign w:val="baseline"/>
                <w:lang w:val="en-US" w:eastAsia="zh-CN" w:bidi="ar-SA"/>
              </w:rPr>
            </w:pPr>
            <w:r>
              <w:rPr>
                <w:rFonts w:hint="default" w:ascii="Times New Roman" w:hAnsi="Times New Roman" w:eastAsia="宋体" w:cs="Times New Roman"/>
                <w:color w:val="auto"/>
                <w:spacing w:val="0"/>
                <w:kern w:val="0"/>
                <w:position w:val="0"/>
                <w:sz w:val="24"/>
                <w:szCs w:val="24"/>
                <w:lang w:val="en-US" w:eastAsia="zh-CN" w:bidi="ar-SA"/>
              </w:rPr>
              <w:t>式中：L</w:t>
            </w:r>
            <w:r>
              <w:rPr>
                <w:rFonts w:hint="default" w:ascii="Times New Roman" w:hAnsi="Times New Roman" w:eastAsia="宋体" w:cs="Times New Roman"/>
                <w:color w:val="auto"/>
                <w:spacing w:val="0"/>
                <w:kern w:val="0"/>
                <w:position w:val="0"/>
                <w:sz w:val="24"/>
                <w:szCs w:val="24"/>
                <w:vertAlign w:val="subscript"/>
                <w:lang w:val="en-US" w:eastAsia="zh-CN" w:bidi="ar-SA"/>
              </w:rPr>
              <w:t>p1</w:t>
            </w:r>
            <w:r>
              <w:rPr>
                <w:rFonts w:hint="default" w:ascii="Times New Roman" w:hAnsi="Times New Roman" w:eastAsia="宋体" w:cs="Times New Roman"/>
                <w:color w:val="auto"/>
                <w:spacing w:val="0"/>
                <w:kern w:val="0"/>
                <w:position w:val="0"/>
                <w:sz w:val="24"/>
                <w:szCs w:val="24"/>
                <w:vertAlign w:val="baseline"/>
                <w:lang w:val="en-US" w:eastAsia="zh-CN" w:bidi="ar-SA"/>
              </w:rPr>
              <w:t>—靠近开口处（或窗户）室内某倍频带的声压级或A声级，dB；</w:t>
            </w:r>
          </w:p>
          <w:p w14:paraId="315F2471">
            <w:pPr>
              <w:widowControl w:val="0"/>
              <w:spacing w:line="360" w:lineRule="auto"/>
              <w:ind w:leftChars="0" w:firstLine="1200" w:firstLineChars="500"/>
              <w:jc w:val="both"/>
              <w:rPr>
                <w:rFonts w:hint="default" w:ascii="Times New Roman" w:hAnsi="Times New Roman" w:eastAsia="宋体" w:cs="Times New Roman"/>
                <w:color w:val="auto"/>
                <w:spacing w:val="0"/>
                <w:kern w:val="0"/>
                <w:position w:val="0"/>
                <w:sz w:val="24"/>
                <w:szCs w:val="24"/>
                <w:vertAlign w:val="baseline"/>
                <w:lang w:val="en-US" w:eastAsia="zh-CN" w:bidi="ar-SA"/>
              </w:rPr>
            </w:pPr>
            <w:r>
              <w:rPr>
                <w:rFonts w:hint="default" w:ascii="Times New Roman" w:hAnsi="Times New Roman" w:eastAsia="宋体" w:cs="Times New Roman"/>
                <w:i/>
                <w:iCs/>
                <w:color w:val="auto"/>
                <w:spacing w:val="0"/>
                <w:kern w:val="0"/>
                <w:position w:val="0"/>
                <w:sz w:val="24"/>
                <w:szCs w:val="24"/>
                <w:lang w:val="en-US" w:eastAsia="zh-CN" w:bidi="ar"/>
              </w:rPr>
              <w:t>L</w:t>
            </w:r>
            <w:r>
              <w:rPr>
                <w:rFonts w:hint="default" w:ascii="Times New Roman" w:hAnsi="Times New Roman" w:eastAsia="宋体" w:cs="Times New Roman"/>
                <w:i/>
                <w:iCs/>
                <w:color w:val="auto"/>
                <w:spacing w:val="0"/>
                <w:kern w:val="0"/>
                <w:position w:val="0"/>
                <w:sz w:val="24"/>
                <w:szCs w:val="24"/>
                <w:vertAlign w:val="subscript"/>
                <w:lang w:val="en-US" w:eastAsia="zh-CN" w:bidi="ar"/>
              </w:rPr>
              <w:t>W</w:t>
            </w:r>
            <w:r>
              <w:rPr>
                <w:rFonts w:hint="default" w:ascii="Times New Roman" w:hAnsi="Times New Roman" w:eastAsia="宋体" w:cs="Times New Roman"/>
                <w:color w:val="auto"/>
                <w:spacing w:val="0"/>
                <w:kern w:val="0"/>
                <w:position w:val="0"/>
                <w:sz w:val="24"/>
                <w:szCs w:val="24"/>
                <w:vertAlign w:val="baseline"/>
                <w:lang w:val="en-US" w:eastAsia="zh-CN" w:bidi="ar-SA"/>
              </w:rPr>
              <w:t>—点声源声功率级</w:t>
            </w:r>
            <w:r>
              <w:rPr>
                <w:rFonts w:hint="eastAsia" w:ascii="Times New Roman" w:hAnsi="Times New Roman" w:eastAsia="宋体" w:cs="Times New Roman"/>
                <w:color w:val="auto"/>
                <w:spacing w:val="0"/>
                <w:kern w:val="0"/>
                <w:position w:val="0"/>
                <w:sz w:val="24"/>
                <w:szCs w:val="24"/>
                <w:vertAlign w:val="baseline"/>
                <w:lang w:val="en-US" w:eastAsia="zh-CN" w:bidi="ar-SA"/>
              </w:rPr>
              <w:t>（</w:t>
            </w:r>
            <w:r>
              <w:rPr>
                <w:rFonts w:hint="default" w:ascii="Times New Roman" w:hAnsi="Times New Roman" w:eastAsia="宋体" w:cs="Times New Roman"/>
                <w:color w:val="auto"/>
                <w:spacing w:val="0"/>
                <w:kern w:val="0"/>
                <w:position w:val="0"/>
                <w:sz w:val="24"/>
                <w:szCs w:val="24"/>
                <w:vertAlign w:val="baseline"/>
                <w:lang w:val="en-US" w:eastAsia="zh-CN" w:bidi="ar-SA"/>
              </w:rPr>
              <w:t>A计权或倍频带</w:t>
            </w:r>
            <w:r>
              <w:rPr>
                <w:rFonts w:hint="eastAsia" w:ascii="Times New Roman" w:hAnsi="Times New Roman" w:eastAsia="宋体" w:cs="Times New Roman"/>
                <w:color w:val="auto"/>
                <w:spacing w:val="0"/>
                <w:kern w:val="0"/>
                <w:position w:val="0"/>
                <w:sz w:val="24"/>
                <w:szCs w:val="24"/>
                <w:vertAlign w:val="baseline"/>
                <w:lang w:val="en-US" w:eastAsia="zh-CN" w:bidi="ar-SA"/>
              </w:rPr>
              <w:t>）</w:t>
            </w:r>
            <w:r>
              <w:rPr>
                <w:rFonts w:hint="default" w:ascii="Times New Roman" w:hAnsi="Times New Roman" w:eastAsia="宋体" w:cs="Times New Roman"/>
                <w:color w:val="auto"/>
                <w:spacing w:val="0"/>
                <w:kern w:val="0"/>
                <w:position w:val="0"/>
                <w:sz w:val="24"/>
                <w:szCs w:val="24"/>
                <w:vertAlign w:val="baseline"/>
                <w:lang w:val="en-US" w:eastAsia="zh-CN" w:bidi="ar-SA"/>
              </w:rPr>
              <w:t>，dB；</w:t>
            </w:r>
          </w:p>
          <w:p w14:paraId="772FB08D">
            <w:pPr>
              <w:widowControl w:val="0"/>
              <w:spacing w:line="360" w:lineRule="auto"/>
              <w:ind w:leftChars="0" w:firstLine="1200" w:firstLineChars="500"/>
              <w:jc w:val="both"/>
              <w:rPr>
                <w:rFonts w:hint="default" w:ascii="Times New Roman" w:hAnsi="Times New Roman" w:eastAsia="宋体" w:cs="Times New Roman"/>
                <w:color w:val="auto"/>
                <w:spacing w:val="0"/>
                <w:kern w:val="0"/>
                <w:position w:val="0"/>
                <w:sz w:val="24"/>
                <w:szCs w:val="24"/>
                <w:vertAlign w:val="baseline"/>
                <w:lang w:val="en-US" w:eastAsia="zh-CN" w:bidi="ar-SA"/>
              </w:rPr>
            </w:pPr>
            <w:r>
              <w:rPr>
                <w:rFonts w:hint="default" w:ascii="Times New Roman" w:hAnsi="Times New Roman" w:eastAsia="宋体" w:cs="Times New Roman"/>
                <w:color w:val="auto"/>
                <w:spacing w:val="0"/>
                <w:kern w:val="0"/>
                <w:position w:val="0"/>
                <w:sz w:val="24"/>
                <w:szCs w:val="24"/>
                <w:vertAlign w:val="baseline"/>
                <w:lang w:val="en-US" w:eastAsia="zh-CN" w:bidi="ar-SA"/>
              </w:rPr>
              <w:t>Q—指向性因子；通常对无指向性声源，当声源放在房间中心时，Q=1；</w:t>
            </w:r>
          </w:p>
          <w:p w14:paraId="3932511B">
            <w:pPr>
              <w:widowControl w:val="0"/>
              <w:spacing w:line="360" w:lineRule="auto"/>
              <w:ind w:leftChars="0" w:firstLine="1200" w:firstLineChars="500"/>
              <w:jc w:val="both"/>
              <w:rPr>
                <w:rFonts w:hint="default" w:ascii="Times New Roman" w:hAnsi="Times New Roman" w:eastAsia="宋体" w:cs="Times New Roman"/>
                <w:color w:val="auto"/>
                <w:spacing w:val="0"/>
                <w:kern w:val="0"/>
                <w:position w:val="0"/>
                <w:sz w:val="24"/>
                <w:szCs w:val="24"/>
                <w:vertAlign w:val="baseline"/>
                <w:lang w:val="en-US" w:eastAsia="zh-CN" w:bidi="ar-SA"/>
              </w:rPr>
            </w:pPr>
            <w:r>
              <w:rPr>
                <w:rFonts w:hint="default" w:ascii="Times New Roman" w:hAnsi="Times New Roman" w:eastAsia="宋体" w:cs="Times New Roman"/>
                <w:color w:val="auto"/>
                <w:spacing w:val="0"/>
                <w:kern w:val="0"/>
                <w:position w:val="0"/>
                <w:sz w:val="24"/>
                <w:szCs w:val="24"/>
                <w:vertAlign w:val="baseline"/>
                <w:lang w:val="en-US" w:eastAsia="zh-CN" w:bidi="ar-SA"/>
              </w:rPr>
              <w:t>R—房间常数；R=Sα/</w:t>
            </w:r>
            <w:r>
              <w:rPr>
                <w:rFonts w:hint="eastAsia" w:ascii="Times New Roman" w:hAnsi="Times New Roman" w:eastAsia="宋体" w:cs="Times New Roman"/>
                <w:color w:val="auto"/>
                <w:spacing w:val="0"/>
                <w:kern w:val="0"/>
                <w:position w:val="0"/>
                <w:sz w:val="24"/>
                <w:szCs w:val="24"/>
                <w:vertAlign w:val="baseline"/>
                <w:lang w:val="en-US" w:eastAsia="zh-CN" w:bidi="ar-SA"/>
              </w:rPr>
              <w:t>（</w:t>
            </w:r>
            <w:r>
              <w:rPr>
                <w:rFonts w:hint="default" w:ascii="Times New Roman" w:hAnsi="Times New Roman" w:eastAsia="宋体" w:cs="Times New Roman"/>
                <w:color w:val="auto"/>
                <w:spacing w:val="0"/>
                <w:kern w:val="0"/>
                <w:position w:val="0"/>
                <w:sz w:val="24"/>
                <w:szCs w:val="24"/>
                <w:vertAlign w:val="baseline"/>
                <w:lang w:val="en-US" w:eastAsia="zh-CN" w:bidi="ar-SA"/>
              </w:rPr>
              <w:t>1-α</w:t>
            </w:r>
            <w:r>
              <w:rPr>
                <w:rFonts w:hint="eastAsia" w:ascii="Times New Roman" w:hAnsi="Times New Roman" w:eastAsia="宋体" w:cs="Times New Roman"/>
                <w:color w:val="auto"/>
                <w:spacing w:val="0"/>
                <w:kern w:val="0"/>
                <w:position w:val="0"/>
                <w:sz w:val="24"/>
                <w:szCs w:val="24"/>
                <w:vertAlign w:val="baseline"/>
                <w:lang w:val="en-US" w:eastAsia="zh-CN" w:bidi="ar-SA"/>
              </w:rPr>
              <w:t>）</w:t>
            </w:r>
            <w:r>
              <w:rPr>
                <w:rFonts w:hint="default" w:ascii="Times New Roman" w:hAnsi="Times New Roman" w:eastAsia="宋体" w:cs="Times New Roman"/>
                <w:color w:val="auto"/>
                <w:spacing w:val="0"/>
                <w:kern w:val="0"/>
                <w:position w:val="0"/>
                <w:sz w:val="24"/>
                <w:szCs w:val="24"/>
                <w:vertAlign w:val="baseline"/>
                <w:lang w:val="en-US" w:eastAsia="zh-CN" w:bidi="ar-SA"/>
              </w:rPr>
              <w:t>，S为房间内表面面积，m</w:t>
            </w:r>
            <w:r>
              <w:rPr>
                <w:rFonts w:hint="default" w:ascii="Times New Roman" w:hAnsi="Times New Roman" w:eastAsia="宋体" w:cs="Times New Roman"/>
                <w:color w:val="auto"/>
                <w:spacing w:val="0"/>
                <w:kern w:val="0"/>
                <w:position w:val="0"/>
                <w:sz w:val="24"/>
                <w:szCs w:val="24"/>
                <w:vertAlign w:val="superscript"/>
                <w:lang w:val="en-US" w:eastAsia="zh-CN" w:bidi="ar-SA"/>
              </w:rPr>
              <w:t>2</w:t>
            </w:r>
            <w:r>
              <w:rPr>
                <w:rFonts w:hint="default" w:ascii="Times New Roman" w:hAnsi="Times New Roman" w:eastAsia="宋体" w:cs="Times New Roman"/>
                <w:color w:val="auto"/>
                <w:spacing w:val="0"/>
                <w:kern w:val="0"/>
                <w:position w:val="0"/>
                <w:sz w:val="24"/>
                <w:szCs w:val="24"/>
                <w:vertAlign w:val="baseline"/>
                <w:lang w:val="en-US" w:eastAsia="zh-CN" w:bidi="ar-SA"/>
              </w:rPr>
              <w:t>；α为平均吸声系数，参照《噪声控制与建筑声学设备和材料选用手册》</w:t>
            </w:r>
            <w:r>
              <w:rPr>
                <w:rFonts w:hint="eastAsia" w:ascii="Times New Roman" w:hAnsi="Times New Roman" w:eastAsia="宋体" w:cs="Times New Roman"/>
                <w:color w:val="auto"/>
                <w:spacing w:val="0"/>
                <w:kern w:val="0"/>
                <w:position w:val="0"/>
                <w:sz w:val="24"/>
                <w:szCs w:val="24"/>
                <w:vertAlign w:val="baseline"/>
                <w:lang w:val="en-US" w:eastAsia="zh-CN" w:bidi="ar-SA"/>
              </w:rPr>
              <w:t>（</w:t>
            </w:r>
            <w:r>
              <w:rPr>
                <w:rFonts w:hint="default" w:ascii="Times New Roman" w:hAnsi="Times New Roman" w:eastAsia="宋体" w:cs="Times New Roman"/>
                <w:color w:val="auto"/>
                <w:spacing w:val="0"/>
                <w:kern w:val="0"/>
                <w:position w:val="0"/>
                <w:sz w:val="24"/>
                <w:szCs w:val="24"/>
                <w:vertAlign w:val="baseline"/>
                <w:lang w:val="en-US" w:eastAsia="zh-CN" w:bidi="ar-SA"/>
              </w:rPr>
              <w:t>化学工业出版社</w:t>
            </w:r>
            <w:r>
              <w:rPr>
                <w:rFonts w:hint="eastAsia" w:ascii="Times New Roman" w:hAnsi="Times New Roman" w:eastAsia="宋体" w:cs="Times New Roman"/>
                <w:color w:val="auto"/>
                <w:spacing w:val="0"/>
                <w:kern w:val="0"/>
                <w:position w:val="0"/>
                <w:sz w:val="24"/>
                <w:szCs w:val="24"/>
                <w:vertAlign w:val="baseline"/>
                <w:lang w:val="en-US" w:eastAsia="zh-CN" w:bidi="ar-SA"/>
              </w:rPr>
              <w:t>）</w:t>
            </w:r>
            <w:r>
              <w:rPr>
                <w:rFonts w:hint="default" w:ascii="Times New Roman" w:hAnsi="Times New Roman" w:eastAsia="宋体" w:cs="Times New Roman"/>
                <w:color w:val="auto"/>
                <w:spacing w:val="0"/>
                <w:kern w:val="0"/>
                <w:position w:val="0"/>
                <w:sz w:val="24"/>
                <w:szCs w:val="24"/>
                <w:vertAlign w:val="baseline"/>
                <w:lang w:val="en-US" w:eastAsia="zh-CN" w:bidi="ar-SA"/>
              </w:rPr>
              <w:t>，本评价取0.01；</w:t>
            </w:r>
          </w:p>
          <w:p w14:paraId="12C455DC">
            <w:pPr>
              <w:widowControl w:val="0"/>
              <w:spacing w:line="360" w:lineRule="auto"/>
              <w:ind w:leftChars="0" w:firstLine="1200" w:firstLineChars="500"/>
              <w:jc w:val="both"/>
              <w:rPr>
                <w:rFonts w:hint="default" w:ascii="Times New Roman" w:hAnsi="Times New Roman" w:eastAsia="宋体" w:cs="Times New Roman"/>
                <w:color w:val="auto"/>
                <w:spacing w:val="0"/>
                <w:kern w:val="0"/>
                <w:position w:val="0"/>
                <w:sz w:val="24"/>
                <w:szCs w:val="24"/>
                <w:vertAlign w:val="baseline"/>
                <w:lang w:val="en-US" w:eastAsia="zh-CN" w:bidi="ar-SA"/>
              </w:rPr>
            </w:pPr>
            <w:r>
              <w:rPr>
                <w:rFonts w:hint="default" w:ascii="Times New Roman" w:hAnsi="Times New Roman" w:eastAsia="宋体" w:cs="Times New Roman"/>
                <w:color w:val="auto"/>
                <w:spacing w:val="0"/>
                <w:kern w:val="0"/>
                <w:position w:val="0"/>
                <w:sz w:val="24"/>
                <w:szCs w:val="24"/>
                <w:vertAlign w:val="baseline"/>
                <w:lang w:val="en-US" w:eastAsia="zh-CN" w:bidi="ar-SA"/>
              </w:rPr>
              <w:t>r—声源到靠近围护结构某点处的距离，m。</w:t>
            </w:r>
          </w:p>
          <w:p w14:paraId="75586622">
            <w:pPr>
              <w:widowControl w:val="0"/>
              <w:spacing w:line="360" w:lineRule="auto"/>
              <w:ind w:left="0" w:leftChars="0" w:firstLine="480" w:firstLineChars="200"/>
              <w:jc w:val="both"/>
              <w:rPr>
                <w:rFonts w:hint="default" w:ascii="Times New Roman" w:hAnsi="Times New Roman" w:eastAsia="宋体" w:cs="Times New Roman"/>
                <w:color w:val="auto"/>
                <w:spacing w:val="0"/>
                <w:kern w:val="0"/>
                <w:position w:val="0"/>
                <w:sz w:val="24"/>
                <w:szCs w:val="24"/>
                <w:vertAlign w:val="baseline"/>
                <w:lang w:val="en-US" w:eastAsia="zh-CN" w:bidi="ar-SA"/>
              </w:rPr>
            </w:pPr>
            <w:r>
              <w:rPr>
                <w:rFonts w:hint="default" w:ascii="Times New Roman" w:hAnsi="Times New Roman" w:eastAsia="宋体" w:cs="Times New Roman"/>
                <w:color w:val="auto"/>
                <w:spacing w:val="0"/>
                <w:kern w:val="0"/>
                <w:position w:val="0"/>
                <w:sz w:val="24"/>
                <w:szCs w:val="24"/>
                <w:vertAlign w:val="baseline"/>
                <w:lang w:val="en-US" w:eastAsia="zh-CN" w:bidi="ar-SA"/>
              </w:rPr>
              <w:t>3）总等效声级</w:t>
            </w:r>
          </w:p>
          <w:p w14:paraId="73B9BBE1">
            <w:pPr>
              <w:widowControl w:val="0"/>
              <w:spacing w:line="360" w:lineRule="auto"/>
              <w:ind w:left="0" w:leftChars="0" w:firstLine="480" w:firstLineChars="200"/>
              <w:jc w:val="both"/>
              <w:rPr>
                <w:rFonts w:hint="default" w:ascii="Times New Roman" w:hAnsi="Times New Roman" w:eastAsia="宋体" w:cs="Times New Roman"/>
                <w:color w:val="auto"/>
                <w:spacing w:val="0"/>
                <w:kern w:val="0"/>
                <w:position w:val="0"/>
                <w:sz w:val="24"/>
                <w:szCs w:val="24"/>
                <w:vertAlign w:val="baseline"/>
                <w:lang w:val="en-US" w:eastAsia="zh-CN" w:bidi="ar-SA"/>
              </w:rPr>
            </w:pPr>
            <w:r>
              <w:rPr>
                <w:rFonts w:hint="default" w:ascii="Times New Roman" w:hAnsi="Times New Roman" w:eastAsia="宋体" w:cs="Times New Roman"/>
                <w:color w:val="auto"/>
                <w:spacing w:val="0"/>
                <w:kern w:val="0"/>
                <w:position w:val="0"/>
                <w:sz w:val="24"/>
                <w:szCs w:val="24"/>
                <w:vertAlign w:val="baseline"/>
                <w:lang w:val="en-US" w:eastAsia="zh-CN" w:bidi="ar-SA"/>
              </w:rPr>
              <w:t>根据上式计算出所有室内声源在围护结构处产生的i倍频带叠加声压级：</w:t>
            </w:r>
          </w:p>
          <w:p w14:paraId="6DC8D42A">
            <w:pPr>
              <w:widowControl w:val="0"/>
              <w:spacing w:line="360" w:lineRule="auto"/>
              <w:ind w:left="0" w:leftChars="0" w:firstLine="0" w:firstLineChars="0"/>
              <w:jc w:val="center"/>
              <w:rPr>
                <w:rFonts w:hint="default" w:ascii="Times New Roman" w:hAnsi="Times New Roman" w:eastAsia="宋体" w:cs="Times New Roman"/>
                <w:color w:val="auto"/>
                <w:spacing w:val="0"/>
                <w:kern w:val="0"/>
                <w:position w:val="0"/>
                <w:sz w:val="24"/>
                <w:szCs w:val="24"/>
                <w:vertAlign w:val="baseline"/>
                <w:lang w:val="en-US" w:eastAsia="zh-CN" w:bidi="ar-SA"/>
              </w:rPr>
            </w:pPr>
            <w:r>
              <w:rPr>
                <w:rFonts w:hint="default" w:ascii="Times New Roman" w:hAnsi="Times New Roman" w:eastAsia="宋体" w:cs="Times New Roman"/>
                <w:color w:val="auto"/>
                <w:spacing w:val="0"/>
                <w:kern w:val="0"/>
                <w:position w:val="0"/>
                <w:sz w:val="24"/>
                <w:szCs w:val="24"/>
                <w:lang w:val="en-US" w:eastAsia="zh-CN" w:bidi="ar-SA"/>
              </w:rPr>
              <w:drawing>
                <wp:inline distT="0" distB="0" distL="114300" distR="114300">
                  <wp:extent cx="1518920" cy="481330"/>
                  <wp:effectExtent l="0" t="0" r="5080" b="13970"/>
                  <wp:docPr id="1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pic:cNvPicPr>
                            <a:picLocks noChangeAspect="1"/>
                          </pic:cNvPicPr>
                        </pic:nvPicPr>
                        <pic:blipFill>
                          <a:blip r:embed="rId21"/>
                          <a:stretch>
                            <a:fillRect/>
                          </a:stretch>
                        </pic:blipFill>
                        <pic:spPr>
                          <a:xfrm>
                            <a:off x="0" y="0"/>
                            <a:ext cx="1518920" cy="481330"/>
                          </a:xfrm>
                          <a:prstGeom prst="rect">
                            <a:avLst/>
                          </a:prstGeom>
                          <a:noFill/>
                          <a:ln>
                            <a:noFill/>
                          </a:ln>
                        </pic:spPr>
                      </pic:pic>
                    </a:graphicData>
                  </a:graphic>
                </wp:inline>
              </w:drawing>
            </w:r>
          </w:p>
          <w:p w14:paraId="737C1F93">
            <w:pPr>
              <w:widowControl w:val="0"/>
              <w:spacing w:line="360" w:lineRule="auto"/>
              <w:ind w:left="0" w:leftChars="0" w:firstLine="480" w:firstLineChars="200"/>
              <w:jc w:val="both"/>
              <w:rPr>
                <w:rFonts w:hint="default" w:ascii="Times New Roman" w:hAnsi="Times New Roman" w:eastAsia="宋体" w:cs="Times New Roman"/>
                <w:color w:val="auto"/>
                <w:spacing w:val="0"/>
                <w:kern w:val="0"/>
                <w:position w:val="0"/>
                <w:sz w:val="24"/>
                <w:szCs w:val="24"/>
                <w:vertAlign w:val="baseline"/>
                <w:lang w:val="en-US" w:eastAsia="zh-CN" w:bidi="ar-SA"/>
              </w:rPr>
            </w:pPr>
            <w:r>
              <w:rPr>
                <w:rFonts w:hint="default" w:ascii="Times New Roman" w:hAnsi="Times New Roman" w:eastAsia="宋体" w:cs="Times New Roman"/>
                <w:color w:val="auto"/>
                <w:spacing w:val="0"/>
                <w:kern w:val="0"/>
                <w:position w:val="0"/>
                <w:sz w:val="24"/>
                <w:szCs w:val="24"/>
                <w:vertAlign w:val="baseline"/>
                <w:lang w:val="en-US" w:eastAsia="zh-CN" w:bidi="ar-SA"/>
              </w:rPr>
              <w:t>式中：</w:t>
            </w:r>
            <w:r>
              <w:rPr>
                <w:rFonts w:hint="default" w:ascii="Times New Roman" w:hAnsi="Times New Roman" w:eastAsia="宋体" w:cs="Times New Roman"/>
                <w:i/>
                <w:iCs/>
                <w:color w:val="auto"/>
                <w:spacing w:val="0"/>
                <w:kern w:val="2"/>
                <w:position w:val="0"/>
                <w:sz w:val="24"/>
                <w:szCs w:val="24"/>
                <w:lang w:val="en-US" w:eastAsia="zh-CN" w:bidi="ar-SA"/>
              </w:rPr>
              <w:t>Lpli</w:t>
            </w:r>
            <w:r>
              <w:rPr>
                <w:rFonts w:hint="eastAsia" w:ascii="Times New Roman" w:hAnsi="Times New Roman" w:eastAsia="宋体" w:cs="Times New Roman"/>
                <w:color w:val="auto"/>
                <w:spacing w:val="0"/>
                <w:kern w:val="2"/>
                <w:position w:val="0"/>
                <w:sz w:val="24"/>
                <w:szCs w:val="24"/>
                <w:lang w:val="en-US" w:eastAsia="zh-CN" w:bidi="ar-SA"/>
              </w:rPr>
              <w:t>（</w:t>
            </w:r>
            <w:r>
              <w:rPr>
                <w:rFonts w:hint="default" w:ascii="Times New Roman" w:hAnsi="Times New Roman" w:eastAsia="宋体" w:cs="Times New Roman"/>
                <w:color w:val="auto"/>
                <w:spacing w:val="0"/>
                <w:kern w:val="2"/>
                <w:position w:val="0"/>
                <w:sz w:val="24"/>
                <w:szCs w:val="24"/>
                <w:lang w:val="en-US" w:eastAsia="zh-CN" w:bidi="ar-SA"/>
              </w:rPr>
              <w:t>T</w:t>
            </w:r>
            <w:r>
              <w:rPr>
                <w:rFonts w:hint="eastAsia" w:ascii="Times New Roman" w:hAnsi="Times New Roman" w:eastAsia="宋体" w:cs="Times New Roman"/>
                <w:color w:val="auto"/>
                <w:spacing w:val="0"/>
                <w:kern w:val="2"/>
                <w:position w:val="0"/>
                <w:sz w:val="24"/>
                <w:szCs w:val="24"/>
                <w:lang w:val="en-US" w:eastAsia="zh-CN" w:bidi="ar-SA"/>
              </w:rPr>
              <w:t>）</w:t>
            </w:r>
            <w:r>
              <w:rPr>
                <w:rFonts w:hint="default" w:ascii="Times New Roman" w:hAnsi="Times New Roman" w:eastAsia="宋体" w:cs="Times New Roman"/>
                <w:color w:val="auto"/>
                <w:spacing w:val="0"/>
                <w:kern w:val="2"/>
                <w:position w:val="0"/>
                <w:sz w:val="24"/>
                <w:szCs w:val="24"/>
                <w:lang w:val="en-US" w:eastAsia="zh-CN" w:bidi="ar-SA"/>
              </w:rPr>
              <w:t>—靠近围护结构处室内N个声源i倍频带的叠加声压级，dB</w:t>
            </w:r>
            <w:r>
              <w:rPr>
                <w:rFonts w:hint="default" w:ascii="Times New Roman" w:hAnsi="Times New Roman" w:eastAsia="宋体" w:cs="Times New Roman"/>
                <w:color w:val="auto"/>
                <w:spacing w:val="0"/>
                <w:kern w:val="0"/>
                <w:position w:val="0"/>
                <w:sz w:val="24"/>
                <w:szCs w:val="24"/>
                <w:lang w:val="en-US" w:eastAsia="zh-CN" w:bidi="ar-SA"/>
              </w:rPr>
              <w:t>；</w:t>
            </w:r>
          </w:p>
          <w:p w14:paraId="412D8315">
            <w:pPr>
              <w:widowControl w:val="0"/>
              <w:spacing w:line="360" w:lineRule="auto"/>
              <w:ind w:leftChars="0" w:firstLine="1200" w:firstLineChars="500"/>
              <w:jc w:val="both"/>
              <w:rPr>
                <w:rFonts w:hint="default" w:ascii="Times New Roman" w:hAnsi="Times New Roman" w:eastAsia="宋体" w:cs="Times New Roman"/>
                <w:color w:val="auto"/>
                <w:spacing w:val="0"/>
                <w:kern w:val="0"/>
                <w:position w:val="0"/>
                <w:sz w:val="24"/>
                <w:szCs w:val="24"/>
                <w:vertAlign w:val="baseline"/>
                <w:lang w:val="en-US" w:eastAsia="zh-CN" w:bidi="ar-SA"/>
              </w:rPr>
            </w:pPr>
            <w:r>
              <w:rPr>
                <w:rFonts w:hint="default" w:ascii="Times New Roman" w:hAnsi="Times New Roman" w:eastAsia="宋体" w:cs="Times New Roman"/>
                <w:i/>
                <w:iCs/>
                <w:color w:val="auto"/>
                <w:spacing w:val="0"/>
                <w:kern w:val="2"/>
                <w:position w:val="0"/>
                <w:sz w:val="24"/>
                <w:szCs w:val="24"/>
                <w:lang w:val="en-US" w:eastAsia="zh-CN" w:bidi="ar-SA"/>
              </w:rPr>
              <w:t>Lpij</w:t>
            </w:r>
            <w:r>
              <w:rPr>
                <w:rFonts w:hint="default" w:ascii="Times New Roman" w:hAnsi="Times New Roman" w:eastAsia="宋体" w:cs="Times New Roman"/>
                <w:color w:val="auto"/>
                <w:spacing w:val="0"/>
                <w:kern w:val="2"/>
                <w:position w:val="0"/>
                <w:sz w:val="24"/>
                <w:szCs w:val="24"/>
                <w:lang w:val="en-US" w:eastAsia="zh-CN" w:bidi="ar-SA"/>
              </w:rPr>
              <w:t>—室内j声源i倍频带的声压级，dB；</w:t>
            </w:r>
          </w:p>
          <w:p w14:paraId="375F7B20">
            <w:pPr>
              <w:widowControl w:val="0"/>
              <w:spacing w:line="360" w:lineRule="auto"/>
              <w:ind w:left="899" w:leftChars="428" w:firstLine="240" w:firstLineChars="100"/>
              <w:jc w:val="both"/>
              <w:rPr>
                <w:rFonts w:hint="default" w:ascii="Times New Roman" w:hAnsi="Times New Roman" w:eastAsia="宋体" w:cs="Times New Roman"/>
                <w:color w:val="auto"/>
                <w:spacing w:val="0"/>
                <w:kern w:val="0"/>
                <w:position w:val="0"/>
                <w:sz w:val="24"/>
                <w:szCs w:val="24"/>
                <w:vertAlign w:val="baseline"/>
                <w:lang w:val="en-US" w:eastAsia="zh-CN" w:bidi="ar-SA"/>
              </w:rPr>
            </w:pPr>
            <w:r>
              <w:rPr>
                <w:rFonts w:hint="default" w:ascii="Times New Roman" w:hAnsi="Times New Roman" w:eastAsia="宋体" w:cs="Times New Roman"/>
                <w:color w:val="auto"/>
                <w:spacing w:val="0"/>
                <w:kern w:val="0"/>
                <w:position w:val="0"/>
                <w:sz w:val="24"/>
                <w:szCs w:val="24"/>
                <w:lang w:val="en-US" w:eastAsia="zh-CN" w:bidi="ar-SA"/>
              </w:rPr>
              <w:t>N—室内声源总数。</w:t>
            </w:r>
          </w:p>
          <w:p w14:paraId="7E41E6FA">
            <w:pPr>
              <w:widowControl w:val="0"/>
              <w:spacing w:line="360" w:lineRule="auto"/>
              <w:ind w:leftChars="0" w:firstLine="480" w:firstLineChars="200"/>
              <w:jc w:val="both"/>
              <w:rPr>
                <w:rFonts w:hint="default" w:ascii="Times New Roman" w:hAnsi="Times New Roman" w:eastAsia="宋体" w:cs="Times New Roman"/>
                <w:color w:val="auto"/>
                <w:spacing w:val="0"/>
                <w:kern w:val="2"/>
                <w:position w:val="0"/>
                <w:sz w:val="24"/>
                <w:szCs w:val="24"/>
                <w:lang w:val="en-US" w:eastAsia="zh-CN" w:bidi="ar-SA"/>
              </w:rPr>
            </w:pPr>
            <w:r>
              <w:rPr>
                <w:rFonts w:hint="default" w:ascii="Times New Roman" w:hAnsi="Times New Roman" w:eastAsia="宋体" w:cs="Times New Roman"/>
                <w:color w:val="auto"/>
                <w:spacing w:val="0"/>
                <w:kern w:val="0"/>
                <w:position w:val="0"/>
                <w:sz w:val="24"/>
                <w:szCs w:val="24"/>
                <w:lang w:val="en-US" w:eastAsia="zh-CN" w:bidi="ar-SA"/>
              </w:rPr>
              <w:t>（4）</w:t>
            </w:r>
            <w:r>
              <w:rPr>
                <w:rFonts w:hint="default" w:ascii="Times New Roman" w:hAnsi="Times New Roman" w:eastAsia="宋体" w:cs="Times New Roman"/>
                <w:color w:val="auto"/>
                <w:spacing w:val="0"/>
                <w:kern w:val="2"/>
                <w:position w:val="0"/>
                <w:sz w:val="24"/>
                <w:szCs w:val="24"/>
                <w:lang w:val="en-US" w:eastAsia="zh-CN" w:bidi="ar-SA"/>
              </w:rPr>
              <w:t>预测结果及达标性分析</w:t>
            </w:r>
          </w:p>
          <w:p w14:paraId="38E4FA68">
            <w:pPr>
              <w:adjustRightInd w:val="0"/>
              <w:snapToGrid w:val="0"/>
              <w:spacing w:line="360" w:lineRule="auto"/>
              <w:ind w:firstLine="480" w:firstLineChars="200"/>
              <w:jc w:val="left"/>
              <w:rPr>
                <w:rFonts w:hint="eastAsia"/>
                <w:color w:val="auto"/>
                <w:szCs w:val="21"/>
              </w:rPr>
            </w:pPr>
            <w:r>
              <w:rPr>
                <w:rFonts w:hint="default" w:ascii="Times New Roman" w:hAnsi="Times New Roman" w:eastAsia="宋体" w:cs="Times New Roman"/>
                <w:color w:val="auto"/>
                <w:sz w:val="24"/>
                <w:szCs w:val="24"/>
              </w:rPr>
              <w:t>预测结果见下表。</w:t>
            </w:r>
          </w:p>
          <w:p w14:paraId="5458C3E5">
            <w:pPr>
              <w:adjustRightInd w:val="0"/>
              <w:snapToGrid w:val="0"/>
              <w:jc w:val="center"/>
              <w:rPr>
                <w:rFonts w:hint="eastAsia" w:ascii="Times New Roman" w:hAnsi="Times New Roman" w:eastAsia="宋体" w:cs="Times New Roman"/>
                <w:b/>
                <w:bCs/>
                <w:color w:val="auto"/>
                <w:szCs w:val="21"/>
              </w:rPr>
            </w:pPr>
            <w:r>
              <w:rPr>
                <w:rFonts w:hint="eastAsia" w:ascii="Times New Roman" w:hAnsi="Times New Roman" w:eastAsia="宋体" w:cs="Times New Roman"/>
                <w:b/>
                <w:bCs/>
                <w:color w:val="auto"/>
                <w:szCs w:val="21"/>
              </w:rPr>
              <w:t>表</w:t>
            </w:r>
            <w:r>
              <w:rPr>
                <w:rFonts w:hint="eastAsia" w:ascii="Times New Roman" w:hAnsi="Times New Roman" w:eastAsia="宋体" w:cs="Times New Roman"/>
                <w:b/>
                <w:bCs/>
                <w:color w:val="auto"/>
                <w:szCs w:val="21"/>
                <w:lang w:val="en-US" w:eastAsia="zh-CN"/>
              </w:rPr>
              <w:t>4-5</w:t>
            </w:r>
            <w:r>
              <w:rPr>
                <w:rFonts w:hint="eastAsia" w:ascii="Times New Roman" w:hAnsi="Times New Roman" w:eastAsia="宋体" w:cs="Times New Roman"/>
                <w:b/>
                <w:bCs/>
                <w:color w:val="auto"/>
                <w:szCs w:val="21"/>
              </w:rPr>
              <w:t xml:space="preserve">  项目主要噪声源产生及治理情况</w:t>
            </w:r>
          </w:p>
          <w:tbl>
            <w:tblPr>
              <w:tblStyle w:val="23"/>
              <w:tblW w:w="8459" w:type="dxa"/>
              <w:jc w:val="center"/>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934"/>
              <w:gridCol w:w="898"/>
              <w:gridCol w:w="575"/>
              <w:gridCol w:w="880"/>
              <w:gridCol w:w="490"/>
              <w:gridCol w:w="864"/>
              <w:gridCol w:w="474"/>
              <w:gridCol w:w="931"/>
              <w:gridCol w:w="507"/>
              <w:gridCol w:w="906"/>
            </w:tblGrid>
            <w:tr w14:paraId="4078017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9" w:hRule="atLeast"/>
                <w:jc w:val="center"/>
              </w:trPr>
              <w:tc>
                <w:tcPr>
                  <w:tcW w:w="1934" w:type="dxa"/>
                  <w:vMerge w:val="restart"/>
                  <w:tcBorders>
                    <w:tl2br w:val="nil"/>
                    <w:tr2bl w:val="nil"/>
                  </w:tcBorders>
                  <w:shd w:val="clear" w:color="auto" w:fill="auto"/>
                  <w:vAlign w:val="center"/>
                </w:tcPr>
                <w:p w14:paraId="02DBE2C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设备</w:t>
                  </w:r>
                </w:p>
              </w:tc>
              <w:tc>
                <w:tcPr>
                  <w:tcW w:w="898" w:type="dxa"/>
                  <w:vMerge w:val="restart"/>
                  <w:tcBorders>
                    <w:tl2br w:val="nil"/>
                    <w:tr2bl w:val="nil"/>
                  </w:tcBorders>
                  <w:shd w:val="clear" w:color="auto" w:fill="auto"/>
                  <w:vAlign w:val="center"/>
                </w:tcPr>
                <w:p w14:paraId="2615562F">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降噪后</w:t>
                  </w:r>
                </w:p>
                <w:p w14:paraId="2C792AF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源强</w:t>
                  </w:r>
                </w:p>
              </w:tc>
              <w:tc>
                <w:tcPr>
                  <w:tcW w:w="5627" w:type="dxa"/>
                  <w:gridSpan w:val="8"/>
                  <w:tcBorders>
                    <w:tl2br w:val="nil"/>
                    <w:tr2bl w:val="nil"/>
                  </w:tcBorders>
                  <w:shd w:val="clear" w:color="auto" w:fill="auto"/>
                  <w:vAlign w:val="center"/>
                </w:tcPr>
                <w:p w14:paraId="212690E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距离各厂界的距离（</w:t>
                  </w:r>
                  <w:r>
                    <w:rPr>
                      <w:rStyle w:val="80"/>
                      <w:rFonts w:hint="default" w:ascii="Times New Roman" w:hAnsi="Times New Roman" w:eastAsia="宋体" w:cs="Times New Roman"/>
                      <w:b/>
                      <w:bCs/>
                      <w:color w:val="auto"/>
                      <w:sz w:val="21"/>
                      <w:szCs w:val="21"/>
                      <w:lang w:val="en-US" w:eastAsia="zh-CN" w:bidi="ar"/>
                    </w:rPr>
                    <w:t>m</w:t>
                  </w:r>
                  <w:r>
                    <w:rPr>
                      <w:rStyle w:val="79"/>
                      <w:rFonts w:hint="default" w:ascii="Times New Roman" w:hAnsi="Times New Roman" w:cs="Times New Roman"/>
                      <w:b/>
                      <w:bCs/>
                      <w:color w:val="auto"/>
                      <w:sz w:val="21"/>
                      <w:szCs w:val="21"/>
                      <w:lang w:val="en-US" w:eastAsia="zh-CN" w:bidi="ar"/>
                    </w:rPr>
                    <w:t>）及贡献值</w:t>
                  </w:r>
                  <w:r>
                    <w:rPr>
                      <w:rStyle w:val="80"/>
                      <w:rFonts w:hint="default" w:ascii="Times New Roman" w:hAnsi="Times New Roman" w:eastAsia="宋体" w:cs="Times New Roman"/>
                      <w:b/>
                      <w:bCs/>
                      <w:color w:val="auto"/>
                      <w:sz w:val="21"/>
                      <w:szCs w:val="21"/>
                      <w:lang w:val="en-US" w:eastAsia="zh-CN" w:bidi="ar"/>
                    </w:rPr>
                    <w:t>dB</w:t>
                  </w:r>
                  <w:r>
                    <w:rPr>
                      <w:rStyle w:val="79"/>
                      <w:rFonts w:hint="default" w:ascii="Times New Roman" w:hAnsi="Times New Roman" w:cs="Times New Roman"/>
                      <w:b/>
                      <w:bCs/>
                      <w:color w:val="auto"/>
                      <w:sz w:val="21"/>
                      <w:szCs w:val="21"/>
                      <w:lang w:val="en-US" w:eastAsia="zh-CN" w:bidi="ar"/>
                    </w:rPr>
                    <w:t>（</w:t>
                  </w:r>
                  <w:r>
                    <w:rPr>
                      <w:rStyle w:val="80"/>
                      <w:rFonts w:hint="default" w:ascii="Times New Roman" w:hAnsi="Times New Roman" w:eastAsia="宋体" w:cs="Times New Roman"/>
                      <w:b/>
                      <w:bCs/>
                      <w:color w:val="auto"/>
                      <w:sz w:val="21"/>
                      <w:szCs w:val="21"/>
                      <w:lang w:val="en-US" w:eastAsia="zh-CN" w:bidi="ar"/>
                    </w:rPr>
                    <w:t>A</w:t>
                  </w:r>
                  <w:r>
                    <w:rPr>
                      <w:rStyle w:val="79"/>
                      <w:rFonts w:hint="default" w:ascii="Times New Roman" w:hAnsi="Times New Roman" w:cs="Times New Roman"/>
                      <w:b/>
                      <w:bCs/>
                      <w:color w:val="auto"/>
                      <w:sz w:val="21"/>
                      <w:szCs w:val="21"/>
                      <w:lang w:val="en-US" w:eastAsia="zh-CN" w:bidi="ar"/>
                    </w:rPr>
                    <w:t>）</w:t>
                  </w:r>
                </w:p>
              </w:tc>
            </w:tr>
            <w:tr w14:paraId="5FBAC03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vMerge w:val="continue"/>
                  <w:tcBorders>
                    <w:tl2br w:val="nil"/>
                    <w:tr2bl w:val="nil"/>
                  </w:tcBorders>
                  <w:shd w:val="clear" w:color="auto" w:fill="auto"/>
                  <w:vAlign w:val="center"/>
                </w:tcPr>
                <w:p w14:paraId="22FDBCE2">
                  <w:pPr>
                    <w:jc w:val="center"/>
                    <w:rPr>
                      <w:rFonts w:hint="default" w:ascii="Times New Roman" w:hAnsi="Times New Roman" w:eastAsia="宋体" w:cs="Times New Roman"/>
                      <w:b/>
                      <w:bCs/>
                      <w:i w:val="0"/>
                      <w:iCs w:val="0"/>
                      <w:color w:val="auto"/>
                      <w:sz w:val="21"/>
                      <w:szCs w:val="21"/>
                      <w:u w:val="none"/>
                    </w:rPr>
                  </w:pPr>
                </w:p>
              </w:tc>
              <w:tc>
                <w:tcPr>
                  <w:tcW w:w="898" w:type="dxa"/>
                  <w:vMerge w:val="continue"/>
                  <w:tcBorders>
                    <w:tl2br w:val="nil"/>
                    <w:tr2bl w:val="nil"/>
                  </w:tcBorders>
                  <w:shd w:val="clear" w:color="auto" w:fill="auto"/>
                  <w:vAlign w:val="center"/>
                </w:tcPr>
                <w:p w14:paraId="1520A4B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p>
              </w:tc>
              <w:tc>
                <w:tcPr>
                  <w:tcW w:w="575" w:type="dxa"/>
                  <w:tcBorders>
                    <w:tl2br w:val="nil"/>
                    <w:tr2bl w:val="nil"/>
                  </w:tcBorders>
                  <w:shd w:val="clear" w:color="auto" w:fill="auto"/>
                  <w:vAlign w:val="center"/>
                </w:tcPr>
                <w:p w14:paraId="3EE50E2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东</w:t>
                  </w:r>
                </w:p>
              </w:tc>
              <w:tc>
                <w:tcPr>
                  <w:tcW w:w="880" w:type="dxa"/>
                  <w:tcBorders>
                    <w:tl2br w:val="nil"/>
                    <w:tr2bl w:val="nil"/>
                  </w:tcBorders>
                  <w:shd w:val="clear" w:color="auto" w:fill="auto"/>
                  <w:vAlign w:val="center"/>
                </w:tcPr>
                <w:p w14:paraId="3A022F6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贡献值</w:t>
                  </w:r>
                </w:p>
              </w:tc>
              <w:tc>
                <w:tcPr>
                  <w:tcW w:w="490" w:type="dxa"/>
                  <w:tcBorders>
                    <w:tl2br w:val="nil"/>
                    <w:tr2bl w:val="nil"/>
                  </w:tcBorders>
                  <w:shd w:val="clear" w:color="auto" w:fill="auto"/>
                  <w:vAlign w:val="center"/>
                </w:tcPr>
                <w:p w14:paraId="4BB6322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南</w:t>
                  </w:r>
                </w:p>
              </w:tc>
              <w:tc>
                <w:tcPr>
                  <w:tcW w:w="864" w:type="dxa"/>
                  <w:tcBorders>
                    <w:tl2br w:val="nil"/>
                    <w:tr2bl w:val="nil"/>
                  </w:tcBorders>
                  <w:shd w:val="clear" w:color="auto" w:fill="auto"/>
                  <w:vAlign w:val="center"/>
                </w:tcPr>
                <w:p w14:paraId="27A2F7EB">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贡献值</w:t>
                  </w:r>
                </w:p>
              </w:tc>
              <w:tc>
                <w:tcPr>
                  <w:tcW w:w="474" w:type="dxa"/>
                  <w:tcBorders>
                    <w:tl2br w:val="nil"/>
                    <w:tr2bl w:val="nil"/>
                  </w:tcBorders>
                  <w:shd w:val="clear" w:color="auto" w:fill="auto"/>
                  <w:vAlign w:val="center"/>
                </w:tcPr>
                <w:p w14:paraId="31BB8F8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西</w:t>
                  </w:r>
                </w:p>
              </w:tc>
              <w:tc>
                <w:tcPr>
                  <w:tcW w:w="931" w:type="dxa"/>
                  <w:tcBorders>
                    <w:tl2br w:val="nil"/>
                    <w:tr2bl w:val="nil"/>
                  </w:tcBorders>
                  <w:shd w:val="clear" w:color="auto" w:fill="auto"/>
                  <w:vAlign w:val="center"/>
                </w:tcPr>
                <w:p w14:paraId="19E1D6D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贡献值</w:t>
                  </w:r>
                </w:p>
              </w:tc>
              <w:tc>
                <w:tcPr>
                  <w:tcW w:w="507" w:type="dxa"/>
                  <w:tcBorders>
                    <w:tl2br w:val="nil"/>
                    <w:tr2bl w:val="nil"/>
                  </w:tcBorders>
                  <w:shd w:val="clear" w:color="auto" w:fill="auto"/>
                  <w:vAlign w:val="center"/>
                </w:tcPr>
                <w:p w14:paraId="3FE6F7C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北</w:t>
                  </w:r>
                </w:p>
              </w:tc>
              <w:tc>
                <w:tcPr>
                  <w:tcW w:w="906" w:type="dxa"/>
                  <w:tcBorders>
                    <w:tl2br w:val="nil"/>
                    <w:tr2bl w:val="nil"/>
                  </w:tcBorders>
                  <w:shd w:val="clear" w:color="auto" w:fill="auto"/>
                  <w:vAlign w:val="center"/>
                </w:tcPr>
                <w:p w14:paraId="5155808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贡献值</w:t>
                  </w:r>
                </w:p>
              </w:tc>
            </w:tr>
            <w:tr w14:paraId="44F7995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2D5187F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拉丝机（热）1</w:t>
                  </w:r>
                </w:p>
              </w:tc>
              <w:tc>
                <w:tcPr>
                  <w:tcW w:w="898" w:type="dxa"/>
                  <w:tcBorders>
                    <w:tl2br w:val="nil"/>
                    <w:tr2bl w:val="nil"/>
                  </w:tcBorders>
                  <w:shd w:val="clear" w:color="auto" w:fill="auto"/>
                  <w:vAlign w:val="center"/>
                </w:tcPr>
                <w:p w14:paraId="2D8771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575" w:type="dxa"/>
                  <w:tcBorders>
                    <w:tl2br w:val="nil"/>
                    <w:tr2bl w:val="nil"/>
                  </w:tcBorders>
                  <w:shd w:val="clear" w:color="auto" w:fill="auto"/>
                  <w:vAlign w:val="center"/>
                </w:tcPr>
                <w:p w14:paraId="5D4470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46 </w:t>
                  </w:r>
                </w:p>
              </w:tc>
              <w:tc>
                <w:tcPr>
                  <w:tcW w:w="880" w:type="dxa"/>
                  <w:tcBorders>
                    <w:tl2br w:val="nil"/>
                    <w:tr2bl w:val="nil"/>
                  </w:tcBorders>
                  <w:shd w:val="clear" w:color="auto" w:fill="auto"/>
                  <w:vAlign w:val="center"/>
                </w:tcPr>
                <w:p w14:paraId="115EF5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490" w:type="dxa"/>
                  <w:tcBorders>
                    <w:tl2br w:val="nil"/>
                    <w:tr2bl w:val="nil"/>
                  </w:tcBorders>
                  <w:shd w:val="clear" w:color="auto" w:fill="auto"/>
                  <w:vAlign w:val="center"/>
                </w:tcPr>
                <w:p w14:paraId="4E7DB1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864" w:type="dxa"/>
                  <w:tcBorders>
                    <w:tl2br w:val="nil"/>
                    <w:tr2bl w:val="nil"/>
                  </w:tcBorders>
                  <w:shd w:val="clear" w:color="auto" w:fill="auto"/>
                  <w:vAlign w:val="center"/>
                </w:tcPr>
                <w:p w14:paraId="3DC9E3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474" w:type="dxa"/>
                  <w:tcBorders>
                    <w:tl2br w:val="nil"/>
                    <w:tr2bl w:val="nil"/>
                  </w:tcBorders>
                  <w:shd w:val="clear" w:color="auto" w:fill="auto"/>
                  <w:vAlign w:val="center"/>
                </w:tcPr>
                <w:p w14:paraId="6389B4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931" w:type="dxa"/>
                  <w:tcBorders>
                    <w:tl2br w:val="nil"/>
                    <w:tr2bl w:val="nil"/>
                  </w:tcBorders>
                  <w:shd w:val="clear" w:color="auto" w:fill="auto"/>
                  <w:vAlign w:val="center"/>
                </w:tcPr>
                <w:p w14:paraId="28DE4F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 </w:t>
                  </w:r>
                </w:p>
              </w:tc>
              <w:tc>
                <w:tcPr>
                  <w:tcW w:w="507" w:type="dxa"/>
                  <w:tcBorders>
                    <w:tl2br w:val="nil"/>
                    <w:tr2bl w:val="nil"/>
                  </w:tcBorders>
                  <w:shd w:val="clear" w:color="auto" w:fill="auto"/>
                  <w:vAlign w:val="center"/>
                </w:tcPr>
                <w:p w14:paraId="06AC2F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6 </w:t>
                  </w:r>
                </w:p>
              </w:tc>
              <w:tc>
                <w:tcPr>
                  <w:tcW w:w="906" w:type="dxa"/>
                  <w:tcBorders>
                    <w:tl2br w:val="nil"/>
                    <w:tr2bl w:val="nil"/>
                  </w:tcBorders>
                  <w:shd w:val="clear" w:color="auto" w:fill="auto"/>
                  <w:vAlign w:val="center"/>
                </w:tcPr>
                <w:p w14:paraId="292053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37 </w:t>
                  </w:r>
                </w:p>
              </w:tc>
            </w:tr>
            <w:tr w14:paraId="2E71639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20DA43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拉丝机（热）2</w:t>
                  </w:r>
                </w:p>
              </w:tc>
              <w:tc>
                <w:tcPr>
                  <w:tcW w:w="898" w:type="dxa"/>
                  <w:tcBorders>
                    <w:tl2br w:val="nil"/>
                    <w:tr2bl w:val="nil"/>
                  </w:tcBorders>
                  <w:shd w:val="clear" w:color="auto" w:fill="auto"/>
                  <w:vAlign w:val="center"/>
                </w:tcPr>
                <w:p w14:paraId="5DFB4D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575" w:type="dxa"/>
                  <w:tcBorders>
                    <w:tl2br w:val="nil"/>
                    <w:tr2bl w:val="nil"/>
                  </w:tcBorders>
                  <w:shd w:val="clear" w:color="auto" w:fill="auto"/>
                  <w:vAlign w:val="center"/>
                </w:tcPr>
                <w:p w14:paraId="07E3B9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44 </w:t>
                  </w:r>
                </w:p>
              </w:tc>
              <w:tc>
                <w:tcPr>
                  <w:tcW w:w="880" w:type="dxa"/>
                  <w:tcBorders>
                    <w:tl2br w:val="nil"/>
                    <w:tr2bl w:val="nil"/>
                  </w:tcBorders>
                  <w:shd w:val="clear" w:color="auto" w:fill="auto"/>
                  <w:vAlign w:val="center"/>
                </w:tcPr>
                <w:p w14:paraId="5C4A07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 </w:t>
                  </w:r>
                </w:p>
              </w:tc>
              <w:tc>
                <w:tcPr>
                  <w:tcW w:w="490" w:type="dxa"/>
                  <w:tcBorders>
                    <w:tl2br w:val="nil"/>
                    <w:tr2bl w:val="nil"/>
                  </w:tcBorders>
                  <w:shd w:val="clear" w:color="auto" w:fill="auto"/>
                  <w:vAlign w:val="center"/>
                </w:tcPr>
                <w:p w14:paraId="1881E7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864" w:type="dxa"/>
                  <w:tcBorders>
                    <w:tl2br w:val="nil"/>
                    <w:tr2bl w:val="nil"/>
                  </w:tcBorders>
                  <w:shd w:val="clear" w:color="auto" w:fill="auto"/>
                  <w:vAlign w:val="center"/>
                </w:tcPr>
                <w:p w14:paraId="7BD611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474" w:type="dxa"/>
                  <w:tcBorders>
                    <w:tl2br w:val="nil"/>
                    <w:tr2bl w:val="nil"/>
                  </w:tcBorders>
                  <w:shd w:val="clear" w:color="auto" w:fill="auto"/>
                  <w:vAlign w:val="center"/>
                </w:tcPr>
                <w:p w14:paraId="5DC837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33 </w:t>
                  </w:r>
                </w:p>
              </w:tc>
              <w:tc>
                <w:tcPr>
                  <w:tcW w:w="931" w:type="dxa"/>
                  <w:tcBorders>
                    <w:tl2br w:val="nil"/>
                    <w:tr2bl w:val="nil"/>
                  </w:tcBorders>
                  <w:shd w:val="clear" w:color="auto" w:fill="auto"/>
                  <w:vAlign w:val="center"/>
                </w:tcPr>
                <w:p w14:paraId="506B1B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507" w:type="dxa"/>
                  <w:tcBorders>
                    <w:tl2br w:val="nil"/>
                    <w:tr2bl w:val="nil"/>
                  </w:tcBorders>
                  <w:shd w:val="clear" w:color="auto" w:fill="auto"/>
                  <w:vAlign w:val="center"/>
                </w:tcPr>
                <w:p w14:paraId="04ABE4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7 </w:t>
                  </w:r>
                </w:p>
              </w:tc>
              <w:tc>
                <w:tcPr>
                  <w:tcW w:w="906" w:type="dxa"/>
                  <w:tcBorders>
                    <w:tl2br w:val="nil"/>
                    <w:tr2bl w:val="nil"/>
                  </w:tcBorders>
                  <w:shd w:val="clear" w:color="auto" w:fill="auto"/>
                  <w:vAlign w:val="center"/>
                </w:tcPr>
                <w:p w14:paraId="5DA071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r>
            <w:tr w14:paraId="415EAF2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21EAFC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拉丝机（热）3</w:t>
                  </w:r>
                </w:p>
              </w:tc>
              <w:tc>
                <w:tcPr>
                  <w:tcW w:w="898" w:type="dxa"/>
                  <w:tcBorders>
                    <w:tl2br w:val="nil"/>
                    <w:tr2bl w:val="nil"/>
                  </w:tcBorders>
                  <w:shd w:val="clear" w:color="auto" w:fill="auto"/>
                  <w:vAlign w:val="center"/>
                </w:tcPr>
                <w:p w14:paraId="04905F7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575" w:type="dxa"/>
                  <w:tcBorders>
                    <w:tl2br w:val="nil"/>
                    <w:tr2bl w:val="nil"/>
                  </w:tcBorders>
                  <w:shd w:val="clear" w:color="auto" w:fill="auto"/>
                  <w:vAlign w:val="center"/>
                </w:tcPr>
                <w:p w14:paraId="7A5DD9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43 </w:t>
                  </w:r>
                </w:p>
              </w:tc>
              <w:tc>
                <w:tcPr>
                  <w:tcW w:w="880" w:type="dxa"/>
                  <w:tcBorders>
                    <w:tl2br w:val="nil"/>
                    <w:tr2bl w:val="nil"/>
                  </w:tcBorders>
                  <w:shd w:val="clear" w:color="auto" w:fill="auto"/>
                  <w:vAlign w:val="center"/>
                </w:tcPr>
                <w:p w14:paraId="66A6EB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 </w:t>
                  </w:r>
                </w:p>
              </w:tc>
              <w:tc>
                <w:tcPr>
                  <w:tcW w:w="490" w:type="dxa"/>
                  <w:tcBorders>
                    <w:tl2br w:val="nil"/>
                    <w:tr2bl w:val="nil"/>
                  </w:tcBorders>
                  <w:shd w:val="clear" w:color="auto" w:fill="auto"/>
                  <w:vAlign w:val="center"/>
                </w:tcPr>
                <w:p w14:paraId="4AAA14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864" w:type="dxa"/>
                  <w:tcBorders>
                    <w:tl2br w:val="nil"/>
                    <w:tr2bl w:val="nil"/>
                  </w:tcBorders>
                  <w:shd w:val="clear" w:color="auto" w:fill="auto"/>
                  <w:vAlign w:val="center"/>
                </w:tcPr>
                <w:p w14:paraId="782199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474" w:type="dxa"/>
                  <w:tcBorders>
                    <w:tl2br w:val="nil"/>
                    <w:tr2bl w:val="nil"/>
                  </w:tcBorders>
                  <w:shd w:val="clear" w:color="auto" w:fill="auto"/>
                  <w:vAlign w:val="center"/>
                </w:tcPr>
                <w:p w14:paraId="34697D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34 </w:t>
                  </w:r>
                </w:p>
              </w:tc>
              <w:tc>
                <w:tcPr>
                  <w:tcW w:w="931" w:type="dxa"/>
                  <w:tcBorders>
                    <w:tl2br w:val="nil"/>
                    <w:tr2bl w:val="nil"/>
                  </w:tcBorders>
                  <w:shd w:val="clear" w:color="auto" w:fill="auto"/>
                  <w:vAlign w:val="center"/>
                </w:tcPr>
                <w:p w14:paraId="06E0D5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507" w:type="dxa"/>
                  <w:tcBorders>
                    <w:tl2br w:val="nil"/>
                    <w:tr2bl w:val="nil"/>
                  </w:tcBorders>
                  <w:shd w:val="clear" w:color="auto" w:fill="auto"/>
                  <w:vAlign w:val="center"/>
                </w:tcPr>
                <w:p w14:paraId="1A4636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 </w:t>
                  </w:r>
                </w:p>
              </w:tc>
              <w:tc>
                <w:tcPr>
                  <w:tcW w:w="906" w:type="dxa"/>
                  <w:tcBorders>
                    <w:tl2br w:val="nil"/>
                    <w:tr2bl w:val="nil"/>
                  </w:tcBorders>
                  <w:shd w:val="clear" w:color="auto" w:fill="auto"/>
                  <w:vAlign w:val="center"/>
                </w:tcPr>
                <w:p w14:paraId="7B326C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r>
            <w:tr w14:paraId="30D8F645">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2D40CF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拉丝机（热）4</w:t>
                  </w:r>
                </w:p>
              </w:tc>
              <w:tc>
                <w:tcPr>
                  <w:tcW w:w="898" w:type="dxa"/>
                  <w:tcBorders>
                    <w:tl2br w:val="nil"/>
                    <w:tr2bl w:val="nil"/>
                  </w:tcBorders>
                  <w:shd w:val="clear" w:color="auto" w:fill="auto"/>
                  <w:vAlign w:val="center"/>
                </w:tcPr>
                <w:p w14:paraId="4EEA58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575" w:type="dxa"/>
                  <w:tcBorders>
                    <w:tl2br w:val="nil"/>
                    <w:tr2bl w:val="nil"/>
                  </w:tcBorders>
                  <w:shd w:val="clear" w:color="auto" w:fill="auto"/>
                  <w:vAlign w:val="center"/>
                </w:tcPr>
                <w:p w14:paraId="41D758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880" w:type="dxa"/>
                  <w:tcBorders>
                    <w:tl2br w:val="nil"/>
                    <w:tr2bl w:val="nil"/>
                  </w:tcBorders>
                  <w:shd w:val="clear" w:color="auto" w:fill="auto"/>
                  <w:vAlign w:val="center"/>
                </w:tcPr>
                <w:p w14:paraId="0EB9EE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490" w:type="dxa"/>
                  <w:tcBorders>
                    <w:tl2br w:val="nil"/>
                    <w:tr2bl w:val="nil"/>
                  </w:tcBorders>
                  <w:shd w:val="clear" w:color="auto" w:fill="auto"/>
                  <w:vAlign w:val="center"/>
                </w:tcPr>
                <w:p w14:paraId="4B7AF0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864" w:type="dxa"/>
                  <w:tcBorders>
                    <w:tl2br w:val="nil"/>
                    <w:tr2bl w:val="nil"/>
                  </w:tcBorders>
                  <w:shd w:val="clear" w:color="auto" w:fill="auto"/>
                  <w:vAlign w:val="center"/>
                </w:tcPr>
                <w:p w14:paraId="205D10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474" w:type="dxa"/>
                  <w:tcBorders>
                    <w:tl2br w:val="nil"/>
                    <w:tr2bl w:val="nil"/>
                  </w:tcBorders>
                  <w:shd w:val="clear" w:color="auto" w:fill="auto"/>
                  <w:vAlign w:val="center"/>
                </w:tcPr>
                <w:p w14:paraId="4EF3AF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931" w:type="dxa"/>
                  <w:tcBorders>
                    <w:tl2br w:val="nil"/>
                    <w:tr2bl w:val="nil"/>
                  </w:tcBorders>
                  <w:shd w:val="clear" w:color="auto" w:fill="auto"/>
                  <w:vAlign w:val="center"/>
                </w:tcPr>
                <w:p w14:paraId="393DBC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507" w:type="dxa"/>
                  <w:tcBorders>
                    <w:tl2br w:val="nil"/>
                    <w:tr2bl w:val="nil"/>
                  </w:tcBorders>
                  <w:shd w:val="clear" w:color="auto" w:fill="auto"/>
                  <w:vAlign w:val="center"/>
                </w:tcPr>
                <w:p w14:paraId="3F806B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9 </w:t>
                  </w:r>
                </w:p>
              </w:tc>
              <w:tc>
                <w:tcPr>
                  <w:tcW w:w="906" w:type="dxa"/>
                  <w:tcBorders>
                    <w:tl2br w:val="nil"/>
                    <w:tr2bl w:val="nil"/>
                  </w:tcBorders>
                  <w:shd w:val="clear" w:color="auto" w:fill="auto"/>
                  <w:vAlign w:val="center"/>
                </w:tcPr>
                <w:p w14:paraId="474E07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r>
            <w:tr w14:paraId="0FE4D4D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3BE953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拉丝机（热）5</w:t>
                  </w:r>
                </w:p>
              </w:tc>
              <w:tc>
                <w:tcPr>
                  <w:tcW w:w="898" w:type="dxa"/>
                  <w:tcBorders>
                    <w:tl2br w:val="nil"/>
                    <w:tr2bl w:val="nil"/>
                  </w:tcBorders>
                  <w:shd w:val="clear" w:color="auto" w:fill="auto"/>
                  <w:vAlign w:val="center"/>
                </w:tcPr>
                <w:p w14:paraId="2247F6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575" w:type="dxa"/>
                  <w:tcBorders>
                    <w:tl2br w:val="nil"/>
                    <w:tr2bl w:val="nil"/>
                  </w:tcBorders>
                  <w:shd w:val="clear" w:color="auto" w:fill="auto"/>
                  <w:vAlign w:val="center"/>
                </w:tcPr>
                <w:p w14:paraId="18E6CF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880" w:type="dxa"/>
                  <w:tcBorders>
                    <w:tl2br w:val="nil"/>
                    <w:tr2bl w:val="nil"/>
                  </w:tcBorders>
                  <w:shd w:val="clear" w:color="auto" w:fill="auto"/>
                  <w:vAlign w:val="center"/>
                </w:tcPr>
                <w:p w14:paraId="5CB8C2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24 </w:t>
                  </w:r>
                </w:p>
              </w:tc>
              <w:tc>
                <w:tcPr>
                  <w:tcW w:w="490" w:type="dxa"/>
                  <w:tcBorders>
                    <w:tl2br w:val="nil"/>
                    <w:tr2bl w:val="nil"/>
                  </w:tcBorders>
                  <w:shd w:val="clear" w:color="auto" w:fill="auto"/>
                  <w:vAlign w:val="center"/>
                </w:tcPr>
                <w:p w14:paraId="082FCD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864" w:type="dxa"/>
                  <w:tcBorders>
                    <w:tl2br w:val="nil"/>
                    <w:tr2bl w:val="nil"/>
                  </w:tcBorders>
                  <w:shd w:val="clear" w:color="auto" w:fill="auto"/>
                  <w:vAlign w:val="center"/>
                </w:tcPr>
                <w:p w14:paraId="2DDE8C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474" w:type="dxa"/>
                  <w:tcBorders>
                    <w:tl2br w:val="nil"/>
                    <w:tr2bl w:val="nil"/>
                  </w:tcBorders>
                  <w:shd w:val="clear" w:color="auto" w:fill="auto"/>
                  <w:vAlign w:val="center"/>
                </w:tcPr>
                <w:p w14:paraId="0FF6DA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931" w:type="dxa"/>
                  <w:tcBorders>
                    <w:tl2br w:val="nil"/>
                    <w:tr2bl w:val="nil"/>
                  </w:tcBorders>
                  <w:shd w:val="clear" w:color="auto" w:fill="auto"/>
                  <w:vAlign w:val="center"/>
                </w:tcPr>
                <w:p w14:paraId="2449D5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22 </w:t>
                  </w:r>
                </w:p>
              </w:tc>
              <w:tc>
                <w:tcPr>
                  <w:tcW w:w="507" w:type="dxa"/>
                  <w:tcBorders>
                    <w:tl2br w:val="nil"/>
                    <w:tr2bl w:val="nil"/>
                  </w:tcBorders>
                  <w:shd w:val="clear" w:color="auto" w:fill="auto"/>
                  <w:vAlign w:val="center"/>
                </w:tcPr>
                <w:p w14:paraId="1A7CEC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10 </w:t>
                  </w:r>
                </w:p>
              </w:tc>
              <w:tc>
                <w:tcPr>
                  <w:tcW w:w="906" w:type="dxa"/>
                  <w:tcBorders>
                    <w:tl2br w:val="nil"/>
                    <w:tr2bl w:val="nil"/>
                  </w:tcBorders>
                  <w:shd w:val="clear" w:color="auto" w:fill="auto"/>
                  <w:vAlign w:val="center"/>
                </w:tcPr>
                <w:p w14:paraId="6E839D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33 </w:t>
                  </w:r>
                </w:p>
              </w:tc>
            </w:tr>
            <w:tr w14:paraId="0999845E">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796DB9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拉丝机（热）6</w:t>
                  </w:r>
                </w:p>
              </w:tc>
              <w:tc>
                <w:tcPr>
                  <w:tcW w:w="898" w:type="dxa"/>
                  <w:tcBorders>
                    <w:tl2br w:val="nil"/>
                    <w:tr2bl w:val="nil"/>
                  </w:tcBorders>
                  <w:shd w:val="clear" w:color="auto" w:fill="auto"/>
                  <w:vAlign w:val="center"/>
                </w:tcPr>
                <w:p w14:paraId="099803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575" w:type="dxa"/>
                  <w:tcBorders>
                    <w:tl2br w:val="nil"/>
                    <w:tr2bl w:val="nil"/>
                  </w:tcBorders>
                  <w:shd w:val="clear" w:color="auto" w:fill="auto"/>
                  <w:vAlign w:val="center"/>
                </w:tcPr>
                <w:p w14:paraId="1D0F48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880" w:type="dxa"/>
                  <w:tcBorders>
                    <w:tl2br w:val="nil"/>
                    <w:tr2bl w:val="nil"/>
                  </w:tcBorders>
                  <w:shd w:val="clear" w:color="auto" w:fill="auto"/>
                  <w:vAlign w:val="center"/>
                </w:tcPr>
                <w:p w14:paraId="7CBBC5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 </w:t>
                  </w:r>
                </w:p>
              </w:tc>
              <w:tc>
                <w:tcPr>
                  <w:tcW w:w="490" w:type="dxa"/>
                  <w:tcBorders>
                    <w:tl2br w:val="nil"/>
                    <w:tr2bl w:val="nil"/>
                  </w:tcBorders>
                  <w:shd w:val="clear" w:color="auto" w:fill="auto"/>
                  <w:vAlign w:val="center"/>
                </w:tcPr>
                <w:p w14:paraId="384D23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864" w:type="dxa"/>
                  <w:tcBorders>
                    <w:tl2br w:val="nil"/>
                    <w:tr2bl w:val="nil"/>
                  </w:tcBorders>
                  <w:shd w:val="clear" w:color="auto" w:fill="auto"/>
                  <w:vAlign w:val="center"/>
                </w:tcPr>
                <w:p w14:paraId="640767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474" w:type="dxa"/>
                  <w:tcBorders>
                    <w:tl2br w:val="nil"/>
                    <w:tr2bl w:val="nil"/>
                  </w:tcBorders>
                  <w:shd w:val="clear" w:color="auto" w:fill="auto"/>
                  <w:vAlign w:val="center"/>
                </w:tcPr>
                <w:p w14:paraId="6C7FEF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37 </w:t>
                  </w:r>
                </w:p>
              </w:tc>
              <w:tc>
                <w:tcPr>
                  <w:tcW w:w="931" w:type="dxa"/>
                  <w:tcBorders>
                    <w:tl2br w:val="nil"/>
                    <w:tr2bl w:val="nil"/>
                  </w:tcBorders>
                  <w:shd w:val="clear" w:color="auto" w:fill="auto"/>
                  <w:vAlign w:val="center"/>
                </w:tcPr>
                <w:p w14:paraId="65D74D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22 </w:t>
                  </w:r>
                </w:p>
              </w:tc>
              <w:tc>
                <w:tcPr>
                  <w:tcW w:w="507" w:type="dxa"/>
                  <w:tcBorders>
                    <w:tl2br w:val="nil"/>
                    <w:tr2bl w:val="nil"/>
                  </w:tcBorders>
                  <w:shd w:val="clear" w:color="auto" w:fill="auto"/>
                  <w:vAlign w:val="center"/>
                </w:tcPr>
                <w:p w14:paraId="3A73CDA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11 </w:t>
                  </w:r>
                </w:p>
              </w:tc>
              <w:tc>
                <w:tcPr>
                  <w:tcW w:w="906" w:type="dxa"/>
                  <w:tcBorders>
                    <w:tl2br w:val="nil"/>
                    <w:tr2bl w:val="nil"/>
                  </w:tcBorders>
                  <w:shd w:val="clear" w:color="auto" w:fill="auto"/>
                  <w:vAlign w:val="center"/>
                </w:tcPr>
                <w:p w14:paraId="4DFDB5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r>
            <w:tr w14:paraId="52FAF4D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6D4FC4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拉丝机（热）7</w:t>
                  </w:r>
                </w:p>
              </w:tc>
              <w:tc>
                <w:tcPr>
                  <w:tcW w:w="898" w:type="dxa"/>
                  <w:tcBorders>
                    <w:tl2br w:val="nil"/>
                    <w:tr2bl w:val="nil"/>
                  </w:tcBorders>
                  <w:shd w:val="clear" w:color="auto" w:fill="auto"/>
                  <w:vAlign w:val="center"/>
                </w:tcPr>
                <w:p w14:paraId="4AFD6F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575" w:type="dxa"/>
                  <w:tcBorders>
                    <w:tl2br w:val="nil"/>
                    <w:tr2bl w:val="nil"/>
                  </w:tcBorders>
                  <w:shd w:val="clear" w:color="auto" w:fill="auto"/>
                  <w:vAlign w:val="center"/>
                </w:tcPr>
                <w:p w14:paraId="0AF64C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880" w:type="dxa"/>
                  <w:tcBorders>
                    <w:tl2br w:val="nil"/>
                    <w:tr2bl w:val="nil"/>
                  </w:tcBorders>
                  <w:shd w:val="clear" w:color="auto" w:fill="auto"/>
                  <w:vAlign w:val="center"/>
                </w:tcPr>
                <w:p w14:paraId="0AD9C8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 </w:t>
                  </w:r>
                </w:p>
              </w:tc>
              <w:tc>
                <w:tcPr>
                  <w:tcW w:w="490" w:type="dxa"/>
                  <w:tcBorders>
                    <w:tl2br w:val="nil"/>
                    <w:tr2bl w:val="nil"/>
                  </w:tcBorders>
                  <w:shd w:val="clear" w:color="auto" w:fill="auto"/>
                  <w:vAlign w:val="center"/>
                </w:tcPr>
                <w:p w14:paraId="21002E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864" w:type="dxa"/>
                  <w:tcBorders>
                    <w:tl2br w:val="nil"/>
                    <w:tr2bl w:val="nil"/>
                  </w:tcBorders>
                  <w:shd w:val="clear" w:color="auto" w:fill="auto"/>
                  <w:vAlign w:val="center"/>
                </w:tcPr>
                <w:p w14:paraId="397026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474" w:type="dxa"/>
                  <w:tcBorders>
                    <w:tl2br w:val="nil"/>
                    <w:tr2bl w:val="nil"/>
                  </w:tcBorders>
                  <w:shd w:val="clear" w:color="auto" w:fill="auto"/>
                  <w:vAlign w:val="center"/>
                </w:tcPr>
                <w:p w14:paraId="0B6538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931" w:type="dxa"/>
                  <w:tcBorders>
                    <w:tl2br w:val="nil"/>
                    <w:tr2bl w:val="nil"/>
                  </w:tcBorders>
                  <w:shd w:val="clear" w:color="auto" w:fill="auto"/>
                  <w:vAlign w:val="center"/>
                </w:tcPr>
                <w:p w14:paraId="2B1A55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 </w:t>
                  </w:r>
                </w:p>
              </w:tc>
              <w:tc>
                <w:tcPr>
                  <w:tcW w:w="507" w:type="dxa"/>
                  <w:tcBorders>
                    <w:tl2br w:val="nil"/>
                    <w:tr2bl w:val="nil"/>
                  </w:tcBorders>
                  <w:shd w:val="clear" w:color="auto" w:fill="auto"/>
                  <w:vAlign w:val="center"/>
                </w:tcPr>
                <w:p w14:paraId="4BD875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906" w:type="dxa"/>
                  <w:tcBorders>
                    <w:tl2br w:val="nil"/>
                    <w:tr2bl w:val="nil"/>
                  </w:tcBorders>
                  <w:shd w:val="clear" w:color="auto" w:fill="auto"/>
                  <w:vAlign w:val="center"/>
                </w:tcPr>
                <w:p w14:paraId="05C877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r>
            <w:tr w14:paraId="44B148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66D06C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拉丝机（热）8</w:t>
                  </w:r>
                </w:p>
              </w:tc>
              <w:tc>
                <w:tcPr>
                  <w:tcW w:w="898" w:type="dxa"/>
                  <w:tcBorders>
                    <w:tl2br w:val="nil"/>
                    <w:tr2bl w:val="nil"/>
                  </w:tcBorders>
                  <w:shd w:val="clear" w:color="auto" w:fill="auto"/>
                  <w:vAlign w:val="center"/>
                </w:tcPr>
                <w:p w14:paraId="77F3DA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w:t>
                  </w:r>
                </w:p>
              </w:tc>
              <w:tc>
                <w:tcPr>
                  <w:tcW w:w="575" w:type="dxa"/>
                  <w:tcBorders>
                    <w:tl2br w:val="nil"/>
                    <w:tr2bl w:val="nil"/>
                  </w:tcBorders>
                  <w:shd w:val="clear" w:color="auto" w:fill="auto"/>
                  <w:vAlign w:val="center"/>
                </w:tcPr>
                <w:p w14:paraId="24FFF4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880" w:type="dxa"/>
                  <w:tcBorders>
                    <w:tl2br w:val="nil"/>
                    <w:tr2bl w:val="nil"/>
                  </w:tcBorders>
                  <w:shd w:val="clear" w:color="auto" w:fill="auto"/>
                  <w:vAlign w:val="center"/>
                </w:tcPr>
                <w:p w14:paraId="25E7C9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490" w:type="dxa"/>
                  <w:tcBorders>
                    <w:tl2br w:val="nil"/>
                    <w:tr2bl w:val="nil"/>
                  </w:tcBorders>
                  <w:shd w:val="clear" w:color="auto" w:fill="auto"/>
                  <w:vAlign w:val="center"/>
                </w:tcPr>
                <w:p w14:paraId="2F2FE0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864" w:type="dxa"/>
                  <w:tcBorders>
                    <w:tl2br w:val="nil"/>
                    <w:tr2bl w:val="nil"/>
                  </w:tcBorders>
                  <w:shd w:val="clear" w:color="auto" w:fill="auto"/>
                  <w:vAlign w:val="center"/>
                </w:tcPr>
                <w:p w14:paraId="5DCC7F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474" w:type="dxa"/>
                  <w:tcBorders>
                    <w:tl2br w:val="nil"/>
                    <w:tr2bl w:val="nil"/>
                  </w:tcBorders>
                  <w:shd w:val="clear" w:color="auto" w:fill="auto"/>
                  <w:vAlign w:val="center"/>
                </w:tcPr>
                <w:p w14:paraId="3C7634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39 </w:t>
                  </w:r>
                </w:p>
              </w:tc>
              <w:tc>
                <w:tcPr>
                  <w:tcW w:w="931" w:type="dxa"/>
                  <w:tcBorders>
                    <w:tl2br w:val="nil"/>
                    <w:tr2bl w:val="nil"/>
                  </w:tcBorders>
                  <w:shd w:val="clear" w:color="auto" w:fill="auto"/>
                  <w:vAlign w:val="center"/>
                </w:tcPr>
                <w:p w14:paraId="5F0953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17 </w:t>
                  </w:r>
                </w:p>
              </w:tc>
              <w:tc>
                <w:tcPr>
                  <w:tcW w:w="507" w:type="dxa"/>
                  <w:tcBorders>
                    <w:tl2br w:val="nil"/>
                    <w:tr2bl w:val="nil"/>
                  </w:tcBorders>
                  <w:shd w:val="clear" w:color="auto" w:fill="auto"/>
                  <w:vAlign w:val="center"/>
                </w:tcPr>
                <w:p w14:paraId="2B7C86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 </w:t>
                  </w:r>
                </w:p>
              </w:tc>
              <w:tc>
                <w:tcPr>
                  <w:tcW w:w="906" w:type="dxa"/>
                  <w:tcBorders>
                    <w:tl2br w:val="nil"/>
                    <w:tr2bl w:val="nil"/>
                  </w:tcBorders>
                  <w:shd w:val="clear" w:color="auto" w:fill="auto"/>
                  <w:vAlign w:val="center"/>
                </w:tcPr>
                <w:p w14:paraId="1E13011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27 </w:t>
                  </w:r>
                </w:p>
              </w:tc>
            </w:tr>
            <w:tr w14:paraId="709DBD4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7A3D846C">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冷拉双头拉丝机1</w:t>
                  </w:r>
                </w:p>
              </w:tc>
              <w:tc>
                <w:tcPr>
                  <w:tcW w:w="898" w:type="dxa"/>
                  <w:tcBorders>
                    <w:tl2br w:val="nil"/>
                    <w:tr2bl w:val="nil"/>
                  </w:tcBorders>
                  <w:shd w:val="clear" w:color="auto" w:fill="auto"/>
                  <w:vAlign w:val="center"/>
                </w:tcPr>
                <w:p w14:paraId="2A3CB3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575" w:type="dxa"/>
                  <w:tcBorders>
                    <w:tl2br w:val="nil"/>
                    <w:tr2bl w:val="nil"/>
                  </w:tcBorders>
                  <w:shd w:val="clear" w:color="auto" w:fill="auto"/>
                  <w:vAlign w:val="center"/>
                </w:tcPr>
                <w:p w14:paraId="60BCCC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33 </w:t>
                  </w:r>
                </w:p>
              </w:tc>
              <w:tc>
                <w:tcPr>
                  <w:tcW w:w="880" w:type="dxa"/>
                  <w:tcBorders>
                    <w:tl2br w:val="nil"/>
                    <w:tr2bl w:val="nil"/>
                  </w:tcBorders>
                  <w:shd w:val="clear" w:color="auto" w:fill="auto"/>
                  <w:vAlign w:val="center"/>
                </w:tcPr>
                <w:p w14:paraId="21292EF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 </w:t>
                  </w:r>
                </w:p>
              </w:tc>
              <w:tc>
                <w:tcPr>
                  <w:tcW w:w="490" w:type="dxa"/>
                  <w:tcBorders>
                    <w:tl2br w:val="nil"/>
                    <w:tr2bl w:val="nil"/>
                  </w:tcBorders>
                  <w:shd w:val="clear" w:color="auto" w:fill="auto"/>
                  <w:vAlign w:val="center"/>
                </w:tcPr>
                <w:p w14:paraId="634522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864" w:type="dxa"/>
                  <w:tcBorders>
                    <w:tl2br w:val="nil"/>
                    <w:tr2bl w:val="nil"/>
                  </w:tcBorders>
                  <w:shd w:val="clear" w:color="auto" w:fill="auto"/>
                  <w:vAlign w:val="center"/>
                </w:tcPr>
                <w:p w14:paraId="2658F6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474" w:type="dxa"/>
                  <w:tcBorders>
                    <w:tl2br w:val="nil"/>
                    <w:tr2bl w:val="nil"/>
                  </w:tcBorders>
                  <w:shd w:val="clear" w:color="auto" w:fill="auto"/>
                  <w:vAlign w:val="center"/>
                </w:tcPr>
                <w:p w14:paraId="7812E0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 </w:t>
                  </w:r>
                </w:p>
              </w:tc>
              <w:tc>
                <w:tcPr>
                  <w:tcW w:w="931" w:type="dxa"/>
                  <w:tcBorders>
                    <w:tl2br w:val="nil"/>
                    <w:tr2bl w:val="nil"/>
                  </w:tcBorders>
                  <w:shd w:val="clear" w:color="auto" w:fill="auto"/>
                  <w:vAlign w:val="center"/>
                </w:tcPr>
                <w:p w14:paraId="55661C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507" w:type="dxa"/>
                  <w:tcBorders>
                    <w:tl2br w:val="nil"/>
                    <w:tr2bl w:val="nil"/>
                  </w:tcBorders>
                  <w:shd w:val="clear" w:color="auto" w:fill="auto"/>
                  <w:vAlign w:val="center"/>
                </w:tcPr>
                <w:p w14:paraId="50DCDF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 </w:t>
                  </w:r>
                </w:p>
              </w:tc>
              <w:tc>
                <w:tcPr>
                  <w:tcW w:w="906" w:type="dxa"/>
                  <w:tcBorders>
                    <w:tl2br w:val="nil"/>
                    <w:tr2bl w:val="nil"/>
                  </w:tcBorders>
                  <w:shd w:val="clear" w:color="auto" w:fill="auto"/>
                  <w:vAlign w:val="center"/>
                </w:tcPr>
                <w:p w14:paraId="5B508A1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39 </w:t>
                  </w:r>
                </w:p>
              </w:tc>
            </w:tr>
            <w:tr w14:paraId="39DE521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2C53DD6E">
                  <w:pPr>
                    <w:keepNext w:val="0"/>
                    <w:keepLines w:val="0"/>
                    <w:widowControl/>
                    <w:suppressLineNumbers w:val="0"/>
                    <w:jc w:val="both"/>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冷拉双头拉丝机2</w:t>
                  </w:r>
                </w:p>
              </w:tc>
              <w:tc>
                <w:tcPr>
                  <w:tcW w:w="898" w:type="dxa"/>
                  <w:tcBorders>
                    <w:tl2br w:val="nil"/>
                    <w:tr2bl w:val="nil"/>
                  </w:tcBorders>
                  <w:shd w:val="clear" w:color="auto" w:fill="auto"/>
                  <w:vAlign w:val="center"/>
                </w:tcPr>
                <w:p w14:paraId="5EE021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w:t>
                  </w:r>
                </w:p>
              </w:tc>
              <w:tc>
                <w:tcPr>
                  <w:tcW w:w="575" w:type="dxa"/>
                  <w:tcBorders>
                    <w:tl2br w:val="nil"/>
                    <w:tr2bl w:val="nil"/>
                  </w:tcBorders>
                  <w:shd w:val="clear" w:color="auto" w:fill="auto"/>
                  <w:vAlign w:val="center"/>
                </w:tcPr>
                <w:p w14:paraId="2BD27B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34 </w:t>
                  </w:r>
                </w:p>
              </w:tc>
              <w:tc>
                <w:tcPr>
                  <w:tcW w:w="880" w:type="dxa"/>
                  <w:tcBorders>
                    <w:tl2br w:val="nil"/>
                    <w:tr2bl w:val="nil"/>
                  </w:tcBorders>
                  <w:shd w:val="clear" w:color="auto" w:fill="auto"/>
                  <w:vAlign w:val="center"/>
                </w:tcPr>
                <w:p w14:paraId="106C41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490" w:type="dxa"/>
                  <w:tcBorders>
                    <w:tl2br w:val="nil"/>
                    <w:tr2bl w:val="nil"/>
                  </w:tcBorders>
                  <w:shd w:val="clear" w:color="auto" w:fill="auto"/>
                  <w:vAlign w:val="center"/>
                </w:tcPr>
                <w:p w14:paraId="2D5EAB1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864" w:type="dxa"/>
                  <w:tcBorders>
                    <w:tl2br w:val="nil"/>
                    <w:tr2bl w:val="nil"/>
                  </w:tcBorders>
                  <w:shd w:val="clear" w:color="auto" w:fill="auto"/>
                  <w:vAlign w:val="center"/>
                </w:tcPr>
                <w:p w14:paraId="4CF3A2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474" w:type="dxa"/>
                  <w:tcBorders>
                    <w:tl2br w:val="nil"/>
                    <w:tr2bl w:val="nil"/>
                  </w:tcBorders>
                  <w:shd w:val="clear" w:color="auto" w:fill="auto"/>
                  <w:vAlign w:val="center"/>
                </w:tcPr>
                <w:p w14:paraId="023723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931" w:type="dxa"/>
                  <w:tcBorders>
                    <w:tl2br w:val="nil"/>
                    <w:tr2bl w:val="nil"/>
                  </w:tcBorders>
                  <w:shd w:val="clear" w:color="auto" w:fill="auto"/>
                  <w:vAlign w:val="center"/>
                </w:tcPr>
                <w:p w14:paraId="6D7D5C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507" w:type="dxa"/>
                  <w:tcBorders>
                    <w:tl2br w:val="nil"/>
                    <w:tr2bl w:val="nil"/>
                  </w:tcBorders>
                  <w:shd w:val="clear" w:color="auto" w:fill="auto"/>
                  <w:vAlign w:val="center"/>
                </w:tcPr>
                <w:p w14:paraId="6B6838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 </w:t>
                  </w:r>
                </w:p>
              </w:tc>
              <w:tc>
                <w:tcPr>
                  <w:tcW w:w="906" w:type="dxa"/>
                  <w:tcBorders>
                    <w:tl2br w:val="nil"/>
                    <w:tr2bl w:val="nil"/>
                  </w:tcBorders>
                  <w:shd w:val="clear" w:color="auto" w:fill="auto"/>
                  <w:vAlign w:val="center"/>
                </w:tcPr>
                <w:p w14:paraId="64E19D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39 </w:t>
                  </w:r>
                </w:p>
              </w:tc>
            </w:tr>
            <w:tr w14:paraId="26E4DC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0D09404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拉丝机（冷）1</w:t>
                  </w:r>
                </w:p>
              </w:tc>
              <w:tc>
                <w:tcPr>
                  <w:tcW w:w="898" w:type="dxa"/>
                  <w:tcBorders>
                    <w:tl2br w:val="nil"/>
                    <w:tr2bl w:val="nil"/>
                  </w:tcBorders>
                  <w:shd w:val="clear" w:color="auto" w:fill="auto"/>
                  <w:vAlign w:val="center"/>
                </w:tcPr>
                <w:p w14:paraId="4B3A10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75" w:type="dxa"/>
                  <w:tcBorders>
                    <w:tl2br w:val="nil"/>
                    <w:tr2bl w:val="nil"/>
                  </w:tcBorders>
                  <w:shd w:val="clear" w:color="auto" w:fill="auto"/>
                  <w:vAlign w:val="center"/>
                </w:tcPr>
                <w:p w14:paraId="471CC79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c>
                <w:tcPr>
                  <w:tcW w:w="880" w:type="dxa"/>
                  <w:tcBorders>
                    <w:tl2br w:val="nil"/>
                    <w:tr2bl w:val="nil"/>
                  </w:tcBorders>
                  <w:shd w:val="clear" w:color="auto" w:fill="auto"/>
                  <w:vAlign w:val="center"/>
                </w:tcPr>
                <w:p w14:paraId="7407AF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490" w:type="dxa"/>
                  <w:tcBorders>
                    <w:tl2br w:val="nil"/>
                    <w:tr2bl w:val="nil"/>
                  </w:tcBorders>
                  <w:shd w:val="clear" w:color="auto" w:fill="auto"/>
                  <w:vAlign w:val="center"/>
                </w:tcPr>
                <w:p w14:paraId="3D8BFAB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75B93F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474" w:type="dxa"/>
                  <w:tcBorders>
                    <w:tl2br w:val="nil"/>
                    <w:tr2bl w:val="nil"/>
                  </w:tcBorders>
                  <w:shd w:val="clear" w:color="auto" w:fill="auto"/>
                  <w:vAlign w:val="center"/>
                </w:tcPr>
                <w:p w14:paraId="463C7A7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42 </w:t>
                  </w:r>
                </w:p>
              </w:tc>
              <w:tc>
                <w:tcPr>
                  <w:tcW w:w="931" w:type="dxa"/>
                  <w:tcBorders>
                    <w:tl2br w:val="nil"/>
                    <w:tr2bl w:val="nil"/>
                  </w:tcBorders>
                  <w:shd w:val="clear" w:color="auto" w:fill="auto"/>
                  <w:vAlign w:val="center"/>
                </w:tcPr>
                <w:p w14:paraId="51B96F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507" w:type="dxa"/>
                  <w:tcBorders>
                    <w:tl2br w:val="nil"/>
                    <w:tr2bl w:val="nil"/>
                  </w:tcBorders>
                  <w:shd w:val="clear" w:color="auto" w:fill="auto"/>
                  <w:vAlign w:val="center"/>
                </w:tcPr>
                <w:p w14:paraId="246F2E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7FC0D73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r>
            <w:tr w14:paraId="718F6E9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6027CE4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拉丝机（冷）2</w:t>
                  </w:r>
                </w:p>
              </w:tc>
              <w:tc>
                <w:tcPr>
                  <w:tcW w:w="898" w:type="dxa"/>
                  <w:tcBorders>
                    <w:tl2br w:val="nil"/>
                    <w:tr2bl w:val="nil"/>
                  </w:tcBorders>
                  <w:shd w:val="clear" w:color="auto" w:fill="auto"/>
                  <w:vAlign w:val="center"/>
                </w:tcPr>
                <w:p w14:paraId="72C41A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75" w:type="dxa"/>
                  <w:tcBorders>
                    <w:tl2br w:val="nil"/>
                    <w:tr2bl w:val="nil"/>
                  </w:tcBorders>
                  <w:shd w:val="clear" w:color="auto" w:fill="auto"/>
                  <w:vAlign w:val="center"/>
                </w:tcPr>
                <w:p w14:paraId="1DB6D4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36 </w:t>
                  </w:r>
                </w:p>
              </w:tc>
              <w:tc>
                <w:tcPr>
                  <w:tcW w:w="880" w:type="dxa"/>
                  <w:tcBorders>
                    <w:tl2br w:val="nil"/>
                    <w:tr2bl w:val="nil"/>
                  </w:tcBorders>
                  <w:shd w:val="clear" w:color="auto" w:fill="auto"/>
                  <w:vAlign w:val="center"/>
                </w:tcPr>
                <w:p w14:paraId="725667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490" w:type="dxa"/>
                  <w:tcBorders>
                    <w:tl2br w:val="nil"/>
                    <w:tr2bl w:val="nil"/>
                  </w:tcBorders>
                  <w:shd w:val="clear" w:color="auto" w:fill="auto"/>
                  <w:vAlign w:val="center"/>
                </w:tcPr>
                <w:p w14:paraId="65A4BBF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2F94DE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474" w:type="dxa"/>
                  <w:tcBorders>
                    <w:tl2br w:val="nil"/>
                    <w:tr2bl w:val="nil"/>
                  </w:tcBorders>
                  <w:shd w:val="clear" w:color="auto" w:fill="auto"/>
                  <w:vAlign w:val="center"/>
                </w:tcPr>
                <w:p w14:paraId="3B8487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43 </w:t>
                  </w:r>
                </w:p>
              </w:tc>
              <w:tc>
                <w:tcPr>
                  <w:tcW w:w="931" w:type="dxa"/>
                  <w:tcBorders>
                    <w:tl2br w:val="nil"/>
                    <w:tr2bl w:val="nil"/>
                  </w:tcBorders>
                  <w:shd w:val="clear" w:color="auto" w:fill="auto"/>
                  <w:vAlign w:val="center"/>
                </w:tcPr>
                <w:p w14:paraId="76B537B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27 </w:t>
                  </w:r>
                </w:p>
              </w:tc>
              <w:tc>
                <w:tcPr>
                  <w:tcW w:w="507" w:type="dxa"/>
                  <w:tcBorders>
                    <w:tl2br w:val="nil"/>
                    <w:tr2bl w:val="nil"/>
                  </w:tcBorders>
                  <w:shd w:val="clear" w:color="auto" w:fill="auto"/>
                  <w:vAlign w:val="center"/>
                </w:tcPr>
                <w:p w14:paraId="05B38F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5BBC4C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r>
            <w:tr w14:paraId="7B22CFE7">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7E8963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拉丝机（冷）3</w:t>
                  </w:r>
                </w:p>
              </w:tc>
              <w:tc>
                <w:tcPr>
                  <w:tcW w:w="898" w:type="dxa"/>
                  <w:tcBorders>
                    <w:tl2br w:val="nil"/>
                    <w:tr2bl w:val="nil"/>
                  </w:tcBorders>
                  <w:shd w:val="clear" w:color="auto" w:fill="auto"/>
                  <w:vAlign w:val="center"/>
                </w:tcPr>
                <w:p w14:paraId="0ADB52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75" w:type="dxa"/>
                  <w:tcBorders>
                    <w:tl2br w:val="nil"/>
                    <w:tr2bl w:val="nil"/>
                  </w:tcBorders>
                  <w:shd w:val="clear" w:color="auto" w:fill="auto"/>
                  <w:vAlign w:val="center"/>
                </w:tcPr>
                <w:p w14:paraId="55AD8F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37 </w:t>
                  </w:r>
                </w:p>
              </w:tc>
              <w:tc>
                <w:tcPr>
                  <w:tcW w:w="880" w:type="dxa"/>
                  <w:tcBorders>
                    <w:tl2br w:val="nil"/>
                    <w:tr2bl w:val="nil"/>
                  </w:tcBorders>
                  <w:shd w:val="clear" w:color="auto" w:fill="auto"/>
                  <w:vAlign w:val="center"/>
                </w:tcPr>
                <w:p w14:paraId="3BE023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490" w:type="dxa"/>
                  <w:tcBorders>
                    <w:tl2br w:val="nil"/>
                    <w:tr2bl w:val="nil"/>
                  </w:tcBorders>
                  <w:shd w:val="clear" w:color="auto" w:fill="auto"/>
                  <w:vAlign w:val="center"/>
                </w:tcPr>
                <w:p w14:paraId="3B1315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5EE1D3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474" w:type="dxa"/>
                  <w:tcBorders>
                    <w:tl2br w:val="nil"/>
                    <w:tr2bl w:val="nil"/>
                  </w:tcBorders>
                  <w:shd w:val="clear" w:color="auto" w:fill="auto"/>
                  <w:vAlign w:val="center"/>
                </w:tcPr>
                <w:p w14:paraId="411D340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44 </w:t>
                  </w:r>
                </w:p>
              </w:tc>
              <w:tc>
                <w:tcPr>
                  <w:tcW w:w="931" w:type="dxa"/>
                  <w:tcBorders>
                    <w:tl2br w:val="nil"/>
                    <w:tr2bl w:val="nil"/>
                  </w:tcBorders>
                  <w:shd w:val="clear" w:color="auto" w:fill="auto"/>
                  <w:vAlign w:val="center"/>
                </w:tcPr>
                <w:p w14:paraId="51DA37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27 </w:t>
                  </w:r>
                </w:p>
              </w:tc>
              <w:tc>
                <w:tcPr>
                  <w:tcW w:w="507" w:type="dxa"/>
                  <w:tcBorders>
                    <w:tl2br w:val="nil"/>
                    <w:tr2bl w:val="nil"/>
                  </w:tcBorders>
                  <w:shd w:val="clear" w:color="auto" w:fill="auto"/>
                  <w:vAlign w:val="center"/>
                </w:tcPr>
                <w:p w14:paraId="6916BC7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1CDD58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r>
            <w:tr w14:paraId="0A3E9AB1">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5E58553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拉丝机（冷）4</w:t>
                  </w:r>
                </w:p>
              </w:tc>
              <w:tc>
                <w:tcPr>
                  <w:tcW w:w="898" w:type="dxa"/>
                  <w:tcBorders>
                    <w:tl2br w:val="nil"/>
                    <w:tr2bl w:val="nil"/>
                  </w:tcBorders>
                  <w:shd w:val="clear" w:color="auto" w:fill="auto"/>
                  <w:vAlign w:val="center"/>
                </w:tcPr>
                <w:p w14:paraId="3E43CB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75" w:type="dxa"/>
                  <w:tcBorders>
                    <w:tl2br w:val="nil"/>
                    <w:tr2bl w:val="nil"/>
                  </w:tcBorders>
                  <w:shd w:val="clear" w:color="auto" w:fill="auto"/>
                  <w:vAlign w:val="center"/>
                </w:tcPr>
                <w:p w14:paraId="6BEC65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880" w:type="dxa"/>
                  <w:tcBorders>
                    <w:tl2br w:val="nil"/>
                    <w:tr2bl w:val="nil"/>
                  </w:tcBorders>
                  <w:shd w:val="clear" w:color="auto" w:fill="auto"/>
                  <w:vAlign w:val="center"/>
                </w:tcPr>
                <w:p w14:paraId="638B701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490" w:type="dxa"/>
                  <w:tcBorders>
                    <w:tl2br w:val="nil"/>
                    <w:tr2bl w:val="nil"/>
                  </w:tcBorders>
                  <w:shd w:val="clear" w:color="auto" w:fill="auto"/>
                  <w:vAlign w:val="center"/>
                </w:tcPr>
                <w:p w14:paraId="54BFC3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3678CE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474" w:type="dxa"/>
                  <w:tcBorders>
                    <w:tl2br w:val="nil"/>
                    <w:tr2bl w:val="nil"/>
                  </w:tcBorders>
                  <w:shd w:val="clear" w:color="auto" w:fill="auto"/>
                  <w:vAlign w:val="center"/>
                </w:tcPr>
                <w:p w14:paraId="71B9C1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45 </w:t>
                  </w:r>
                </w:p>
              </w:tc>
              <w:tc>
                <w:tcPr>
                  <w:tcW w:w="931" w:type="dxa"/>
                  <w:tcBorders>
                    <w:tl2br w:val="nil"/>
                    <w:tr2bl w:val="nil"/>
                  </w:tcBorders>
                  <w:shd w:val="clear" w:color="auto" w:fill="auto"/>
                  <w:vAlign w:val="center"/>
                </w:tcPr>
                <w:p w14:paraId="22E1DA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27 </w:t>
                  </w:r>
                </w:p>
              </w:tc>
              <w:tc>
                <w:tcPr>
                  <w:tcW w:w="507" w:type="dxa"/>
                  <w:tcBorders>
                    <w:tl2br w:val="nil"/>
                    <w:tr2bl w:val="nil"/>
                  </w:tcBorders>
                  <w:shd w:val="clear" w:color="auto" w:fill="auto"/>
                  <w:vAlign w:val="center"/>
                </w:tcPr>
                <w:p w14:paraId="4221995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24C6F1E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r>
            <w:tr w14:paraId="323E7A9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40C5E15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拉丝机（冷）5</w:t>
                  </w:r>
                </w:p>
              </w:tc>
              <w:tc>
                <w:tcPr>
                  <w:tcW w:w="898" w:type="dxa"/>
                  <w:tcBorders>
                    <w:tl2br w:val="nil"/>
                    <w:tr2bl w:val="nil"/>
                  </w:tcBorders>
                  <w:shd w:val="clear" w:color="auto" w:fill="auto"/>
                  <w:vAlign w:val="center"/>
                </w:tcPr>
                <w:p w14:paraId="7374F82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75" w:type="dxa"/>
                  <w:tcBorders>
                    <w:tl2br w:val="nil"/>
                    <w:tr2bl w:val="nil"/>
                  </w:tcBorders>
                  <w:shd w:val="clear" w:color="auto" w:fill="auto"/>
                  <w:vAlign w:val="center"/>
                </w:tcPr>
                <w:p w14:paraId="00D22C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39 </w:t>
                  </w:r>
                </w:p>
              </w:tc>
              <w:tc>
                <w:tcPr>
                  <w:tcW w:w="880" w:type="dxa"/>
                  <w:tcBorders>
                    <w:tl2br w:val="nil"/>
                    <w:tr2bl w:val="nil"/>
                  </w:tcBorders>
                  <w:shd w:val="clear" w:color="auto" w:fill="auto"/>
                  <w:vAlign w:val="center"/>
                </w:tcPr>
                <w:p w14:paraId="760DE11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490" w:type="dxa"/>
                  <w:tcBorders>
                    <w:tl2br w:val="nil"/>
                    <w:tr2bl w:val="nil"/>
                  </w:tcBorders>
                  <w:shd w:val="clear" w:color="auto" w:fill="auto"/>
                  <w:vAlign w:val="center"/>
                </w:tcPr>
                <w:p w14:paraId="4486C6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5835770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474" w:type="dxa"/>
                  <w:tcBorders>
                    <w:tl2br w:val="nil"/>
                    <w:tr2bl w:val="nil"/>
                  </w:tcBorders>
                  <w:shd w:val="clear" w:color="auto" w:fill="auto"/>
                  <w:vAlign w:val="center"/>
                </w:tcPr>
                <w:p w14:paraId="744ABE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46 </w:t>
                  </w:r>
                </w:p>
              </w:tc>
              <w:tc>
                <w:tcPr>
                  <w:tcW w:w="931" w:type="dxa"/>
                  <w:tcBorders>
                    <w:tl2br w:val="nil"/>
                    <w:tr2bl w:val="nil"/>
                  </w:tcBorders>
                  <w:shd w:val="clear" w:color="auto" w:fill="auto"/>
                  <w:vAlign w:val="center"/>
                </w:tcPr>
                <w:p w14:paraId="6EB32A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27 </w:t>
                  </w:r>
                </w:p>
              </w:tc>
              <w:tc>
                <w:tcPr>
                  <w:tcW w:w="507" w:type="dxa"/>
                  <w:tcBorders>
                    <w:tl2br w:val="nil"/>
                    <w:tr2bl w:val="nil"/>
                  </w:tcBorders>
                  <w:shd w:val="clear" w:color="auto" w:fill="auto"/>
                  <w:vAlign w:val="center"/>
                </w:tcPr>
                <w:p w14:paraId="071AFF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7623BC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r>
            <w:tr w14:paraId="69FB608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3904CC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拉丝机（冷）6</w:t>
                  </w:r>
                </w:p>
              </w:tc>
              <w:tc>
                <w:tcPr>
                  <w:tcW w:w="898" w:type="dxa"/>
                  <w:tcBorders>
                    <w:tl2br w:val="nil"/>
                    <w:tr2bl w:val="nil"/>
                  </w:tcBorders>
                  <w:shd w:val="clear" w:color="auto" w:fill="auto"/>
                  <w:vAlign w:val="center"/>
                </w:tcPr>
                <w:p w14:paraId="7593500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75" w:type="dxa"/>
                  <w:tcBorders>
                    <w:tl2br w:val="nil"/>
                    <w:tr2bl w:val="nil"/>
                  </w:tcBorders>
                  <w:shd w:val="clear" w:color="auto" w:fill="auto"/>
                  <w:vAlign w:val="center"/>
                </w:tcPr>
                <w:p w14:paraId="568F8E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40 </w:t>
                  </w:r>
                </w:p>
              </w:tc>
              <w:tc>
                <w:tcPr>
                  <w:tcW w:w="880" w:type="dxa"/>
                  <w:tcBorders>
                    <w:tl2br w:val="nil"/>
                    <w:tr2bl w:val="nil"/>
                  </w:tcBorders>
                  <w:shd w:val="clear" w:color="auto" w:fill="auto"/>
                  <w:vAlign w:val="center"/>
                </w:tcPr>
                <w:p w14:paraId="7B28D2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490" w:type="dxa"/>
                  <w:tcBorders>
                    <w:tl2br w:val="nil"/>
                    <w:tr2bl w:val="nil"/>
                  </w:tcBorders>
                  <w:shd w:val="clear" w:color="auto" w:fill="auto"/>
                  <w:vAlign w:val="center"/>
                </w:tcPr>
                <w:p w14:paraId="011998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0DCB53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474" w:type="dxa"/>
                  <w:tcBorders>
                    <w:tl2br w:val="nil"/>
                    <w:tr2bl w:val="nil"/>
                  </w:tcBorders>
                  <w:shd w:val="clear" w:color="auto" w:fill="auto"/>
                  <w:vAlign w:val="center"/>
                </w:tcPr>
                <w:p w14:paraId="6EDE27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47 </w:t>
                  </w:r>
                </w:p>
              </w:tc>
              <w:tc>
                <w:tcPr>
                  <w:tcW w:w="931" w:type="dxa"/>
                  <w:tcBorders>
                    <w:tl2br w:val="nil"/>
                    <w:tr2bl w:val="nil"/>
                  </w:tcBorders>
                  <w:shd w:val="clear" w:color="auto" w:fill="auto"/>
                  <w:vAlign w:val="center"/>
                </w:tcPr>
                <w:p w14:paraId="07CAE81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27 </w:t>
                  </w:r>
                </w:p>
              </w:tc>
              <w:tc>
                <w:tcPr>
                  <w:tcW w:w="507" w:type="dxa"/>
                  <w:tcBorders>
                    <w:tl2br w:val="nil"/>
                    <w:tr2bl w:val="nil"/>
                  </w:tcBorders>
                  <w:shd w:val="clear" w:color="auto" w:fill="auto"/>
                  <w:vAlign w:val="center"/>
                </w:tcPr>
                <w:p w14:paraId="634102C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13C38F4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r>
            <w:tr w14:paraId="58356F8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495B50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拉丝机（冷）7</w:t>
                  </w:r>
                </w:p>
              </w:tc>
              <w:tc>
                <w:tcPr>
                  <w:tcW w:w="898" w:type="dxa"/>
                  <w:tcBorders>
                    <w:tl2br w:val="nil"/>
                    <w:tr2bl w:val="nil"/>
                  </w:tcBorders>
                  <w:shd w:val="clear" w:color="auto" w:fill="auto"/>
                  <w:vAlign w:val="center"/>
                </w:tcPr>
                <w:p w14:paraId="6ACEEC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75" w:type="dxa"/>
                  <w:tcBorders>
                    <w:tl2br w:val="nil"/>
                    <w:tr2bl w:val="nil"/>
                  </w:tcBorders>
                  <w:shd w:val="clear" w:color="auto" w:fill="auto"/>
                  <w:vAlign w:val="center"/>
                </w:tcPr>
                <w:p w14:paraId="1F2C53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41 </w:t>
                  </w:r>
                </w:p>
              </w:tc>
              <w:tc>
                <w:tcPr>
                  <w:tcW w:w="880" w:type="dxa"/>
                  <w:tcBorders>
                    <w:tl2br w:val="nil"/>
                    <w:tr2bl w:val="nil"/>
                  </w:tcBorders>
                  <w:shd w:val="clear" w:color="auto" w:fill="auto"/>
                  <w:vAlign w:val="center"/>
                </w:tcPr>
                <w:p w14:paraId="59B3A9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490" w:type="dxa"/>
                  <w:tcBorders>
                    <w:tl2br w:val="nil"/>
                    <w:tr2bl w:val="nil"/>
                  </w:tcBorders>
                  <w:shd w:val="clear" w:color="auto" w:fill="auto"/>
                  <w:vAlign w:val="center"/>
                </w:tcPr>
                <w:p w14:paraId="0EB7C2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788360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474" w:type="dxa"/>
                  <w:tcBorders>
                    <w:tl2br w:val="nil"/>
                    <w:tr2bl w:val="nil"/>
                  </w:tcBorders>
                  <w:shd w:val="clear" w:color="auto" w:fill="auto"/>
                  <w:vAlign w:val="center"/>
                </w:tcPr>
                <w:p w14:paraId="78839C2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48 </w:t>
                  </w:r>
                </w:p>
              </w:tc>
              <w:tc>
                <w:tcPr>
                  <w:tcW w:w="931" w:type="dxa"/>
                  <w:tcBorders>
                    <w:tl2br w:val="nil"/>
                    <w:tr2bl w:val="nil"/>
                  </w:tcBorders>
                  <w:shd w:val="clear" w:color="auto" w:fill="auto"/>
                  <w:vAlign w:val="center"/>
                </w:tcPr>
                <w:p w14:paraId="6ED76E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507" w:type="dxa"/>
                  <w:tcBorders>
                    <w:tl2br w:val="nil"/>
                    <w:tr2bl w:val="nil"/>
                  </w:tcBorders>
                  <w:shd w:val="clear" w:color="auto" w:fill="auto"/>
                  <w:vAlign w:val="center"/>
                </w:tcPr>
                <w:p w14:paraId="074200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74ECB7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r>
            <w:tr w14:paraId="35677BC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4875EB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拉丝机（冷）8</w:t>
                  </w:r>
                </w:p>
              </w:tc>
              <w:tc>
                <w:tcPr>
                  <w:tcW w:w="898" w:type="dxa"/>
                  <w:tcBorders>
                    <w:tl2br w:val="nil"/>
                    <w:tr2bl w:val="nil"/>
                  </w:tcBorders>
                  <w:shd w:val="clear" w:color="auto" w:fill="auto"/>
                  <w:vAlign w:val="center"/>
                </w:tcPr>
                <w:p w14:paraId="1A38E5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75" w:type="dxa"/>
                  <w:tcBorders>
                    <w:tl2br w:val="nil"/>
                    <w:tr2bl w:val="nil"/>
                  </w:tcBorders>
                  <w:shd w:val="clear" w:color="auto" w:fill="auto"/>
                  <w:vAlign w:val="center"/>
                </w:tcPr>
                <w:p w14:paraId="7A5DDAB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42 </w:t>
                  </w:r>
                </w:p>
              </w:tc>
              <w:tc>
                <w:tcPr>
                  <w:tcW w:w="880" w:type="dxa"/>
                  <w:tcBorders>
                    <w:tl2br w:val="nil"/>
                    <w:tr2bl w:val="nil"/>
                  </w:tcBorders>
                  <w:shd w:val="clear" w:color="auto" w:fill="auto"/>
                  <w:vAlign w:val="center"/>
                </w:tcPr>
                <w:p w14:paraId="603088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490" w:type="dxa"/>
                  <w:tcBorders>
                    <w:tl2br w:val="nil"/>
                    <w:tr2bl w:val="nil"/>
                  </w:tcBorders>
                  <w:shd w:val="clear" w:color="auto" w:fill="auto"/>
                  <w:vAlign w:val="center"/>
                </w:tcPr>
                <w:p w14:paraId="213A2D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42DF30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474" w:type="dxa"/>
                  <w:tcBorders>
                    <w:tl2br w:val="nil"/>
                    <w:tr2bl w:val="nil"/>
                  </w:tcBorders>
                  <w:shd w:val="clear" w:color="auto" w:fill="auto"/>
                  <w:vAlign w:val="center"/>
                </w:tcPr>
                <w:p w14:paraId="57704F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49 </w:t>
                  </w:r>
                </w:p>
              </w:tc>
              <w:tc>
                <w:tcPr>
                  <w:tcW w:w="931" w:type="dxa"/>
                  <w:tcBorders>
                    <w:tl2br w:val="nil"/>
                    <w:tr2bl w:val="nil"/>
                  </w:tcBorders>
                  <w:shd w:val="clear" w:color="auto" w:fill="auto"/>
                  <w:vAlign w:val="center"/>
                </w:tcPr>
                <w:p w14:paraId="045B59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507" w:type="dxa"/>
                  <w:tcBorders>
                    <w:tl2br w:val="nil"/>
                    <w:tr2bl w:val="nil"/>
                  </w:tcBorders>
                  <w:shd w:val="clear" w:color="auto" w:fill="auto"/>
                  <w:vAlign w:val="center"/>
                </w:tcPr>
                <w:p w14:paraId="45B1CA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07809D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r>
            <w:tr w14:paraId="45834A32">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182F0D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拉丝机（冷）9</w:t>
                  </w:r>
                </w:p>
              </w:tc>
              <w:tc>
                <w:tcPr>
                  <w:tcW w:w="898" w:type="dxa"/>
                  <w:tcBorders>
                    <w:tl2br w:val="nil"/>
                    <w:tr2bl w:val="nil"/>
                  </w:tcBorders>
                  <w:shd w:val="clear" w:color="auto" w:fill="auto"/>
                  <w:vAlign w:val="center"/>
                </w:tcPr>
                <w:p w14:paraId="0CE307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75" w:type="dxa"/>
                  <w:tcBorders>
                    <w:tl2br w:val="nil"/>
                    <w:tr2bl w:val="nil"/>
                  </w:tcBorders>
                  <w:shd w:val="clear" w:color="auto" w:fill="auto"/>
                  <w:vAlign w:val="center"/>
                </w:tcPr>
                <w:p w14:paraId="235190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43 </w:t>
                  </w:r>
                </w:p>
              </w:tc>
              <w:tc>
                <w:tcPr>
                  <w:tcW w:w="880" w:type="dxa"/>
                  <w:tcBorders>
                    <w:tl2br w:val="nil"/>
                    <w:tr2bl w:val="nil"/>
                  </w:tcBorders>
                  <w:shd w:val="clear" w:color="auto" w:fill="auto"/>
                  <w:vAlign w:val="center"/>
                </w:tcPr>
                <w:p w14:paraId="354FFB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27 </w:t>
                  </w:r>
                </w:p>
              </w:tc>
              <w:tc>
                <w:tcPr>
                  <w:tcW w:w="490" w:type="dxa"/>
                  <w:tcBorders>
                    <w:tl2br w:val="nil"/>
                    <w:tr2bl w:val="nil"/>
                  </w:tcBorders>
                  <w:shd w:val="clear" w:color="auto" w:fill="auto"/>
                  <w:vAlign w:val="center"/>
                </w:tcPr>
                <w:p w14:paraId="5EA1CF7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28AB389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474" w:type="dxa"/>
                  <w:tcBorders>
                    <w:tl2br w:val="nil"/>
                    <w:tr2bl w:val="nil"/>
                  </w:tcBorders>
                  <w:shd w:val="clear" w:color="auto" w:fill="auto"/>
                  <w:vAlign w:val="center"/>
                </w:tcPr>
                <w:p w14:paraId="7739FC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50 </w:t>
                  </w:r>
                </w:p>
              </w:tc>
              <w:tc>
                <w:tcPr>
                  <w:tcW w:w="931" w:type="dxa"/>
                  <w:tcBorders>
                    <w:tl2br w:val="nil"/>
                    <w:tr2bl w:val="nil"/>
                  </w:tcBorders>
                  <w:shd w:val="clear" w:color="auto" w:fill="auto"/>
                  <w:vAlign w:val="center"/>
                </w:tcPr>
                <w:p w14:paraId="7C990F2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507" w:type="dxa"/>
                  <w:tcBorders>
                    <w:tl2br w:val="nil"/>
                    <w:tr2bl w:val="nil"/>
                  </w:tcBorders>
                  <w:shd w:val="clear" w:color="auto" w:fill="auto"/>
                  <w:vAlign w:val="center"/>
                </w:tcPr>
                <w:p w14:paraId="4F3212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4A8676B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r>
            <w:tr w14:paraId="0389B6A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68FD95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拉丝机（冷）10</w:t>
                  </w:r>
                </w:p>
              </w:tc>
              <w:tc>
                <w:tcPr>
                  <w:tcW w:w="898" w:type="dxa"/>
                  <w:tcBorders>
                    <w:tl2br w:val="nil"/>
                    <w:tr2bl w:val="nil"/>
                  </w:tcBorders>
                  <w:shd w:val="clear" w:color="auto" w:fill="auto"/>
                  <w:vAlign w:val="center"/>
                </w:tcPr>
                <w:p w14:paraId="57CE8F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575" w:type="dxa"/>
                  <w:tcBorders>
                    <w:tl2br w:val="nil"/>
                    <w:tr2bl w:val="nil"/>
                  </w:tcBorders>
                  <w:shd w:val="clear" w:color="auto" w:fill="auto"/>
                  <w:vAlign w:val="center"/>
                </w:tcPr>
                <w:p w14:paraId="14A2F57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44 </w:t>
                  </w:r>
                </w:p>
              </w:tc>
              <w:tc>
                <w:tcPr>
                  <w:tcW w:w="880" w:type="dxa"/>
                  <w:tcBorders>
                    <w:tl2br w:val="nil"/>
                    <w:tr2bl w:val="nil"/>
                  </w:tcBorders>
                  <w:shd w:val="clear" w:color="auto" w:fill="auto"/>
                  <w:vAlign w:val="center"/>
                </w:tcPr>
                <w:p w14:paraId="7477540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27 </w:t>
                  </w:r>
                </w:p>
              </w:tc>
              <w:tc>
                <w:tcPr>
                  <w:tcW w:w="490" w:type="dxa"/>
                  <w:tcBorders>
                    <w:tl2br w:val="nil"/>
                    <w:tr2bl w:val="nil"/>
                  </w:tcBorders>
                  <w:shd w:val="clear" w:color="auto" w:fill="auto"/>
                  <w:vAlign w:val="center"/>
                </w:tcPr>
                <w:p w14:paraId="1B129F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69F0246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38 </w:t>
                  </w:r>
                </w:p>
              </w:tc>
              <w:tc>
                <w:tcPr>
                  <w:tcW w:w="474" w:type="dxa"/>
                  <w:tcBorders>
                    <w:tl2br w:val="nil"/>
                    <w:tr2bl w:val="nil"/>
                  </w:tcBorders>
                  <w:shd w:val="clear" w:color="auto" w:fill="auto"/>
                  <w:vAlign w:val="center"/>
                </w:tcPr>
                <w:p w14:paraId="72CCBD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51 </w:t>
                  </w:r>
                </w:p>
              </w:tc>
              <w:tc>
                <w:tcPr>
                  <w:tcW w:w="931" w:type="dxa"/>
                  <w:tcBorders>
                    <w:tl2br w:val="nil"/>
                    <w:tr2bl w:val="nil"/>
                  </w:tcBorders>
                  <w:shd w:val="clear" w:color="auto" w:fill="auto"/>
                  <w:vAlign w:val="center"/>
                </w:tcPr>
                <w:p w14:paraId="217AB1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26 </w:t>
                  </w:r>
                </w:p>
              </w:tc>
              <w:tc>
                <w:tcPr>
                  <w:tcW w:w="507" w:type="dxa"/>
                  <w:tcBorders>
                    <w:tl2br w:val="nil"/>
                    <w:tr2bl w:val="nil"/>
                  </w:tcBorders>
                  <w:shd w:val="clear" w:color="auto" w:fill="auto"/>
                  <w:vAlign w:val="center"/>
                </w:tcPr>
                <w:p w14:paraId="6F601A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4F85D1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35 </w:t>
                  </w:r>
                </w:p>
              </w:tc>
            </w:tr>
            <w:tr w14:paraId="0613724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173A4E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拉丝机（冷）11</w:t>
                  </w:r>
                </w:p>
              </w:tc>
              <w:tc>
                <w:tcPr>
                  <w:tcW w:w="898" w:type="dxa"/>
                  <w:tcBorders>
                    <w:tl2br w:val="nil"/>
                    <w:tr2bl w:val="nil"/>
                  </w:tcBorders>
                  <w:shd w:val="clear" w:color="auto" w:fill="auto"/>
                  <w:vAlign w:val="center"/>
                </w:tcPr>
                <w:p w14:paraId="78805CC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575" w:type="dxa"/>
                  <w:tcBorders>
                    <w:tl2br w:val="nil"/>
                    <w:tr2bl w:val="nil"/>
                  </w:tcBorders>
                  <w:shd w:val="clear" w:color="auto" w:fill="auto"/>
                  <w:vAlign w:val="center"/>
                </w:tcPr>
                <w:p w14:paraId="0A845F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45 </w:t>
                  </w:r>
                </w:p>
              </w:tc>
              <w:tc>
                <w:tcPr>
                  <w:tcW w:w="880" w:type="dxa"/>
                  <w:tcBorders>
                    <w:tl2br w:val="nil"/>
                    <w:tr2bl w:val="nil"/>
                  </w:tcBorders>
                  <w:shd w:val="clear" w:color="auto" w:fill="auto"/>
                  <w:vAlign w:val="center"/>
                </w:tcPr>
                <w:p w14:paraId="0B835CB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 </w:t>
                  </w:r>
                </w:p>
              </w:tc>
              <w:tc>
                <w:tcPr>
                  <w:tcW w:w="490" w:type="dxa"/>
                  <w:tcBorders>
                    <w:tl2br w:val="nil"/>
                    <w:tr2bl w:val="nil"/>
                  </w:tcBorders>
                  <w:shd w:val="clear" w:color="auto" w:fill="auto"/>
                  <w:vAlign w:val="center"/>
                </w:tcPr>
                <w:p w14:paraId="140BD8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3BB0F3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474" w:type="dxa"/>
                  <w:tcBorders>
                    <w:tl2br w:val="nil"/>
                    <w:tr2bl w:val="nil"/>
                  </w:tcBorders>
                  <w:shd w:val="clear" w:color="auto" w:fill="auto"/>
                  <w:vAlign w:val="center"/>
                </w:tcPr>
                <w:p w14:paraId="529AB1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52 </w:t>
                  </w:r>
                </w:p>
              </w:tc>
              <w:tc>
                <w:tcPr>
                  <w:tcW w:w="931" w:type="dxa"/>
                  <w:tcBorders>
                    <w:tl2br w:val="nil"/>
                    <w:tr2bl w:val="nil"/>
                  </w:tcBorders>
                  <w:shd w:val="clear" w:color="auto" w:fill="auto"/>
                  <w:vAlign w:val="center"/>
                </w:tcPr>
                <w:p w14:paraId="3EE00BD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507" w:type="dxa"/>
                  <w:tcBorders>
                    <w:tl2br w:val="nil"/>
                    <w:tr2bl w:val="nil"/>
                  </w:tcBorders>
                  <w:shd w:val="clear" w:color="auto" w:fill="auto"/>
                  <w:vAlign w:val="center"/>
                </w:tcPr>
                <w:p w14:paraId="5CBC2E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1CFDF2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r>
            <w:tr w14:paraId="08E323E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2B45DFA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拉丝机（冷）12</w:t>
                  </w:r>
                </w:p>
              </w:tc>
              <w:tc>
                <w:tcPr>
                  <w:tcW w:w="898" w:type="dxa"/>
                  <w:tcBorders>
                    <w:tl2br w:val="nil"/>
                    <w:tr2bl w:val="nil"/>
                  </w:tcBorders>
                  <w:shd w:val="clear" w:color="auto" w:fill="auto"/>
                  <w:vAlign w:val="center"/>
                </w:tcPr>
                <w:p w14:paraId="25BA8E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575" w:type="dxa"/>
                  <w:tcBorders>
                    <w:tl2br w:val="nil"/>
                    <w:tr2bl w:val="nil"/>
                  </w:tcBorders>
                  <w:shd w:val="clear" w:color="auto" w:fill="auto"/>
                  <w:vAlign w:val="center"/>
                </w:tcPr>
                <w:p w14:paraId="3E6E3D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46 </w:t>
                  </w:r>
                </w:p>
              </w:tc>
              <w:tc>
                <w:tcPr>
                  <w:tcW w:w="880" w:type="dxa"/>
                  <w:tcBorders>
                    <w:tl2br w:val="nil"/>
                    <w:tr2bl w:val="nil"/>
                  </w:tcBorders>
                  <w:shd w:val="clear" w:color="auto" w:fill="auto"/>
                  <w:vAlign w:val="center"/>
                </w:tcPr>
                <w:p w14:paraId="4ACC4D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 </w:t>
                  </w:r>
                </w:p>
              </w:tc>
              <w:tc>
                <w:tcPr>
                  <w:tcW w:w="490" w:type="dxa"/>
                  <w:tcBorders>
                    <w:tl2br w:val="nil"/>
                    <w:tr2bl w:val="nil"/>
                  </w:tcBorders>
                  <w:shd w:val="clear" w:color="auto" w:fill="auto"/>
                  <w:vAlign w:val="center"/>
                </w:tcPr>
                <w:p w14:paraId="65A46C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27F9985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474" w:type="dxa"/>
                  <w:tcBorders>
                    <w:tl2br w:val="nil"/>
                    <w:tr2bl w:val="nil"/>
                  </w:tcBorders>
                  <w:shd w:val="clear" w:color="auto" w:fill="auto"/>
                  <w:vAlign w:val="center"/>
                </w:tcPr>
                <w:p w14:paraId="0E3495B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53 </w:t>
                  </w:r>
                </w:p>
              </w:tc>
              <w:tc>
                <w:tcPr>
                  <w:tcW w:w="931" w:type="dxa"/>
                  <w:tcBorders>
                    <w:tl2br w:val="nil"/>
                    <w:tr2bl w:val="nil"/>
                  </w:tcBorders>
                  <w:shd w:val="clear" w:color="auto" w:fill="auto"/>
                  <w:vAlign w:val="center"/>
                </w:tcPr>
                <w:p w14:paraId="22F755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507" w:type="dxa"/>
                  <w:tcBorders>
                    <w:tl2br w:val="nil"/>
                    <w:tr2bl w:val="nil"/>
                  </w:tcBorders>
                  <w:shd w:val="clear" w:color="auto" w:fill="auto"/>
                  <w:vAlign w:val="center"/>
                </w:tcPr>
                <w:p w14:paraId="6BAF31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0A67D1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r>
            <w:tr w14:paraId="7FC2E79B">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205BF3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拉丝机（冷）13</w:t>
                  </w:r>
                </w:p>
              </w:tc>
              <w:tc>
                <w:tcPr>
                  <w:tcW w:w="898" w:type="dxa"/>
                  <w:tcBorders>
                    <w:tl2br w:val="nil"/>
                    <w:tr2bl w:val="nil"/>
                  </w:tcBorders>
                  <w:shd w:val="clear" w:color="auto" w:fill="auto"/>
                  <w:vAlign w:val="center"/>
                </w:tcPr>
                <w:p w14:paraId="63229F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575" w:type="dxa"/>
                  <w:tcBorders>
                    <w:tl2br w:val="nil"/>
                    <w:tr2bl w:val="nil"/>
                  </w:tcBorders>
                  <w:shd w:val="clear" w:color="auto" w:fill="auto"/>
                  <w:vAlign w:val="center"/>
                </w:tcPr>
                <w:p w14:paraId="334D0A3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 </w:t>
                  </w:r>
                </w:p>
              </w:tc>
              <w:tc>
                <w:tcPr>
                  <w:tcW w:w="880" w:type="dxa"/>
                  <w:tcBorders>
                    <w:tl2br w:val="nil"/>
                    <w:tr2bl w:val="nil"/>
                  </w:tcBorders>
                  <w:shd w:val="clear" w:color="auto" w:fill="auto"/>
                  <w:vAlign w:val="center"/>
                </w:tcPr>
                <w:p w14:paraId="7E83A6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490" w:type="dxa"/>
                  <w:tcBorders>
                    <w:tl2br w:val="nil"/>
                    <w:tr2bl w:val="nil"/>
                  </w:tcBorders>
                  <w:shd w:val="clear" w:color="auto" w:fill="auto"/>
                  <w:vAlign w:val="center"/>
                </w:tcPr>
                <w:p w14:paraId="1AC4F5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1ADA483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474" w:type="dxa"/>
                  <w:tcBorders>
                    <w:tl2br w:val="nil"/>
                    <w:tr2bl w:val="nil"/>
                  </w:tcBorders>
                  <w:shd w:val="clear" w:color="auto" w:fill="auto"/>
                  <w:vAlign w:val="center"/>
                </w:tcPr>
                <w:p w14:paraId="3E0DB0B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 </w:t>
                  </w:r>
                </w:p>
              </w:tc>
              <w:tc>
                <w:tcPr>
                  <w:tcW w:w="931" w:type="dxa"/>
                  <w:tcBorders>
                    <w:tl2br w:val="nil"/>
                    <w:tr2bl w:val="nil"/>
                  </w:tcBorders>
                  <w:shd w:val="clear" w:color="auto" w:fill="auto"/>
                  <w:vAlign w:val="center"/>
                </w:tcPr>
                <w:p w14:paraId="286EA4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507" w:type="dxa"/>
                  <w:tcBorders>
                    <w:tl2br w:val="nil"/>
                    <w:tr2bl w:val="nil"/>
                  </w:tcBorders>
                  <w:shd w:val="clear" w:color="auto" w:fill="auto"/>
                  <w:vAlign w:val="center"/>
                </w:tcPr>
                <w:p w14:paraId="12D071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6A3E3C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r>
            <w:tr w14:paraId="0F8019C3">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0625C5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拉丝机（冷）14</w:t>
                  </w:r>
                </w:p>
              </w:tc>
              <w:tc>
                <w:tcPr>
                  <w:tcW w:w="898" w:type="dxa"/>
                  <w:tcBorders>
                    <w:tl2br w:val="nil"/>
                    <w:tr2bl w:val="nil"/>
                  </w:tcBorders>
                  <w:shd w:val="clear" w:color="auto" w:fill="auto"/>
                  <w:vAlign w:val="center"/>
                </w:tcPr>
                <w:p w14:paraId="768B12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575" w:type="dxa"/>
                  <w:tcBorders>
                    <w:tl2br w:val="nil"/>
                    <w:tr2bl w:val="nil"/>
                  </w:tcBorders>
                  <w:shd w:val="clear" w:color="auto" w:fill="auto"/>
                  <w:vAlign w:val="center"/>
                </w:tcPr>
                <w:p w14:paraId="51DCF1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880" w:type="dxa"/>
                  <w:tcBorders>
                    <w:tl2br w:val="nil"/>
                    <w:tr2bl w:val="nil"/>
                  </w:tcBorders>
                  <w:shd w:val="clear" w:color="auto" w:fill="auto"/>
                  <w:vAlign w:val="center"/>
                </w:tcPr>
                <w:p w14:paraId="01425A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490" w:type="dxa"/>
                  <w:tcBorders>
                    <w:tl2br w:val="nil"/>
                    <w:tr2bl w:val="nil"/>
                  </w:tcBorders>
                  <w:shd w:val="clear" w:color="auto" w:fill="auto"/>
                  <w:vAlign w:val="center"/>
                </w:tcPr>
                <w:p w14:paraId="6FDE116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531F8B3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474" w:type="dxa"/>
                  <w:tcBorders>
                    <w:tl2br w:val="nil"/>
                    <w:tr2bl w:val="nil"/>
                  </w:tcBorders>
                  <w:shd w:val="clear" w:color="auto" w:fill="auto"/>
                  <w:vAlign w:val="center"/>
                </w:tcPr>
                <w:p w14:paraId="6E8ED3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14 </w:t>
                  </w:r>
                </w:p>
              </w:tc>
              <w:tc>
                <w:tcPr>
                  <w:tcW w:w="931" w:type="dxa"/>
                  <w:tcBorders>
                    <w:tl2br w:val="nil"/>
                    <w:tr2bl w:val="nil"/>
                  </w:tcBorders>
                  <w:shd w:val="clear" w:color="auto" w:fill="auto"/>
                  <w:vAlign w:val="center"/>
                </w:tcPr>
                <w:p w14:paraId="77DF263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31 </w:t>
                  </w:r>
                </w:p>
              </w:tc>
              <w:tc>
                <w:tcPr>
                  <w:tcW w:w="507" w:type="dxa"/>
                  <w:tcBorders>
                    <w:tl2br w:val="nil"/>
                    <w:tr2bl w:val="nil"/>
                  </w:tcBorders>
                  <w:shd w:val="clear" w:color="auto" w:fill="auto"/>
                  <w:vAlign w:val="center"/>
                </w:tcPr>
                <w:p w14:paraId="4568510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1C7A197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r>
            <w:tr w14:paraId="0A913629">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554F6D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拉丝机（冷）15</w:t>
                  </w:r>
                </w:p>
              </w:tc>
              <w:tc>
                <w:tcPr>
                  <w:tcW w:w="898" w:type="dxa"/>
                  <w:tcBorders>
                    <w:tl2br w:val="nil"/>
                    <w:tr2bl w:val="nil"/>
                  </w:tcBorders>
                  <w:shd w:val="clear" w:color="auto" w:fill="auto"/>
                  <w:vAlign w:val="center"/>
                </w:tcPr>
                <w:p w14:paraId="11794E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575" w:type="dxa"/>
                  <w:tcBorders>
                    <w:tl2br w:val="nil"/>
                    <w:tr2bl w:val="nil"/>
                  </w:tcBorders>
                  <w:shd w:val="clear" w:color="auto" w:fill="auto"/>
                  <w:vAlign w:val="center"/>
                </w:tcPr>
                <w:p w14:paraId="1ED646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 </w:t>
                  </w:r>
                </w:p>
              </w:tc>
              <w:tc>
                <w:tcPr>
                  <w:tcW w:w="880" w:type="dxa"/>
                  <w:tcBorders>
                    <w:tl2br w:val="nil"/>
                    <w:tr2bl w:val="nil"/>
                  </w:tcBorders>
                  <w:shd w:val="clear" w:color="auto" w:fill="auto"/>
                  <w:vAlign w:val="center"/>
                </w:tcPr>
                <w:p w14:paraId="7C5CD0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490" w:type="dxa"/>
                  <w:tcBorders>
                    <w:tl2br w:val="nil"/>
                    <w:tr2bl w:val="nil"/>
                  </w:tcBorders>
                  <w:shd w:val="clear" w:color="auto" w:fill="auto"/>
                  <w:vAlign w:val="center"/>
                </w:tcPr>
                <w:p w14:paraId="23E98BA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50A829E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474" w:type="dxa"/>
                  <w:tcBorders>
                    <w:tl2br w:val="nil"/>
                    <w:tr2bl w:val="nil"/>
                  </w:tcBorders>
                  <w:shd w:val="clear" w:color="auto" w:fill="auto"/>
                  <w:vAlign w:val="center"/>
                </w:tcPr>
                <w:p w14:paraId="342BE3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15 </w:t>
                  </w:r>
                </w:p>
              </w:tc>
              <w:tc>
                <w:tcPr>
                  <w:tcW w:w="931" w:type="dxa"/>
                  <w:tcBorders>
                    <w:tl2br w:val="nil"/>
                    <w:tr2bl w:val="nil"/>
                  </w:tcBorders>
                  <w:shd w:val="clear" w:color="auto" w:fill="auto"/>
                  <w:vAlign w:val="center"/>
                </w:tcPr>
                <w:p w14:paraId="4A1D9BD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507" w:type="dxa"/>
                  <w:tcBorders>
                    <w:tl2br w:val="nil"/>
                    <w:tr2bl w:val="nil"/>
                  </w:tcBorders>
                  <w:shd w:val="clear" w:color="auto" w:fill="auto"/>
                  <w:vAlign w:val="center"/>
                </w:tcPr>
                <w:p w14:paraId="67577E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6DB9A8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r>
            <w:tr w14:paraId="72661C8A">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0DCF6F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拉丝机（冷）16</w:t>
                  </w:r>
                </w:p>
              </w:tc>
              <w:tc>
                <w:tcPr>
                  <w:tcW w:w="898" w:type="dxa"/>
                  <w:tcBorders>
                    <w:tl2br w:val="nil"/>
                    <w:tr2bl w:val="nil"/>
                  </w:tcBorders>
                  <w:shd w:val="clear" w:color="auto" w:fill="auto"/>
                  <w:vAlign w:val="center"/>
                </w:tcPr>
                <w:p w14:paraId="074C51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575" w:type="dxa"/>
                  <w:tcBorders>
                    <w:tl2br w:val="nil"/>
                    <w:tr2bl w:val="nil"/>
                  </w:tcBorders>
                  <w:shd w:val="clear" w:color="auto" w:fill="auto"/>
                  <w:vAlign w:val="center"/>
                </w:tcPr>
                <w:p w14:paraId="192A3A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 </w:t>
                  </w:r>
                </w:p>
              </w:tc>
              <w:tc>
                <w:tcPr>
                  <w:tcW w:w="880" w:type="dxa"/>
                  <w:tcBorders>
                    <w:tl2br w:val="nil"/>
                    <w:tr2bl w:val="nil"/>
                  </w:tcBorders>
                  <w:shd w:val="clear" w:color="auto" w:fill="auto"/>
                  <w:vAlign w:val="center"/>
                </w:tcPr>
                <w:p w14:paraId="0C51B4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490" w:type="dxa"/>
                  <w:tcBorders>
                    <w:tl2br w:val="nil"/>
                    <w:tr2bl w:val="nil"/>
                  </w:tcBorders>
                  <w:shd w:val="clear" w:color="auto" w:fill="auto"/>
                  <w:vAlign w:val="center"/>
                </w:tcPr>
                <w:p w14:paraId="1933F6C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41ADC5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474" w:type="dxa"/>
                  <w:tcBorders>
                    <w:tl2br w:val="nil"/>
                    <w:tr2bl w:val="nil"/>
                  </w:tcBorders>
                  <w:shd w:val="clear" w:color="auto" w:fill="auto"/>
                  <w:vAlign w:val="center"/>
                </w:tcPr>
                <w:p w14:paraId="4A7E57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16 </w:t>
                  </w:r>
                </w:p>
              </w:tc>
              <w:tc>
                <w:tcPr>
                  <w:tcW w:w="931" w:type="dxa"/>
                  <w:tcBorders>
                    <w:tl2br w:val="nil"/>
                    <w:tr2bl w:val="nil"/>
                  </w:tcBorders>
                  <w:shd w:val="clear" w:color="auto" w:fill="auto"/>
                  <w:vAlign w:val="center"/>
                </w:tcPr>
                <w:p w14:paraId="1EB38BA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30 </w:t>
                  </w:r>
                </w:p>
              </w:tc>
              <w:tc>
                <w:tcPr>
                  <w:tcW w:w="507" w:type="dxa"/>
                  <w:tcBorders>
                    <w:tl2br w:val="nil"/>
                    <w:tr2bl w:val="nil"/>
                  </w:tcBorders>
                  <w:shd w:val="clear" w:color="auto" w:fill="auto"/>
                  <w:vAlign w:val="center"/>
                </w:tcPr>
                <w:p w14:paraId="04F485C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3BE3669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r>
            <w:tr w14:paraId="5FF086B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30F01C5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拉丝机（冷）17</w:t>
                  </w:r>
                </w:p>
              </w:tc>
              <w:tc>
                <w:tcPr>
                  <w:tcW w:w="898" w:type="dxa"/>
                  <w:tcBorders>
                    <w:tl2br w:val="nil"/>
                    <w:tr2bl w:val="nil"/>
                  </w:tcBorders>
                  <w:shd w:val="clear" w:color="auto" w:fill="auto"/>
                  <w:vAlign w:val="center"/>
                </w:tcPr>
                <w:p w14:paraId="24B9EF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575" w:type="dxa"/>
                  <w:tcBorders>
                    <w:tl2br w:val="nil"/>
                    <w:tr2bl w:val="nil"/>
                  </w:tcBorders>
                  <w:shd w:val="clear" w:color="auto" w:fill="auto"/>
                  <w:vAlign w:val="center"/>
                </w:tcPr>
                <w:p w14:paraId="293476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17 </w:t>
                  </w:r>
                </w:p>
              </w:tc>
              <w:tc>
                <w:tcPr>
                  <w:tcW w:w="880" w:type="dxa"/>
                  <w:tcBorders>
                    <w:tl2br w:val="nil"/>
                    <w:tr2bl w:val="nil"/>
                  </w:tcBorders>
                  <w:shd w:val="clear" w:color="auto" w:fill="auto"/>
                  <w:vAlign w:val="center"/>
                </w:tcPr>
                <w:p w14:paraId="12E8C4F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490" w:type="dxa"/>
                  <w:tcBorders>
                    <w:tl2br w:val="nil"/>
                    <w:tr2bl w:val="nil"/>
                  </w:tcBorders>
                  <w:shd w:val="clear" w:color="auto" w:fill="auto"/>
                  <w:vAlign w:val="center"/>
                </w:tcPr>
                <w:p w14:paraId="2247D99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1F7B29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474" w:type="dxa"/>
                  <w:tcBorders>
                    <w:tl2br w:val="nil"/>
                    <w:tr2bl w:val="nil"/>
                  </w:tcBorders>
                  <w:shd w:val="clear" w:color="auto" w:fill="auto"/>
                  <w:vAlign w:val="center"/>
                </w:tcPr>
                <w:p w14:paraId="32AFC17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17 </w:t>
                  </w:r>
                </w:p>
              </w:tc>
              <w:tc>
                <w:tcPr>
                  <w:tcW w:w="931" w:type="dxa"/>
                  <w:tcBorders>
                    <w:tl2br w:val="nil"/>
                    <w:tr2bl w:val="nil"/>
                  </w:tcBorders>
                  <w:shd w:val="clear" w:color="auto" w:fill="auto"/>
                  <w:vAlign w:val="center"/>
                </w:tcPr>
                <w:p w14:paraId="57F106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507" w:type="dxa"/>
                  <w:tcBorders>
                    <w:tl2br w:val="nil"/>
                    <w:tr2bl w:val="nil"/>
                  </w:tcBorders>
                  <w:shd w:val="clear" w:color="auto" w:fill="auto"/>
                  <w:vAlign w:val="center"/>
                </w:tcPr>
                <w:p w14:paraId="1B98C2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529488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r>
            <w:tr w14:paraId="6778DFC4">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5A854B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拉丝机（冷）18</w:t>
                  </w:r>
                </w:p>
              </w:tc>
              <w:tc>
                <w:tcPr>
                  <w:tcW w:w="898" w:type="dxa"/>
                  <w:tcBorders>
                    <w:tl2br w:val="nil"/>
                    <w:tr2bl w:val="nil"/>
                  </w:tcBorders>
                  <w:shd w:val="clear" w:color="auto" w:fill="auto"/>
                  <w:vAlign w:val="center"/>
                </w:tcPr>
                <w:p w14:paraId="7DA2F69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575" w:type="dxa"/>
                  <w:tcBorders>
                    <w:tl2br w:val="nil"/>
                    <w:tr2bl w:val="nil"/>
                  </w:tcBorders>
                  <w:shd w:val="clear" w:color="auto" w:fill="auto"/>
                  <w:vAlign w:val="center"/>
                </w:tcPr>
                <w:p w14:paraId="71CB04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880" w:type="dxa"/>
                  <w:tcBorders>
                    <w:tl2br w:val="nil"/>
                    <w:tr2bl w:val="nil"/>
                  </w:tcBorders>
                  <w:shd w:val="clear" w:color="auto" w:fill="auto"/>
                  <w:vAlign w:val="center"/>
                </w:tcPr>
                <w:p w14:paraId="0F72AE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490" w:type="dxa"/>
                  <w:tcBorders>
                    <w:tl2br w:val="nil"/>
                    <w:tr2bl w:val="nil"/>
                  </w:tcBorders>
                  <w:shd w:val="clear" w:color="auto" w:fill="auto"/>
                  <w:vAlign w:val="center"/>
                </w:tcPr>
                <w:p w14:paraId="595D86D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4033861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474" w:type="dxa"/>
                  <w:tcBorders>
                    <w:tl2br w:val="nil"/>
                    <w:tr2bl w:val="nil"/>
                  </w:tcBorders>
                  <w:shd w:val="clear" w:color="auto" w:fill="auto"/>
                  <w:vAlign w:val="center"/>
                </w:tcPr>
                <w:p w14:paraId="1142BC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31" w:type="dxa"/>
                  <w:tcBorders>
                    <w:tl2br w:val="nil"/>
                    <w:tr2bl w:val="nil"/>
                  </w:tcBorders>
                  <w:shd w:val="clear" w:color="auto" w:fill="auto"/>
                  <w:vAlign w:val="center"/>
                </w:tcPr>
                <w:p w14:paraId="221A7C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c>
                <w:tcPr>
                  <w:tcW w:w="507" w:type="dxa"/>
                  <w:tcBorders>
                    <w:tl2br w:val="nil"/>
                    <w:tr2bl w:val="nil"/>
                  </w:tcBorders>
                  <w:shd w:val="clear" w:color="auto" w:fill="auto"/>
                  <w:vAlign w:val="center"/>
                </w:tcPr>
                <w:p w14:paraId="2F9BF5E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6AEC9E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r>
            <w:tr w14:paraId="73E7D298">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4E8D63F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拉丝机（冷）19</w:t>
                  </w:r>
                </w:p>
              </w:tc>
              <w:tc>
                <w:tcPr>
                  <w:tcW w:w="898" w:type="dxa"/>
                  <w:tcBorders>
                    <w:tl2br w:val="nil"/>
                    <w:tr2bl w:val="nil"/>
                  </w:tcBorders>
                  <w:shd w:val="clear" w:color="auto" w:fill="auto"/>
                  <w:vAlign w:val="center"/>
                </w:tcPr>
                <w:p w14:paraId="6384325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575" w:type="dxa"/>
                  <w:tcBorders>
                    <w:tl2br w:val="nil"/>
                    <w:tr2bl w:val="nil"/>
                  </w:tcBorders>
                  <w:shd w:val="clear" w:color="auto" w:fill="auto"/>
                  <w:vAlign w:val="center"/>
                </w:tcPr>
                <w:p w14:paraId="5963388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880" w:type="dxa"/>
                  <w:tcBorders>
                    <w:tl2br w:val="nil"/>
                    <w:tr2bl w:val="nil"/>
                  </w:tcBorders>
                  <w:shd w:val="clear" w:color="auto" w:fill="auto"/>
                  <w:vAlign w:val="center"/>
                </w:tcPr>
                <w:p w14:paraId="707D65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490" w:type="dxa"/>
                  <w:tcBorders>
                    <w:tl2br w:val="nil"/>
                    <w:tr2bl w:val="nil"/>
                  </w:tcBorders>
                  <w:shd w:val="clear" w:color="auto" w:fill="auto"/>
                  <w:vAlign w:val="center"/>
                </w:tcPr>
                <w:p w14:paraId="797723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7AABF1E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474" w:type="dxa"/>
                  <w:tcBorders>
                    <w:tl2br w:val="nil"/>
                    <w:tr2bl w:val="nil"/>
                  </w:tcBorders>
                  <w:shd w:val="clear" w:color="auto" w:fill="auto"/>
                  <w:vAlign w:val="center"/>
                </w:tcPr>
                <w:p w14:paraId="5D8086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931" w:type="dxa"/>
                  <w:tcBorders>
                    <w:tl2br w:val="nil"/>
                    <w:tr2bl w:val="nil"/>
                  </w:tcBorders>
                  <w:shd w:val="clear" w:color="auto" w:fill="auto"/>
                  <w:vAlign w:val="center"/>
                </w:tcPr>
                <w:p w14:paraId="56F0A51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507" w:type="dxa"/>
                  <w:tcBorders>
                    <w:tl2br w:val="nil"/>
                    <w:tr2bl w:val="nil"/>
                  </w:tcBorders>
                  <w:shd w:val="clear" w:color="auto" w:fill="auto"/>
                  <w:vAlign w:val="center"/>
                </w:tcPr>
                <w:p w14:paraId="0E26E53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7C40A0C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r>
            <w:tr w14:paraId="3C45A59D">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4D7687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拉丝机（冷）20</w:t>
                  </w:r>
                </w:p>
              </w:tc>
              <w:tc>
                <w:tcPr>
                  <w:tcW w:w="898" w:type="dxa"/>
                  <w:tcBorders>
                    <w:tl2br w:val="nil"/>
                    <w:tr2bl w:val="nil"/>
                  </w:tcBorders>
                  <w:shd w:val="clear" w:color="auto" w:fill="auto"/>
                  <w:vAlign w:val="center"/>
                </w:tcPr>
                <w:p w14:paraId="1A32B4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w:t>
                  </w:r>
                </w:p>
              </w:tc>
              <w:tc>
                <w:tcPr>
                  <w:tcW w:w="575" w:type="dxa"/>
                  <w:tcBorders>
                    <w:tl2br w:val="nil"/>
                    <w:tr2bl w:val="nil"/>
                  </w:tcBorders>
                  <w:shd w:val="clear" w:color="auto" w:fill="auto"/>
                  <w:vAlign w:val="center"/>
                </w:tcPr>
                <w:p w14:paraId="0E9F38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880" w:type="dxa"/>
                  <w:tcBorders>
                    <w:tl2br w:val="nil"/>
                    <w:tr2bl w:val="nil"/>
                  </w:tcBorders>
                  <w:shd w:val="clear" w:color="auto" w:fill="auto"/>
                  <w:vAlign w:val="center"/>
                </w:tcPr>
                <w:p w14:paraId="30C8F9F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490" w:type="dxa"/>
                  <w:tcBorders>
                    <w:tl2br w:val="nil"/>
                    <w:tr2bl w:val="nil"/>
                  </w:tcBorders>
                  <w:shd w:val="clear" w:color="auto" w:fill="auto"/>
                  <w:vAlign w:val="center"/>
                </w:tcPr>
                <w:p w14:paraId="21D4755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12 </w:t>
                  </w:r>
                </w:p>
              </w:tc>
              <w:tc>
                <w:tcPr>
                  <w:tcW w:w="864" w:type="dxa"/>
                  <w:tcBorders>
                    <w:tl2br w:val="nil"/>
                    <w:tr2bl w:val="nil"/>
                  </w:tcBorders>
                  <w:shd w:val="clear" w:color="auto" w:fill="auto"/>
                  <w:vAlign w:val="center"/>
                </w:tcPr>
                <w:p w14:paraId="4D5869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32 </w:t>
                  </w:r>
                </w:p>
              </w:tc>
              <w:tc>
                <w:tcPr>
                  <w:tcW w:w="474" w:type="dxa"/>
                  <w:tcBorders>
                    <w:tl2br w:val="nil"/>
                    <w:tr2bl w:val="nil"/>
                  </w:tcBorders>
                  <w:shd w:val="clear" w:color="auto" w:fill="auto"/>
                  <w:vAlign w:val="center"/>
                </w:tcPr>
                <w:p w14:paraId="163537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20 </w:t>
                  </w:r>
                </w:p>
              </w:tc>
              <w:tc>
                <w:tcPr>
                  <w:tcW w:w="931" w:type="dxa"/>
                  <w:tcBorders>
                    <w:tl2br w:val="nil"/>
                    <w:tr2bl w:val="nil"/>
                  </w:tcBorders>
                  <w:shd w:val="clear" w:color="auto" w:fill="auto"/>
                  <w:vAlign w:val="center"/>
                </w:tcPr>
                <w:p w14:paraId="4A87A9C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28 </w:t>
                  </w:r>
                </w:p>
              </w:tc>
              <w:tc>
                <w:tcPr>
                  <w:tcW w:w="507" w:type="dxa"/>
                  <w:tcBorders>
                    <w:tl2br w:val="nil"/>
                    <w:tr2bl w:val="nil"/>
                  </w:tcBorders>
                  <w:shd w:val="clear" w:color="auto" w:fill="auto"/>
                  <w:vAlign w:val="center"/>
                </w:tcPr>
                <w:p w14:paraId="24A032E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18 </w:t>
                  </w:r>
                </w:p>
              </w:tc>
              <w:tc>
                <w:tcPr>
                  <w:tcW w:w="906" w:type="dxa"/>
                  <w:tcBorders>
                    <w:tl2br w:val="nil"/>
                    <w:tr2bl w:val="nil"/>
                  </w:tcBorders>
                  <w:shd w:val="clear" w:color="auto" w:fill="auto"/>
                  <w:vAlign w:val="center"/>
                </w:tcPr>
                <w:p w14:paraId="2EE450C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29 </w:t>
                  </w:r>
                </w:p>
              </w:tc>
            </w:tr>
            <w:tr w14:paraId="44C7597C">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1934" w:type="dxa"/>
                  <w:tcBorders>
                    <w:tl2br w:val="nil"/>
                    <w:tr2bl w:val="nil"/>
                  </w:tcBorders>
                  <w:shd w:val="clear" w:color="auto" w:fill="auto"/>
                  <w:vAlign w:val="center"/>
                </w:tcPr>
                <w:p w14:paraId="44C937C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ascii="宋体" w:hAnsi="宋体" w:eastAsia="宋体" w:cs="宋体"/>
                      <w:i w:val="0"/>
                      <w:iCs w:val="0"/>
                      <w:color w:val="auto"/>
                      <w:kern w:val="0"/>
                      <w:sz w:val="21"/>
                      <w:szCs w:val="21"/>
                      <w:u w:val="none"/>
                      <w:lang w:val="en-US" w:eastAsia="zh-CN" w:bidi="ar"/>
                    </w:rPr>
                    <w:t>无心车床</w:t>
                  </w:r>
                </w:p>
              </w:tc>
              <w:tc>
                <w:tcPr>
                  <w:tcW w:w="898" w:type="dxa"/>
                  <w:tcBorders>
                    <w:tl2br w:val="nil"/>
                    <w:tr2bl w:val="nil"/>
                  </w:tcBorders>
                  <w:shd w:val="clear" w:color="auto" w:fill="auto"/>
                  <w:vAlign w:val="center"/>
                </w:tcPr>
                <w:p w14:paraId="4FD021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w:t>
                  </w:r>
                </w:p>
              </w:tc>
              <w:tc>
                <w:tcPr>
                  <w:tcW w:w="575" w:type="dxa"/>
                  <w:tcBorders>
                    <w:tl2br w:val="nil"/>
                    <w:tr2bl w:val="nil"/>
                  </w:tcBorders>
                  <w:shd w:val="clear" w:color="auto" w:fill="auto"/>
                  <w:vAlign w:val="center"/>
                </w:tcPr>
                <w:p w14:paraId="34C4D08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 </w:t>
                  </w:r>
                </w:p>
              </w:tc>
              <w:tc>
                <w:tcPr>
                  <w:tcW w:w="880" w:type="dxa"/>
                  <w:tcBorders>
                    <w:tl2br w:val="nil"/>
                    <w:tr2bl w:val="nil"/>
                  </w:tcBorders>
                  <w:shd w:val="clear" w:color="auto" w:fill="auto"/>
                  <w:vAlign w:val="center"/>
                </w:tcPr>
                <w:p w14:paraId="18FA98E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490" w:type="dxa"/>
                  <w:tcBorders>
                    <w:tl2br w:val="nil"/>
                    <w:tr2bl w:val="nil"/>
                  </w:tcBorders>
                  <w:shd w:val="clear" w:color="auto" w:fill="auto"/>
                  <w:vAlign w:val="center"/>
                </w:tcPr>
                <w:p w14:paraId="48BE308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13 </w:t>
                  </w:r>
                </w:p>
              </w:tc>
              <w:tc>
                <w:tcPr>
                  <w:tcW w:w="864" w:type="dxa"/>
                  <w:tcBorders>
                    <w:tl2br w:val="nil"/>
                    <w:tr2bl w:val="nil"/>
                  </w:tcBorders>
                  <w:shd w:val="clear" w:color="auto" w:fill="auto"/>
                  <w:vAlign w:val="center"/>
                </w:tcPr>
                <w:p w14:paraId="63DA694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23 </w:t>
                  </w:r>
                </w:p>
              </w:tc>
              <w:tc>
                <w:tcPr>
                  <w:tcW w:w="474" w:type="dxa"/>
                  <w:tcBorders>
                    <w:tl2br w:val="nil"/>
                    <w:tr2bl w:val="nil"/>
                  </w:tcBorders>
                  <w:shd w:val="clear" w:color="auto" w:fill="auto"/>
                  <w:vAlign w:val="center"/>
                </w:tcPr>
                <w:p w14:paraId="54CEFD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21 </w:t>
                  </w:r>
                </w:p>
              </w:tc>
              <w:tc>
                <w:tcPr>
                  <w:tcW w:w="931" w:type="dxa"/>
                  <w:tcBorders>
                    <w:tl2br w:val="nil"/>
                    <w:tr2bl w:val="nil"/>
                  </w:tcBorders>
                  <w:shd w:val="clear" w:color="auto" w:fill="auto"/>
                  <w:vAlign w:val="center"/>
                </w:tcPr>
                <w:p w14:paraId="73F701C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19 </w:t>
                  </w:r>
                </w:p>
              </w:tc>
              <w:tc>
                <w:tcPr>
                  <w:tcW w:w="507" w:type="dxa"/>
                  <w:tcBorders>
                    <w:tl2br w:val="nil"/>
                    <w:tr2bl w:val="nil"/>
                  </w:tcBorders>
                  <w:shd w:val="clear" w:color="auto" w:fill="auto"/>
                  <w:vAlign w:val="center"/>
                </w:tcPr>
                <w:p w14:paraId="71C5C9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8 </w:t>
                  </w:r>
                </w:p>
              </w:tc>
              <w:tc>
                <w:tcPr>
                  <w:tcW w:w="906" w:type="dxa"/>
                  <w:tcBorders>
                    <w:tl2br w:val="nil"/>
                    <w:tr2bl w:val="nil"/>
                  </w:tcBorders>
                  <w:shd w:val="clear" w:color="auto" w:fill="auto"/>
                  <w:vAlign w:val="center"/>
                </w:tcPr>
                <w:p w14:paraId="0E3F4F0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 xml:space="preserve">27 </w:t>
                  </w:r>
                </w:p>
              </w:tc>
            </w:tr>
            <w:tr w14:paraId="46AC66C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832" w:type="dxa"/>
                  <w:gridSpan w:val="2"/>
                  <w:tcBorders>
                    <w:tl2br w:val="nil"/>
                    <w:tr2bl w:val="nil"/>
                  </w:tcBorders>
                  <w:shd w:val="clear" w:color="auto" w:fill="auto"/>
                  <w:vAlign w:val="center"/>
                </w:tcPr>
                <w:p w14:paraId="63563114">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叠加贡献值</w:t>
                  </w:r>
                </w:p>
              </w:tc>
              <w:tc>
                <w:tcPr>
                  <w:tcW w:w="575" w:type="dxa"/>
                  <w:tcBorders>
                    <w:tl2br w:val="nil"/>
                    <w:tr2bl w:val="nil"/>
                  </w:tcBorders>
                  <w:shd w:val="clear" w:color="auto" w:fill="auto"/>
                  <w:vAlign w:val="center"/>
                </w:tcPr>
                <w:p w14:paraId="5B6E57EF">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b w:val="0"/>
                      <w:bCs w:val="0"/>
                      <w:color w:val="auto"/>
                      <w:sz w:val="21"/>
                      <w:szCs w:val="21"/>
                      <w:lang w:val="en-US" w:eastAsia="zh-CN"/>
                    </w:rPr>
                    <w:t>-</w:t>
                  </w:r>
                </w:p>
              </w:tc>
              <w:tc>
                <w:tcPr>
                  <w:tcW w:w="880" w:type="dxa"/>
                  <w:tcBorders>
                    <w:tl2br w:val="nil"/>
                    <w:tr2bl w:val="nil"/>
                  </w:tcBorders>
                  <w:shd w:val="clear" w:color="auto" w:fill="auto"/>
                  <w:vAlign w:val="center"/>
                </w:tcPr>
                <w:p w14:paraId="3FEDCA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42</w:t>
                  </w:r>
                </w:p>
              </w:tc>
              <w:tc>
                <w:tcPr>
                  <w:tcW w:w="490" w:type="dxa"/>
                  <w:tcBorders>
                    <w:tl2br w:val="nil"/>
                    <w:tr2bl w:val="nil"/>
                  </w:tcBorders>
                  <w:shd w:val="clear" w:color="auto" w:fill="auto"/>
                  <w:vAlign w:val="center"/>
                </w:tcPr>
                <w:p w14:paraId="6BBEDA92">
                  <w:pPr>
                    <w:jc w:val="center"/>
                    <w:rPr>
                      <w:rFonts w:hint="default" w:ascii="Times New Roman" w:hAnsi="Times New Roman" w:eastAsia="宋体" w:cs="Times New Roman"/>
                      <w:i w:val="0"/>
                      <w:iCs w:val="0"/>
                      <w:color w:val="auto"/>
                      <w:sz w:val="21"/>
                      <w:szCs w:val="21"/>
                      <w:u w:val="none"/>
                    </w:rPr>
                  </w:pPr>
                </w:p>
              </w:tc>
              <w:tc>
                <w:tcPr>
                  <w:tcW w:w="864" w:type="dxa"/>
                  <w:tcBorders>
                    <w:tl2br w:val="nil"/>
                    <w:tr2bl w:val="nil"/>
                  </w:tcBorders>
                  <w:shd w:val="clear" w:color="auto" w:fill="auto"/>
                  <w:vAlign w:val="center"/>
                </w:tcPr>
                <w:p w14:paraId="2760D6F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50</w:t>
                  </w:r>
                </w:p>
              </w:tc>
              <w:tc>
                <w:tcPr>
                  <w:tcW w:w="474" w:type="dxa"/>
                  <w:tcBorders>
                    <w:tl2br w:val="nil"/>
                    <w:tr2bl w:val="nil"/>
                  </w:tcBorders>
                  <w:shd w:val="clear" w:color="auto" w:fill="auto"/>
                  <w:vAlign w:val="center"/>
                </w:tcPr>
                <w:p w14:paraId="7C99F185">
                  <w:pPr>
                    <w:jc w:val="center"/>
                    <w:rPr>
                      <w:rFonts w:hint="default" w:ascii="Times New Roman" w:hAnsi="Times New Roman" w:eastAsia="宋体" w:cs="Times New Roman"/>
                      <w:i w:val="0"/>
                      <w:iCs w:val="0"/>
                      <w:color w:val="auto"/>
                      <w:sz w:val="21"/>
                      <w:szCs w:val="21"/>
                      <w:u w:val="none"/>
                    </w:rPr>
                  </w:pPr>
                </w:p>
              </w:tc>
              <w:tc>
                <w:tcPr>
                  <w:tcW w:w="931" w:type="dxa"/>
                  <w:tcBorders>
                    <w:tl2br w:val="nil"/>
                    <w:tr2bl w:val="nil"/>
                  </w:tcBorders>
                  <w:shd w:val="clear" w:color="auto" w:fill="auto"/>
                  <w:vAlign w:val="center"/>
                </w:tcPr>
                <w:p w14:paraId="7F3B5F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41</w:t>
                  </w:r>
                </w:p>
              </w:tc>
              <w:tc>
                <w:tcPr>
                  <w:tcW w:w="507" w:type="dxa"/>
                  <w:tcBorders>
                    <w:tl2br w:val="nil"/>
                    <w:tr2bl w:val="nil"/>
                  </w:tcBorders>
                  <w:shd w:val="clear" w:color="auto" w:fill="auto"/>
                  <w:vAlign w:val="center"/>
                </w:tcPr>
                <w:p w14:paraId="089A47E0">
                  <w:pPr>
                    <w:jc w:val="center"/>
                    <w:rPr>
                      <w:rFonts w:hint="default" w:ascii="Times New Roman" w:hAnsi="Times New Roman" w:eastAsia="宋体" w:cs="Times New Roman"/>
                      <w:i w:val="0"/>
                      <w:iCs w:val="0"/>
                      <w:color w:val="auto"/>
                      <w:sz w:val="21"/>
                      <w:szCs w:val="21"/>
                      <w:u w:val="none"/>
                    </w:rPr>
                  </w:pPr>
                </w:p>
              </w:tc>
              <w:tc>
                <w:tcPr>
                  <w:tcW w:w="906" w:type="dxa"/>
                  <w:tcBorders>
                    <w:tl2br w:val="nil"/>
                    <w:tr2bl w:val="nil"/>
                  </w:tcBorders>
                  <w:shd w:val="clear" w:color="auto" w:fill="auto"/>
                  <w:vAlign w:val="center"/>
                </w:tcPr>
                <w:p w14:paraId="30397FC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48</w:t>
                  </w:r>
                  <w:r>
                    <w:rPr>
                      <w:rFonts w:hint="default" w:ascii="Times New Roman" w:hAnsi="Times New Roman" w:eastAsia="宋体" w:cs="Times New Roman"/>
                      <w:i w:val="0"/>
                      <w:iCs w:val="0"/>
                      <w:color w:val="auto"/>
                      <w:kern w:val="0"/>
                      <w:sz w:val="21"/>
                      <w:szCs w:val="21"/>
                      <w:u w:val="none"/>
                      <w:lang w:val="en-US" w:eastAsia="zh-CN" w:bidi="ar"/>
                    </w:rPr>
                    <w:t xml:space="preserve"> </w:t>
                  </w:r>
                </w:p>
              </w:tc>
            </w:tr>
            <w:tr w14:paraId="791561FF">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832" w:type="dxa"/>
                  <w:gridSpan w:val="2"/>
                  <w:tcBorders>
                    <w:tl2br w:val="nil"/>
                    <w:tr2bl w:val="nil"/>
                  </w:tcBorders>
                  <w:shd w:val="clear" w:color="auto" w:fill="auto"/>
                  <w:vAlign w:val="center"/>
                </w:tcPr>
                <w:p w14:paraId="612D7E48">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rPr>
                    <w:t>标准值</w:t>
                  </w:r>
                </w:p>
              </w:tc>
              <w:tc>
                <w:tcPr>
                  <w:tcW w:w="575" w:type="dxa"/>
                  <w:tcBorders>
                    <w:tl2br w:val="nil"/>
                    <w:tr2bl w:val="nil"/>
                  </w:tcBorders>
                  <w:shd w:val="clear" w:color="auto" w:fill="auto"/>
                  <w:vAlign w:val="center"/>
                </w:tcPr>
                <w:p w14:paraId="00C8FC1A">
                  <w:pPr>
                    <w:pStyle w:val="4"/>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b w:val="0"/>
                      <w:bCs w:val="0"/>
                      <w:color w:val="auto"/>
                      <w:sz w:val="21"/>
                      <w:szCs w:val="21"/>
                      <w:lang w:val="en-US" w:eastAsia="zh-CN"/>
                    </w:rPr>
                    <w:t>-</w:t>
                  </w:r>
                </w:p>
              </w:tc>
              <w:tc>
                <w:tcPr>
                  <w:tcW w:w="880" w:type="dxa"/>
                  <w:tcBorders>
                    <w:tl2br w:val="nil"/>
                    <w:tr2bl w:val="nil"/>
                  </w:tcBorders>
                  <w:shd w:val="clear" w:color="auto" w:fill="auto"/>
                  <w:vAlign w:val="center"/>
                </w:tcPr>
                <w:p w14:paraId="5B020369">
                  <w:pPr>
                    <w:pStyle w:val="4"/>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b w:val="0"/>
                      <w:bCs w:val="0"/>
                      <w:color w:val="auto"/>
                      <w:sz w:val="21"/>
                      <w:szCs w:val="21"/>
                      <w:lang w:val="en-US" w:eastAsia="zh-CN"/>
                    </w:rPr>
                    <w:t>65</w:t>
                  </w:r>
                  <w:r>
                    <w:rPr>
                      <w:rFonts w:hint="eastAsia" w:ascii="Times New Roman" w:hAnsi="Times New Roman" w:cs="Times New Roman"/>
                      <w:b w:val="0"/>
                      <w:bCs w:val="0"/>
                      <w:color w:val="auto"/>
                      <w:sz w:val="21"/>
                      <w:szCs w:val="21"/>
                      <w:lang w:val="en-US" w:eastAsia="zh-CN"/>
                    </w:rPr>
                    <w:t>/55</w:t>
                  </w:r>
                </w:p>
              </w:tc>
              <w:tc>
                <w:tcPr>
                  <w:tcW w:w="490" w:type="dxa"/>
                  <w:tcBorders>
                    <w:tl2br w:val="nil"/>
                    <w:tr2bl w:val="nil"/>
                  </w:tcBorders>
                  <w:shd w:val="clear" w:color="auto" w:fill="auto"/>
                  <w:vAlign w:val="center"/>
                </w:tcPr>
                <w:p w14:paraId="151530A2">
                  <w:pPr>
                    <w:pStyle w:val="4"/>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b w:val="0"/>
                      <w:bCs w:val="0"/>
                      <w:color w:val="auto"/>
                      <w:sz w:val="21"/>
                      <w:szCs w:val="21"/>
                      <w:lang w:val="en-US" w:eastAsia="zh-CN"/>
                    </w:rPr>
                    <w:t>-</w:t>
                  </w:r>
                </w:p>
              </w:tc>
              <w:tc>
                <w:tcPr>
                  <w:tcW w:w="864" w:type="dxa"/>
                  <w:tcBorders>
                    <w:tl2br w:val="nil"/>
                    <w:tr2bl w:val="nil"/>
                  </w:tcBorders>
                  <w:shd w:val="clear" w:color="auto" w:fill="auto"/>
                  <w:vAlign w:val="center"/>
                </w:tcPr>
                <w:p w14:paraId="189F616F">
                  <w:pPr>
                    <w:pStyle w:val="4"/>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b w:val="0"/>
                      <w:bCs w:val="0"/>
                      <w:color w:val="auto"/>
                      <w:sz w:val="21"/>
                      <w:szCs w:val="21"/>
                      <w:lang w:val="en-US" w:eastAsia="zh-CN"/>
                    </w:rPr>
                    <w:t>65</w:t>
                  </w:r>
                  <w:r>
                    <w:rPr>
                      <w:rFonts w:hint="eastAsia" w:ascii="Times New Roman" w:hAnsi="Times New Roman" w:cs="Times New Roman"/>
                      <w:b w:val="0"/>
                      <w:bCs w:val="0"/>
                      <w:color w:val="auto"/>
                      <w:sz w:val="21"/>
                      <w:szCs w:val="21"/>
                      <w:lang w:val="en-US" w:eastAsia="zh-CN"/>
                    </w:rPr>
                    <w:t>/55</w:t>
                  </w:r>
                </w:p>
              </w:tc>
              <w:tc>
                <w:tcPr>
                  <w:tcW w:w="474" w:type="dxa"/>
                  <w:tcBorders>
                    <w:tl2br w:val="nil"/>
                    <w:tr2bl w:val="nil"/>
                  </w:tcBorders>
                  <w:shd w:val="clear" w:color="auto" w:fill="auto"/>
                  <w:vAlign w:val="center"/>
                </w:tcPr>
                <w:p w14:paraId="2DA8AD35">
                  <w:pPr>
                    <w:pStyle w:val="4"/>
                    <w:jc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b w:val="0"/>
                      <w:bCs w:val="0"/>
                      <w:color w:val="auto"/>
                      <w:sz w:val="21"/>
                      <w:szCs w:val="21"/>
                      <w:lang w:val="en-US" w:eastAsia="zh-CN"/>
                    </w:rPr>
                    <w:t>-</w:t>
                  </w:r>
                </w:p>
              </w:tc>
              <w:tc>
                <w:tcPr>
                  <w:tcW w:w="931" w:type="dxa"/>
                  <w:tcBorders>
                    <w:tl2br w:val="nil"/>
                    <w:tr2bl w:val="nil"/>
                  </w:tcBorders>
                  <w:shd w:val="clear" w:color="auto" w:fill="auto"/>
                  <w:vAlign w:val="center"/>
                </w:tcPr>
                <w:p w14:paraId="1BAD5125">
                  <w:pPr>
                    <w:pStyle w:val="4"/>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b w:val="0"/>
                      <w:bCs w:val="0"/>
                      <w:color w:val="auto"/>
                      <w:sz w:val="21"/>
                      <w:szCs w:val="21"/>
                      <w:lang w:val="en-US" w:eastAsia="zh-CN"/>
                    </w:rPr>
                    <w:t>65</w:t>
                  </w:r>
                  <w:r>
                    <w:rPr>
                      <w:rFonts w:hint="eastAsia" w:ascii="Times New Roman" w:hAnsi="Times New Roman" w:cs="Times New Roman"/>
                      <w:b w:val="0"/>
                      <w:bCs w:val="0"/>
                      <w:color w:val="auto"/>
                      <w:sz w:val="21"/>
                      <w:szCs w:val="21"/>
                      <w:lang w:val="en-US" w:eastAsia="zh-CN"/>
                    </w:rPr>
                    <w:t>/55</w:t>
                  </w:r>
                </w:p>
              </w:tc>
              <w:tc>
                <w:tcPr>
                  <w:tcW w:w="507" w:type="dxa"/>
                  <w:tcBorders>
                    <w:tl2br w:val="nil"/>
                    <w:tr2bl w:val="nil"/>
                  </w:tcBorders>
                  <w:shd w:val="clear" w:color="auto" w:fill="auto"/>
                  <w:vAlign w:val="center"/>
                </w:tcPr>
                <w:p w14:paraId="10D31D34">
                  <w:pPr>
                    <w:pStyle w:val="4"/>
                    <w:jc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b w:val="0"/>
                      <w:bCs w:val="0"/>
                      <w:color w:val="auto"/>
                      <w:sz w:val="21"/>
                      <w:szCs w:val="21"/>
                      <w:lang w:val="en-US" w:eastAsia="zh-CN"/>
                    </w:rPr>
                    <w:t>-</w:t>
                  </w:r>
                </w:p>
              </w:tc>
              <w:tc>
                <w:tcPr>
                  <w:tcW w:w="906" w:type="dxa"/>
                  <w:tcBorders>
                    <w:tl2br w:val="nil"/>
                    <w:tr2bl w:val="nil"/>
                  </w:tcBorders>
                  <w:shd w:val="clear" w:color="auto" w:fill="auto"/>
                  <w:vAlign w:val="center"/>
                </w:tcPr>
                <w:p w14:paraId="03116965">
                  <w:pPr>
                    <w:pStyle w:val="4"/>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b w:val="0"/>
                      <w:bCs w:val="0"/>
                      <w:color w:val="auto"/>
                      <w:sz w:val="21"/>
                      <w:szCs w:val="21"/>
                      <w:lang w:val="en-US" w:eastAsia="zh-CN"/>
                    </w:rPr>
                    <w:t>65</w:t>
                  </w:r>
                  <w:r>
                    <w:rPr>
                      <w:rFonts w:hint="eastAsia" w:ascii="Times New Roman" w:hAnsi="Times New Roman" w:cs="Times New Roman"/>
                      <w:b w:val="0"/>
                      <w:bCs w:val="0"/>
                      <w:color w:val="auto"/>
                      <w:sz w:val="21"/>
                      <w:szCs w:val="21"/>
                      <w:lang w:val="en-US" w:eastAsia="zh-CN"/>
                    </w:rPr>
                    <w:t>/55</w:t>
                  </w:r>
                </w:p>
              </w:tc>
            </w:tr>
            <w:tr w14:paraId="21A10060">
              <w:tblPrEx>
                <w:tblBorders>
                  <w:top w:val="single" w:color="000000" w:sz="8" w:space="0"/>
                  <w:left w:val="single" w:color="000000" w:sz="8" w:space="0"/>
                  <w:bottom w:val="single" w:color="000000" w:sz="8" w:space="0"/>
                  <w:right w:val="single" w:color="000000" w:sz="8" w:space="0"/>
                  <w:insideH w:val="single" w:color="000000" w:sz="4" w:space="0"/>
                  <w:insideV w:val="single" w:color="000000" w:sz="4" w:space="0"/>
                </w:tblBorders>
                <w:tblCellMar>
                  <w:top w:w="0" w:type="dxa"/>
                  <w:left w:w="108" w:type="dxa"/>
                  <w:bottom w:w="0" w:type="dxa"/>
                  <w:right w:w="108" w:type="dxa"/>
                </w:tblCellMar>
              </w:tblPrEx>
              <w:trPr>
                <w:trHeight w:val="369" w:hRule="atLeast"/>
                <w:jc w:val="center"/>
              </w:trPr>
              <w:tc>
                <w:tcPr>
                  <w:tcW w:w="2832" w:type="dxa"/>
                  <w:gridSpan w:val="2"/>
                  <w:tcBorders>
                    <w:tl2br w:val="nil"/>
                    <w:tr2bl w:val="nil"/>
                  </w:tcBorders>
                  <w:shd w:val="clear" w:color="auto" w:fill="auto"/>
                  <w:vAlign w:val="center"/>
                </w:tcPr>
                <w:p w14:paraId="4D5AA73B">
                  <w:pPr>
                    <w:jc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b w:val="0"/>
                      <w:bCs w:val="0"/>
                      <w:color w:val="auto"/>
                      <w:sz w:val="21"/>
                      <w:szCs w:val="21"/>
                    </w:rPr>
                    <w:t>是否达标</w:t>
                  </w:r>
                </w:p>
              </w:tc>
              <w:tc>
                <w:tcPr>
                  <w:tcW w:w="575" w:type="dxa"/>
                  <w:tcBorders>
                    <w:tl2br w:val="nil"/>
                    <w:tr2bl w:val="nil"/>
                  </w:tcBorders>
                  <w:shd w:val="clear" w:color="auto" w:fill="auto"/>
                  <w:vAlign w:val="center"/>
                </w:tcPr>
                <w:p w14:paraId="1B271A99">
                  <w:pPr>
                    <w:pStyle w:val="4"/>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cs="Times New Roman"/>
                      <w:b w:val="0"/>
                      <w:bCs w:val="0"/>
                      <w:color w:val="auto"/>
                      <w:sz w:val="21"/>
                      <w:szCs w:val="21"/>
                      <w:lang w:val="en-US" w:eastAsia="zh-CN"/>
                    </w:rPr>
                    <w:t>-</w:t>
                  </w:r>
                </w:p>
              </w:tc>
              <w:tc>
                <w:tcPr>
                  <w:tcW w:w="880" w:type="dxa"/>
                  <w:tcBorders>
                    <w:tl2br w:val="nil"/>
                    <w:tr2bl w:val="nil"/>
                  </w:tcBorders>
                  <w:shd w:val="clear" w:color="auto" w:fill="auto"/>
                  <w:vAlign w:val="center"/>
                </w:tcPr>
                <w:p w14:paraId="1D215CE0">
                  <w:pPr>
                    <w:pStyle w:val="4"/>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b w:val="0"/>
                      <w:bCs w:val="0"/>
                      <w:color w:val="auto"/>
                      <w:sz w:val="21"/>
                      <w:szCs w:val="21"/>
                    </w:rPr>
                    <w:t>达标</w:t>
                  </w:r>
                </w:p>
              </w:tc>
              <w:tc>
                <w:tcPr>
                  <w:tcW w:w="490" w:type="dxa"/>
                  <w:tcBorders>
                    <w:tl2br w:val="nil"/>
                    <w:tr2bl w:val="nil"/>
                  </w:tcBorders>
                  <w:shd w:val="clear" w:color="auto" w:fill="auto"/>
                  <w:vAlign w:val="center"/>
                </w:tcPr>
                <w:p w14:paraId="341F0D00">
                  <w:pPr>
                    <w:pStyle w:val="4"/>
                    <w:jc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b w:val="0"/>
                      <w:bCs w:val="0"/>
                      <w:color w:val="auto"/>
                      <w:sz w:val="21"/>
                      <w:szCs w:val="21"/>
                      <w:lang w:val="en-US" w:eastAsia="zh-CN"/>
                    </w:rPr>
                    <w:t>-</w:t>
                  </w:r>
                </w:p>
              </w:tc>
              <w:tc>
                <w:tcPr>
                  <w:tcW w:w="864" w:type="dxa"/>
                  <w:tcBorders>
                    <w:tl2br w:val="nil"/>
                    <w:tr2bl w:val="nil"/>
                  </w:tcBorders>
                  <w:shd w:val="clear" w:color="auto" w:fill="auto"/>
                  <w:vAlign w:val="center"/>
                </w:tcPr>
                <w:p w14:paraId="4A1C763C">
                  <w:pPr>
                    <w:pStyle w:val="4"/>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b w:val="0"/>
                      <w:bCs w:val="0"/>
                      <w:color w:val="auto"/>
                      <w:sz w:val="21"/>
                      <w:szCs w:val="21"/>
                    </w:rPr>
                    <w:t>达标</w:t>
                  </w:r>
                </w:p>
              </w:tc>
              <w:tc>
                <w:tcPr>
                  <w:tcW w:w="474" w:type="dxa"/>
                  <w:tcBorders>
                    <w:tl2br w:val="nil"/>
                    <w:tr2bl w:val="nil"/>
                  </w:tcBorders>
                  <w:shd w:val="clear" w:color="auto" w:fill="auto"/>
                  <w:vAlign w:val="center"/>
                </w:tcPr>
                <w:p w14:paraId="34F5FFC7">
                  <w:pPr>
                    <w:pStyle w:val="4"/>
                    <w:jc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b w:val="0"/>
                      <w:bCs w:val="0"/>
                      <w:color w:val="auto"/>
                      <w:sz w:val="21"/>
                      <w:szCs w:val="21"/>
                      <w:lang w:val="en-US" w:eastAsia="zh-CN"/>
                    </w:rPr>
                    <w:t>-</w:t>
                  </w:r>
                </w:p>
              </w:tc>
              <w:tc>
                <w:tcPr>
                  <w:tcW w:w="931" w:type="dxa"/>
                  <w:tcBorders>
                    <w:tl2br w:val="nil"/>
                    <w:tr2bl w:val="nil"/>
                  </w:tcBorders>
                  <w:shd w:val="clear" w:color="auto" w:fill="auto"/>
                  <w:vAlign w:val="center"/>
                </w:tcPr>
                <w:p w14:paraId="69EDD458">
                  <w:pPr>
                    <w:pStyle w:val="4"/>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b w:val="0"/>
                      <w:bCs w:val="0"/>
                      <w:color w:val="auto"/>
                      <w:sz w:val="21"/>
                      <w:szCs w:val="21"/>
                    </w:rPr>
                    <w:t>达标</w:t>
                  </w:r>
                </w:p>
              </w:tc>
              <w:tc>
                <w:tcPr>
                  <w:tcW w:w="507" w:type="dxa"/>
                  <w:tcBorders>
                    <w:tl2br w:val="nil"/>
                    <w:tr2bl w:val="nil"/>
                  </w:tcBorders>
                  <w:shd w:val="clear" w:color="auto" w:fill="auto"/>
                  <w:vAlign w:val="center"/>
                </w:tcPr>
                <w:p w14:paraId="27929CC0">
                  <w:pPr>
                    <w:pStyle w:val="4"/>
                    <w:jc w:val="center"/>
                    <w:rPr>
                      <w:rFonts w:hint="default" w:ascii="Times New Roman" w:hAnsi="Times New Roman" w:eastAsia="宋体" w:cs="Times New Roman"/>
                      <w:i w:val="0"/>
                      <w:iCs w:val="0"/>
                      <w:color w:val="auto"/>
                      <w:sz w:val="21"/>
                      <w:szCs w:val="21"/>
                      <w:u w:val="none"/>
                    </w:rPr>
                  </w:pPr>
                  <w:r>
                    <w:rPr>
                      <w:rFonts w:hint="default" w:ascii="Times New Roman" w:hAnsi="Times New Roman" w:cs="Times New Roman"/>
                      <w:b w:val="0"/>
                      <w:bCs w:val="0"/>
                      <w:color w:val="auto"/>
                      <w:sz w:val="21"/>
                      <w:szCs w:val="21"/>
                      <w:lang w:val="en-US" w:eastAsia="zh-CN"/>
                    </w:rPr>
                    <w:t>-</w:t>
                  </w:r>
                </w:p>
              </w:tc>
              <w:tc>
                <w:tcPr>
                  <w:tcW w:w="906" w:type="dxa"/>
                  <w:tcBorders>
                    <w:tl2br w:val="nil"/>
                    <w:tr2bl w:val="nil"/>
                  </w:tcBorders>
                  <w:shd w:val="clear" w:color="auto" w:fill="auto"/>
                  <w:vAlign w:val="center"/>
                </w:tcPr>
                <w:p w14:paraId="469C73A7">
                  <w:pPr>
                    <w:pStyle w:val="4"/>
                    <w:jc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cs="Times New Roman"/>
                      <w:b w:val="0"/>
                      <w:bCs w:val="0"/>
                      <w:color w:val="auto"/>
                      <w:sz w:val="21"/>
                      <w:szCs w:val="21"/>
                    </w:rPr>
                    <w:t>达标</w:t>
                  </w:r>
                </w:p>
              </w:tc>
            </w:tr>
          </w:tbl>
          <w:p w14:paraId="0ADB17DE">
            <w:pPr>
              <w:adjustRightInd w:val="0"/>
              <w:snapToGrid w:val="0"/>
              <w:spacing w:line="360" w:lineRule="auto"/>
              <w:ind w:firstLine="480" w:firstLineChars="200"/>
              <w:rPr>
                <w:color w:val="auto"/>
                <w:sz w:val="24"/>
              </w:rPr>
            </w:pPr>
            <w:r>
              <w:rPr>
                <w:rFonts w:hint="eastAsia"/>
                <w:color w:val="auto"/>
                <w:sz w:val="24"/>
              </w:rPr>
              <w:t>经上文分析、</w:t>
            </w:r>
            <w:r>
              <w:rPr>
                <w:color w:val="auto"/>
                <w:sz w:val="24"/>
              </w:rPr>
              <w:t>预测，</w:t>
            </w:r>
            <w:r>
              <w:rPr>
                <w:rFonts w:hint="eastAsia"/>
                <w:color w:val="auto"/>
                <w:sz w:val="24"/>
              </w:rPr>
              <w:t>项目厂界</w:t>
            </w:r>
            <w:r>
              <w:rPr>
                <w:rFonts w:hint="eastAsia"/>
                <w:color w:val="auto"/>
                <w:sz w:val="24"/>
                <w:lang w:val="en-US" w:eastAsia="zh-CN"/>
              </w:rPr>
              <w:t>东侧、南侧、西侧、北侧</w:t>
            </w:r>
            <w:r>
              <w:rPr>
                <w:rFonts w:hint="eastAsia"/>
                <w:color w:val="auto"/>
                <w:sz w:val="24"/>
              </w:rPr>
              <w:t>昼间</w:t>
            </w:r>
            <w:r>
              <w:rPr>
                <w:rFonts w:hint="eastAsia"/>
                <w:color w:val="auto"/>
                <w:sz w:val="24"/>
                <w:lang w:eastAsia="zh-CN"/>
              </w:rPr>
              <w:t>、夜间</w:t>
            </w:r>
            <w:r>
              <w:rPr>
                <w:color w:val="auto"/>
                <w:sz w:val="24"/>
              </w:rPr>
              <w:t>噪声贡献值</w:t>
            </w:r>
            <w:r>
              <w:rPr>
                <w:rFonts w:hint="eastAsia"/>
                <w:color w:val="auto"/>
                <w:sz w:val="24"/>
              </w:rPr>
              <w:t>均</w:t>
            </w:r>
            <w:r>
              <w:rPr>
                <w:color w:val="auto"/>
                <w:sz w:val="24"/>
              </w:rPr>
              <w:t>符合《工业企业厂界环境噪声排放标准》（GB12348-2008）</w:t>
            </w:r>
            <w:r>
              <w:rPr>
                <w:rFonts w:hint="eastAsia"/>
                <w:color w:val="auto"/>
                <w:sz w:val="24"/>
                <w:lang w:val="en-US" w:eastAsia="zh-CN"/>
              </w:rPr>
              <w:t>3</w:t>
            </w:r>
            <w:r>
              <w:rPr>
                <w:color w:val="auto"/>
                <w:sz w:val="24"/>
              </w:rPr>
              <w:t>类限值</w:t>
            </w:r>
            <w:r>
              <w:rPr>
                <w:rFonts w:hint="eastAsia"/>
                <w:color w:val="auto"/>
                <w:sz w:val="24"/>
              </w:rPr>
              <w:t>要求，均能达标排放</w:t>
            </w:r>
            <w:r>
              <w:rPr>
                <w:color w:val="auto"/>
                <w:sz w:val="24"/>
              </w:rPr>
              <w:t>。</w:t>
            </w:r>
          </w:p>
          <w:p w14:paraId="1993CBBD">
            <w:pPr>
              <w:adjustRightInd w:val="0"/>
              <w:snapToGrid w:val="0"/>
              <w:spacing w:line="360" w:lineRule="auto"/>
              <w:ind w:firstLine="480" w:firstLineChars="200"/>
              <w:rPr>
                <w:color w:val="auto"/>
                <w:sz w:val="24"/>
              </w:rPr>
            </w:pPr>
            <w:r>
              <w:rPr>
                <w:rFonts w:hint="eastAsia"/>
                <w:color w:val="auto"/>
                <w:sz w:val="24"/>
              </w:rPr>
              <w:t>（4）</w:t>
            </w:r>
            <w:r>
              <w:rPr>
                <w:color w:val="auto"/>
                <w:sz w:val="24"/>
              </w:rPr>
              <w:t>噪声监测要求</w:t>
            </w:r>
          </w:p>
          <w:p w14:paraId="418C283E">
            <w:pPr>
              <w:adjustRightInd w:val="0"/>
              <w:snapToGrid w:val="0"/>
              <w:spacing w:line="360" w:lineRule="auto"/>
              <w:ind w:firstLine="480" w:firstLineChars="200"/>
              <w:rPr>
                <w:rFonts w:hint="eastAsia"/>
                <w:color w:val="auto"/>
                <w:sz w:val="24"/>
              </w:rPr>
            </w:pPr>
            <w:r>
              <w:rPr>
                <w:rFonts w:hint="eastAsia"/>
                <w:color w:val="auto"/>
                <w:sz w:val="24"/>
              </w:rPr>
              <w:t>噪声监测要求见下表：</w:t>
            </w:r>
          </w:p>
          <w:p w14:paraId="14FBA014">
            <w:pPr>
              <w:adjustRightInd w:val="0"/>
              <w:snapToGrid w:val="0"/>
              <w:jc w:val="center"/>
              <w:rPr>
                <w:b/>
                <w:bCs/>
                <w:color w:val="auto"/>
                <w:szCs w:val="21"/>
              </w:rPr>
            </w:pPr>
            <w:r>
              <w:rPr>
                <w:b/>
                <w:bCs/>
                <w:color w:val="auto"/>
                <w:szCs w:val="21"/>
              </w:rPr>
              <w:t>表</w:t>
            </w:r>
            <w:r>
              <w:rPr>
                <w:rFonts w:hint="eastAsia"/>
                <w:b/>
                <w:bCs/>
                <w:color w:val="auto"/>
                <w:szCs w:val="21"/>
                <w:lang w:val="en-US" w:eastAsia="zh-CN"/>
              </w:rPr>
              <w:t>4</w:t>
            </w:r>
            <w:r>
              <w:rPr>
                <w:rFonts w:hint="eastAsia"/>
                <w:b/>
                <w:bCs/>
                <w:color w:val="auto"/>
                <w:lang w:val="en-US" w:eastAsia="zh-CN"/>
              </w:rPr>
              <w:t>-6</w:t>
            </w:r>
            <w:r>
              <w:rPr>
                <w:rFonts w:hint="eastAsia"/>
                <w:b/>
                <w:bCs/>
                <w:color w:val="auto"/>
                <w:szCs w:val="21"/>
              </w:rPr>
              <w:t xml:space="preserve">  </w:t>
            </w:r>
            <w:r>
              <w:rPr>
                <w:b/>
                <w:bCs/>
                <w:color w:val="auto"/>
                <w:szCs w:val="21"/>
              </w:rPr>
              <w:t>项目噪声监测计划一览表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1944"/>
              <w:gridCol w:w="1279"/>
              <w:gridCol w:w="1543"/>
              <w:gridCol w:w="3758"/>
            </w:tblGrid>
            <w:tr w14:paraId="28D5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69" w:hRule="atLeast"/>
                <w:jc w:val="center"/>
              </w:trPr>
              <w:tc>
                <w:tcPr>
                  <w:tcW w:w="1140" w:type="pct"/>
                  <w:noWrap w:val="0"/>
                  <w:vAlign w:val="center"/>
                </w:tcPr>
                <w:p w14:paraId="2517B5D9">
                  <w:pPr>
                    <w:adjustRightInd w:val="0"/>
                    <w:snapToGrid w:val="0"/>
                    <w:jc w:val="center"/>
                    <w:rPr>
                      <w:b/>
                      <w:bCs/>
                      <w:color w:val="auto"/>
                      <w:szCs w:val="21"/>
                    </w:rPr>
                  </w:pPr>
                  <w:r>
                    <w:rPr>
                      <w:b/>
                      <w:bCs/>
                      <w:color w:val="auto"/>
                      <w:szCs w:val="21"/>
                    </w:rPr>
                    <w:t>监测点位</w:t>
                  </w:r>
                </w:p>
              </w:tc>
              <w:tc>
                <w:tcPr>
                  <w:tcW w:w="750" w:type="pct"/>
                  <w:noWrap w:val="0"/>
                  <w:vAlign w:val="center"/>
                </w:tcPr>
                <w:p w14:paraId="2846F1C0">
                  <w:pPr>
                    <w:adjustRightInd w:val="0"/>
                    <w:snapToGrid w:val="0"/>
                    <w:jc w:val="center"/>
                    <w:rPr>
                      <w:b/>
                      <w:bCs/>
                      <w:color w:val="auto"/>
                      <w:szCs w:val="21"/>
                    </w:rPr>
                  </w:pPr>
                  <w:r>
                    <w:rPr>
                      <w:b/>
                      <w:bCs/>
                      <w:color w:val="auto"/>
                      <w:szCs w:val="21"/>
                    </w:rPr>
                    <w:t>监测项目</w:t>
                  </w:r>
                </w:p>
              </w:tc>
              <w:tc>
                <w:tcPr>
                  <w:tcW w:w="905" w:type="pct"/>
                  <w:noWrap w:val="0"/>
                  <w:vAlign w:val="center"/>
                </w:tcPr>
                <w:p w14:paraId="06EAD3F2">
                  <w:pPr>
                    <w:adjustRightInd w:val="0"/>
                    <w:snapToGrid w:val="0"/>
                    <w:jc w:val="center"/>
                    <w:rPr>
                      <w:b/>
                      <w:bCs/>
                      <w:color w:val="auto"/>
                      <w:szCs w:val="21"/>
                    </w:rPr>
                  </w:pPr>
                  <w:r>
                    <w:rPr>
                      <w:b/>
                      <w:bCs/>
                      <w:color w:val="auto"/>
                      <w:szCs w:val="21"/>
                    </w:rPr>
                    <w:t>频次</w:t>
                  </w:r>
                </w:p>
              </w:tc>
              <w:tc>
                <w:tcPr>
                  <w:tcW w:w="2204" w:type="pct"/>
                  <w:noWrap w:val="0"/>
                  <w:vAlign w:val="center"/>
                </w:tcPr>
                <w:p w14:paraId="02D64697">
                  <w:pPr>
                    <w:adjustRightInd w:val="0"/>
                    <w:snapToGrid w:val="0"/>
                    <w:jc w:val="center"/>
                    <w:rPr>
                      <w:b/>
                      <w:bCs/>
                      <w:color w:val="auto"/>
                      <w:szCs w:val="21"/>
                    </w:rPr>
                  </w:pPr>
                  <w:r>
                    <w:rPr>
                      <w:b/>
                      <w:bCs/>
                      <w:color w:val="auto"/>
                      <w:szCs w:val="21"/>
                    </w:rPr>
                    <w:t>执行标准</w:t>
                  </w:r>
                </w:p>
              </w:tc>
            </w:tr>
            <w:tr w14:paraId="2D002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cantSplit/>
                <w:trHeight w:val="369" w:hRule="atLeast"/>
                <w:jc w:val="center"/>
              </w:trPr>
              <w:tc>
                <w:tcPr>
                  <w:tcW w:w="1140" w:type="pct"/>
                  <w:noWrap w:val="0"/>
                  <w:vAlign w:val="center"/>
                </w:tcPr>
                <w:p w14:paraId="5532CC0B">
                  <w:pPr>
                    <w:adjustRightInd w:val="0"/>
                    <w:snapToGrid w:val="0"/>
                    <w:jc w:val="center"/>
                    <w:rPr>
                      <w:rFonts w:hint="default" w:eastAsia="宋体"/>
                      <w:bCs/>
                      <w:color w:val="auto"/>
                      <w:szCs w:val="21"/>
                      <w:lang w:val="en-US" w:eastAsia="zh-CN"/>
                    </w:rPr>
                  </w:pPr>
                  <w:r>
                    <w:rPr>
                      <w:rFonts w:hint="eastAsia"/>
                      <w:bCs/>
                      <w:color w:val="auto"/>
                      <w:szCs w:val="21"/>
                      <w:lang w:val="en-US" w:eastAsia="zh-CN"/>
                    </w:rPr>
                    <w:t>厂界</w:t>
                  </w:r>
                </w:p>
              </w:tc>
              <w:tc>
                <w:tcPr>
                  <w:tcW w:w="750" w:type="pct"/>
                  <w:noWrap w:val="0"/>
                  <w:vAlign w:val="center"/>
                </w:tcPr>
                <w:p w14:paraId="3C90D7CA">
                  <w:pPr>
                    <w:adjustRightInd w:val="0"/>
                    <w:snapToGrid w:val="0"/>
                    <w:jc w:val="center"/>
                    <w:rPr>
                      <w:bCs/>
                      <w:color w:val="auto"/>
                      <w:szCs w:val="21"/>
                    </w:rPr>
                  </w:pPr>
                  <w:r>
                    <w:rPr>
                      <w:bCs/>
                      <w:color w:val="auto"/>
                      <w:szCs w:val="21"/>
                    </w:rPr>
                    <w:t>噪声</w:t>
                  </w:r>
                </w:p>
              </w:tc>
              <w:tc>
                <w:tcPr>
                  <w:tcW w:w="905" w:type="pct"/>
                  <w:noWrap w:val="0"/>
                  <w:vAlign w:val="center"/>
                </w:tcPr>
                <w:p w14:paraId="29D2DC81">
                  <w:pPr>
                    <w:adjustRightInd w:val="0"/>
                    <w:snapToGrid w:val="0"/>
                    <w:jc w:val="center"/>
                    <w:rPr>
                      <w:bCs/>
                      <w:color w:val="auto"/>
                      <w:szCs w:val="21"/>
                    </w:rPr>
                  </w:pPr>
                  <w:r>
                    <w:rPr>
                      <w:bCs/>
                      <w:color w:val="auto"/>
                      <w:szCs w:val="21"/>
                    </w:rPr>
                    <w:t>每季度1次</w:t>
                  </w:r>
                </w:p>
              </w:tc>
              <w:tc>
                <w:tcPr>
                  <w:tcW w:w="2204" w:type="pct"/>
                  <w:noWrap w:val="0"/>
                  <w:vAlign w:val="center"/>
                </w:tcPr>
                <w:p w14:paraId="1B17C4A1">
                  <w:pPr>
                    <w:adjustRightInd w:val="0"/>
                    <w:snapToGrid w:val="0"/>
                    <w:jc w:val="center"/>
                    <w:rPr>
                      <w:bCs/>
                      <w:color w:val="auto"/>
                      <w:szCs w:val="21"/>
                    </w:rPr>
                  </w:pPr>
                  <w:r>
                    <w:rPr>
                      <w:bCs/>
                      <w:color w:val="auto"/>
                      <w:szCs w:val="21"/>
                    </w:rPr>
                    <w:t>《工业企业厂界环境噪声排放标准》（GB12348-2008）</w:t>
                  </w:r>
                  <w:r>
                    <w:rPr>
                      <w:rFonts w:hint="eastAsia"/>
                      <w:bCs/>
                      <w:color w:val="auto"/>
                      <w:szCs w:val="21"/>
                      <w:lang w:val="en-US" w:eastAsia="zh-CN"/>
                    </w:rPr>
                    <w:t>3</w:t>
                  </w:r>
                  <w:r>
                    <w:rPr>
                      <w:rFonts w:hint="eastAsia"/>
                      <w:bCs/>
                      <w:color w:val="auto"/>
                      <w:szCs w:val="21"/>
                    </w:rPr>
                    <w:t>类</w:t>
                  </w:r>
                  <w:r>
                    <w:rPr>
                      <w:bCs/>
                      <w:color w:val="auto"/>
                      <w:szCs w:val="21"/>
                    </w:rPr>
                    <w:t>标准限值</w:t>
                  </w:r>
                </w:p>
              </w:tc>
            </w:tr>
          </w:tbl>
          <w:p w14:paraId="64026CFC">
            <w:pPr>
              <w:adjustRightInd w:val="0"/>
              <w:snapToGrid w:val="0"/>
              <w:spacing w:line="360" w:lineRule="auto"/>
              <w:ind w:firstLine="482" w:firstLineChars="200"/>
              <w:rPr>
                <w:bCs/>
                <w:color w:val="auto"/>
                <w:sz w:val="24"/>
              </w:rPr>
            </w:pPr>
            <w:r>
              <w:rPr>
                <w:b/>
                <w:color w:val="auto"/>
                <w:sz w:val="24"/>
              </w:rPr>
              <w:t>4</w:t>
            </w:r>
            <w:r>
              <w:rPr>
                <w:rFonts w:hint="eastAsia"/>
                <w:b/>
                <w:color w:val="auto"/>
                <w:sz w:val="24"/>
              </w:rPr>
              <w:t>.</w:t>
            </w:r>
            <w:r>
              <w:rPr>
                <w:b/>
                <w:color w:val="auto"/>
                <w:sz w:val="24"/>
              </w:rPr>
              <w:t>固体废物防治措施</w:t>
            </w:r>
          </w:p>
          <w:p w14:paraId="52EC1D9C">
            <w:pPr>
              <w:adjustRightInd w:val="0"/>
              <w:snapToGrid w:val="0"/>
              <w:spacing w:line="360" w:lineRule="auto"/>
              <w:ind w:firstLine="480" w:firstLineChars="200"/>
              <w:rPr>
                <w:color w:val="auto"/>
                <w:sz w:val="24"/>
              </w:rPr>
            </w:pPr>
            <w:r>
              <w:rPr>
                <w:rFonts w:hint="eastAsia"/>
                <w:color w:val="auto"/>
                <w:sz w:val="24"/>
              </w:rPr>
              <w:t>（1）固废种类及产生量</w:t>
            </w:r>
          </w:p>
          <w:p w14:paraId="78D17A15">
            <w:pPr>
              <w:adjustRightInd w:val="0"/>
              <w:snapToGrid w:val="0"/>
              <w:spacing w:line="360" w:lineRule="auto"/>
              <w:ind w:firstLine="480" w:firstLineChars="200"/>
              <w:rPr>
                <w:color w:val="auto"/>
                <w:sz w:val="24"/>
              </w:rPr>
            </w:pPr>
            <w:r>
              <w:rPr>
                <w:color w:val="auto"/>
                <w:sz w:val="24"/>
              </w:rPr>
              <w:t>项目生产过程中产生的固体废物分为</w:t>
            </w:r>
            <w:r>
              <w:rPr>
                <w:rFonts w:hint="eastAsia"/>
                <w:color w:val="auto"/>
                <w:sz w:val="24"/>
              </w:rPr>
              <w:t>生活垃圾</w:t>
            </w:r>
            <w:r>
              <w:rPr>
                <w:rFonts w:hint="eastAsia"/>
                <w:color w:val="auto"/>
                <w:sz w:val="24"/>
                <w:lang w:eastAsia="zh-CN"/>
              </w:rPr>
              <w:t>、</w:t>
            </w:r>
            <w:r>
              <w:rPr>
                <w:rFonts w:hint="eastAsia"/>
                <w:color w:val="auto"/>
                <w:sz w:val="24"/>
                <w:lang w:val="en-US" w:eastAsia="zh-CN"/>
              </w:rPr>
              <w:t>一般固废及危险废物</w:t>
            </w:r>
            <w:r>
              <w:rPr>
                <w:color w:val="auto"/>
                <w:sz w:val="24"/>
              </w:rPr>
              <w:t>。具体分析如下：</w:t>
            </w:r>
          </w:p>
          <w:p w14:paraId="766F744C">
            <w:pPr>
              <w:pStyle w:val="18"/>
              <w:spacing w:line="360" w:lineRule="auto"/>
              <w:ind w:leftChars="0" w:firstLine="480" w:firstLineChars="200"/>
              <w:rPr>
                <w:rFonts w:ascii="Times New Roman" w:hAnsi="Times New Roman"/>
                <w:color w:val="auto"/>
                <w:kern w:val="0"/>
                <w:sz w:val="24"/>
              </w:rPr>
            </w:pPr>
            <w:r>
              <w:rPr>
                <w:rFonts w:ascii="Times New Roman" w:hAnsi="Times New Roman"/>
                <w:bCs/>
                <w:color w:val="auto"/>
                <w:sz w:val="24"/>
              </w:rPr>
              <w:t>①</w:t>
            </w:r>
            <w:r>
              <w:rPr>
                <w:rFonts w:ascii="Times New Roman" w:hAnsi="Times New Roman"/>
                <w:color w:val="auto"/>
                <w:kern w:val="0"/>
                <w:sz w:val="24"/>
              </w:rPr>
              <w:t>生活垃圾</w:t>
            </w:r>
          </w:p>
          <w:p w14:paraId="5A3B44A5">
            <w:pPr>
              <w:adjustRightInd w:val="0"/>
              <w:snapToGrid w:val="0"/>
              <w:spacing w:line="360" w:lineRule="auto"/>
              <w:ind w:firstLine="480" w:firstLineChars="200"/>
              <w:rPr>
                <w:bCs/>
                <w:color w:val="auto"/>
                <w:sz w:val="24"/>
              </w:rPr>
            </w:pPr>
            <w:r>
              <w:rPr>
                <w:color w:val="auto"/>
                <w:kern w:val="0"/>
                <w:sz w:val="24"/>
              </w:rPr>
              <w:t>项目劳动定员</w:t>
            </w:r>
            <w:r>
              <w:rPr>
                <w:rFonts w:hint="eastAsia"/>
                <w:color w:val="auto"/>
                <w:kern w:val="0"/>
                <w:sz w:val="24"/>
                <w:lang w:val="en-US" w:eastAsia="zh-CN"/>
              </w:rPr>
              <w:t>15</w:t>
            </w:r>
            <w:r>
              <w:rPr>
                <w:color w:val="auto"/>
                <w:kern w:val="0"/>
                <w:sz w:val="24"/>
              </w:rPr>
              <w:t>人，生活垃圾产生量按0.44kg/d·人计，项目生活垃圾产生量为</w:t>
            </w:r>
            <w:r>
              <w:rPr>
                <w:rFonts w:hint="eastAsia"/>
                <w:color w:val="auto"/>
                <w:kern w:val="0"/>
                <w:sz w:val="24"/>
                <w:lang w:val="en-US" w:eastAsia="zh-CN"/>
              </w:rPr>
              <w:t>1.98</w:t>
            </w:r>
            <w:r>
              <w:rPr>
                <w:color w:val="auto"/>
                <w:kern w:val="0"/>
                <w:sz w:val="24"/>
              </w:rPr>
              <w:t>t/a。</w:t>
            </w:r>
            <w:r>
              <w:rPr>
                <w:rFonts w:hint="eastAsia"/>
                <w:color w:val="auto"/>
                <w:kern w:val="0"/>
                <w:sz w:val="24"/>
              </w:rPr>
              <w:t>设置生活垃圾桶进行收集，定期交由环卫部门处置。</w:t>
            </w:r>
          </w:p>
          <w:p w14:paraId="5BB10CC4">
            <w:pPr>
              <w:adjustRightInd w:val="0"/>
              <w:snapToGrid w:val="0"/>
              <w:spacing w:line="360" w:lineRule="auto"/>
              <w:ind w:firstLine="480" w:firstLineChars="200"/>
              <w:rPr>
                <w:rFonts w:hint="default" w:eastAsia="宋体"/>
                <w:color w:val="auto"/>
                <w:sz w:val="24"/>
                <w:lang w:val="en-US" w:eastAsia="zh-CN"/>
              </w:rPr>
            </w:pPr>
            <w:r>
              <w:rPr>
                <w:color w:val="auto"/>
                <w:sz w:val="24"/>
              </w:rPr>
              <w:t>②</w:t>
            </w:r>
            <w:r>
              <w:rPr>
                <w:rFonts w:hint="eastAsia"/>
                <w:color w:val="auto"/>
                <w:sz w:val="24"/>
                <w:lang w:val="en-US" w:eastAsia="zh-CN"/>
              </w:rPr>
              <w:t>废保温材料</w:t>
            </w:r>
          </w:p>
          <w:p w14:paraId="33713B2F">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lang w:val="en-US" w:eastAsia="zh-CN"/>
              </w:rPr>
              <w:t>本项目使用硅酸铝耐火纤维棉作为保温材料，约1年～2年更换一次，本次以1年更换一次计，根据炉体结构及保温材料压缩容重计算（230kg/m</w:t>
            </w:r>
            <w:r>
              <w:rPr>
                <w:rFonts w:hint="eastAsia"/>
                <w:color w:val="auto"/>
                <w:sz w:val="24"/>
                <w:vertAlign w:val="superscript"/>
                <w:lang w:val="en-US" w:eastAsia="zh-CN"/>
              </w:rPr>
              <w:t>3</w:t>
            </w:r>
            <w:r>
              <w:rPr>
                <w:rFonts w:hint="eastAsia"/>
                <w:color w:val="auto"/>
                <w:sz w:val="24"/>
                <w:lang w:val="en-US" w:eastAsia="zh-CN"/>
              </w:rPr>
              <w:t>），本项目一次使用保温材料共8.7m</w:t>
            </w:r>
            <w:r>
              <w:rPr>
                <w:rFonts w:hint="eastAsia"/>
                <w:color w:val="auto"/>
                <w:sz w:val="24"/>
                <w:vertAlign w:val="superscript"/>
                <w:lang w:val="en-US" w:eastAsia="zh-CN"/>
              </w:rPr>
              <w:t>3</w:t>
            </w:r>
            <w:r>
              <w:rPr>
                <w:rFonts w:hint="eastAsia"/>
                <w:color w:val="auto"/>
                <w:sz w:val="24"/>
                <w:lang w:val="en-US" w:eastAsia="zh-CN"/>
              </w:rPr>
              <w:t>，则废保温材料年产量为2.0t/a。废保温材料为一般固废，类别代码为99其他废物，代码为334-900-999-99非特定行业生产过程中产生的其他废物；废保温材料更换时由设备厂家进行更换，产生的废保温材料由厂家回收利用，厂内不暂存。</w:t>
            </w:r>
          </w:p>
          <w:p w14:paraId="7BFA6F55">
            <w:pPr>
              <w:adjustRightInd w:val="0"/>
              <w:snapToGrid w:val="0"/>
              <w:spacing w:line="360" w:lineRule="auto"/>
              <w:ind w:firstLine="480" w:firstLineChars="200"/>
              <w:rPr>
                <w:rFonts w:hint="eastAsia"/>
                <w:color w:val="auto"/>
                <w:sz w:val="24"/>
              </w:rPr>
            </w:pPr>
            <w:r>
              <w:rPr>
                <w:color w:val="auto"/>
                <w:sz w:val="24"/>
              </w:rPr>
              <w:t>③</w:t>
            </w:r>
            <w:r>
              <w:rPr>
                <w:rFonts w:hint="eastAsia"/>
                <w:color w:val="auto"/>
                <w:sz w:val="24"/>
              </w:rPr>
              <w:t>废边角料</w:t>
            </w:r>
          </w:p>
          <w:p w14:paraId="47829479">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textAlignment w:val="auto"/>
              <w:rPr>
                <w:rFonts w:hint="default" w:ascii="Times New Roman" w:hAnsi="Times New Roman" w:eastAsia="宋体" w:cs="Times New Roman"/>
                <w:bCs/>
                <w:color w:val="auto"/>
                <w:sz w:val="24"/>
                <w:szCs w:val="24"/>
                <w:lang w:val="en-US" w:eastAsia="zh-CN"/>
              </w:rPr>
            </w:pPr>
            <w:r>
              <w:rPr>
                <w:rFonts w:hint="default" w:ascii="Times New Roman" w:hAnsi="Times New Roman" w:eastAsia="宋体" w:cs="Times New Roman"/>
                <w:bCs/>
                <w:color w:val="auto"/>
                <w:sz w:val="24"/>
                <w:szCs w:val="24"/>
                <w:lang w:val="en-US" w:eastAsia="zh-CN"/>
              </w:rPr>
              <w:t>根据企业提供资料，本项目</w:t>
            </w:r>
            <w:r>
              <w:rPr>
                <w:rFonts w:hint="default" w:ascii="Times New Roman" w:hAnsi="Times New Roman" w:cs="Times New Roman"/>
                <w:bCs/>
                <w:color w:val="auto"/>
                <w:sz w:val="24"/>
                <w:szCs w:val="24"/>
                <w:lang w:val="en-US" w:eastAsia="zh-CN"/>
              </w:rPr>
              <w:t>扒皮</w:t>
            </w:r>
            <w:r>
              <w:rPr>
                <w:rFonts w:hint="default" w:ascii="Times New Roman" w:hAnsi="Times New Roman" w:eastAsia="宋体" w:cs="Times New Roman"/>
                <w:bCs/>
                <w:color w:val="auto"/>
                <w:sz w:val="24"/>
                <w:szCs w:val="24"/>
                <w:lang w:val="en-US" w:eastAsia="zh-CN"/>
              </w:rPr>
              <w:t>工序会产生废</w:t>
            </w:r>
            <w:r>
              <w:rPr>
                <w:rFonts w:hint="default" w:ascii="Times New Roman" w:hAnsi="Times New Roman" w:cs="Times New Roman"/>
                <w:bCs/>
                <w:color w:val="auto"/>
                <w:sz w:val="24"/>
                <w:szCs w:val="24"/>
                <w:lang w:val="en-US" w:eastAsia="zh-CN"/>
              </w:rPr>
              <w:t>钛</w:t>
            </w:r>
            <w:r>
              <w:rPr>
                <w:rFonts w:hint="default" w:ascii="Times New Roman" w:hAnsi="Times New Roman" w:eastAsia="宋体" w:cs="Times New Roman"/>
                <w:bCs/>
                <w:color w:val="auto"/>
                <w:sz w:val="24"/>
                <w:szCs w:val="24"/>
                <w:lang w:val="en-US" w:eastAsia="zh-CN"/>
              </w:rPr>
              <w:t>边角料，根据企业生产经验</w:t>
            </w:r>
            <w:r>
              <w:rPr>
                <w:rFonts w:hint="default" w:ascii="Times New Roman" w:hAnsi="Times New Roman" w:cs="Times New Roman"/>
                <w:bCs/>
                <w:color w:val="auto"/>
                <w:sz w:val="24"/>
                <w:szCs w:val="24"/>
                <w:lang w:val="en-US" w:eastAsia="zh-CN"/>
              </w:rPr>
              <w:t>本项目</w:t>
            </w:r>
            <w:r>
              <w:rPr>
                <w:rFonts w:hint="default" w:ascii="Times New Roman" w:hAnsi="Times New Roman" w:eastAsia="宋体" w:cs="Times New Roman"/>
                <w:bCs/>
                <w:color w:val="auto"/>
                <w:sz w:val="24"/>
                <w:szCs w:val="24"/>
                <w:lang w:val="en-US" w:eastAsia="zh-CN"/>
              </w:rPr>
              <w:t>废边角料年产生量约为</w:t>
            </w:r>
            <w:r>
              <w:rPr>
                <w:rFonts w:hint="eastAsia" w:cs="Times New Roman"/>
                <w:bCs/>
                <w:color w:val="auto"/>
                <w:sz w:val="24"/>
                <w:szCs w:val="24"/>
                <w:lang w:val="en-US" w:eastAsia="zh-CN"/>
              </w:rPr>
              <w:t>0.2</w:t>
            </w:r>
            <w:r>
              <w:rPr>
                <w:rFonts w:hint="default" w:ascii="Times New Roman" w:hAnsi="Times New Roman" w:eastAsia="宋体" w:cs="Times New Roman"/>
                <w:bCs/>
                <w:color w:val="auto"/>
                <w:sz w:val="24"/>
                <w:szCs w:val="24"/>
                <w:lang w:val="en-US" w:eastAsia="zh-CN"/>
              </w:rPr>
              <w:t>t/a，集中收集后外售相关单位综合利用。</w:t>
            </w:r>
          </w:p>
          <w:p w14:paraId="683C09B1">
            <w:pPr>
              <w:adjustRightInd w:val="0"/>
              <w:snapToGrid w:val="0"/>
              <w:spacing w:line="360" w:lineRule="auto"/>
              <w:ind w:firstLine="480" w:firstLineChars="200"/>
              <w:rPr>
                <w:rFonts w:hint="eastAsia" w:eastAsia="宋体"/>
                <w:color w:val="auto"/>
                <w:sz w:val="24"/>
                <w:lang w:val="en-US" w:eastAsia="zh-CN"/>
              </w:rPr>
            </w:pPr>
            <w:r>
              <w:rPr>
                <w:rFonts w:hint="eastAsia"/>
                <w:bCs/>
                <w:color w:val="auto"/>
                <w:kern w:val="0"/>
                <w:sz w:val="24"/>
              </w:rPr>
              <w:t>④</w:t>
            </w:r>
            <w:r>
              <w:rPr>
                <w:rFonts w:hint="eastAsia"/>
                <w:color w:val="auto"/>
                <w:sz w:val="24"/>
                <w:lang w:val="en-US" w:eastAsia="zh-CN"/>
              </w:rPr>
              <w:t>收集粉尘</w:t>
            </w:r>
          </w:p>
          <w:p w14:paraId="59D99B7D">
            <w:pPr>
              <w:adjustRightInd w:val="0"/>
              <w:snapToGrid w:val="0"/>
              <w:spacing w:line="360" w:lineRule="auto"/>
              <w:ind w:firstLine="480" w:firstLineChars="200"/>
              <w:rPr>
                <w:rFonts w:hint="default"/>
                <w:bCs/>
                <w:color w:val="auto"/>
                <w:kern w:val="0"/>
                <w:sz w:val="24"/>
                <w:lang w:val="en-US" w:eastAsia="zh-CN"/>
              </w:rPr>
            </w:pPr>
            <w:r>
              <w:rPr>
                <w:rFonts w:hint="eastAsia"/>
                <w:bCs/>
                <w:color w:val="auto"/>
                <w:kern w:val="0"/>
                <w:sz w:val="24"/>
                <w:lang w:val="en-US" w:eastAsia="zh-CN"/>
              </w:rPr>
              <w:t>经上文核算，拉丝过程散落在设备周围粉尘（碳粉）产生量为0.317t/a，为一般固废，</w:t>
            </w:r>
            <w:r>
              <w:rPr>
                <w:rFonts w:hint="eastAsia"/>
                <w:color w:val="auto"/>
                <w:sz w:val="24"/>
                <w:lang w:val="en-US" w:eastAsia="zh-CN"/>
              </w:rPr>
              <w:t>类别代码为99其他废物，代码为334-900-999-66非特定行业生产过程中产生的其他废物；</w:t>
            </w:r>
            <w:r>
              <w:rPr>
                <w:rFonts w:hint="eastAsia"/>
                <w:bCs/>
                <w:color w:val="auto"/>
                <w:kern w:val="0"/>
                <w:sz w:val="24"/>
                <w:lang w:val="en-US" w:eastAsia="zh-CN"/>
              </w:rPr>
              <w:t>要求设置一般固废暂存区对其暂存，定期由石墨乳供货单位回收后利用。</w:t>
            </w:r>
          </w:p>
          <w:p w14:paraId="018D2B07">
            <w:pPr>
              <w:adjustRightInd w:val="0"/>
              <w:snapToGrid w:val="0"/>
              <w:spacing w:line="360" w:lineRule="auto"/>
              <w:ind w:firstLine="480" w:firstLineChars="200"/>
              <w:rPr>
                <w:rFonts w:hint="eastAsia"/>
                <w:bCs/>
                <w:color w:val="auto"/>
                <w:kern w:val="0"/>
                <w:sz w:val="24"/>
                <w:lang w:val="en-US" w:eastAsia="zh-CN"/>
              </w:rPr>
            </w:pPr>
            <w:r>
              <w:rPr>
                <w:rFonts w:hint="eastAsia"/>
                <w:color w:val="auto"/>
                <w:sz w:val="24"/>
                <w:lang w:val="en-US" w:eastAsia="zh-CN"/>
              </w:rPr>
              <w:t>⑤</w:t>
            </w:r>
            <w:r>
              <w:rPr>
                <w:rFonts w:hint="eastAsia"/>
                <w:bCs/>
                <w:color w:val="auto"/>
                <w:kern w:val="0"/>
                <w:sz w:val="24"/>
                <w:lang w:val="en-US" w:eastAsia="zh-CN"/>
              </w:rPr>
              <w:t>废润滑油</w:t>
            </w:r>
          </w:p>
          <w:p w14:paraId="5771C191">
            <w:pPr>
              <w:spacing w:line="360" w:lineRule="auto"/>
              <w:ind w:firstLine="480" w:firstLineChars="200"/>
              <w:rPr>
                <w:color w:val="auto"/>
                <w:sz w:val="24"/>
              </w:rPr>
            </w:pPr>
            <w:r>
              <w:rPr>
                <w:rFonts w:hint="eastAsia"/>
                <w:color w:val="auto"/>
                <w:sz w:val="24"/>
              </w:rPr>
              <w:t>本项目无液压设施，厂内无废液压油产生。</w:t>
            </w:r>
            <w:r>
              <w:rPr>
                <w:rFonts w:hint="eastAsia"/>
                <w:color w:val="auto"/>
                <w:sz w:val="24"/>
                <w:lang w:eastAsia="zh-CN"/>
              </w:rPr>
              <w:t>仅在</w:t>
            </w:r>
            <w:r>
              <w:rPr>
                <w:color w:val="auto"/>
                <w:sz w:val="24"/>
              </w:rPr>
              <w:t>设备维护过程中会产生一定的废</w:t>
            </w:r>
            <w:r>
              <w:rPr>
                <w:rFonts w:hint="eastAsia"/>
                <w:color w:val="auto"/>
                <w:sz w:val="24"/>
                <w:lang w:eastAsia="zh-CN"/>
              </w:rPr>
              <w:t>润滑油</w:t>
            </w:r>
            <w:r>
              <w:rPr>
                <w:color w:val="auto"/>
                <w:sz w:val="24"/>
              </w:rPr>
              <w:t>，产生量约为0.</w:t>
            </w:r>
            <w:r>
              <w:rPr>
                <w:rFonts w:hint="eastAsia"/>
                <w:color w:val="auto"/>
                <w:sz w:val="24"/>
                <w:lang w:val="en-US" w:eastAsia="zh-CN"/>
              </w:rPr>
              <w:t>01</w:t>
            </w:r>
            <w:r>
              <w:rPr>
                <w:color w:val="auto"/>
                <w:sz w:val="24"/>
              </w:rPr>
              <w:t>t/a。</w:t>
            </w:r>
            <w:r>
              <w:rPr>
                <w:rFonts w:hint="eastAsia"/>
                <w:color w:val="auto"/>
                <w:sz w:val="24"/>
              </w:rPr>
              <w:t>对照</w:t>
            </w:r>
            <w:r>
              <w:rPr>
                <w:color w:val="auto"/>
                <w:sz w:val="24"/>
              </w:rPr>
              <w:t>《国家危险废物名录》（2021年版），属危险废物，HW08废矿物油与含矿物油废物（900-</w:t>
            </w:r>
            <w:r>
              <w:rPr>
                <w:rFonts w:hint="eastAsia"/>
                <w:color w:val="auto"/>
                <w:sz w:val="24"/>
              </w:rPr>
              <w:t>249</w:t>
            </w:r>
            <w:r>
              <w:rPr>
                <w:color w:val="auto"/>
                <w:sz w:val="24"/>
              </w:rPr>
              <w:t xml:space="preserve">-08 </w:t>
            </w:r>
            <w:r>
              <w:rPr>
                <w:rFonts w:hint="eastAsia"/>
                <w:color w:val="auto"/>
                <w:sz w:val="24"/>
              </w:rPr>
              <w:t>其他生产、销售、使用过程中产生的废矿物油及沾染矿物油的废弃包装物</w:t>
            </w:r>
            <w:r>
              <w:rPr>
                <w:color w:val="auto"/>
                <w:sz w:val="24"/>
              </w:rPr>
              <w:t>）。</w:t>
            </w:r>
            <w:r>
              <w:rPr>
                <w:rFonts w:hint="eastAsia"/>
                <w:color w:val="auto"/>
                <w:sz w:val="24"/>
                <w:lang w:val="en-US" w:eastAsia="zh-CN"/>
              </w:rPr>
              <w:t>要求企业设置危险废物贮存库对其暂存</w:t>
            </w:r>
            <w:r>
              <w:rPr>
                <w:color w:val="auto"/>
                <w:sz w:val="24"/>
              </w:rPr>
              <w:t>，定期交由有资质单位转运处置。</w:t>
            </w:r>
          </w:p>
          <w:p w14:paraId="2E41BF84">
            <w:pPr>
              <w:adjustRightInd w:val="0"/>
              <w:snapToGrid w:val="0"/>
              <w:spacing w:line="360" w:lineRule="auto"/>
              <w:ind w:firstLine="480" w:firstLineChars="200"/>
              <w:rPr>
                <w:rFonts w:hint="eastAsia"/>
                <w:bCs/>
                <w:color w:val="auto"/>
                <w:kern w:val="0"/>
                <w:sz w:val="24"/>
                <w:lang w:val="en-US" w:eastAsia="zh-CN"/>
              </w:rPr>
            </w:pPr>
            <w:r>
              <w:rPr>
                <w:rFonts w:hint="eastAsia" w:ascii="Times New Roman" w:hAnsi="Times New Roman" w:eastAsia="宋体" w:cs="Times New Roman"/>
                <w:color w:val="auto"/>
                <w:sz w:val="24"/>
                <w:lang w:val="en-US" w:eastAsia="zh-CN"/>
              </w:rPr>
              <w:t>⑥</w:t>
            </w:r>
            <w:r>
              <w:rPr>
                <w:rFonts w:hint="eastAsia"/>
                <w:bCs/>
                <w:color w:val="auto"/>
                <w:kern w:val="0"/>
                <w:sz w:val="24"/>
                <w:lang w:val="en-US" w:eastAsia="zh-CN"/>
              </w:rPr>
              <w:t>废含油抹布手套</w:t>
            </w:r>
          </w:p>
          <w:p w14:paraId="564FBCB4">
            <w:pPr>
              <w:adjustRightInd w:val="0"/>
              <w:snapToGrid w:val="0"/>
              <w:spacing w:line="360" w:lineRule="auto"/>
              <w:ind w:firstLine="480" w:firstLineChars="200"/>
              <w:rPr>
                <w:rFonts w:hint="eastAsia" w:eastAsia="宋体"/>
                <w:color w:val="auto"/>
                <w:sz w:val="24"/>
                <w:lang w:val="en-US" w:eastAsia="zh-CN"/>
              </w:rPr>
            </w:pPr>
            <w:r>
              <w:rPr>
                <w:color w:val="auto"/>
                <w:sz w:val="24"/>
              </w:rPr>
              <w:t>项目设备维护保养过程会产生废含油抹布手套，产生量约为</w:t>
            </w:r>
            <w:r>
              <w:rPr>
                <w:rFonts w:hint="eastAsia"/>
                <w:color w:val="auto"/>
                <w:sz w:val="24"/>
                <w:lang w:val="en-US" w:eastAsia="zh-CN"/>
              </w:rPr>
              <w:t>0.002</w:t>
            </w:r>
            <w:r>
              <w:rPr>
                <w:color w:val="auto"/>
                <w:sz w:val="24"/>
              </w:rPr>
              <w:t>t/a，</w:t>
            </w:r>
            <w:r>
              <w:rPr>
                <w:color w:val="auto"/>
                <w:kern w:val="0"/>
                <w:sz w:val="24"/>
              </w:rPr>
              <w:t>对照《国家危险废物名录》（2021年版），</w:t>
            </w:r>
            <w:r>
              <w:rPr>
                <w:color w:val="auto"/>
                <w:sz w:val="24"/>
              </w:rPr>
              <w:t>危废代码为</w:t>
            </w:r>
            <w:r>
              <w:rPr>
                <w:rFonts w:hint="eastAsia"/>
                <w:color w:val="auto"/>
                <w:sz w:val="24"/>
                <w:lang w:eastAsia="zh-CN"/>
              </w:rPr>
              <w:t>“</w:t>
            </w:r>
            <w:r>
              <w:rPr>
                <w:color w:val="auto"/>
                <w:sz w:val="24"/>
              </w:rPr>
              <w:t>HW49其他废物</w:t>
            </w:r>
            <w:r>
              <w:rPr>
                <w:rFonts w:hint="eastAsia"/>
                <w:color w:val="auto"/>
                <w:sz w:val="24"/>
              </w:rPr>
              <w:t>中900-041-49</w:t>
            </w:r>
            <w:r>
              <w:rPr>
                <w:color w:val="auto"/>
                <w:sz w:val="24"/>
              </w:rPr>
              <w:t>（</w:t>
            </w:r>
            <w:r>
              <w:rPr>
                <w:rFonts w:hint="eastAsia"/>
                <w:color w:val="auto"/>
                <w:kern w:val="0"/>
                <w:sz w:val="24"/>
                <w:lang w:bidi="ar"/>
              </w:rPr>
              <w:t>含有或沾染毒性、感染性危险废物的废弃包装物、容器、过滤吸附介质</w:t>
            </w:r>
            <w:r>
              <w:rPr>
                <w:color w:val="auto"/>
                <w:sz w:val="24"/>
              </w:rPr>
              <w:t>）</w:t>
            </w:r>
            <w:r>
              <w:rPr>
                <w:rFonts w:hint="eastAsia"/>
                <w:color w:val="auto"/>
                <w:sz w:val="24"/>
                <w:lang w:eastAsia="zh-CN"/>
              </w:rPr>
              <w:t>”</w:t>
            </w:r>
            <w:r>
              <w:rPr>
                <w:color w:val="auto"/>
                <w:sz w:val="24"/>
              </w:rPr>
              <w:t>。</w:t>
            </w:r>
            <w:r>
              <w:rPr>
                <w:rFonts w:hint="eastAsia"/>
                <w:color w:val="auto"/>
                <w:sz w:val="24"/>
                <w:lang w:val="en-US" w:eastAsia="zh-CN"/>
              </w:rPr>
              <w:t>要求企业设置危险废物贮存库对其暂存</w:t>
            </w:r>
            <w:r>
              <w:rPr>
                <w:color w:val="auto"/>
                <w:sz w:val="24"/>
              </w:rPr>
              <w:t>，定期交由有资质单位转运处置。</w:t>
            </w:r>
          </w:p>
          <w:p w14:paraId="36AE9AFB">
            <w:pPr>
              <w:adjustRightInd w:val="0"/>
              <w:snapToGrid w:val="0"/>
              <w:spacing w:line="360" w:lineRule="auto"/>
              <w:ind w:firstLine="480" w:firstLineChars="200"/>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⑦废油桶</w:t>
            </w:r>
          </w:p>
          <w:p w14:paraId="36F193FA">
            <w:pPr>
              <w:adjustRightInd w:val="0"/>
              <w:snapToGrid w:val="0"/>
              <w:spacing w:line="360" w:lineRule="auto"/>
              <w:ind w:firstLine="480" w:firstLineChars="200"/>
              <w:rPr>
                <w:color w:val="auto"/>
              </w:rPr>
            </w:pPr>
            <w:r>
              <w:rPr>
                <w:rFonts w:hint="eastAsia"/>
                <w:color w:val="auto"/>
                <w:sz w:val="24"/>
                <w:lang w:val="en-US" w:eastAsia="zh-CN"/>
              </w:rPr>
              <w:t>本项目设备维护保养会产生一定的废油桶，产生量约为0.002t/a，</w:t>
            </w:r>
            <w:r>
              <w:rPr>
                <w:color w:val="auto"/>
                <w:kern w:val="0"/>
                <w:sz w:val="24"/>
              </w:rPr>
              <w:t>对照《国家危险废物名录》（2021年版），</w:t>
            </w:r>
            <w:r>
              <w:rPr>
                <w:rFonts w:hint="eastAsia"/>
                <w:color w:val="auto"/>
                <w:kern w:val="0"/>
                <w:sz w:val="24"/>
                <w:lang w:eastAsia="zh-CN"/>
              </w:rPr>
              <w:t>属于</w:t>
            </w:r>
            <w:r>
              <w:rPr>
                <w:color w:val="auto"/>
                <w:sz w:val="24"/>
              </w:rPr>
              <w:t>危险废物，HW08废矿物油与含矿物油废物（900-</w:t>
            </w:r>
            <w:r>
              <w:rPr>
                <w:rFonts w:hint="eastAsia"/>
                <w:color w:val="auto"/>
                <w:sz w:val="24"/>
              </w:rPr>
              <w:t>249</w:t>
            </w:r>
            <w:r>
              <w:rPr>
                <w:color w:val="auto"/>
                <w:sz w:val="24"/>
              </w:rPr>
              <w:t xml:space="preserve">-08 </w:t>
            </w:r>
            <w:r>
              <w:rPr>
                <w:rFonts w:hint="eastAsia"/>
                <w:color w:val="auto"/>
                <w:sz w:val="24"/>
              </w:rPr>
              <w:t>其他生产、销售、使用过程中产生的废矿物油及沾染矿物油的废弃包装物</w:t>
            </w:r>
            <w:r>
              <w:rPr>
                <w:color w:val="auto"/>
                <w:sz w:val="24"/>
              </w:rPr>
              <w:t>）。</w:t>
            </w:r>
          </w:p>
          <w:p w14:paraId="126B0E99">
            <w:pPr>
              <w:adjustRightInd w:val="0"/>
              <w:snapToGrid w:val="0"/>
              <w:spacing w:line="360" w:lineRule="auto"/>
              <w:ind w:firstLine="480" w:firstLineChars="200"/>
              <w:rPr>
                <w:color w:val="auto"/>
                <w:sz w:val="24"/>
              </w:rPr>
            </w:pPr>
            <w:r>
              <w:rPr>
                <w:rFonts w:hint="eastAsia"/>
                <w:color w:val="auto"/>
                <w:sz w:val="24"/>
                <w:lang w:val="en-US" w:eastAsia="zh-CN"/>
              </w:rPr>
              <w:t>要求企业设置危险废物贮存库对其暂存</w:t>
            </w:r>
            <w:r>
              <w:rPr>
                <w:color w:val="auto"/>
                <w:sz w:val="24"/>
              </w:rPr>
              <w:t>，定期交由有资质单位转运处置。</w:t>
            </w:r>
          </w:p>
          <w:p w14:paraId="7D9E7F3B">
            <w:pPr>
              <w:adjustRightInd w:val="0"/>
              <w:snapToGrid w:val="0"/>
              <w:jc w:val="center"/>
              <w:rPr>
                <w:b/>
                <w:bCs/>
                <w:color w:val="auto"/>
                <w:szCs w:val="21"/>
              </w:rPr>
            </w:pPr>
            <w:r>
              <w:rPr>
                <w:b/>
                <w:bCs/>
                <w:color w:val="auto"/>
                <w:szCs w:val="21"/>
              </w:rPr>
              <w:t>表</w:t>
            </w:r>
            <w:r>
              <w:rPr>
                <w:rFonts w:hint="eastAsia"/>
                <w:b/>
                <w:bCs/>
                <w:color w:val="auto"/>
                <w:szCs w:val="21"/>
                <w:lang w:val="en-US" w:eastAsia="zh-CN"/>
              </w:rPr>
              <w:t>4-7</w:t>
            </w:r>
            <w:r>
              <w:rPr>
                <w:rFonts w:hint="eastAsia"/>
                <w:b/>
                <w:bCs/>
                <w:color w:val="auto"/>
                <w:szCs w:val="21"/>
              </w:rPr>
              <w:t xml:space="preserve">  固废</w:t>
            </w:r>
            <w:r>
              <w:rPr>
                <w:b/>
                <w:bCs/>
                <w:color w:val="auto"/>
                <w:szCs w:val="21"/>
              </w:rPr>
              <w:t>产生排放一览表</w:t>
            </w:r>
          </w:p>
          <w:tbl>
            <w:tblPr>
              <w:tblStyle w:val="23"/>
              <w:tblW w:w="8479"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1210"/>
              <w:gridCol w:w="898"/>
              <w:gridCol w:w="877"/>
              <w:gridCol w:w="821"/>
              <w:gridCol w:w="1031"/>
              <w:gridCol w:w="974"/>
              <w:gridCol w:w="1300"/>
            </w:tblGrid>
            <w:tr w14:paraId="653EC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806" w:type="pct"/>
                  <w:noWrap w:val="0"/>
                  <w:vAlign w:val="center"/>
                </w:tcPr>
                <w:p w14:paraId="3580FCFC">
                  <w:pPr>
                    <w:pStyle w:val="18"/>
                    <w:ind w:leftChars="0" w:firstLine="0" w:firstLineChars="0"/>
                    <w:jc w:val="center"/>
                    <w:rPr>
                      <w:rFonts w:ascii="Times New Roman" w:hAnsi="Times New Roman"/>
                      <w:b/>
                      <w:bCs w:val="0"/>
                      <w:color w:val="auto"/>
                      <w:kern w:val="0"/>
                      <w:szCs w:val="21"/>
                    </w:rPr>
                  </w:pPr>
                  <w:r>
                    <w:rPr>
                      <w:rFonts w:hint="eastAsia" w:ascii="Times New Roman" w:hAnsi="Times New Roman"/>
                      <w:b/>
                      <w:bCs w:val="0"/>
                      <w:color w:val="auto"/>
                      <w:kern w:val="0"/>
                      <w:szCs w:val="21"/>
                    </w:rPr>
                    <w:t>产污环节</w:t>
                  </w:r>
                </w:p>
              </w:tc>
              <w:tc>
                <w:tcPr>
                  <w:tcW w:w="713" w:type="pct"/>
                  <w:noWrap w:val="0"/>
                  <w:vAlign w:val="center"/>
                </w:tcPr>
                <w:p w14:paraId="51ACEB5A">
                  <w:pPr>
                    <w:pStyle w:val="18"/>
                    <w:ind w:leftChars="0" w:firstLine="0" w:firstLineChars="0"/>
                    <w:jc w:val="center"/>
                    <w:rPr>
                      <w:rFonts w:ascii="Times New Roman" w:hAnsi="Times New Roman"/>
                      <w:bCs/>
                      <w:color w:val="auto"/>
                      <w:szCs w:val="21"/>
                    </w:rPr>
                  </w:pPr>
                  <w:r>
                    <w:rPr>
                      <w:rFonts w:hint="eastAsia" w:ascii="Times New Roman" w:hAnsi="Times New Roman"/>
                      <w:bCs/>
                      <w:color w:val="auto"/>
                      <w:szCs w:val="21"/>
                    </w:rPr>
                    <w:t>员工生活</w:t>
                  </w:r>
                </w:p>
              </w:tc>
              <w:tc>
                <w:tcPr>
                  <w:tcW w:w="3479" w:type="pct"/>
                  <w:gridSpan w:val="6"/>
                  <w:noWrap w:val="0"/>
                  <w:vAlign w:val="center"/>
                </w:tcPr>
                <w:p w14:paraId="799336A3">
                  <w:pPr>
                    <w:pStyle w:val="18"/>
                    <w:ind w:leftChars="0" w:firstLine="0" w:firstLineChars="0"/>
                    <w:jc w:val="center"/>
                    <w:rPr>
                      <w:rFonts w:ascii="Times New Roman" w:hAnsi="Times New Roman"/>
                      <w:bCs/>
                      <w:color w:val="auto"/>
                      <w:szCs w:val="21"/>
                    </w:rPr>
                  </w:pPr>
                  <w:r>
                    <w:rPr>
                      <w:rFonts w:hint="eastAsia" w:ascii="Times New Roman" w:hAnsi="Times New Roman"/>
                      <w:bCs/>
                      <w:color w:val="auto"/>
                      <w:szCs w:val="21"/>
                      <w:lang w:val="en-US" w:eastAsia="zh-CN"/>
                    </w:rPr>
                    <w:t>维护保养过程</w:t>
                  </w:r>
                </w:p>
              </w:tc>
            </w:tr>
            <w:tr w14:paraId="3B3E6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6" w:type="pct"/>
                  <w:noWrap w:val="0"/>
                  <w:vAlign w:val="center"/>
                </w:tcPr>
                <w:p w14:paraId="57014D20">
                  <w:pPr>
                    <w:pStyle w:val="18"/>
                    <w:ind w:leftChars="0" w:firstLine="0" w:firstLineChars="0"/>
                    <w:jc w:val="center"/>
                    <w:rPr>
                      <w:rFonts w:ascii="Times New Roman" w:hAnsi="Times New Roman"/>
                      <w:b/>
                      <w:bCs w:val="0"/>
                      <w:color w:val="auto"/>
                      <w:kern w:val="0"/>
                      <w:szCs w:val="21"/>
                    </w:rPr>
                  </w:pPr>
                  <w:r>
                    <w:rPr>
                      <w:rFonts w:hint="eastAsia" w:ascii="Times New Roman" w:hAnsi="Times New Roman"/>
                      <w:b/>
                      <w:bCs w:val="0"/>
                      <w:color w:val="auto"/>
                      <w:kern w:val="0"/>
                      <w:szCs w:val="21"/>
                    </w:rPr>
                    <w:t>名称</w:t>
                  </w:r>
                </w:p>
              </w:tc>
              <w:tc>
                <w:tcPr>
                  <w:tcW w:w="713" w:type="pct"/>
                  <w:noWrap w:val="0"/>
                  <w:vAlign w:val="center"/>
                </w:tcPr>
                <w:p w14:paraId="22A0C5D7">
                  <w:pPr>
                    <w:pStyle w:val="18"/>
                    <w:ind w:leftChars="0" w:firstLine="0" w:firstLineChars="0"/>
                    <w:jc w:val="center"/>
                    <w:rPr>
                      <w:rFonts w:ascii="Times New Roman" w:hAnsi="Times New Roman"/>
                      <w:bCs/>
                      <w:color w:val="auto"/>
                      <w:szCs w:val="21"/>
                    </w:rPr>
                  </w:pPr>
                  <w:r>
                    <w:rPr>
                      <w:rFonts w:hint="eastAsia" w:ascii="Times New Roman" w:hAnsi="Times New Roman"/>
                      <w:bCs/>
                      <w:color w:val="auto"/>
                      <w:szCs w:val="21"/>
                    </w:rPr>
                    <w:t>生活垃圾</w:t>
                  </w:r>
                </w:p>
              </w:tc>
              <w:tc>
                <w:tcPr>
                  <w:tcW w:w="529" w:type="pct"/>
                  <w:noWrap w:val="0"/>
                  <w:vAlign w:val="center"/>
                </w:tcPr>
                <w:p w14:paraId="027C7B71">
                  <w:pPr>
                    <w:pStyle w:val="18"/>
                    <w:ind w:leftChars="0" w:firstLine="0" w:firstLineChars="0"/>
                    <w:jc w:val="center"/>
                    <w:rPr>
                      <w:rFonts w:hint="default" w:ascii="Times New Roman" w:hAnsi="Times New Roman" w:eastAsia="宋体"/>
                      <w:bCs/>
                      <w:color w:val="auto"/>
                      <w:szCs w:val="21"/>
                      <w:lang w:val="en-US" w:eastAsia="zh-CN"/>
                    </w:rPr>
                  </w:pPr>
                  <w:r>
                    <w:rPr>
                      <w:rFonts w:hint="eastAsia" w:ascii="Times New Roman" w:hAnsi="Times New Roman"/>
                      <w:bCs/>
                      <w:color w:val="auto"/>
                      <w:szCs w:val="21"/>
                      <w:lang w:val="en-US" w:eastAsia="zh-CN"/>
                    </w:rPr>
                    <w:t>废保温材料</w:t>
                  </w:r>
                </w:p>
              </w:tc>
              <w:tc>
                <w:tcPr>
                  <w:tcW w:w="517" w:type="pct"/>
                  <w:noWrap w:val="0"/>
                  <w:vAlign w:val="center"/>
                </w:tcPr>
                <w:p w14:paraId="266D3D34">
                  <w:pPr>
                    <w:pStyle w:val="18"/>
                    <w:ind w:leftChars="0" w:firstLine="0" w:firstLineChars="0"/>
                    <w:jc w:val="center"/>
                    <w:rPr>
                      <w:rFonts w:hint="default" w:ascii="Times New Roman" w:hAnsi="Times New Roman"/>
                      <w:bCs/>
                      <w:color w:val="auto"/>
                      <w:szCs w:val="21"/>
                      <w:lang w:val="en-US" w:eastAsia="zh-CN"/>
                    </w:rPr>
                  </w:pPr>
                  <w:r>
                    <w:rPr>
                      <w:rFonts w:hint="eastAsia" w:ascii="Times New Roman" w:hAnsi="Times New Roman"/>
                      <w:bCs/>
                      <w:color w:val="auto"/>
                      <w:szCs w:val="21"/>
                      <w:lang w:val="en-US" w:eastAsia="zh-CN"/>
                    </w:rPr>
                    <w:t>收集粉尘</w:t>
                  </w:r>
                </w:p>
              </w:tc>
              <w:tc>
                <w:tcPr>
                  <w:tcW w:w="484" w:type="pct"/>
                  <w:noWrap w:val="0"/>
                  <w:vAlign w:val="center"/>
                </w:tcPr>
                <w:p w14:paraId="009C7175">
                  <w:pPr>
                    <w:pStyle w:val="18"/>
                    <w:ind w:leftChars="0" w:firstLine="0" w:firstLineChars="0"/>
                    <w:jc w:val="center"/>
                    <w:rPr>
                      <w:rFonts w:hint="eastAsia" w:ascii="Times New Roman" w:hAnsi="Times New Roman"/>
                      <w:bCs/>
                      <w:color w:val="auto"/>
                      <w:szCs w:val="21"/>
                      <w:lang w:val="en-US" w:eastAsia="zh-CN"/>
                    </w:rPr>
                  </w:pPr>
                  <w:r>
                    <w:rPr>
                      <w:rFonts w:hint="eastAsia" w:ascii="Times New Roman" w:hAnsi="Times New Roman"/>
                      <w:bCs/>
                      <w:color w:val="auto"/>
                      <w:szCs w:val="21"/>
                      <w:lang w:val="en-US" w:eastAsia="zh-CN"/>
                    </w:rPr>
                    <w:t>废边角料</w:t>
                  </w:r>
                </w:p>
              </w:tc>
              <w:tc>
                <w:tcPr>
                  <w:tcW w:w="607" w:type="pct"/>
                  <w:noWrap w:val="0"/>
                  <w:vAlign w:val="center"/>
                </w:tcPr>
                <w:p w14:paraId="5CAB9665">
                  <w:pPr>
                    <w:pStyle w:val="18"/>
                    <w:ind w:left="0" w:leftChars="0"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bCs/>
                      <w:color w:val="auto"/>
                      <w:szCs w:val="21"/>
                      <w:lang w:val="en-US" w:eastAsia="zh-CN"/>
                    </w:rPr>
                    <w:t>废润滑油</w:t>
                  </w:r>
                </w:p>
              </w:tc>
              <w:tc>
                <w:tcPr>
                  <w:tcW w:w="574" w:type="pct"/>
                  <w:noWrap w:val="0"/>
                  <w:vAlign w:val="center"/>
                </w:tcPr>
                <w:p w14:paraId="27BAF36E">
                  <w:pPr>
                    <w:pStyle w:val="18"/>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bCs/>
                      <w:color w:val="auto"/>
                      <w:szCs w:val="21"/>
                      <w:lang w:val="en-US" w:eastAsia="zh-CN"/>
                    </w:rPr>
                    <w:t>废油桶</w:t>
                  </w:r>
                </w:p>
              </w:tc>
              <w:tc>
                <w:tcPr>
                  <w:tcW w:w="766" w:type="pct"/>
                  <w:noWrap w:val="0"/>
                  <w:vAlign w:val="center"/>
                </w:tcPr>
                <w:p w14:paraId="2A1C02B4">
                  <w:pPr>
                    <w:pStyle w:val="18"/>
                    <w:ind w:left="0" w:leftChars="0" w:firstLine="0" w:firstLineChars="0"/>
                    <w:jc w:val="center"/>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bCs/>
                      <w:color w:val="auto"/>
                      <w:szCs w:val="21"/>
                      <w:lang w:val="en-US" w:eastAsia="zh-CN"/>
                    </w:rPr>
                    <w:t>废含油抹布手套</w:t>
                  </w:r>
                </w:p>
              </w:tc>
            </w:tr>
            <w:tr w14:paraId="76103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806" w:type="pct"/>
                  <w:noWrap w:val="0"/>
                  <w:vAlign w:val="center"/>
                </w:tcPr>
                <w:p w14:paraId="72D62A70">
                  <w:pPr>
                    <w:pStyle w:val="18"/>
                    <w:ind w:leftChars="0" w:firstLine="0" w:firstLineChars="0"/>
                    <w:jc w:val="center"/>
                    <w:rPr>
                      <w:rFonts w:ascii="Times New Roman" w:hAnsi="Times New Roman"/>
                      <w:b/>
                      <w:bCs w:val="0"/>
                      <w:color w:val="auto"/>
                      <w:kern w:val="0"/>
                      <w:szCs w:val="21"/>
                    </w:rPr>
                  </w:pPr>
                  <w:r>
                    <w:rPr>
                      <w:rFonts w:hint="eastAsia" w:ascii="Times New Roman" w:hAnsi="Times New Roman"/>
                      <w:b/>
                      <w:bCs w:val="0"/>
                      <w:color w:val="auto"/>
                      <w:kern w:val="0"/>
                      <w:szCs w:val="21"/>
                    </w:rPr>
                    <w:t>属性</w:t>
                  </w:r>
                </w:p>
              </w:tc>
              <w:tc>
                <w:tcPr>
                  <w:tcW w:w="713" w:type="pct"/>
                  <w:noWrap w:val="0"/>
                  <w:vAlign w:val="center"/>
                </w:tcPr>
                <w:p w14:paraId="0526C882">
                  <w:pPr>
                    <w:pStyle w:val="18"/>
                    <w:ind w:leftChars="0" w:firstLine="0" w:firstLineChars="0"/>
                    <w:jc w:val="center"/>
                    <w:rPr>
                      <w:rFonts w:ascii="Times New Roman" w:hAnsi="Times New Roman"/>
                      <w:bCs/>
                      <w:color w:val="auto"/>
                      <w:kern w:val="0"/>
                      <w:szCs w:val="21"/>
                    </w:rPr>
                  </w:pPr>
                  <w:r>
                    <w:rPr>
                      <w:rFonts w:hint="eastAsia" w:ascii="Times New Roman" w:hAnsi="Times New Roman"/>
                      <w:bCs/>
                      <w:color w:val="auto"/>
                      <w:szCs w:val="21"/>
                    </w:rPr>
                    <w:t>生活垃圾</w:t>
                  </w:r>
                </w:p>
              </w:tc>
              <w:tc>
                <w:tcPr>
                  <w:tcW w:w="1530" w:type="pct"/>
                  <w:gridSpan w:val="3"/>
                  <w:noWrap w:val="0"/>
                  <w:vAlign w:val="center"/>
                </w:tcPr>
                <w:p w14:paraId="4CEDD49F">
                  <w:pPr>
                    <w:pStyle w:val="18"/>
                    <w:ind w:leftChars="0" w:firstLine="0" w:firstLineChars="0"/>
                    <w:jc w:val="center"/>
                    <w:rPr>
                      <w:rFonts w:hint="eastAsia" w:ascii="Times New Roman" w:hAnsi="Times New Roman"/>
                      <w:bCs/>
                      <w:color w:val="auto"/>
                      <w:szCs w:val="21"/>
                      <w:lang w:val="en-US" w:eastAsia="zh-CN"/>
                    </w:rPr>
                  </w:pPr>
                  <w:r>
                    <w:rPr>
                      <w:rFonts w:hint="eastAsia" w:ascii="Times New Roman" w:hAnsi="Times New Roman"/>
                      <w:bCs/>
                      <w:color w:val="auto"/>
                      <w:szCs w:val="21"/>
                      <w:lang w:val="en-US" w:eastAsia="zh-CN"/>
                    </w:rPr>
                    <w:t>一般固废</w:t>
                  </w:r>
                </w:p>
              </w:tc>
              <w:tc>
                <w:tcPr>
                  <w:tcW w:w="1948" w:type="pct"/>
                  <w:gridSpan w:val="3"/>
                  <w:noWrap w:val="0"/>
                  <w:vAlign w:val="center"/>
                </w:tcPr>
                <w:p w14:paraId="7DC5AE1B">
                  <w:pPr>
                    <w:pStyle w:val="18"/>
                    <w:ind w:left="0" w:leftChars="0" w:firstLine="0" w:firstLineChars="0"/>
                    <w:jc w:val="center"/>
                    <w:rPr>
                      <w:rFonts w:hint="eastAsia" w:ascii="Times New Roman" w:hAnsi="Times New Roman"/>
                      <w:bCs/>
                      <w:color w:val="auto"/>
                      <w:kern w:val="0"/>
                      <w:szCs w:val="21"/>
                    </w:rPr>
                  </w:pPr>
                  <w:r>
                    <w:rPr>
                      <w:rFonts w:hint="eastAsia" w:ascii="Times New Roman" w:hAnsi="Times New Roman"/>
                      <w:bCs/>
                      <w:color w:val="auto"/>
                      <w:kern w:val="0"/>
                      <w:szCs w:val="21"/>
                    </w:rPr>
                    <w:t>危险废物</w:t>
                  </w:r>
                </w:p>
              </w:tc>
            </w:tr>
            <w:tr w14:paraId="27DB2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7" w:hRule="atLeast"/>
              </w:trPr>
              <w:tc>
                <w:tcPr>
                  <w:tcW w:w="806" w:type="pct"/>
                  <w:noWrap w:val="0"/>
                  <w:vAlign w:val="center"/>
                </w:tcPr>
                <w:p w14:paraId="097DB9AF">
                  <w:pPr>
                    <w:pStyle w:val="18"/>
                    <w:ind w:leftChars="0" w:firstLine="0" w:firstLineChars="0"/>
                    <w:jc w:val="center"/>
                    <w:rPr>
                      <w:rFonts w:ascii="Times New Roman" w:hAnsi="Times New Roman"/>
                      <w:b/>
                      <w:bCs w:val="0"/>
                      <w:color w:val="auto"/>
                      <w:kern w:val="0"/>
                      <w:szCs w:val="21"/>
                    </w:rPr>
                  </w:pPr>
                  <w:r>
                    <w:rPr>
                      <w:rFonts w:hint="eastAsia" w:ascii="Times New Roman" w:hAnsi="Times New Roman"/>
                      <w:b/>
                      <w:bCs w:val="0"/>
                      <w:color w:val="auto"/>
                      <w:kern w:val="0"/>
                      <w:szCs w:val="21"/>
                    </w:rPr>
                    <w:t>废物类别及代码</w:t>
                  </w:r>
                </w:p>
              </w:tc>
              <w:tc>
                <w:tcPr>
                  <w:tcW w:w="713" w:type="pct"/>
                  <w:noWrap w:val="0"/>
                  <w:vAlign w:val="center"/>
                </w:tcPr>
                <w:p w14:paraId="425CE9B8">
                  <w:pPr>
                    <w:pStyle w:val="18"/>
                    <w:ind w:leftChars="0" w:firstLine="0" w:firstLineChars="0"/>
                    <w:jc w:val="center"/>
                    <w:rPr>
                      <w:rFonts w:ascii="Times New Roman" w:hAnsi="Times New Roman"/>
                      <w:bCs/>
                      <w:color w:val="auto"/>
                      <w:kern w:val="0"/>
                      <w:szCs w:val="21"/>
                    </w:rPr>
                  </w:pPr>
                  <w:r>
                    <w:rPr>
                      <w:rFonts w:hint="eastAsia" w:ascii="Times New Roman" w:hAnsi="Times New Roman"/>
                      <w:bCs/>
                      <w:color w:val="auto"/>
                      <w:kern w:val="0"/>
                      <w:szCs w:val="21"/>
                    </w:rPr>
                    <w:t>/</w:t>
                  </w:r>
                </w:p>
              </w:tc>
              <w:tc>
                <w:tcPr>
                  <w:tcW w:w="529" w:type="pct"/>
                  <w:noWrap w:val="0"/>
                  <w:vAlign w:val="center"/>
                </w:tcPr>
                <w:p w14:paraId="37C3CDA2">
                  <w:pPr>
                    <w:pStyle w:val="18"/>
                    <w:ind w:leftChars="0" w:firstLine="0" w:firstLineChars="0"/>
                    <w:jc w:val="center"/>
                    <w:rPr>
                      <w:rFonts w:hint="eastAsia" w:ascii="Times New Roman" w:hAnsi="Times New Roman" w:eastAsia="宋体"/>
                      <w:bCs/>
                      <w:color w:val="auto"/>
                      <w:kern w:val="0"/>
                      <w:szCs w:val="21"/>
                      <w:lang w:val="en-US" w:eastAsia="zh-CN"/>
                    </w:rPr>
                  </w:pPr>
                  <w:r>
                    <w:rPr>
                      <w:rFonts w:hint="eastAsia" w:ascii="Times New Roman" w:hAnsi="Times New Roman" w:eastAsia="宋体"/>
                      <w:bCs/>
                      <w:color w:val="auto"/>
                      <w:kern w:val="0"/>
                      <w:szCs w:val="21"/>
                      <w:lang w:val="en-US" w:eastAsia="zh-CN"/>
                    </w:rPr>
                    <w:t>334-900-999-99</w:t>
                  </w:r>
                </w:p>
              </w:tc>
              <w:tc>
                <w:tcPr>
                  <w:tcW w:w="517" w:type="pct"/>
                  <w:noWrap w:val="0"/>
                  <w:vAlign w:val="center"/>
                </w:tcPr>
                <w:p w14:paraId="128EBBFE">
                  <w:pPr>
                    <w:pStyle w:val="18"/>
                    <w:ind w:leftChars="0" w:firstLine="0" w:firstLineChars="0"/>
                    <w:jc w:val="center"/>
                    <w:rPr>
                      <w:rFonts w:hint="eastAsia" w:ascii="Times New Roman" w:hAnsi="Times New Roman" w:eastAsia="宋体"/>
                      <w:bCs/>
                      <w:color w:val="auto"/>
                      <w:kern w:val="0"/>
                      <w:szCs w:val="21"/>
                      <w:lang w:val="en-US" w:eastAsia="zh-CN"/>
                    </w:rPr>
                  </w:pPr>
                  <w:r>
                    <w:rPr>
                      <w:rFonts w:hint="eastAsia" w:ascii="Times New Roman" w:hAnsi="Times New Roman" w:eastAsia="宋体"/>
                      <w:bCs/>
                      <w:color w:val="auto"/>
                      <w:kern w:val="0"/>
                      <w:szCs w:val="21"/>
                      <w:lang w:val="en-US" w:eastAsia="zh-CN"/>
                    </w:rPr>
                    <w:t>334-900-999-66</w:t>
                  </w:r>
                </w:p>
              </w:tc>
              <w:tc>
                <w:tcPr>
                  <w:tcW w:w="484" w:type="pct"/>
                  <w:noWrap w:val="0"/>
                  <w:vAlign w:val="center"/>
                </w:tcPr>
                <w:p w14:paraId="6354962F">
                  <w:pPr>
                    <w:pStyle w:val="18"/>
                    <w:ind w:leftChars="0" w:firstLine="0" w:firstLineChars="0"/>
                    <w:jc w:val="center"/>
                    <w:rPr>
                      <w:rFonts w:hint="eastAsia" w:ascii="Times New Roman" w:hAnsi="Times New Roman" w:eastAsia="宋体"/>
                      <w:bCs/>
                      <w:color w:val="auto"/>
                      <w:kern w:val="0"/>
                      <w:szCs w:val="21"/>
                      <w:lang w:val="en-US" w:eastAsia="zh-CN"/>
                    </w:rPr>
                  </w:pPr>
                </w:p>
              </w:tc>
              <w:tc>
                <w:tcPr>
                  <w:tcW w:w="607" w:type="pct"/>
                  <w:noWrap w:val="0"/>
                  <w:vAlign w:val="center"/>
                </w:tcPr>
                <w:p w14:paraId="43ED9B03">
                  <w:pPr>
                    <w:pStyle w:val="18"/>
                    <w:ind w:left="0" w:leftChars="0" w:firstLine="0" w:firstLineChars="0"/>
                    <w:jc w:val="center"/>
                    <w:rPr>
                      <w:rFonts w:ascii="Times New Roman" w:hAnsi="Times New Roman" w:eastAsia="宋体" w:cs="Times New Roman"/>
                      <w:bCs/>
                      <w:color w:val="auto"/>
                      <w:kern w:val="0"/>
                      <w:sz w:val="21"/>
                      <w:szCs w:val="21"/>
                      <w:lang w:val="en-US" w:eastAsia="zh-CN" w:bidi="ar-SA"/>
                    </w:rPr>
                  </w:pPr>
                  <w:r>
                    <w:rPr>
                      <w:rFonts w:ascii="Times New Roman" w:hAnsi="Times New Roman"/>
                      <w:bCs/>
                      <w:color w:val="auto"/>
                      <w:szCs w:val="21"/>
                    </w:rPr>
                    <w:t>900-</w:t>
                  </w:r>
                  <w:r>
                    <w:rPr>
                      <w:rFonts w:hint="eastAsia" w:ascii="Times New Roman" w:hAnsi="Times New Roman"/>
                      <w:bCs/>
                      <w:color w:val="auto"/>
                      <w:szCs w:val="21"/>
                    </w:rPr>
                    <w:t>249</w:t>
                  </w:r>
                  <w:r>
                    <w:rPr>
                      <w:rFonts w:ascii="Times New Roman" w:hAnsi="Times New Roman"/>
                      <w:bCs/>
                      <w:color w:val="auto"/>
                      <w:szCs w:val="21"/>
                    </w:rPr>
                    <w:t>-08</w:t>
                  </w:r>
                </w:p>
              </w:tc>
              <w:tc>
                <w:tcPr>
                  <w:tcW w:w="574" w:type="pct"/>
                  <w:noWrap w:val="0"/>
                  <w:vAlign w:val="center"/>
                </w:tcPr>
                <w:p w14:paraId="2450F156">
                  <w:pPr>
                    <w:pStyle w:val="18"/>
                    <w:ind w:left="0" w:leftChars="0" w:firstLine="0" w:firstLineChars="0"/>
                    <w:jc w:val="center"/>
                    <w:rPr>
                      <w:rFonts w:hint="eastAsia" w:ascii="Times New Roman" w:hAnsi="Times New Roman" w:eastAsia="宋体" w:cs="Times New Roman"/>
                      <w:bCs/>
                      <w:color w:val="auto"/>
                      <w:kern w:val="0"/>
                      <w:sz w:val="21"/>
                      <w:szCs w:val="21"/>
                      <w:lang w:val="en-US" w:eastAsia="zh-CN" w:bidi="ar-SA"/>
                    </w:rPr>
                  </w:pPr>
                  <w:r>
                    <w:rPr>
                      <w:rFonts w:ascii="Times New Roman" w:hAnsi="Times New Roman"/>
                      <w:bCs/>
                      <w:color w:val="auto"/>
                      <w:szCs w:val="21"/>
                    </w:rPr>
                    <w:t>900-</w:t>
                  </w:r>
                  <w:r>
                    <w:rPr>
                      <w:rFonts w:hint="eastAsia" w:ascii="Times New Roman" w:hAnsi="Times New Roman"/>
                      <w:bCs/>
                      <w:color w:val="auto"/>
                      <w:szCs w:val="21"/>
                    </w:rPr>
                    <w:t>249</w:t>
                  </w:r>
                  <w:r>
                    <w:rPr>
                      <w:rFonts w:ascii="Times New Roman" w:hAnsi="Times New Roman"/>
                      <w:bCs/>
                      <w:color w:val="auto"/>
                      <w:szCs w:val="21"/>
                    </w:rPr>
                    <w:t>-08</w:t>
                  </w:r>
                </w:p>
              </w:tc>
              <w:tc>
                <w:tcPr>
                  <w:tcW w:w="766" w:type="pct"/>
                  <w:noWrap w:val="0"/>
                  <w:vAlign w:val="center"/>
                </w:tcPr>
                <w:p w14:paraId="4ECEC9C4">
                  <w:pPr>
                    <w:pStyle w:val="18"/>
                    <w:ind w:left="0" w:leftChars="0" w:firstLine="0" w:firstLineChars="0"/>
                    <w:jc w:val="center"/>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bCs/>
                      <w:color w:val="auto"/>
                      <w:szCs w:val="21"/>
                    </w:rPr>
                    <w:t>900-041-49</w:t>
                  </w:r>
                </w:p>
              </w:tc>
            </w:tr>
            <w:tr w14:paraId="6B65F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trPr>
              <w:tc>
                <w:tcPr>
                  <w:tcW w:w="806" w:type="pct"/>
                  <w:noWrap w:val="0"/>
                  <w:vAlign w:val="center"/>
                </w:tcPr>
                <w:p w14:paraId="04A0F7F2">
                  <w:pPr>
                    <w:pStyle w:val="18"/>
                    <w:ind w:leftChars="0" w:firstLine="0" w:firstLineChars="0"/>
                    <w:jc w:val="center"/>
                    <w:rPr>
                      <w:rFonts w:ascii="Times New Roman" w:hAnsi="Times New Roman"/>
                      <w:b/>
                      <w:bCs w:val="0"/>
                      <w:color w:val="auto"/>
                      <w:kern w:val="0"/>
                      <w:szCs w:val="21"/>
                    </w:rPr>
                  </w:pPr>
                  <w:r>
                    <w:rPr>
                      <w:rFonts w:hint="eastAsia" w:ascii="Times New Roman" w:hAnsi="Times New Roman"/>
                      <w:b/>
                      <w:bCs w:val="0"/>
                      <w:color w:val="auto"/>
                      <w:kern w:val="0"/>
                      <w:szCs w:val="21"/>
                    </w:rPr>
                    <w:t>有毒有害物质名称</w:t>
                  </w:r>
                </w:p>
              </w:tc>
              <w:tc>
                <w:tcPr>
                  <w:tcW w:w="713" w:type="pct"/>
                  <w:noWrap w:val="0"/>
                  <w:vAlign w:val="center"/>
                </w:tcPr>
                <w:p w14:paraId="3FCCCDAC">
                  <w:pPr>
                    <w:pStyle w:val="18"/>
                    <w:ind w:leftChars="0" w:firstLine="0" w:firstLineChars="0"/>
                    <w:jc w:val="center"/>
                    <w:rPr>
                      <w:rFonts w:ascii="Times New Roman" w:hAnsi="Times New Roman"/>
                      <w:bCs/>
                      <w:color w:val="auto"/>
                      <w:kern w:val="0"/>
                      <w:szCs w:val="21"/>
                    </w:rPr>
                  </w:pPr>
                  <w:r>
                    <w:rPr>
                      <w:rFonts w:hint="eastAsia" w:ascii="Times New Roman" w:hAnsi="Times New Roman"/>
                      <w:bCs/>
                      <w:color w:val="auto"/>
                      <w:kern w:val="0"/>
                      <w:szCs w:val="21"/>
                    </w:rPr>
                    <w:t>/</w:t>
                  </w:r>
                </w:p>
              </w:tc>
              <w:tc>
                <w:tcPr>
                  <w:tcW w:w="529" w:type="pct"/>
                  <w:noWrap w:val="0"/>
                  <w:vAlign w:val="center"/>
                </w:tcPr>
                <w:p w14:paraId="48560A7D">
                  <w:pPr>
                    <w:pStyle w:val="18"/>
                    <w:ind w:leftChars="0" w:firstLine="0" w:firstLineChars="0"/>
                    <w:jc w:val="center"/>
                    <w:rPr>
                      <w:rFonts w:hint="eastAsia" w:ascii="Times New Roman" w:hAnsi="Times New Roman" w:eastAsia="宋体"/>
                      <w:bCs/>
                      <w:color w:val="auto"/>
                      <w:kern w:val="0"/>
                      <w:szCs w:val="21"/>
                      <w:lang w:val="en-US" w:eastAsia="zh-CN"/>
                    </w:rPr>
                  </w:pPr>
                  <w:r>
                    <w:rPr>
                      <w:rFonts w:hint="eastAsia" w:ascii="Times New Roman" w:hAnsi="Times New Roman"/>
                      <w:bCs/>
                      <w:color w:val="auto"/>
                      <w:kern w:val="0"/>
                      <w:szCs w:val="21"/>
                      <w:lang w:val="en-US" w:eastAsia="zh-CN"/>
                    </w:rPr>
                    <w:t>/</w:t>
                  </w:r>
                </w:p>
              </w:tc>
              <w:tc>
                <w:tcPr>
                  <w:tcW w:w="517" w:type="pct"/>
                  <w:noWrap w:val="0"/>
                  <w:vAlign w:val="center"/>
                </w:tcPr>
                <w:p w14:paraId="63EB7A5C">
                  <w:pPr>
                    <w:pStyle w:val="18"/>
                    <w:ind w:leftChars="0" w:firstLine="0" w:firstLineChars="0"/>
                    <w:jc w:val="center"/>
                    <w:rPr>
                      <w:rFonts w:hint="eastAsia"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w:t>
                  </w:r>
                </w:p>
              </w:tc>
              <w:tc>
                <w:tcPr>
                  <w:tcW w:w="484" w:type="pct"/>
                  <w:noWrap w:val="0"/>
                  <w:vAlign w:val="center"/>
                </w:tcPr>
                <w:p w14:paraId="6F86A1D1">
                  <w:pPr>
                    <w:pStyle w:val="18"/>
                    <w:ind w:leftChars="0" w:firstLine="0" w:firstLineChars="0"/>
                    <w:jc w:val="center"/>
                    <w:rPr>
                      <w:rFonts w:hint="default"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w:t>
                  </w:r>
                </w:p>
              </w:tc>
              <w:tc>
                <w:tcPr>
                  <w:tcW w:w="1182" w:type="pct"/>
                  <w:gridSpan w:val="2"/>
                  <w:noWrap w:val="0"/>
                  <w:vAlign w:val="center"/>
                </w:tcPr>
                <w:p w14:paraId="7B000203">
                  <w:pPr>
                    <w:pStyle w:val="18"/>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kern w:val="0"/>
                      <w:sz w:val="21"/>
                      <w:szCs w:val="21"/>
                      <w:lang w:val="en-US" w:eastAsia="zh-CN" w:bidi="ar-SA"/>
                    </w:rPr>
                    <w:t>其他生产、销售、使用过程中产生的废矿物油及沾染矿物油的废弃包装物</w:t>
                  </w:r>
                </w:p>
              </w:tc>
              <w:tc>
                <w:tcPr>
                  <w:tcW w:w="766" w:type="pct"/>
                  <w:noWrap w:val="0"/>
                  <w:vAlign w:val="center"/>
                </w:tcPr>
                <w:p w14:paraId="43BFCF85">
                  <w:pPr>
                    <w:pStyle w:val="18"/>
                    <w:ind w:left="0" w:leftChars="0"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eastAsia="宋体" w:cs="Times New Roman"/>
                      <w:bCs/>
                      <w:color w:val="auto"/>
                      <w:kern w:val="0"/>
                      <w:sz w:val="21"/>
                      <w:szCs w:val="21"/>
                      <w:lang w:val="en-US" w:eastAsia="zh-CN" w:bidi="ar-SA"/>
                    </w:rPr>
                    <w:t>含有或沾染毒性、感染性危险废物的废弃包装物、容器、过滤吸附介质</w:t>
                  </w:r>
                </w:p>
              </w:tc>
            </w:tr>
            <w:tr w14:paraId="10D66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trPr>
              <w:tc>
                <w:tcPr>
                  <w:tcW w:w="806" w:type="pct"/>
                  <w:noWrap w:val="0"/>
                  <w:vAlign w:val="center"/>
                </w:tcPr>
                <w:p w14:paraId="1E83903B">
                  <w:pPr>
                    <w:pStyle w:val="18"/>
                    <w:ind w:leftChars="0" w:firstLine="0" w:firstLineChars="0"/>
                    <w:jc w:val="center"/>
                    <w:rPr>
                      <w:rFonts w:ascii="Times New Roman" w:hAnsi="Times New Roman"/>
                      <w:b/>
                      <w:bCs w:val="0"/>
                      <w:color w:val="auto"/>
                      <w:kern w:val="0"/>
                      <w:szCs w:val="21"/>
                    </w:rPr>
                  </w:pPr>
                  <w:r>
                    <w:rPr>
                      <w:rFonts w:hint="eastAsia" w:ascii="Times New Roman" w:hAnsi="Times New Roman"/>
                      <w:b/>
                      <w:bCs w:val="0"/>
                      <w:color w:val="auto"/>
                      <w:kern w:val="0"/>
                      <w:szCs w:val="21"/>
                    </w:rPr>
                    <w:t>物理性状</w:t>
                  </w:r>
                </w:p>
              </w:tc>
              <w:tc>
                <w:tcPr>
                  <w:tcW w:w="713" w:type="pct"/>
                  <w:noWrap w:val="0"/>
                  <w:vAlign w:val="center"/>
                </w:tcPr>
                <w:p w14:paraId="59B29582">
                  <w:pPr>
                    <w:pStyle w:val="18"/>
                    <w:ind w:leftChars="0" w:firstLine="0" w:firstLineChars="0"/>
                    <w:jc w:val="center"/>
                    <w:rPr>
                      <w:rFonts w:ascii="Times New Roman" w:hAnsi="Times New Roman"/>
                      <w:bCs/>
                      <w:color w:val="auto"/>
                      <w:kern w:val="0"/>
                      <w:szCs w:val="21"/>
                    </w:rPr>
                  </w:pPr>
                  <w:r>
                    <w:rPr>
                      <w:rFonts w:hint="eastAsia" w:ascii="Times New Roman" w:hAnsi="Times New Roman"/>
                      <w:bCs/>
                      <w:color w:val="auto"/>
                      <w:kern w:val="0"/>
                      <w:szCs w:val="21"/>
                    </w:rPr>
                    <w:t>固态</w:t>
                  </w:r>
                </w:p>
              </w:tc>
              <w:tc>
                <w:tcPr>
                  <w:tcW w:w="529" w:type="pct"/>
                  <w:noWrap w:val="0"/>
                  <w:vAlign w:val="center"/>
                </w:tcPr>
                <w:p w14:paraId="1A3191F0">
                  <w:pPr>
                    <w:pStyle w:val="18"/>
                    <w:ind w:leftChars="0" w:firstLine="0" w:firstLineChars="0"/>
                    <w:jc w:val="center"/>
                    <w:rPr>
                      <w:rFonts w:hint="eastAsia" w:ascii="Times New Roman" w:hAnsi="Times New Roman" w:eastAsia="宋体"/>
                      <w:bCs/>
                      <w:color w:val="auto"/>
                      <w:kern w:val="0"/>
                      <w:szCs w:val="21"/>
                      <w:lang w:val="en-US" w:eastAsia="zh-CN"/>
                    </w:rPr>
                  </w:pPr>
                  <w:r>
                    <w:rPr>
                      <w:rFonts w:hint="eastAsia" w:ascii="Times New Roman" w:hAnsi="Times New Roman"/>
                      <w:bCs/>
                      <w:color w:val="auto"/>
                      <w:kern w:val="0"/>
                      <w:szCs w:val="21"/>
                      <w:lang w:val="en-US" w:eastAsia="zh-CN"/>
                    </w:rPr>
                    <w:t>固态</w:t>
                  </w:r>
                </w:p>
              </w:tc>
              <w:tc>
                <w:tcPr>
                  <w:tcW w:w="517" w:type="pct"/>
                  <w:noWrap w:val="0"/>
                  <w:vAlign w:val="center"/>
                </w:tcPr>
                <w:p w14:paraId="7C9BA3BE">
                  <w:pPr>
                    <w:pStyle w:val="18"/>
                    <w:ind w:leftChars="0" w:firstLine="0" w:firstLineChars="0"/>
                    <w:jc w:val="center"/>
                    <w:rPr>
                      <w:rFonts w:hint="eastAsia"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固态</w:t>
                  </w:r>
                </w:p>
              </w:tc>
              <w:tc>
                <w:tcPr>
                  <w:tcW w:w="484" w:type="pct"/>
                  <w:noWrap w:val="0"/>
                  <w:vAlign w:val="center"/>
                </w:tcPr>
                <w:p w14:paraId="0C4CDE78">
                  <w:pPr>
                    <w:pStyle w:val="18"/>
                    <w:ind w:left="0" w:leftChars="0" w:firstLine="0" w:firstLineChars="0"/>
                    <w:jc w:val="center"/>
                    <w:rPr>
                      <w:rFonts w:hint="eastAsia"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固态</w:t>
                  </w:r>
                </w:p>
              </w:tc>
              <w:tc>
                <w:tcPr>
                  <w:tcW w:w="607" w:type="pct"/>
                  <w:noWrap w:val="0"/>
                  <w:vAlign w:val="center"/>
                </w:tcPr>
                <w:p w14:paraId="22A97784">
                  <w:pPr>
                    <w:pStyle w:val="18"/>
                    <w:ind w:left="0" w:leftChars="0"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rPr>
                    <w:t>液态</w:t>
                  </w:r>
                </w:p>
              </w:tc>
              <w:tc>
                <w:tcPr>
                  <w:tcW w:w="574" w:type="pct"/>
                  <w:noWrap w:val="0"/>
                  <w:vAlign w:val="center"/>
                </w:tcPr>
                <w:p w14:paraId="27551076">
                  <w:pPr>
                    <w:pStyle w:val="18"/>
                    <w:ind w:left="0" w:leftChars="0"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rPr>
                    <w:t>液态</w:t>
                  </w:r>
                </w:p>
              </w:tc>
              <w:tc>
                <w:tcPr>
                  <w:tcW w:w="766" w:type="pct"/>
                  <w:noWrap w:val="0"/>
                  <w:vAlign w:val="center"/>
                </w:tcPr>
                <w:p w14:paraId="14128A23">
                  <w:pPr>
                    <w:pStyle w:val="18"/>
                    <w:ind w:left="0" w:leftChars="0"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rPr>
                    <w:t>固态</w:t>
                  </w:r>
                </w:p>
              </w:tc>
            </w:tr>
            <w:tr w14:paraId="0B35E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6" w:type="pct"/>
                  <w:noWrap w:val="0"/>
                  <w:vAlign w:val="center"/>
                </w:tcPr>
                <w:p w14:paraId="2AD6843A">
                  <w:pPr>
                    <w:pStyle w:val="18"/>
                    <w:ind w:leftChars="0" w:firstLine="0" w:firstLineChars="0"/>
                    <w:jc w:val="center"/>
                    <w:rPr>
                      <w:rFonts w:ascii="Times New Roman" w:hAnsi="Times New Roman"/>
                      <w:b/>
                      <w:bCs w:val="0"/>
                      <w:color w:val="auto"/>
                      <w:kern w:val="0"/>
                      <w:szCs w:val="21"/>
                    </w:rPr>
                  </w:pPr>
                  <w:r>
                    <w:rPr>
                      <w:rFonts w:hint="eastAsia" w:ascii="Times New Roman" w:hAnsi="Times New Roman"/>
                      <w:b/>
                      <w:bCs w:val="0"/>
                      <w:color w:val="auto"/>
                      <w:kern w:val="0"/>
                      <w:szCs w:val="21"/>
                    </w:rPr>
                    <w:t>环境危险特性</w:t>
                  </w:r>
                </w:p>
              </w:tc>
              <w:tc>
                <w:tcPr>
                  <w:tcW w:w="713" w:type="pct"/>
                  <w:noWrap w:val="0"/>
                  <w:vAlign w:val="center"/>
                </w:tcPr>
                <w:p w14:paraId="6A73899C">
                  <w:pPr>
                    <w:pStyle w:val="18"/>
                    <w:ind w:leftChars="0" w:firstLine="0" w:firstLineChars="0"/>
                    <w:jc w:val="center"/>
                    <w:rPr>
                      <w:rFonts w:ascii="Times New Roman" w:hAnsi="Times New Roman"/>
                      <w:bCs/>
                      <w:color w:val="auto"/>
                      <w:kern w:val="0"/>
                      <w:szCs w:val="21"/>
                    </w:rPr>
                  </w:pPr>
                  <w:r>
                    <w:rPr>
                      <w:rFonts w:hint="eastAsia" w:ascii="Times New Roman" w:hAnsi="Times New Roman"/>
                      <w:bCs/>
                      <w:color w:val="auto"/>
                      <w:kern w:val="0"/>
                      <w:szCs w:val="21"/>
                    </w:rPr>
                    <w:t>/</w:t>
                  </w:r>
                </w:p>
              </w:tc>
              <w:tc>
                <w:tcPr>
                  <w:tcW w:w="529" w:type="pct"/>
                  <w:noWrap w:val="0"/>
                  <w:vAlign w:val="center"/>
                </w:tcPr>
                <w:p w14:paraId="5DD0FE6A">
                  <w:pPr>
                    <w:pStyle w:val="18"/>
                    <w:ind w:leftChars="0" w:firstLine="0" w:firstLineChars="0"/>
                    <w:jc w:val="center"/>
                    <w:rPr>
                      <w:rFonts w:hint="eastAsia" w:ascii="Times New Roman" w:hAnsi="Times New Roman" w:eastAsia="宋体"/>
                      <w:bCs/>
                      <w:color w:val="auto"/>
                      <w:kern w:val="0"/>
                      <w:szCs w:val="21"/>
                      <w:lang w:val="en-US" w:eastAsia="zh-CN"/>
                    </w:rPr>
                  </w:pPr>
                  <w:r>
                    <w:rPr>
                      <w:rFonts w:hint="eastAsia" w:ascii="Times New Roman" w:hAnsi="Times New Roman"/>
                      <w:bCs/>
                      <w:color w:val="auto"/>
                      <w:kern w:val="0"/>
                      <w:szCs w:val="21"/>
                      <w:lang w:val="en-US" w:eastAsia="zh-CN"/>
                    </w:rPr>
                    <w:t>/</w:t>
                  </w:r>
                </w:p>
              </w:tc>
              <w:tc>
                <w:tcPr>
                  <w:tcW w:w="517" w:type="pct"/>
                  <w:noWrap w:val="0"/>
                  <w:vAlign w:val="center"/>
                </w:tcPr>
                <w:p w14:paraId="686E991D">
                  <w:pPr>
                    <w:pStyle w:val="18"/>
                    <w:ind w:leftChars="0" w:firstLine="0" w:firstLineChars="0"/>
                    <w:jc w:val="center"/>
                    <w:rPr>
                      <w:rFonts w:hint="eastAsia"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w:t>
                  </w:r>
                </w:p>
              </w:tc>
              <w:tc>
                <w:tcPr>
                  <w:tcW w:w="484" w:type="pct"/>
                  <w:noWrap w:val="0"/>
                  <w:vAlign w:val="center"/>
                </w:tcPr>
                <w:p w14:paraId="6BC3D849">
                  <w:pPr>
                    <w:pStyle w:val="18"/>
                    <w:ind w:left="0" w:leftChars="0" w:firstLine="0" w:firstLineChars="0"/>
                    <w:jc w:val="center"/>
                    <w:rPr>
                      <w:rFonts w:hint="eastAsia"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w:t>
                  </w:r>
                </w:p>
              </w:tc>
              <w:tc>
                <w:tcPr>
                  <w:tcW w:w="1182" w:type="pct"/>
                  <w:gridSpan w:val="2"/>
                  <w:noWrap w:val="0"/>
                  <w:vAlign w:val="center"/>
                </w:tcPr>
                <w:p w14:paraId="55B33A4F">
                  <w:pPr>
                    <w:pStyle w:val="18"/>
                    <w:ind w:left="0" w:leftChars="0"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rPr>
                    <w:t>T/I（毒性/易燃性）</w:t>
                  </w:r>
                </w:p>
              </w:tc>
              <w:tc>
                <w:tcPr>
                  <w:tcW w:w="766" w:type="pct"/>
                  <w:noWrap w:val="0"/>
                  <w:vAlign w:val="center"/>
                </w:tcPr>
                <w:p w14:paraId="667604BC">
                  <w:pPr>
                    <w:pStyle w:val="18"/>
                    <w:ind w:left="0" w:leftChars="0" w:firstLine="0" w:firstLineChars="0"/>
                    <w:jc w:val="center"/>
                    <w:rPr>
                      <w:rFonts w:hint="eastAsia"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rPr>
                    <w:t>T/In（毒性/感染性）</w:t>
                  </w:r>
                </w:p>
              </w:tc>
            </w:tr>
            <w:tr w14:paraId="421A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806" w:type="pct"/>
                  <w:noWrap w:val="0"/>
                  <w:vAlign w:val="center"/>
                </w:tcPr>
                <w:p w14:paraId="05A3A223">
                  <w:pPr>
                    <w:pStyle w:val="18"/>
                    <w:ind w:leftChars="0" w:firstLine="0" w:firstLineChars="0"/>
                    <w:jc w:val="center"/>
                    <w:rPr>
                      <w:rFonts w:ascii="Times New Roman" w:hAnsi="Times New Roman"/>
                      <w:b/>
                      <w:bCs w:val="0"/>
                      <w:color w:val="auto"/>
                      <w:kern w:val="0"/>
                      <w:szCs w:val="21"/>
                    </w:rPr>
                  </w:pPr>
                  <w:r>
                    <w:rPr>
                      <w:rFonts w:hint="eastAsia" w:ascii="Times New Roman" w:hAnsi="Times New Roman"/>
                      <w:b/>
                      <w:bCs w:val="0"/>
                      <w:color w:val="auto"/>
                      <w:kern w:val="0"/>
                      <w:szCs w:val="21"/>
                    </w:rPr>
                    <w:t>年产量（t/a）</w:t>
                  </w:r>
                </w:p>
              </w:tc>
              <w:tc>
                <w:tcPr>
                  <w:tcW w:w="713" w:type="pct"/>
                  <w:noWrap w:val="0"/>
                  <w:vAlign w:val="center"/>
                </w:tcPr>
                <w:p w14:paraId="3AC6F7F7">
                  <w:pPr>
                    <w:pStyle w:val="18"/>
                    <w:ind w:left="0" w:leftChars="0" w:firstLine="0" w:firstLineChars="0"/>
                    <w:jc w:val="center"/>
                    <w:rPr>
                      <w:rFonts w:hint="default" w:ascii="Times New Roman" w:hAnsi="Times New Roman" w:eastAsia="宋体"/>
                      <w:bCs/>
                      <w:color w:val="auto"/>
                      <w:kern w:val="0"/>
                      <w:szCs w:val="21"/>
                      <w:lang w:val="en-US" w:eastAsia="zh-CN"/>
                    </w:rPr>
                  </w:pPr>
                  <w:r>
                    <w:rPr>
                      <w:rFonts w:hint="eastAsia" w:ascii="Times New Roman" w:hAnsi="Times New Roman"/>
                      <w:bCs/>
                      <w:color w:val="auto"/>
                      <w:kern w:val="0"/>
                      <w:szCs w:val="21"/>
                      <w:lang w:val="en-US" w:eastAsia="zh-CN"/>
                    </w:rPr>
                    <w:t>1.98</w:t>
                  </w:r>
                </w:p>
              </w:tc>
              <w:tc>
                <w:tcPr>
                  <w:tcW w:w="529" w:type="pct"/>
                  <w:noWrap w:val="0"/>
                  <w:vAlign w:val="center"/>
                </w:tcPr>
                <w:p w14:paraId="7C8F96B8">
                  <w:pPr>
                    <w:pStyle w:val="18"/>
                    <w:ind w:left="0" w:leftChars="0" w:firstLine="0" w:firstLineChars="0"/>
                    <w:jc w:val="center"/>
                    <w:rPr>
                      <w:rFonts w:hint="default"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2</w:t>
                  </w:r>
                </w:p>
              </w:tc>
              <w:tc>
                <w:tcPr>
                  <w:tcW w:w="517" w:type="pct"/>
                  <w:noWrap w:val="0"/>
                  <w:vAlign w:val="center"/>
                </w:tcPr>
                <w:p w14:paraId="18505968">
                  <w:pPr>
                    <w:pStyle w:val="18"/>
                    <w:ind w:left="0" w:leftChars="0" w:firstLine="0" w:firstLineChars="0"/>
                    <w:jc w:val="center"/>
                    <w:rPr>
                      <w:rFonts w:hint="default"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0.317</w:t>
                  </w:r>
                </w:p>
              </w:tc>
              <w:tc>
                <w:tcPr>
                  <w:tcW w:w="484" w:type="pct"/>
                  <w:noWrap w:val="0"/>
                  <w:vAlign w:val="center"/>
                </w:tcPr>
                <w:p w14:paraId="238F280E">
                  <w:pPr>
                    <w:pStyle w:val="18"/>
                    <w:ind w:left="0" w:leftChars="0" w:firstLine="0" w:firstLineChars="0"/>
                    <w:jc w:val="center"/>
                    <w:rPr>
                      <w:rFonts w:hint="default"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0.2</w:t>
                  </w:r>
                </w:p>
              </w:tc>
              <w:tc>
                <w:tcPr>
                  <w:tcW w:w="607" w:type="pct"/>
                  <w:noWrap w:val="0"/>
                  <w:vAlign w:val="center"/>
                </w:tcPr>
                <w:p w14:paraId="036D4C2D">
                  <w:pPr>
                    <w:pStyle w:val="18"/>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lang w:val="en-US" w:eastAsia="zh-CN"/>
                    </w:rPr>
                    <w:t>0.01</w:t>
                  </w:r>
                </w:p>
              </w:tc>
              <w:tc>
                <w:tcPr>
                  <w:tcW w:w="574" w:type="pct"/>
                  <w:noWrap w:val="0"/>
                  <w:vAlign w:val="center"/>
                </w:tcPr>
                <w:p w14:paraId="7AB78B22">
                  <w:pPr>
                    <w:pStyle w:val="18"/>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lang w:val="en-US" w:eastAsia="zh-CN"/>
                    </w:rPr>
                    <w:t>0.002</w:t>
                  </w:r>
                </w:p>
              </w:tc>
              <w:tc>
                <w:tcPr>
                  <w:tcW w:w="766" w:type="pct"/>
                  <w:noWrap w:val="0"/>
                  <w:vAlign w:val="center"/>
                </w:tcPr>
                <w:p w14:paraId="1DECD055">
                  <w:pPr>
                    <w:pStyle w:val="18"/>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lang w:val="en-US" w:eastAsia="zh-CN"/>
                    </w:rPr>
                    <w:t>0.002</w:t>
                  </w:r>
                </w:p>
              </w:tc>
            </w:tr>
            <w:tr w14:paraId="1E000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06" w:type="pct"/>
                  <w:noWrap w:val="0"/>
                  <w:vAlign w:val="center"/>
                </w:tcPr>
                <w:p w14:paraId="33BF93A8">
                  <w:pPr>
                    <w:pStyle w:val="18"/>
                    <w:ind w:leftChars="0" w:firstLine="0" w:firstLineChars="0"/>
                    <w:jc w:val="center"/>
                    <w:rPr>
                      <w:rFonts w:ascii="Times New Roman" w:hAnsi="Times New Roman"/>
                      <w:b/>
                      <w:bCs w:val="0"/>
                      <w:color w:val="auto"/>
                      <w:kern w:val="0"/>
                      <w:szCs w:val="21"/>
                    </w:rPr>
                  </w:pPr>
                  <w:r>
                    <w:rPr>
                      <w:rFonts w:hint="eastAsia" w:ascii="Times New Roman" w:hAnsi="Times New Roman"/>
                      <w:b/>
                      <w:bCs w:val="0"/>
                      <w:color w:val="auto"/>
                      <w:kern w:val="0"/>
                      <w:szCs w:val="21"/>
                    </w:rPr>
                    <w:t>贮存方式</w:t>
                  </w:r>
                </w:p>
              </w:tc>
              <w:tc>
                <w:tcPr>
                  <w:tcW w:w="713" w:type="pct"/>
                  <w:noWrap w:val="0"/>
                  <w:vAlign w:val="center"/>
                </w:tcPr>
                <w:p w14:paraId="4D92A73D">
                  <w:pPr>
                    <w:pStyle w:val="18"/>
                    <w:ind w:leftChars="0" w:firstLine="0" w:firstLineChars="0"/>
                    <w:jc w:val="center"/>
                    <w:rPr>
                      <w:rFonts w:ascii="Times New Roman" w:hAnsi="Times New Roman"/>
                      <w:bCs/>
                      <w:color w:val="auto"/>
                      <w:kern w:val="0"/>
                      <w:szCs w:val="21"/>
                    </w:rPr>
                  </w:pPr>
                  <w:r>
                    <w:rPr>
                      <w:rFonts w:hint="eastAsia" w:ascii="Times New Roman" w:hAnsi="Times New Roman"/>
                      <w:bCs/>
                      <w:color w:val="auto"/>
                      <w:kern w:val="0"/>
                      <w:szCs w:val="21"/>
                    </w:rPr>
                    <w:t>桶装</w:t>
                  </w:r>
                </w:p>
              </w:tc>
              <w:tc>
                <w:tcPr>
                  <w:tcW w:w="529" w:type="pct"/>
                  <w:noWrap w:val="0"/>
                  <w:vAlign w:val="center"/>
                </w:tcPr>
                <w:p w14:paraId="0758FFAF">
                  <w:pPr>
                    <w:pStyle w:val="18"/>
                    <w:ind w:leftChars="0" w:firstLine="0" w:firstLineChars="0"/>
                    <w:jc w:val="center"/>
                    <w:rPr>
                      <w:rFonts w:hint="default" w:ascii="Times New Roman" w:hAnsi="Times New Roman" w:eastAsia="宋体"/>
                      <w:bCs/>
                      <w:color w:val="auto"/>
                      <w:kern w:val="0"/>
                      <w:szCs w:val="21"/>
                      <w:lang w:val="en-US" w:eastAsia="zh-CN"/>
                    </w:rPr>
                  </w:pPr>
                  <w:r>
                    <w:rPr>
                      <w:rFonts w:hint="eastAsia" w:ascii="Times New Roman" w:hAnsi="Times New Roman"/>
                      <w:bCs/>
                      <w:color w:val="auto"/>
                      <w:kern w:val="0"/>
                      <w:szCs w:val="21"/>
                      <w:lang w:val="en-US" w:eastAsia="zh-CN"/>
                    </w:rPr>
                    <w:t>厂内不储存</w:t>
                  </w:r>
                </w:p>
              </w:tc>
              <w:tc>
                <w:tcPr>
                  <w:tcW w:w="517" w:type="pct"/>
                  <w:noWrap w:val="0"/>
                  <w:vAlign w:val="center"/>
                </w:tcPr>
                <w:p w14:paraId="6F5EAABB">
                  <w:pPr>
                    <w:pStyle w:val="18"/>
                    <w:ind w:leftChars="0" w:firstLine="0" w:firstLineChars="0"/>
                    <w:jc w:val="center"/>
                    <w:rPr>
                      <w:rFonts w:hint="default"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桶装</w:t>
                  </w:r>
                </w:p>
              </w:tc>
              <w:tc>
                <w:tcPr>
                  <w:tcW w:w="484" w:type="pct"/>
                  <w:noWrap w:val="0"/>
                  <w:vAlign w:val="center"/>
                </w:tcPr>
                <w:p w14:paraId="7C65CE7D">
                  <w:pPr>
                    <w:pStyle w:val="18"/>
                    <w:ind w:leftChars="0" w:firstLine="0" w:firstLineChars="0"/>
                    <w:jc w:val="center"/>
                    <w:rPr>
                      <w:rFonts w:hint="eastAsia"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桶装</w:t>
                  </w:r>
                </w:p>
              </w:tc>
              <w:tc>
                <w:tcPr>
                  <w:tcW w:w="607" w:type="pct"/>
                  <w:noWrap w:val="0"/>
                  <w:vAlign w:val="center"/>
                </w:tcPr>
                <w:p w14:paraId="0ADE2EE4">
                  <w:pPr>
                    <w:pStyle w:val="18"/>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lang w:val="en-US" w:eastAsia="zh-CN"/>
                    </w:rPr>
                    <w:t>桶装</w:t>
                  </w:r>
                </w:p>
              </w:tc>
              <w:tc>
                <w:tcPr>
                  <w:tcW w:w="574" w:type="pct"/>
                  <w:noWrap w:val="0"/>
                  <w:vAlign w:val="center"/>
                </w:tcPr>
                <w:p w14:paraId="41100C56">
                  <w:pPr>
                    <w:pStyle w:val="18"/>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lang w:val="en-US" w:eastAsia="zh-CN"/>
                    </w:rPr>
                    <w:t>堆存</w:t>
                  </w:r>
                </w:p>
              </w:tc>
              <w:tc>
                <w:tcPr>
                  <w:tcW w:w="766" w:type="pct"/>
                  <w:noWrap w:val="0"/>
                  <w:vAlign w:val="center"/>
                </w:tcPr>
                <w:p w14:paraId="694E0019">
                  <w:pPr>
                    <w:pStyle w:val="18"/>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lang w:val="en-US" w:eastAsia="zh-CN"/>
                    </w:rPr>
                    <w:t>桶装</w:t>
                  </w:r>
                </w:p>
              </w:tc>
            </w:tr>
            <w:tr w14:paraId="1D494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atLeast"/>
              </w:trPr>
              <w:tc>
                <w:tcPr>
                  <w:tcW w:w="806" w:type="pct"/>
                  <w:noWrap w:val="0"/>
                  <w:vAlign w:val="center"/>
                </w:tcPr>
                <w:p w14:paraId="2F3C5AEE">
                  <w:pPr>
                    <w:pStyle w:val="18"/>
                    <w:ind w:leftChars="0" w:firstLine="0" w:firstLineChars="0"/>
                    <w:jc w:val="center"/>
                    <w:rPr>
                      <w:rFonts w:ascii="Times New Roman" w:hAnsi="Times New Roman"/>
                      <w:b/>
                      <w:bCs w:val="0"/>
                      <w:color w:val="auto"/>
                      <w:kern w:val="0"/>
                      <w:szCs w:val="21"/>
                    </w:rPr>
                  </w:pPr>
                  <w:r>
                    <w:rPr>
                      <w:rFonts w:hint="eastAsia" w:ascii="Times New Roman" w:hAnsi="Times New Roman"/>
                      <w:b/>
                      <w:bCs w:val="0"/>
                      <w:color w:val="auto"/>
                      <w:kern w:val="0"/>
                      <w:szCs w:val="21"/>
                    </w:rPr>
                    <w:t>利用处置方式和去向</w:t>
                  </w:r>
                </w:p>
              </w:tc>
              <w:tc>
                <w:tcPr>
                  <w:tcW w:w="713" w:type="pct"/>
                  <w:noWrap w:val="0"/>
                  <w:vAlign w:val="center"/>
                </w:tcPr>
                <w:p w14:paraId="2E1E3C41">
                  <w:pPr>
                    <w:pStyle w:val="18"/>
                    <w:ind w:leftChars="0" w:firstLine="0" w:firstLineChars="0"/>
                    <w:jc w:val="center"/>
                    <w:rPr>
                      <w:rFonts w:ascii="Times New Roman" w:hAnsi="Times New Roman"/>
                      <w:bCs/>
                      <w:color w:val="auto"/>
                      <w:kern w:val="0"/>
                      <w:szCs w:val="21"/>
                    </w:rPr>
                  </w:pPr>
                  <w:r>
                    <w:rPr>
                      <w:rFonts w:hint="eastAsia" w:ascii="Times New Roman" w:hAnsi="Times New Roman"/>
                      <w:bCs/>
                      <w:color w:val="auto"/>
                      <w:kern w:val="0"/>
                      <w:szCs w:val="21"/>
                    </w:rPr>
                    <w:t>环卫部门清运</w:t>
                  </w:r>
                </w:p>
              </w:tc>
              <w:tc>
                <w:tcPr>
                  <w:tcW w:w="529" w:type="pct"/>
                  <w:noWrap w:val="0"/>
                  <w:vAlign w:val="center"/>
                </w:tcPr>
                <w:p w14:paraId="3B823791">
                  <w:pPr>
                    <w:pStyle w:val="18"/>
                    <w:ind w:leftChars="0" w:firstLine="0" w:firstLineChars="0"/>
                    <w:jc w:val="center"/>
                    <w:rPr>
                      <w:rFonts w:hint="eastAsia" w:ascii="Times New Roman" w:hAnsi="Times New Roman"/>
                      <w:bCs/>
                      <w:color w:val="auto"/>
                      <w:kern w:val="0"/>
                      <w:szCs w:val="21"/>
                    </w:rPr>
                  </w:pPr>
                  <w:r>
                    <w:rPr>
                      <w:rFonts w:hint="eastAsia" w:ascii="Times New Roman" w:hAnsi="Times New Roman"/>
                      <w:bCs/>
                      <w:color w:val="auto"/>
                      <w:kern w:val="0"/>
                      <w:szCs w:val="21"/>
                      <w:lang w:val="en-US" w:eastAsia="zh-CN"/>
                    </w:rPr>
                    <w:t>设备厂家定期更换、回收</w:t>
                  </w:r>
                </w:p>
              </w:tc>
              <w:tc>
                <w:tcPr>
                  <w:tcW w:w="1001" w:type="pct"/>
                  <w:gridSpan w:val="2"/>
                  <w:noWrap w:val="0"/>
                  <w:vAlign w:val="center"/>
                </w:tcPr>
                <w:p w14:paraId="11A72ED2">
                  <w:pPr>
                    <w:pStyle w:val="18"/>
                    <w:ind w:leftChars="0" w:firstLine="0" w:firstLineChars="0"/>
                    <w:jc w:val="center"/>
                    <w:rPr>
                      <w:rFonts w:hint="eastAsia"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收集后由供货商回收</w:t>
                  </w:r>
                </w:p>
              </w:tc>
              <w:tc>
                <w:tcPr>
                  <w:tcW w:w="1948" w:type="pct"/>
                  <w:gridSpan w:val="3"/>
                  <w:noWrap w:val="0"/>
                  <w:vAlign w:val="center"/>
                </w:tcPr>
                <w:p w14:paraId="6C6CDDB1">
                  <w:pPr>
                    <w:pStyle w:val="18"/>
                    <w:ind w:leftChars="0" w:firstLine="0" w:firstLineChars="0"/>
                    <w:jc w:val="center"/>
                    <w:rPr>
                      <w:rFonts w:hint="eastAsia"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设置危险废物贮存库对其暂存</w:t>
                  </w:r>
                  <w:r>
                    <w:rPr>
                      <w:rFonts w:hint="eastAsia" w:ascii="Times New Roman" w:hAnsi="Times New Roman"/>
                      <w:bCs/>
                      <w:color w:val="auto"/>
                      <w:kern w:val="0"/>
                      <w:szCs w:val="21"/>
                    </w:rPr>
                    <w:t>，定期交由有资质单位转运处置</w:t>
                  </w:r>
                </w:p>
              </w:tc>
            </w:tr>
            <w:tr w14:paraId="58D6A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806" w:type="pct"/>
                  <w:noWrap w:val="0"/>
                  <w:vAlign w:val="center"/>
                </w:tcPr>
                <w:p w14:paraId="30284169">
                  <w:pPr>
                    <w:pStyle w:val="18"/>
                    <w:ind w:leftChars="0" w:firstLine="0" w:firstLineChars="0"/>
                    <w:jc w:val="center"/>
                    <w:rPr>
                      <w:rFonts w:ascii="Times New Roman" w:hAnsi="Times New Roman"/>
                      <w:b/>
                      <w:bCs w:val="0"/>
                      <w:color w:val="auto"/>
                      <w:kern w:val="0"/>
                      <w:szCs w:val="21"/>
                    </w:rPr>
                  </w:pPr>
                  <w:r>
                    <w:rPr>
                      <w:rFonts w:hint="eastAsia" w:ascii="Times New Roman" w:hAnsi="Times New Roman"/>
                      <w:b/>
                      <w:bCs w:val="0"/>
                      <w:color w:val="auto"/>
                      <w:kern w:val="0"/>
                      <w:szCs w:val="21"/>
                    </w:rPr>
                    <w:t>利用或处置量（t/a）</w:t>
                  </w:r>
                </w:p>
              </w:tc>
              <w:tc>
                <w:tcPr>
                  <w:tcW w:w="713" w:type="pct"/>
                  <w:noWrap w:val="0"/>
                  <w:vAlign w:val="center"/>
                </w:tcPr>
                <w:p w14:paraId="741190D6">
                  <w:pPr>
                    <w:pStyle w:val="18"/>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lang w:val="en-US" w:eastAsia="zh-CN"/>
                    </w:rPr>
                    <w:t>1.98</w:t>
                  </w:r>
                </w:p>
              </w:tc>
              <w:tc>
                <w:tcPr>
                  <w:tcW w:w="529" w:type="pct"/>
                  <w:noWrap w:val="0"/>
                  <w:vAlign w:val="center"/>
                </w:tcPr>
                <w:p w14:paraId="20C71E63">
                  <w:pPr>
                    <w:pStyle w:val="18"/>
                    <w:ind w:left="0" w:leftChars="0" w:firstLine="0" w:firstLineChars="0"/>
                    <w:jc w:val="center"/>
                    <w:rPr>
                      <w:rFonts w:hint="default"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2</w:t>
                  </w:r>
                </w:p>
              </w:tc>
              <w:tc>
                <w:tcPr>
                  <w:tcW w:w="517" w:type="pct"/>
                  <w:noWrap w:val="0"/>
                  <w:vAlign w:val="center"/>
                </w:tcPr>
                <w:p w14:paraId="202CBE62">
                  <w:pPr>
                    <w:pStyle w:val="18"/>
                    <w:ind w:left="0" w:leftChars="0" w:firstLine="0" w:firstLineChars="0"/>
                    <w:jc w:val="center"/>
                    <w:rPr>
                      <w:rFonts w:hint="default"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0.317</w:t>
                  </w:r>
                </w:p>
              </w:tc>
              <w:tc>
                <w:tcPr>
                  <w:tcW w:w="484" w:type="pct"/>
                  <w:noWrap w:val="0"/>
                  <w:vAlign w:val="center"/>
                </w:tcPr>
                <w:p w14:paraId="23BEF6DD">
                  <w:pPr>
                    <w:pStyle w:val="18"/>
                    <w:ind w:left="0" w:leftChars="0" w:firstLine="0" w:firstLineChars="0"/>
                    <w:jc w:val="center"/>
                    <w:rPr>
                      <w:rFonts w:hint="default" w:ascii="Times New Roman" w:hAnsi="Times New Roman"/>
                      <w:bCs/>
                      <w:color w:val="auto"/>
                      <w:kern w:val="0"/>
                      <w:szCs w:val="21"/>
                      <w:lang w:val="en-US" w:eastAsia="zh-CN"/>
                    </w:rPr>
                  </w:pPr>
                  <w:r>
                    <w:rPr>
                      <w:rFonts w:hint="eastAsia" w:ascii="Times New Roman" w:hAnsi="Times New Roman"/>
                      <w:bCs/>
                      <w:color w:val="auto"/>
                      <w:kern w:val="0"/>
                      <w:szCs w:val="21"/>
                      <w:lang w:val="en-US" w:eastAsia="zh-CN"/>
                    </w:rPr>
                    <w:t>0.2</w:t>
                  </w:r>
                </w:p>
              </w:tc>
              <w:tc>
                <w:tcPr>
                  <w:tcW w:w="607" w:type="pct"/>
                  <w:noWrap w:val="0"/>
                  <w:vAlign w:val="center"/>
                </w:tcPr>
                <w:p w14:paraId="64EE5677">
                  <w:pPr>
                    <w:pStyle w:val="18"/>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lang w:val="en-US" w:eastAsia="zh-CN"/>
                    </w:rPr>
                    <w:t>0.05</w:t>
                  </w:r>
                </w:p>
              </w:tc>
              <w:tc>
                <w:tcPr>
                  <w:tcW w:w="574" w:type="pct"/>
                  <w:noWrap w:val="0"/>
                  <w:vAlign w:val="center"/>
                </w:tcPr>
                <w:p w14:paraId="6C49ED8A">
                  <w:pPr>
                    <w:pStyle w:val="18"/>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lang w:val="en-US" w:eastAsia="zh-CN"/>
                    </w:rPr>
                    <w:t>0.005</w:t>
                  </w:r>
                </w:p>
              </w:tc>
              <w:tc>
                <w:tcPr>
                  <w:tcW w:w="766" w:type="pct"/>
                  <w:noWrap w:val="0"/>
                  <w:vAlign w:val="center"/>
                </w:tcPr>
                <w:p w14:paraId="65FD9BC5">
                  <w:pPr>
                    <w:pStyle w:val="18"/>
                    <w:ind w:left="0" w:leftChars="0" w:firstLine="0" w:firstLineChars="0"/>
                    <w:jc w:val="center"/>
                    <w:rPr>
                      <w:rFonts w:hint="default" w:ascii="Times New Roman" w:hAnsi="Times New Roman" w:eastAsia="宋体" w:cs="Times New Roman"/>
                      <w:bCs/>
                      <w:color w:val="auto"/>
                      <w:kern w:val="0"/>
                      <w:sz w:val="21"/>
                      <w:szCs w:val="21"/>
                      <w:lang w:val="en-US" w:eastAsia="zh-CN" w:bidi="ar-SA"/>
                    </w:rPr>
                  </w:pPr>
                  <w:r>
                    <w:rPr>
                      <w:rFonts w:hint="eastAsia" w:ascii="Times New Roman" w:hAnsi="Times New Roman"/>
                      <w:bCs/>
                      <w:color w:val="auto"/>
                      <w:kern w:val="0"/>
                      <w:szCs w:val="21"/>
                      <w:lang w:val="en-US" w:eastAsia="zh-CN"/>
                    </w:rPr>
                    <w:t>0.02</w:t>
                  </w:r>
                </w:p>
              </w:tc>
            </w:tr>
          </w:tbl>
          <w:p w14:paraId="3F861654">
            <w:pPr>
              <w:adjustRightInd w:val="0"/>
              <w:snapToGrid w:val="0"/>
              <w:spacing w:line="360" w:lineRule="auto"/>
              <w:ind w:firstLine="480" w:firstLineChars="200"/>
              <w:rPr>
                <w:color w:val="auto"/>
                <w:sz w:val="24"/>
                <w:szCs w:val="32"/>
              </w:rPr>
            </w:pPr>
            <w:r>
              <w:rPr>
                <w:rFonts w:hint="eastAsia"/>
                <w:color w:val="auto"/>
                <w:sz w:val="24"/>
                <w:szCs w:val="32"/>
              </w:rPr>
              <w:t>（2）环境管理要求</w:t>
            </w:r>
          </w:p>
          <w:p w14:paraId="3D41EB32">
            <w:pPr>
              <w:pStyle w:val="18"/>
              <w:keepNext w:val="0"/>
              <w:keepLines w:val="0"/>
              <w:pageBreakBefore w:val="0"/>
              <w:widowControl w:val="0"/>
              <w:kinsoku/>
              <w:wordWrap/>
              <w:overflowPunct/>
              <w:topLinePunct w:val="0"/>
              <w:autoSpaceDE/>
              <w:autoSpaceDN/>
              <w:bidi w:val="0"/>
              <w:adjustRightInd/>
              <w:snapToGrid/>
              <w:spacing w:before="0" w:beforeAutospacing="0" w:after="0" w:afterAutospacing="0" w:line="360" w:lineRule="auto"/>
              <w:ind w:left="0" w:leftChars="0" w:firstLine="480" w:firstLineChars="200"/>
              <w:textAlignment w:val="auto"/>
              <w:rPr>
                <w:rFonts w:hint="default" w:ascii="Times New Roman" w:hAnsi="Times New Roman"/>
                <w:color w:val="auto"/>
                <w:kern w:val="0"/>
                <w:sz w:val="24"/>
                <w:lang w:val="en-US" w:eastAsia="zh-CN"/>
              </w:rPr>
            </w:pPr>
            <w:r>
              <w:rPr>
                <w:rFonts w:hint="eastAsia"/>
                <w:color w:val="auto"/>
                <w:kern w:val="0"/>
                <w:sz w:val="24"/>
                <w:lang w:val="en-US" w:eastAsia="zh-CN"/>
              </w:rPr>
              <w:t>本项目产生的一般固废为废保温材料及收集粉尘，废保温材料在材料更换时由设备厂家进行更换，且产生的废保温材料由厂家回收利用，因此，厂内不涉及废保温材料的暂存过程。收集粉尘暂存于一般固废暂存区，定期由供货单位回收后利用。</w:t>
            </w:r>
            <w:r>
              <w:rPr>
                <w:rFonts w:hint="eastAsia" w:ascii="Times New Roman" w:hAnsi="Times New Roman" w:eastAsia="宋体" w:cs="Times New Roman"/>
                <w:color w:val="auto"/>
                <w:kern w:val="0"/>
                <w:sz w:val="24"/>
                <w:szCs w:val="24"/>
                <w:highlight w:val="none"/>
                <w:lang w:val="en-US" w:eastAsia="zh-CN"/>
              </w:rPr>
              <w:t>暂存区要</w:t>
            </w:r>
            <w:r>
              <w:rPr>
                <w:rFonts w:hint="eastAsia" w:ascii="Times New Roman" w:hAnsi="Times New Roman" w:cs="Times New Roman"/>
                <w:color w:val="auto"/>
                <w:kern w:val="0"/>
                <w:sz w:val="24"/>
                <w:szCs w:val="24"/>
                <w:highlight w:val="none"/>
                <w:lang w:val="en-US" w:eastAsia="zh-CN"/>
              </w:rPr>
              <w:t>做到</w:t>
            </w:r>
            <w:r>
              <w:rPr>
                <w:rFonts w:hint="eastAsia" w:ascii="Times New Roman" w:hAnsi="Times New Roman" w:cs="Times New Roman"/>
                <w:bCs/>
                <w:color w:val="auto"/>
                <w:sz w:val="24"/>
                <w:szCs w:val="24"/>
                <w:highlight w:val="none"/>
                <w:lang w:eastAsia="zh-CN"/>
              </w:rPr>
              <w:t>“</w:t>
            </w:r>
            <w:r>
              <w:rPr>
                <w:rFonts w:hint="default" w:ascii="Times New Roman" w:hAnsi="Times New Roman" w:cs="Times New Roman"/>
                <w:bCs/>
                <w:color w:val="auto"/>
                <w:sz w:val="24"/>
                <w:szCs w:val="24"/>
                <w:highlight w:val="none"/>
              </w:rPr>
              <w:t>防渗漏、防雨淋、防扬尘</w:t>
            </w:r>
            <w:r>
              <w:rPr>
                <w:rFonts w:hint="eastAsia" w:ascii="Times New Roman" w:hAnsi="Times New Roman" w:cs="Times New Roman"/>
                <w:bCs/>
                <w:color w:val="auto"/>
                <w:sz w:val="24"/>
                <w:szCs w:val="24"/>
                <w:highlight w:val="none"/>
                <w:lang w:eastAsia="zh-CN"/>
              </w:rPr>
              <w:t>”等</w:t>
            </w:r>
            <w:r>
              <w:rPr>
                <w:rFonts w:hint="default" w:ascii="Times New Roman" w:hAnsi="Times New Roman" w:cs="Times New Roman"/>
                <w:bCs/>
                <w:color w:val="auto"/>
                <w:sz w:val="24"/>
                <w:szCs w:val="24"/>
                <w:highlight w:val="none"/>
              </w:rPr>
              <w:t>要求</w:t>
            </w:r>
            <w:r>
              <w:rPr>
                <w:rFonts w:hint="eastAsia" w:ascii="Times New Roman" w:hAnsi="Times New Roman" w:eastAsia="宋体" w:cs="Times New Roman"/>
                <w:color w:val="auto"/>
                <w:kern w:val="0"/>
                <w:sz w:val="24"/>
                <w:szCs w:val="24"/>
                <w:highlight w:val="none"/>
                <w:lang w:val="en-US" w:eastAsia="zh-CN"/>
              </w:rPr>
              <w:t>。</w:t>
            </w:r>
          </w:p>
          <w:p w14:paraId="735884DF">
            <w:pPr>
              <w:adjustRightInd w:val="0"/>
              <w:snapToGrid w:val="0"/>
              <w:spacing w:line="360" w:lineRule="auto"/>
              <w:ind w:firstLine="480" w:firstLineChars="200"/>
              <w:rPr>
                <w:rFonts w:hint="eastAsia" w:ascii="Times New Roman" w:hAnsi="Times New Roman"/>
                <w:color w:val="auto"/>
                <w:kern w:val="0"/>
                <w:sz w:val="24"/>
                <w:lang w:val="en-US" w:eastAsia="zh-CN"/>
              </w:rPr>
            </w:pPr>
            <w:r>
              <w:rPr>
                <w:rFonts w:hint="eastAsia" w:ascii="Times New Roman" w:hAnsi="Times New Roman"/>
                <w:color w:val="auto"/>
                <w:kern w:val="0"/>
                <w:sz w:val="24"/>
                <w:lang w:val="en-US" w:eastAsia="zh-CN"/>
              </w:rPr>
              <w:t>危险废物贮存场所环境影响分析：</w:t>
            </w:r>
          </w:p>
          <w:p w14:paraId="7CD32C98">
            <w:pPr>
              <w:adjustRightInd w:val="0"/>
              <w:snapToGrid w:val="0"/>
              <w:spacing w:line="360" w:lineRule="auto"/>
              <w:ind w:firstLine="480" w:firstLineChars="200"/>
              <w:rPr>
                <w:rFonts w:hint="eastAsia" w:ascii="Times New Roman" w:hAnsi="Times New Roman"/>
                <w:color w:val="auto"/>
                <w:kern w:val="0"/>
                <w:sz w:val="24"/>
                <w:lang w:val="en-US" w:eastAsia="zh-CN"/>
              </w:rPr>
            </w:pPr>
            <w:r>
              <w:rPr>
                <w:rFonts w:hint="eastAsia" w:ascii="Times New Roman" w:hAnsi="Times New Roman"/>
                <w:color w:val="auto"/>
                <w:kern w:val="0"/>
                <w:sz w:val="24"/>
                <w:lang w:val="en-US" w:eastAsia="zh-CN"/>
              </w:rPr>
              <w:t>企业在厂区内设置1个</w:t>
            </w:r>
            <w:r>
              <w:rPr>
                <w:rFonts w:hint="eastAsia"/>
                <w:color w:val="auto"/>
                <w:kern w:val="0"/>
                <w:sz w:val="24"/>
                <w:lang w:val="en-US" w:eastAsia="zh-CN"/>
              </w:rPr>
              <w:t>危险废物贮存库，建筑面积约6㎡</w:t>
            </w:r>
            <w:r>
              <w:rPr>
                <w:rFonts w:hint="eastAsia" w:ascii="Times New Roman" w:hAnsi="Times New Roman"/>
                <w:color w:val="auto"/>
                <w:kern w:val="0"/>
                <w:sz w:val="24"/>
                <w:lang w:val="en-US" w:eastAsia="zh-CN"/>
              </w:rPr>
              <w:t>，对本项目产生的危险废物进行收集暂存，</w:t>
            </w:r>
            <w:r>
              <w:rPr>
                <w:rFonts w:hint="eastAsia"/>
                <w:color w:val="auto"/>
                <w:kern w:val="0"/>
                <w:sz w:val="24"/>
                <w:lang w:val="en-US" w:eastAsia="zh-CN"/>
              </w:rPr>
              <w:t>危险废物贮存库建设需满足以下要求</w:t>
            </w:r>
            <w:r>
              <w:rPr>
                <w:rFonts w:hint="eastAsia" w:ascii="Times New Roman" w:hAnsi="Times New Roman"/>
                <w:color w:val="auto"/>
                <w:kern w:val="0"/>
                <w:sz w:val="24"/>
                <w:lang w:val="en-US" w:eastAsia="zh-CN"/>
              </w:rPr>
              <w:t>：</w:t>
            </w:r>
          </w:p>
          <w:p w14:paraId="6FFB6C0E">
            <w:pPr>
              <w:spacing w:line="360" w:lineRule="auto"/>
              <w:ind w:firstLine="480" w:firstLineChars="200"/>
              <w:rPr>
                <w:rFonts w:ascii="Times New Roman" w:hAnsi="Times New Roman" w:eastAsiaTheme="minorEastAsia"/>
                <w:color w:val="auto"/>
                <w:sz w:val="24"/>
                <w:szCs w:val="28"/>
              </w:rPr>
            </w:pPr>
            <w:r>
              <w:rPr>
                <w:rFonts w:ascii="Times New Roman" w:hAnsi="Times New Roman" w:eastAsiaTheme="minorEastAsia"/>
                <w:color w:val="auto"/>
                <w:sz w:val="24"/>
                <w:szCs w:val="28"/>
              </w:rPr>
              <w:t>1）收集、管理措施</w:t>
            </w:r>
          </w:p>
          <w:p w14:paraId="390AA834">
            <w:pPr>
              <w:spacing w:line="360" w:lineRule="auto"/>
              <w:ind w:firstLine="480" w:firstLineChars="200"/>
              <w:rPr>
                <w:rFonts w:ascii="Times New Roman" w:hAnsi="Times New Roman" w:eastAsiaTheme="minorEastAsia"/>
                <w:color w:val="auto"/>
                <w:sz w:val="24"/>
                <w:szCs w:val="28"/>
              </w:rPr>
            </w:pPr>
            <w:r>
              <w:rPr>
                <w:rFonts w:ascii="Times New Roman" w:hAnsi="Times New Roman" w:eastAsiaTheme="minorEastAsia"/>
                <w:color w:val="auto"/>
                <w:sz w:val="24"/>
                <w:szCs w:val="28"/>
              </w:rPr>
              <w:t>建设单位应当以</w:t>
            </w:r>
            <w:r>
              <w:rPr>
                <w:rFonts w:hint="eastAsia" w:ascii="Times New Roman" w:hAnsi="Times New Roman" w:eastAsiaTheme="minorEastAsia"/>
                <w:color w:val="auto"/>
                <w:sz w:val="24"/>
                <w:szCs w:val="28"/>
                <w:lang w:val="en-US" w:eastAsia="zh-CN"/>
              </w:rPr>
              <w:t>控制</w:t>
            </w:r>
            <w:r>
              <w:rPr>
                <w:rFonts w:ascii="Times New Roman" w:hAnsi="Times New Roman" w:eastAsiaTheme="minorEastAsia"/>
                <w:color w:val="auto"/>
                <w:sz w:val="24"/>
                <w:szCs w:val="28"/>
              </w:rPr>
              <w:t>危险废物的环境风险为目标，制定危险废物管理计划，建立完善的危险废物管理台账和企业内部产生和收集、贮存部门危险废物交接制度，严格记录每种危险废物产生量、进出暂存间的量、处置量及各个时间节点负责人、用途或处置方式等，加强对危险废物包装、贮存的管理，严格执行危险废物转移联单制度。</w:t>
            </w:r>
          </w:p>
          <w:p w14:paraId="5AC87A2D">
            <w:pPr>
              <w:spacing w:line="360" w:lineRule="auto"/>
              <w:ind w:firstLine="480" w:firstLineChars="200"/>
              <w:rPr>
                <w:rFonts w:ascii="Times New Roman" w:hAnsi="Times New Roman" w:eastAsiaTheme="minorEastAsia"/>
                <w:color w:val="auto"/>
                <w:sz w:val="24"/>
                <w:szCs w:val="28"/>
              </w:rPr>
            </w:pPr>
            <w:r>
              <w:rPr>
                <w:rFonts w:ascii="Times New Roman" w:hAnsi="Times New Roman" w:eastAsiaTheme="minorEastAsia"/>
                <w:color w:val="auto"/>
                <w:sz w:val="24"/>
                <w:szCs w:val="28"/>
              </w:rPr>
              <w:t>危险废物在收集时，应清楚废物的类别及</w:t>
            </w:r>
            <w:r>
              <w:rPr>
                <w:rFonts w:hint="eastAsia" w:ascii="Times New Roman" w:hAnsi="Times New Roman" w:eastAsiaTheme="minorEastAsia"/>
                <w:color w:val="auto"/>
                <w:sz w:val="24"/>
                <w:szCs w:val="28"/>
                <w:lang w:eastAsia="zh-CN"/>
              </w:rPr>
              <w:t>主要成分</w:t>
            </w:r>
            <w:r>
              <w:rPr>
                <w:rFonts w:ascii="Times New Roman" w:hAnsi="Times New Roman" w:eastAsiaTheme="minorEastAsia"/>
                <w:color w:val="auto"/>
                <w:sz w:val="24"/>
                <w:szCs w:val="28"/>
              </w:rPr>
              <w:t>，以方便委托处理单位处理，根据危险废物的性质和形态，可采用不同大小和不同材质的容器进行包装，所有包装容器应足够安全，并经过周密检查，严防在装载、搬移或运输途中出现渗漏、溢出、抛洒或挥发等情况。最后按照对危险废物交换和转移管理工作的有关要求，对危险废物进行安全包装，并在包装的明显位置附上危险废物标签</w:t>
            </w:r>
            <w:r>
              <w:rPr>
                <w:rFonts w:hint="eastAsia" w:eastAsiaTheme="minorEastAsia"/>
                <w:color w:val="auto"/>
                <w:sz w:val="24"/>
                <w:szCs w:val="28"/>
                <w:lang w:eastAsia="zh-CN"/>
              </w:rPr>
              <w:t>，</w:t>
            </w:r>
            <w:r>
              <w:rPr>
                <w:rFonts w:hint="eastAsia" w:ascii="Times New Roman" w:hAnsi="Times New Roman" w:eastAsia="宋体" w:cs="Times New Roman"/>
                <w:color w:val="auto"/>
                <w:kern w:val="0"/>
                <w:sz w:val="24"/>
                <w:szCs w:val="24"/>
                <w:highlight w:val="none"/>
                <w:lang w:val="en-US" w:eastAsia="zh-CN"/>
              </w:rPr>
              <w:t>由有资质单位及时清运</w:t>
            </w:r>
            <w:r>
              <w:rPr>
                <w:rFonts w:ascii="Times New Roman" w:hAnsi="Times New Roman" w:eastAsiaTheme="minorEastAsia"/>
                <w:color w:val="auto"/>
                <w:sz w:val="24"/>
                <w:szCs w:val="28"/>
              </w:rPr>
              <w:t>。</w:t>
            </w:r>
          </w:p>
          <w:p w14:paraId="18841EA2">
            <w:pPr>
              <w:spacing w:line="360" w:lineRule="auto"/>
              <w:ind w:firstLine="480" w:firstLineChars="200"/>
              <w:rPr>
                <w:rFonts w:ascii="Times New Roman" w:hAnsi="Times New Roman" w:eastAsiaTheme="minorEastAsia"/>
                <w:color w:val="auto"/>
                <w:sz w:val="24"/>
                <w:szCs w:val="28"/>
              </w:rPr>
            </w:pPr>
            <w:r>
              <w:rPr>
                <w:rFonts w:ascii="Times New Roman" w:hAnsi="Times New Roman" w:eastAsiaTheme="minorEastAsia"/>
                <w:color w:val="auto"/>
                <w:sz w:val="24"/>
                <w:szCs w:val="28"/>
              </w:rPr>
              <w:t>2）暂存措施</w:t>
            </w:r>
          </w:p>
          <w:p w14:paraId="2DE42D39">
            <w:pPr>
              <w:spacing w:line="360" w:lineRule="auto"/>
              <w:ind w:firstLine="480" w:firstLineChars="200"/>
              <w:rPr>
                <w:rFonts w:ascii="Times New Roman" w:hAnsi="Times New Roman" w:eastAsiaTheme="minorEastAsia"/>
                <w:color w:val="auto"/>
                <w:sz w:val="24"/>
                <w:szCs w:val="28"/>
              </w:rPr>
            </w:pPr>
            <w:r>
              <w:rPr>
                <w:rFonts w:ascii="Times New Roman" w:hAnsi="Times New Roman" w:eastAsiaTheme="minorEastAsia"/>
                <w:color w:val="auto"/>
                <w:sz w:val="24"/>
                <w:szCs w:val="28"/>
              </w:rPr>
              <w:t>建设单位在厂区内按照</w:t>
            </w:r>
            <w:r>
              <w:rPr>
                <w:rFonts w:ascii="Times New Roman" w:hAnsi="Times New Roman" w:eastAsiaTheme="minorEastAsia"/>
                <w:bCs/>
                <w:color w:val="auto"/>
                <w:sz w:val="24"/>
              </w:rPr>
              <w:t>《危险废物贮存污染控制标准》（GB18597-20</w:t>
            </w:r>
            <w:r>
              <w:rPr>
                <w:rFonts w:hint="eastAsia" w:ascii="Times New Roman" w:hAnsi="Times New Roman" w:eastAsiaTheme="minorEastAsia"/>
                <w:bCs/>
                <w:color w:val="auto"/>
                <w:sz w:val="24"/>
                <w:lang w:val="en-US" w:eastAsia="zh-CN"/>
              </w:rPr>
              <w:t>23</w:t>
            </w:r>
            <w:r>
              <w:rPr>
                <w:rFonts w:ascii="Times New Roman" w:hAnsi="Times New Roman" w:eastAsiaTheme="minorEastAsia"/>
                <w:bCs/>
                <w:color w:val="auto"/>
                <w:sz w:val="24"/>
              </w:rPr>
              <w:t>）</w:t>
            </w:r>
            <w:r>
              <w:rPr>
                <w:rFonts w:hint="eastAsia" w:ascii="Times New Roman" w:hAnsi="Times New Roman" w:eastAsiaTheme="minorEastAsia"/>
                <w:bCs/>
                <w:color w:val="auto"/>
                <w:sz w:val="24"/>
                <w:lang w:val="en-US" w:eastAsia="zh-CN"/>
              </w:rPr>
              <w:t>及《危险废物识别标志设置技术规范》（HJ 1276-2022）</w:t>
            </w:r>
            <w:r>
              <w:rPr>
                <w:rFonts w:ascii="Times New Roman" w:hAnsi="Times New Roman" w:eastAsiaTheme="minorEastAsia"/>
                <w:color w:val="auto"/>
                <w:sz w:val="24"/>
                <w:szCs w:val="28"/>
              </w:rPr>
              <w:t>中的</w:t>
            </w:r>
            <w:r>
              <w:rPr>
                <w:rFonts w:hint="eastAsia" w:ascii="Times New Roman" w:hAnsi="Times New Roman" w:eastAsiaTheme="minorEastAsia"/>
                <w:color w:val="auto"/>
                <w:sz w:val="24"/>
                <w:szCs w:val="28"/>
                <w:lang w:val="en-US" w:eastAsia="zh-CN"/>
              </w:rPr>
              <w:t>建设要求</w:t>
            </w:r>
            <w:r>
              <w:rPr>
                <w:rFonts w:ascii="Times New Roman" w:hAnsi="Times New Roman" w:eastAsiaTheme="minorEastAsia"/>
                <w:color w:val="auto"/>
                <w:sz w:val="24"/>
                <w:szCs w:val="28"/>
              </w:rPr>
              <w:t>设置</w:t>
            </w:r>
            <w:r>
              <w:rPr>
                <w:rFonts w:hint="eastAsia" w:ascii="Times New Roman" w:hAnsi="Times New Roman" w:cs="Times New Roman" w:eastAsiaTheme="minorEastAsia"/>
                <w:color w:val="auto"/>
                <w:sz w:val="24"/>
                <w:szCs w:val="24"/>
                <w:lang w:val="en-US" w:eastAsia="zh-CN"/>
              </w:rPr>
              <w:t>危险废物贮存库</w:t>
            </w:r>
            <w:r>
              <w:rPr>
                <w:rFonts w:ascii="Times New Roman" w:hAnsi="Times New Roman" w:eastAsiaTheme="minorEastAsia"/>
                <w:color w:val="auto"/>
                <w:sz w:val="24"/>
                <w:szCs w:val="28"/>
              </w:rPr>
              <w:t>，具体要求如下：</w:t>
            </w:r>
          </w:p>
          <w:p w14:paraId="6BB80C8C">
            <w:pPr>
              <w:spacing w:line="360" w:lineRule="auto"/>
              <w:ind w:firstLine="480" w:firstLineChars="200"/>
              <w:rPr>
                <w:rFonts w:ascii="Times New Roman" w:hAnsi="Times New Roman" w:eastAsiaTheme="minorEastAsia"/>
                <w:color w:val="auto"/>
                <w:sz w:val="24"/>
                <w:szCs w:val="28"/>
              </w:rPr>
            </w:pPr>
            <w:r>
              <w:rPr>
                <w:rFonts w:ascii="宋体" w:hAnsi="宋体" w:eastAsia="宋体" w:cs="宋体"/>
                <w:color w:val="auto"/>
                <w:sz w:val="24"/>
                <w:szCs w:val="28"/>
              </w:rPr>
              <w:t>①</w:t>
            </w:r>
            <w:r>
              <w:rPr>
                <w:rFonts w:hint="eastAsia" w:ascii="Times New Roman" w:hAnsi="Times New Roman" w:eastAsiaTheme="minorEastAsia"/>
                <w:color w:val="auto"/>
                <w:sz w:val="24"/>
                <w:szCs w:val="28"/>
              </w:rPr>
              <w:t>不同类别、形态、物理化学性质的危险废物，其容器和包装物应满足相应的防渗、防漏、防腐和强度等要求</w:t>
            </w:r>
            <w:r>
              <w:rPr>
                <w:rFonts w:ascii="Times New Roman" w:hAnsi="Times New Roman" w:eastAsiaTheme="minorEastAsia"/>
                <w:color w:val="auto"/>
                <w:sz w:val="24"/>
                <w:szCs w:val="28"/>
              </w:rPr>
              <w:t>。</w:t>
            </w:r>
          </w:p>
          <w:p w14:paraId="65516161">
            <w:pPr>
              <w:spacing w:line="360" w:lineRule="auto"/>
              <w:ind w:firstLine="480" w:firstLineChars="200"/>
              <w:rPr>
                <w:rFonts w:ascii="Times New Roman" w:hAnsi="Times New Roman" w:eastAsiaTheme="minorEastAsia"/>
                <w:color w:val="auto"/>
                <w:sz w:val="24"/>
                <w:szCs w:val="28"/>
              </w:rPr>
            </w:pPr>
            <w:r>
              <w:rPr>
                <w:rFonts w:ascii="宋体" w:hAnsi="宋体" w:eastAsia="宋体" w:cs="宋体"/>
                <w:color w:val="auto"/>
                <w:sz w:val="24"/>
                <w:szCs w:val="28"/>
              </w:rPr>
              <w:t>②</w:t>
            </w:r>
            <w:r>
              <w:rPr>
                <w:rFonts w:hint="eastAsia" w:ascii="Times New Roman" w:hAnsi="Times New Roman" w:cs="Times New Roman" w:eastAsiaTheme="minorEastAsia"/>
                <w:color w:val="auto"/>
                <w:sz w:val="24"/>
                <w:szCs w:val="24"/>
                <w:lang w:val="en-US" w:eastAsia="zh-CN"/>
              </w:rPr>
              <w:t>危险废物贮存库</w:t>
            </w:r>
            <w:r>
              <w:rPr>
                <w:rFonts w:hint="eastAsia" w:ascii="Times New Roman" w:hAnsi="Times New Roman" w:eastAsiaTheme="minorEastAsia"/>
                <w:color w:val="auto"/>
                <w:sz w:val="24"/>
                <w:szCs w:val="28"/>
              </w:rPr>
              <w:t>地面、墙面裙脚、堵截泄漏的围堰、接触危险废物的隔板和墙体等应采用坚固的材料建造，表面无裂缝</w:t>
            </w:r>
            <w:r>
              <w:rPr>
                <w:rFonts w:ascii="Times New Roman" w:hAnsi="Times New Roman" w:eastAsiaTheme="minorEastAsia"/>
                <w:color w:val="auto"/>
                <w:sz w:val="24"/>
                <w:szCs w:val="28"/>
              </w:rPr>
              <w:t>。</w:t>
            </w:r>
          </w:p>
          <w:p w14:paraId="66620C3D">
            <w:pPr>
              <w:spacing w:line="360" w:lineRule="auto"/>
              <w:ind w:firstLine="480" w:firstLineChars="200"/>
              <w:rPr>
                <w:rFonts w:ascii="Times New Roman" w:hAnsi="Times New Roman" w:eastAsiaTheme="minorEastAsia"/>
                <w:color w:val="auto"/>
                <w:sz w:val="24"/>
                <w:szCs w:val="28"/>
              </w:rPr>
            </w:pPr>
            <w:r>
              <w:rPr>
                <w:rFonts w:ascii="宋体" w:hAnsi="宋体" w:eastAsia="宋体" w:cs="宋体"/>
                <w:color w:val="auto"/>
                <w:sz w:val="24"/>
                <w:szCs w:val="28"/>
              </w:rPr>
              <w:t>③</w:t>
            </w:r>
            <w:r>
              <w:rPr>
                <w:rFonts w:hint="eastAsia" w:ascii="Times New Roman" w:hAnsi="Times New Roman" w:cs="Times New Roman" w:eastAsiaTheme="minorEastAsia"/>
                <w:color w:val="auto"/>
                <w:sz w:val="24"/>
                <w:szCs w:val="24"/>
                <w:lang w:val="en-US" w:eastAsia="zh-CN"/>
              </w:rPr>
              <w:t>危险废物贮存库</w:t>
            </w:r>
            <w:r>
              <w:rPr>
                <w:rFonts w:hint="eastAsia" w:ascii="Times New Roman" w:hAnsi="Times New Roman" w:eastAsiaTheme="minorEastAsia"/>
                <w:color w:val="auto"/>
                <w:sz w:val="24"/>
                <w:szCs w:val="28"/>
              </w:rPr>
              <w:t>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 m厚黏土层（渗透系数不大于10-</w:t>
            </w:r>
            <w:r>
              <w:rPr>
                <w:rFonts w:hint="eastAsia" w:ascii="Times New Roman" w:hAnsi="Times New Roman" w:eastAsiaTheme="minorEastAsia"/>
                <w:color w:val="auto"/>
                <w:sz w:val="24"/>
                <w:szCs w:val="28"/>
                <w:vertAlign w:val="superscript"/>
              </w:rPr>
              <w:t xml:space="preserve">7 </w:t>
            </w:r>
            <w:r>
              <w:rPr>
                <w:rFonts w:hint="eastAsia" w:ascii="Times New Roman" w:hAnsi="Times New Roman" w:eastAsiaTheme="minorEastAsia"/>
                <w:color w:val="auto"/>
                <w:sz w:val="24"/>
                <w:szCs w:val="28"/>
              </w:rPr>
              <w:t>cm/s），或至少2 mm厚高密度聚乙烯膜等人工防渗材料（渗透系数不大于10</w:t>
            </w:r>
            <w:r>
              <w:rPr>
                <w:rFonts w:hint="eastAsia" w:ascii="Times New Roman" w:hAnsi="Times New Roman" w:eastAsiaTheme="minorEastAsia"/>
                <w:color w:val="auto"/>
                <w:sz w:val="24"/>
                <w:szCs w:val="28"/>
                <w:vertAlign w:val="superscript"/>
              </w:rPr>
              <w:t>-10</w:t>
            </w:r>
            <w:r>
              <w:rPr>
                <w:rFonts w:hint="eastAsia" w:ascii="Times New Roman" w:hAnsi="Times New Roman" w:eastAsiaTheme="minorEastAsia"/>
                <w:color w:val="auto"/>
                <w:sz w:val="24"/>
                <w:szCs w:val="28"/>
              </w:rPr>
              <w:t xml:space="preserve"> cm/s），或其他防渗性能等效的材料</w:t>
            </w:r>
            <w:r>
              <w:rPr>
                <w:rFonts w:ascii="Times New Roman" w:hAnsi="Times New Roman" w:eastAsiaTheme="minorEastAsia"/>
                <w:color w:val="auto"/>
                <w:sz w:val="24"/>
                <w:szCs w:val="28"/>
              </w:rPr>
              <w:t>。</w:t>
            </w:r>
          </w:p>
          <w:p w14:paraId="768CCECC">
            <w:pPr>
              <w:spacing w:line="360" w:lineRule="auto"/>
              <w:ind w:firstLine="480" w:firstLineChars="200"/>
              <w:rPr>
                <w:rFonts w:ascii="Times New Roman" w:hAnsi="Times New Roman" w:eastAsiaTheme="minorEastAsia"/>
                <w:color w:val="auto"/>
                <w:sz w:val="24"/>
                <w:szCs w:val="28"/>
              </w:rPr>
            </w:pPr>
            <w:r>
              <w:rPr>
                <w:rFonts w:hint="eastAsia" w:ascii="宋体" w:hAnsi="宋体" w:eastAsia="宋体" w:cs="宋体"/>
                <w:color w:val="auto"/>
                <w:sz w:val="24"/>
                <w:szCs w:val="28"/>
              </w:rPr>
              <w:t>④</w:t>
            </w:r>
            <w:r>
              <w:rPr>
                <w:rFonts w:hint="eastAsia" w:ascii="Times New Roman" w:hAnsi="Times New Roman" w:cs="Times New Roman" w:eastAsiaTheme="minorEastAsia"/>
                <w:color w:val="auto"/>
                <w:sz w:val="24"/>
                <w:szCs w:val="24"/>
                <w:lang w:val="en-US" w:eastAsia="zh-CN"/>
              </w:rPr>
              <w:t>危险废物贮存库</w:t>
            </w:r>
            <w:r>
              <w:rPr>
                <w:rFonts w:ascii="Times New Roman" w:hAnsi="Times New Roman" w:eastAsiaTheme="minorEastAsia"/>
                <w:color w:val="auto"/>
                <w:sz w:val="24"/>
                <w:szCs w:val="28"/>
              </w:rPr>
              <w:t>要满足</w:t>
            </w:r>
            <w:r>
              <w:rPr>
                <w:rFonts w:hint="eastAsia" w:ascii="Times New Roman" w:hAnsi="Times New Roman" w:eastAsiaTheme="minorEastAsia"/>
                <w:color w:val="auto"/>
                <w:sz w:val="24"/>
                <w:szCs w:val="28"/>
              </w:rPr>
              <w:t>防风、防雨、防晒和防止危险废物流失、扬散</w:t>
            </w:r>
            <w:r>
              <w:rPr>
                <w:rFonts w:ascii="Times New Roman" w:hAnsi="Times New Roman" w:eastAsiaTheme="minorEastAsia"/>
                <w:color w:val="auto"/>
                <w:sz w:val="24"/>
                <w:szCs w:val="28"/>
              </w:rPr>
              <w:t>。</w:t>
            </w:r>
          </w:p>
          <w:p w14:paraId="54954140">
            <w:pPr>
              <w:spacing w:line="360" w:lineRule="auto"/>
              <w:ind w:firstLine="480" w:firstLineChars="200"/>
              <w:rPr>
                <w:rFonts w:ascii="Times New Roman" w:hAnsi="Times New Roman" w:eastAsiaTheme="minorEastAsia"/>
                <w:color w:val="auto"/>
                <w:sz w:val="24"/>
                <w:szCs w:val="28"/>
              </w:rPr>
            </w:pPr>
            <w:r>
              <w:rPr>
                <w:rFonts w:hint="eastAsia" w:ascii="Times New Roman" w:hAnsi="Times New Roman" w:eastAsiaTheme="minorEastAsia"/>
                <w:color w:val="auto"/>
                <w:sz w:val="24"/>
                <w:szCs w:val="28"/>
              </w:rPr>
              <w:t>⑤</w:t>
            </w:r>
            <w:r>
              <w:rPr>
                <w:rFonts w:hint="eastAsia" w:ascii="Times New Roman" w:hAnsi="Times New Roman" w:cs="Times New Roman" w:eastAsiaTheme="minorEastAsia"/>
                <w:color w:val="auto"/>
                <w:sz w:val="24"/>
                <w:szCs w:val="24"/>
                <w:lang w:val="en-US" w:eastAsia="zh-CN"/>
              </w:rPr>
              <w:t>危险废物贮存库</w:t>
            </w:r>
            <w:r>
              <w:rPr>
                <w:rFonts w:hint="eastAsia" w:ascii="Times New Roman" w:hAnsi="Times New Roman" w:eastAsiaTheme="minorEastAsia"/>
                <w:color w:val="auto"/>
                <w:sz w:val="24"/>
                <w:szCs w:val="28"/>
              </w:rPr>
              <w:t>、容器和包装物应按</w:t>
            </w:r>
            <w:r>
              <w:rPr>
                <w:rFonts w:hint="eastAsia" w:ascii="Times New Roman" w:hAnsi="Times New Roman" w:eastAsiaTheme="minorEastAsia"/>
                <w:bCs/>
                <w:color w:val="auto"/>
                <w:sz w:val="24"/>
                <w:lang w:val="en-US" w:eastAsia="zh-CN"/>
              </w:rPr>
              <w:t>《危险废物识别标志设置技术规范》（HJ 1276-2022）</w:t>
            </w:r>
            <w:r>
              <w:rPr>
                <w:rFonts w:hint="eastAsia" w:ascii="Times New Roman" w:hAnsi="Times New Roman" w:eastAsiaTheme="minorEastAsia"/>
                <w:color w:val="auto"/>
                <w:sz w:val="24"/>
                <w:szCs w:val="28"/>
              </w:rPr>
              <w:t>要求设置</w:t>
            </w:r>
            <w:r>
              <w:rPr>
                <w:rFonts w:hint="eastAsia" w:ascii="Times New Roman" w:hAnsi="Times New Roman" w:eastAsiaTheme="minorEastAsia"/>
                <w:color w:val="auto"/>
                <w:sz w:val="24"/>
                <w:szCs w:val="28"/>
                <w:lang w:eastAsia="zh-CN"/>
              </w:rPr>
              <w:t>危险废物贮存库</w:t>
            </w:r>
            <w:r>
              <w:rPr>
                <w:rFonts w:hint="eastAsia" w:ascii="Times New Roman" w:hAnsi="Times New Roman" w:eastAsiaTheme="minorEastAsia"/>
                <w:color w:val="auto"/>
                <w:sz w:val="24"/>
                <w:szCs w:val="28"/>
              </w:rPr>
              <w:t>或场所标志、危险废物贮存分区标志和危险废物标签等危险废物识别标志</w:t>
            </w:r>
            <w:r>
              <w:rPr>
                <w:rFonts w:ascii="Times New Roman" w:hAnsi="Times New Roman" w:eastAsiaTheme="minorEastAsia"/>
                <w:color w:val="auto"/>
                <w:sz w:val="24"/>
                <w:szCs w:val="28"/>
              </w:rPr>
              <w:t>。</w:t>
            </w:r>
          </w:p>
          <w:p w14:paraId="61D0F4E3">
            <w:pPr>
              <w:spacing w:line="360" w:lineRule="auto"/>
              <w:ind w:firstLine="480" w:firstLineChars="200"/>
              <w:rPr>
                <w:rFonts w:ascii="Times New Roman" w:hAnsi="Times New Roman" w:eastAsiaTheme="minorEastAsia"/>
                <w:color w:val="auto"/>
                <w:sz w:val="24"/>
                <w:szCs w:val="28"/>
              </w:rPr>
            </w:pPr>
            <w:r>
              <w:rPr>
                <w:rFonts w:ascii="宋体" w:hAnsi="宋体" w:eastAsia="宋体" w:cs="宋体"/>
                <w:color w:val="auto"/>
                <w:sz w:val="24"/>
                <w:szCs w:val="28"/>
              </w:rPr>
              <w:t>⑥</w:t>
            </w:r>
            <w:r>
              <w:rPr>
                <w:rFonts w:hint="eastAsia" w:ascii="Times New Roman" w:hAnsi="Times New Roman" w:eastAsiaTheme="minorEastAsia"/>
                <w:color w:val="auto"/>
                <w:sz w:val="24"/>
                <w:szCs w:val="28"/>
              </w:rPr>
              <w:t>使用容器盛装液态危险废物时，容器内部应留有适当的空间，以适应因温度变化等可能引发的收缩和膨胀，防止其导致容器渗漏或永久变形</w:t>
            </w:r>
            <w:r>
              <w:rPr>
                <w:rFonts w:ascii="Times New Roman" w:hAnsi="Times New Roman" w:eastAsiaTheme="minorEastAsia"/>
                <w:color w:val="auto"/>
                <w:sz w:val="24"/>
                <w:szCs w:val="28"/>
              </w:rPr>
              <w:t>。</w:t>
            </w:r>
          </w:p>
          <w:p w14:paraId="583EC971">
            <w:pPr>
              <w:spacing w:line="360" w:lineRule="auto"/>
              <w:ind w:firstLine="480" w:firstLineChars="200"/>
              <w:rPr>
                <w:rFonts w:ascii="Times New Roman" w:hAnsi="Times New Roman" w:eastAsiaTheme="minorEastAsia"/>
                <w:color w:val="auto"/>
                <w:sz w:val="24"/>
                <w:szCs w:val="28"/>
              </w:rPr>
            </w:pPr>
            <w:r>
              <w:rPr>
                <w:rFonts w:hint="eastAsia" w:ascii="宋体" w:hAnsi="宋体" w:eastAsia="宋体" w:cs="宋体"/>
                <w:color w:val="auto"/>
                <w:sz w:val="24"/>
                <w:szCs w:val="28"/>
              </w:rPr>
              <w:t>⑦</w:t>
            </w:r>
            <w:r>
              <w:rPr>
                <w:rFonts w:hint="eastAsia" w:ascii="Times New Roman" w:hAnsi="Times New Roman" w:cs="Times New Roman" w:eastAsiaTheme="minorEastAsia"/>
                <w:color w:val="auto"/>
                <w:sz w:val="24"/>
                <w:szCs w:val="24"/>
                <w:lang w:val="en-US" w:eastAsia="zh-CN"/>
              </w:rPr>
              <w:t>危险废物贮存库</w:t>
            </w:r>
            <w:r>
              <w:rPr>
                <w:rFonts w:hint="eastAsia" w:ascii="Times New Roman" w:hAnsi="Times New Roman" w:eastAsiaTheme="minorEastAsia"/>
                <w:color w:val="auto"/>
                <w:sz w:val="24"/>
                <w:szCs w:val="28"/>
              </w:rPr>
              <w:t>运行期间，应按国家有关标准和规定建立危险废物管理台账并保存。</w:t>
            </w:r>
          </w:p>
          <w:p w14:paraId="72826019">
            <w:pPr>
              <w:pStyle w:val="18"/>
              <w:spacing w:line="360" w:lineRule="auto"/>
              <w:ind w:leftChars="0" w:firstLine="480" w:firstLineChars="200"/>
              <w:rPr>
                <w:rFonts w:ascii="Times New Roman" w:hAnsi="Times New Roman"/>
                <w:color w:val="auto"/>
                <w:kern w:val="0"/>
                <w:sz w:val="24"/>
              </w:rPr>
            </w:pPr>
            <w:r>
              <w:rPr>
                <w:rFonts w:hint="eastAsia" w:ascii="Times New Roman" w:hAnsi="Times New Roman" w:eastAsia="宋体" w:cs="Times New Roman"/>
                <w:color w:val="auto"/>
                <w:kern w:val="0"/>
                <w:sz w:val="24"/>
                <w:szCs w:val="24"/>
                <w:highlight w:val="none"/>
                <w:lang w:val="en-US" w:eastAsia="zh-CN"/>
              </w:rPr>
              <w:t>通过以上措施，本项目运营期产生的各类固废处置合理可行，去向明确，其处置措施体现了</w:t>
            </w:r>
            <w:r>
              <w:rPr>
                <w:rFonts w:hint="eastAsia" w:ascii="Times New Roman" w:hAnsi="Times New Roman"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减量化、资源化、无害化</w:t>
            </w:r>
            <w:r>
              <w:rPr>
                <w:rFonts w:hint="eastAsia" w:ascii="Times New Roman" w:hAnsi="Times New Roman" w:cs="Times New Roman"/>
                <w:color w:val="auto"/>
                <w:kern w:val="0"/>
                <w:sz w:val="24"/>
                <w:szCs w:val="24"/>
                <w:highlight w:val="none"/>
                <w:lang w:val="en-US" w:eastAsia="zh-CN"/>
              </w:rPr>
              <w:t>”</w:t>
            </w:r>
            <w:r>
              <w:rPr>
                <w:rFonts w:hint="eastAsia" w:ascii="Times New Roman" w:hAnsi="Times New Roman" w:eastAsia="宋体" w:cs="Times New Roman"/>
                <w:color w:val="auto"/>
                <w:kern w:val="0"/>
                <w:sz w:val="24"/>
                <w:szCs w:val="24"/>
                <w:highlight w:val="none"/>
                <w:lang w:val="en-US" w:eastAsia="zh-CN"/>
              </w:rPr>
              <w:t>的治理原则，对周围环境不会产生明显影响。</w:t>
            </w:r>
          </w:p>
          <w:p w14:paraId="0415B75E">
            <w:pPr>
              <w:adjustRightInd w:val="0"/>
              <w:snapToGrid w:val="0"/>
              <w:spacing w:line="360" w:lineRule="auto"/>
              <w:ind w:firstLine="482" w:firstLineChars="200"/>
              <w:rPr>
                <w:b/>
                <w:bCs/>
                <w:color w:val="auto"/>
                <w:sz w:val="24"/>
                <w:szCs w:val="32"/>
              </w:rPr>
            </w:pPr>
            <w:r>
              <w:rPr>
                <w:b/>
                <w:bCs/>
                <w:color w:val="auto"/>
                <w:sz w:val="24"/>
                <w:szCs w:val="32"/>
              </w:rPr>
              <w:t>5</w:t>
            </w:r>
            <w:r>
              <w:rPr>
                <w:rFonts w:hint="eastAsia"/>
                <w:b/>
                <w:bCs/>
                <w:color w:val="auto"/>
                <w:sz w:val="24"/>
                <w:szCs w:val="32"/>
              </w:rPr>
              <w:t>.地下水环境影响分析</w:t>
            </w:r>
          </w:p>
          <w:p w14:paraId="1B38EB8D">
            <w:pPr>
              <w:adjustRightInd w:val="0"/>
              <w:snapToGrid w:val="0"/>
              <w:spacing w:line="360" w:lineRule="auto"/>
              <w:ind w:firstLine="480" w:firstLineChars="200"/>
              <w:rPr>
                <w:color w:val="auto"/>
                <w:sz w:val="24"/>
                <w:szCs w:val="32"/>
              </w:rPr>
            </w:pPr>
            <w:r>
              <w:rPr>
                <w:rFonts w:hint="eastAsia"/>
                <w:color w:val="auto"/>
                <w:sz w:val="24"/>
                <w:szCs w:val="32"/>
              </w:rPr>
              <w:t>根据工程分析，项目废水主要为</w:t>
            </w:r>
            <w:r>
              <w:rPr>
                <w:rFonts w:hint="eastAsia"/>
                <w:color w:val="auto"/>
                <w:sz w:val="24"/>
                <w:szCs w:val="32"/>
                <w:lang w:val="en-US" w:eastAsia="zh-CN"/>
              </w:rPr>
              <w:t>生活污水</w:t>
            </w:r>
            <w:r>
              <w:rPr>
                <w:rFonts w:hint="eastAsia"/>
                <w:color w:val="auto"/>
                <w:sz w:val="24"/>
                <w:szCs w:val="32"/>
              </w:rPr>
              <w:t>，</w:t>
            </w:r>
            <w:r>
              <w:rPr>
                <w:rFonts w:hint="eastAsia"/>
                <w:color w:val="auto"/>
                <w:sz w:val="24"/>
                <w:szCs w:val="32"/>
                <w:lang w:val="en-US" w:eastAsia="zh-CN"/>
              </w:rPr>
              <w:t>经化粪池收集后，定期委托附近村民清运施肥，不外排；</w:t>
            </w:r>
            <w:r>
              <w:rPr>
                <w:rFonts w:hint="eastAsia"/>
                <w:color w:val="auto"/>
                <w:sz w:val="24"/>
                <w:lang w:val="en-US" w:eastAsia="zh-CN"/>
              </w:rPr>
              <w:t>石墨乳配比用水全部自然蒸发及损耗，无废水产生；因此</w:t>
            </w:r>
            <w:r>
              <w:rPr>
                <w:rFonts w:hint="eastAsia"/>
                <w:color w:val="auto"/>
                <w:sz w:val="24"/>
              </w:rPr>
              <w:t>本项目无地下水污染途径，不会造成地下水污染。</w:t>
            </w:r>
            <w:r>
              <w:rPr>
                <w:rFonts w:hint="eastAsia"/>
                <w:color w:val="auto"/>
                <w:sz w:val="24"/>
                <w:szCs w:val="32"/>
              </w:rPr>
              <w:t>本次环评不对地下水环境进行评价。</w:t>
            </w:r>
          </w:p>
          <w:p w14:paraId="5B5AAEF5">
            <w:pPr>
              <w:adjustRightInd w:val="0"/>
              <w:snapToGrid w:val="0"/>
              <w:spacing w:line="360" w:lineRule="auto"/>
              <w:ind w:firstLine="482" w:firstLineChars="200"/>
              <w:rPr>
                <w:color w:val="auto"/>
                <w:sz w:val="24"/>
                <w:szCs w:val="32"/>
              </w:rPr>
            </w:pPr>
            <w:r>
              <w:rPr>
                <w:b/>
                <w:bCs/>
                <w:color w:val="auto"/>
                <w:sz w:val="24"/>
                <w:szCs w:val="32"/>
              </w:rPr>
              <w:t>6</w:t>
            </w:r>
            <w:r>
              <w:rPr>
                <w:rFonts w:hint="eastAsia"/>
                <w:b/>
                <w:bCs/>
                <w:color w:val="auto"/>
                <w:sz w:val="24"/>
                <w:szCs w:val="32"/>
              </w:rPr>
              <w:t>.</w:t>
            </w:r>
            <w:r>
              <w:rPr>
                <w:b/>
                <w:bCs/>
                <w:color w:val="auto"/>
                <w:sz w:val="24"/>
                <w:szCs w:val="32"/>
              </w:rPr>
              <w:t>土壤环境影响和保护措施</w:t>
            </w:r>
          </w:p>
          <w:p w14:paraId="21C0681E">
            <w:pPr>
              <w:adjustRightInd w:val="0"/>
              <w:snapToGrid w:val="0"/>
              <w:spacing w:line="360" w:lineRule="auto"/>
              <w:ind w:firstLine="480" w:firstLineChars="200"/>
              <w:jc w:val="left"/>
              <w:rPr>
                <w:color w:val="auto"/>
                <w:sz w:val="24"/>
              </w:rPr>
            </w:pPr>
            <w:r>
              <w:rPr>
                <w:color w:val="auto"/>
                <w:sz w:val="24"/>
              </w:rPr>
              <w:t>（1）污染源、污染物类型及污染途径</w:t>
            </w:r>
          </w:p>
          <w:p w14:paraId="5A56AB39">
            <w:pPr>
              <w:adjustRightInd w:val="0"/>
              <w:snapToGrid w:val="0"/>
              <w:spacing w:line="360" w:lineRule="auto"/>
              <w:ind w:firstLine="480" w:firstLineChars="200"/>
              <w:jc w:val="left"/>
              <w:rPr>
                <w:color w:val="auto"/>
                <w:sz w:val="24"/>
              </w:rPr>
            </w:pPr>
            <w:r>
              <w:rPr>
                <w:rFonts w:hint="eastAsia"/>
                <w:color w:val="auto"/>
                <w:sz w:val="24"/>
              </w:rPr>
              <w:t>本项目土壤污染防治主要为</w:t>
            </w:r>
            <w:r>
              <w:rPr>
                <w:rFonts w:hint="eastAsia"/>
                <w:color w:val="auto"/>
                <w:sz w:val="24"/>
                <w:lang w:val="en-US" w:eastAsia="zh-CN"/>
              </w:rPr>
              <w:t>生产设施</w:t>
            </w:r>
            <w:r>
              <w:rPr>
                <w:rFonts w:hint="eastAsia"/>
                <w:color w:val="auto"/>
                <w:sz w:val="24"/>
                <w:lang w:eastAsia="zh-CN"/>
              </w:rPr>
              <w:t>内油类物质（</w:t>
            </w:r>
            <w:r>
              <w:rPr>
                <w:rFonts w:hint="eastAsia"/>
                <w:color w:val="auto"/>
                <w:sz w:val="24"/>
                <w:lang w:val="en-US" w:eastAsia="zh-CN"/>
              </w:rPr>
              <w:t>污染因子为石油类</w:t>
            </w:r>
            <w:r>
              <w:rPr>
                <w:rFonts w:hint="eastAsia"/>
                <w:color w:val="auto"/>
                <w:sz w:val="24"/>
                <w:lang w:eastAsia="zh-CN"/>
              </w:rPr>
              <w:t>）的垂直入渗</w:t>
            </w:r>
            <w:r>
              <w:rPr>
                <w:rFonts w:hint="eastAsia"/>
                <w:color w:val="auto"/>
                <w:sz w:val="24"/>
              </w:rPr>
              <w:t>。环境影响源及影响因子见下表：</w:t>
            </w:r>
          </w:p>
          <w:p w14:paraId="14932C73">
            <w:pPr>
              <w:pStyle w:val="59"/>
              <w:spacing w:beforeLines="0"/>
              <w:rPr>
                <w:rFonts w:ascii="Times New Roman" w:hAnsi="Times New Roman"/>
                <w:b w:val="0"/>
                <w:bCs/>
                <w:color w:val="auto"/>
                <w:sz w:val="21"/>
                <w:szCs w:val="21"/>
              </w:rPr>
            </w:pPr>
            <w:r>
              <w:rPr>
                <w:rFonts w:ascii="Times New Roman" w:hAnsi="宋体"/>
                <w:b w:val="0"/>
                <w:bCs/>
                <w:color w:val="auto"/>
                <w:sz w:val="21"/>
                <w:szCs w:val="21"/>
              </w:rPr>
              <w:t>表</w:t>
            </w:r>
            <w:r>
              <w:rPr>
                <w:rFonts w:hint="eastAsia" w:ascii="Times New Roman" w:hAnsi="Times New Roman"/>
                <w:b w:val="0"/>
                <w:bCs/>
                <w:color w:val="auto"/>
                <w:sz w:val="21"/>
                <w:szCs w:val="21"/>
                <w:lang w:val="en-US" w:eastAsia="zh-CN"/>
              </w:rPr>
              <w:t>4</w:t>
            </w:r>
            <w:r>
              <w:rPr>
                <w:rFonts w:hint="default" w:ascii="Times New Roman" w:hAnsi="Times New Roman" w:cs="Times New Roman"/>
                <w:b w:val="0"/>
                <w:bCs w:val="0"/>
                <w:color w:val="auto"/>
                <w:sz w:val="21"/>
                <w:szCs w:val="20"/>
                <w:lang w:val="en-US" w:eastAsia="zh-CN"/>
              </w:rPr>
              <w:t>-</w:t>
            </w:r>
            <w:r>
              <w:rPr>
                <w:rFonts w:hint="eastAsia" w:ascii="Times New Roman" w:hAnsi="Times New Roman" w:cs="Times New Roman"/>
                <w:b w:val="0"/>
                <w:bCs w:val="0"/>
                <w:color w:val="auto"/>
                <w:sz w:val="21"/>
                <w:szCs w:val="20"/>
                <w:lang w:val="en-US" w:eastAsia="zh-CN"/>
              </w:rPr>
              <w:t>6</w:t>
            </w:r>
            <w:r>
              <w:rPr>
                <w:rFonts w:ascii="Times New Roman" w:hAnsi="Times New Roman"/>
                <w:b w:val="0"/>
                <w:bCs/>
                <w:color w:val="auto"/>
                <w:sz w:val="21"/>
                <w:szCs w:val="21"/>
              </w:rPr>
              <w:t xml:space="preserve">  </w:t>
            </w:r>
            <w:r>
              <w:rPr>
                <w:rFonts w:ascii="Times New Roman" w:hAnsi="宋体"/>
                <w:b w:val="0"/>
                <w:bCs/>
                <w:color w:val="auto"/>
                <w:sz w:val="21"/>
                <w:szCs w:val="21"/>
              </w:rPr>
              <w:t>土壤环境影响类型与途径表</w:t>
            </w:r>
          </w:p>
          <w:tbl>
            <w:tblPr>
              <w:tblStyle w:val="2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3"/>
              <w:gridCol w:w="1703"/>
              <w:gridCol w:w="1703"/>
              <w:gridCol w:w="1705"/>
              <w:gridCol w:w="1709"/>
            </w:tblGrid>
            <w:tr w14:paraId="0619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999" w:type="pct"/>
                  <w:vMerge w:val="restart"/>
                  <w:noWrap w:val="0"/>
                  <w:vAlign w:val="center"/>
                </w:tcPr>
                <w:p w14:paraId="4D7FAB5A">
                  <w:pPr>
                    <w:pStyle w:val="55"/>
                    <w:adjustRightInd w:val="0"/>
                    <w:snapToGrid w:val="0"/>
                    <w:rPr>
                      <w:rFonts w:ascii="Times New Roman" w:hAnsi="Times New Roman"/>
                      <w:bCs/>
                      <w:color w:val="auto"/>
                    </w:rPr>
                  </w:pPr>
                  <w:r>
                    <w:rPr>
                      <w:rFonts w:ascii="Times New Roman" w:hAnsi="宋体"/>
                      <w:bCs/>
                      <w:color w:val="auto"/>
                    </w:rPr>
                    <w:t>不同时段</w:t>
                  </w:r>
                </w:p>
              </w:tc>
              <w:tc>
                <w:tcPr>
                  <w:tcW w:w="4000" w:type="pct"/>
                  <w:gridSpan w:val="4"/>
                  <w:noWrap w:val="0"/>
                  <w:vAlign w:val="center"/>
                </w:tcPr>
                <w:p w14:paraId="13CAB116">
                  <w:pPr>
                    <w:pStyle w:val="55"/>
                    <w:adjustRightInd w:val="0"/>
                    <w:snapToGrid w:val="0"/>
                    <w:rPr>
                      <w:rFonts w:ascii="Times New Roman" w:hAnsi="Times New Roman"/>
                      <w:bCs/>
                      <w:color w:val="auto"/>
                    </w:rPr>
                  </w:pPr>
                  <w:r>
                    <w:rPr>
                      <w:rFonts w:ascii="Times New Roman" w:hAnsi="宋体"/>
                      <w:bCs/>
                      <w:color w:val="auto"/>
                    </w:rPr>
                    <w:t>污染影响型</w:t>
                  </w:r>
                </w:p>
              </w:tc>
            </w:tr>
            <w:tr w14:paraId="4B2F4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vMerge w:val="continue"/>
                  <w:noWrap w:val="0"/>
                  <w:vAlign w:val="center"/>
                </w:tcPr>
                <w:p w14:paraId="004B6CBC">
                  <w:pPr>
                    <w:widowControl/>
                    <w:jc w:val="center"/>
                    <w:rPr>
                      <w:color w:val="auto"/>
                      <w:szCs w:val="21"/>
                    </w:rPr>
                  </w:pPr>
                </w:p>
              </w:tc>
              <w:tc>
                <w:tcPr>
                  <w:tcW w:w="999" w:type="pct"/>
                  <w:noWrap w:val="0"/>
                  <w:vAlign w:val="center"/>
                </w:tcPr>
                <w:p w14:paraId="04DCD705">
                  <w:pPr>
                    <w:pStyle w:val="55"/>
                    <w:adjustRightInd w:val="0"/>
                    <w:snapToGrid w:val="0"/>
                    <w:rPr>
                      <w:rFonts w:ascii="Times New Roman" w:hAnsi="Times New Roman"/>
                      <w:color w:val="auto"/>
                    </w:rPr>
                  </w:pPr>
                  <w:r>
                    <w:rPr>
                      <w:rFonts w:ascii="Times New Roman" w:hAnsi="宋体"/>
                      <w:color w:val="auto"/>
                    </w:rPr>
                    <w:t>大气沉降</w:t>
                  </w:r>
                </w:p>
              </w:tc>
              <w:tc>
                <w:tcPr>
                  <w:tcW w:w="999" w:type="pct"/>
                  <w:noWrap w:val="0"/>
                  <w:vAlign w:val="center"/>
                </w:tcPr>
                <w:p w14:paraId="3B66B51A">
                  <w:pPr>
                    <w:pStyle w:val="55"/>
                    <w:adjustRightInd w:val="0"/>
                    <w:snapToGrid w:val="0"/>
                    <w:rPr>
                      <w:rFonts w:ascii="Times New Roman" w:hAnsi="Times New Roman"/>
                      <w:color w:val="auto"/>
                    </w:rPr>
                  </w:pPr>
                  <w:r>
                    <w:rPr>
                      <w:rFonts w:ascii="Times New Roman" w:hAnsi="宋体"/>
                      <w:color w:val="auto"/>
                    </w:rPr>
                    <w:t>地面漫流</w:t>
                  </w:r>
                </w:p>
              </w:tc>
              <w:tc>
                <w:tcPr>
                  <w:tcW w:w="1000" w:type="pct"/>
                  <w:noWrap w:val="0"/>
                  <w:vAlign w:val="center"/>
                </w:tcPr>
                <w:p w14:paraId="6AC629F9">
                  <w:pPr>
                    <w:pStyle w:val="55"/>
                    <w:adjustRightInd w:val="0"/>
                    <w:snapToGrid w:val="0"/>
                    <w:rPr>
                      <w:rFonts w:ascii="Times New Roman" w:hAnsi="Times New Roman"/>
                      <w:color w:val="auto"/>
                    </w:rPr>
                  </w:pPr>
                  <w:r>
                    <w:rPr>
                      <w:rFonts w:ascii="Times New Roman" w:hAnsi="宋体"/>
                      <w:color w:val="auto"/>
                    </w:rPr>
                    <w:t>垂直入渗</w:t>
                  </w:r>
                </w:p>
              </w:tc>
              <w:tc>
                <w:tcPr>
                  <w:tcW w:w="1000" w:type="pct"/>
                  <w:noWrap w:val="0"/>
                  <w:vAlign w:val="center"/>
                </w:tcPr>
                <w:p w14:paraId="06B07E44">
                  <w:pPr>
                    <w:pStyle w:val="55"/>
                    <w:adjustRightInd w:val="0"/>
                    <w:snapToGrid w:val="0"/>
                    <w:rPr>
                      <w:rFonts w:ascii="Times New Roman" w:hAnsi="Times New Roman"/>
                      <w:color w:val="auto"/>
                    </w:rPr>
                  </w:pPr>
                  <w:r>
                    <w:rPr>
                      <w:rFonts w:ascii="Times New Roman" w:hAnsi="宋体"/>
                      <w:color w:val="auto"/>
                    </w:rPr>
                    <w:t>其他</w:t>
                  </w:r>
                </w:p>
              </w:tc>
            </w:tr>
            <w:tr w14:paraId="6E189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99" w:type="pct"/>
                  <w:noWrap w:val="0"/>
                  <w:vAlign w:val="center"/>
                </w:tcPr>
                <w:p w14:paraId="23D7F8B2">
                  <w:pPr>
                    <w:pStyle w:val="55"/>
                    <w:adjustRightInd w:val="0"/>
                    <w:snapToGrid w:val="0"/>
                    <w:rPr>
                      <w:rFonts w:ascii="Times New Roman" w:hAnsi="Times New Roman"/>
                      <w:color w:val="auto"/>
                    </w:rPr>
                  </w:pPr>
                  <w:r>
                    <w:rPr>
                      <w:rFonts w:ascii="Times New Roman" w:hAnsi="宋体"/>
                      <w:color w:val="auto"/>
                    </w:rPr>
                    <w:t>运营期</w:t>
                  </w:r>
                </w:p>
              </w:tc>
              <w:tc>
                <w:tcPr>
                  <w:tcW w:w="999" w:type="pct"/>
                  <w:noWrap w:val="0"/>
                  <w:vAlign w:val="center"/>
                </w:tcPr>
                <w:p w14:paraId="5745B14B">
                  <w:pPr>
                    <w:pStyle w:val="55"/>
                    <w:adjustRightInd w:val="0"/>
                    <w:snapToGrid w:val="0"/>
                    <w:rPr>
                      <w:rFonts w:ascii="Times New Roman" w:hAnsi="Times New Roman"/>
                      <w:color w:val="auto"/>
                    </w:rPr>
                  </w:pPr>
                </w:p>
              </w:tc>
              <w:tc>
                <w:tcPr>
                  <w:tcW w:w="999" w:type="pct"/>
                  <w:noWrap w:val="0"/>
                  <w:vAlign w:val="center"/>
                </w:tcPr>
                <w:p w14:paraId="28145EF9">
                  <w:pPr>
                    <w:pStyle w:val="55"/>
                    <w:adjustRightInd w:val="0"/>
                    <w:snapToGrid w:val="0"/>
                    <w:rPr>
                      <w:rFonts w:ascii="Times New Roman" w:hAnsi="Times New Roman"/>
                      <w:color w:val="auto"/>
                    </w:rPr>
                  </w:pPr>
                </w:p>
              </w:tc>
              <w:tc>
                <w:tcPr>
                  <w:tcW w:w="1000" w:type="pct"/>
                  <w:noWrap w:val="0"/>
                  <w:vAlign w:val="center"/>
                </w:tcPr>
                <w:p w14:paraId="627B2B48">
                  <w:pPr>
                    <w:pStyle w:val="55"/>
                    <w:adjustRightInd w:val="0"/>
                    <w:snapToGrid w:val="0"/>
                    <w:rPr>
                      <w:rFonts w:ascii="Times New Roman" w:hAnsi="Times New Roman"/>
                      <w:color w:val="auto"/>
                    </w:rPr>
                  </w:pPr>
                  <w:r>
                    <w:rPr>
                      <w:rFonts w:ascii="Times New Roman" w:hAnsi="Times New Roman"/>
                      <w:color w:val="auto"/>
                    </w:rPr>
                    <w:t>√</w:t>
                  </w:r>
                </w:p>
              </w:tc>
              <w:tc>
                <w:tcPr>
                  <w:tcW w:w="1000" w:type="pct"/>
                  <w:noWrap w:val="0"/>
                  <w:vAlign w:val="center"/>
                </w:tcPr>
                <w:p w14:paraId="4E120ECE">
                  <w:pPr>
                    <w:pStyle w:val="55"/>
                    <w:adjustRightInd w:val="0"/>
                    <w:snapToGrid w:val="0"/>
                    <w:rPr>
                      <w:rFonts w:ascii="Times New Roman" w:hAnsi="Times New Roman"/>
                      <w:color w:val="auto"/>
                    </w:rPr>
                  </w:pPr>
                </w:p>
              </w:tc>
            </w:tr>
          </w:tbl>
          <w:p w14:paraId="12164B82">
            <w:pPr>
              <w:adjustRightInd w:val="0"/>
              <w:snapToGrid w:val="0"/>
              <w:spacing w:line="360" w:lineRule="auto"/>
              <w:ind w:firstLine="480" w:firstLineChars="200"/>
              <w:jc w:val="left"/>
              <w:rPr>
                <w:color w:val="auto"/>
                <w:sz w:val="24"/>
              </w:rPr>
            </w:pPr>
            <w:r>
              <w:rPr>
                <w:color w:val="auto"/>
                <w:sz w:val="24"/>
              </w:rPr>
              <w:t>（2）防控措施</w:t>
            </w:r>
          </w:p>
          <w:p w14:paraId="3876A94B">
            <w:pPr>
              <w:adjustRightInd w:val="0"/>
              <w:snapToGrid w:val="0"/>
              <w:spacing w:line="360" w:lineRule="auto"/>
              <w:ind w:firstLine="480" w:firstLineChars="200"/>
              <w:jc w:val="left"/>
              <w:rPr>
                <w:color w:val="auto"/>
                <w:sz w:val="24"/>
              </w:rPr>
            </w:pPr>
            <w:r>
              <w:rPr>
                <w:rFonts w:hint="eastAsia"/>
                <w:color w:val="auto"/>
                <w:sz w:val="24"/>
              </w:rPr>
              <w:t>本项目</w:t>
            </w:r>
            <w:r>
              <w:rPr>
                <w:rFonts w:hint="eastAsia"/>
                <w:color w:val="auto"/>
                <w:sz w:val="24"/>
                <w:lang w:eastAsia="zh-CN"/>
              </w:rPr>
              <w:t>厂房内地面</w:t>
            </w:r>
            <w:r>
              <w:rPr>
                <w:rFonts w:hint="eastAsia"/>
                <w:color w:val="auto"/>
                <w:sz w:val="24"/>
                <w:lang w:val="en-US" w:eastAsia="zh-CN"/>
              </w:rPr>
              <w:t>已</w:t>
            </w:r>
            <w:r>
              <w:rPr>
                <w:rFonts w:hint="eastAsia"/>
                <w:color w:val="auto"/>
                <w:sz w:val="24"/>
                <w:lang w:eastAsia="zh-CN"/>
              </w:rPr>
              <w:t>进行硬化处理，</w:t>
            </w:r>
            <w:r>
              <w:rPr>
                <w:rFonts w:hint="eastAsia"/>
                <w:color w:val="auto"/>
                <w:sz w:val="24"/>
                <w:lang w:val="en-US" w:eastAsia="zh-CN"/>
              </w:rPr>
              <w:t>生产设施定期进行维护保养，</w:t>
            </w:r>
            <w:r>
              <w:rPr>
                <w:rFonts w:hint="eastAsia"/>
                <w:color w:val="auto"/>
                <w:sz w:val="24"/>
                <w:lang w:eastAsia="zh-CN"/>
              </w:rPr>
              <w:t>杜绝出现油类物质泄漏事故，</w:t>
            </w:r>
            <w:r>
              <w:rPr>
                <w:rFonts w:hint="eastAsia"/>
                <w:color w:val="auto"/>
                <w:sz w:val="24"/>
                <w:lang w:val="en-US" w:eastAsia="zh-CN"/>
              </w:rPr>
              <w:t>危险废物贮存库废润滑油盛装在容器中，并要求下方设置托盘，</w:t>
            </w:r>
            <w:r>
              <w:rPr>
                <w:rFonts w:hint="eastAsia"/>
                <w:color w:val="auto"/>
                <w:sz w:val="24"/>
                <w:lang w:eastAsia="zh-CN"/>
              </w:rPr>
              <w:t>厂房内、</w:t>
            </w:r>
            <w:r>
              <w:rPr>
                <w:rFonts w:hint="eastAsia"/>
                <w:color w:val="auto"/>
                <w:sz w:val="24"/>
                <w:lang w:val="en-US" w:eastAsia="zh-CN"/>
              </w:rPr>
              <w:t>危险废物贮存库</w:t>
            </w:r>
            <w:r>
              <w:rPr>
                <w:rFonts w:hint="eastAsia"/>
                <w:color w:val="auto"/>
                <w:sz w:val="24"/>
                <w:lang w:eastAsia="zh-CN"/>
              </w:rPr>
              <w:t>均进行硬化处理，即使发生少量泄漏事故，也不会直接接触并污染土壤。通过上述措施，本项目的运营过程中不存在土壤污染途径，不会造成土壤污染，</w:t>
            </w:r>
            <w:r>
              <w:rPr>
                <w:rFonts w:hint="eastAsia"/>
                <w:color w:val="auto"/>
                <w:sz w:val="24"/>
                <w:szCs w:val="32"/>
              </w:rPr>
              <w:t>本次环评不对</w:t>
            </w:r>
            <w:r>
              <w:rPr>
                <w:rFonts w:hint="eastAsia"/>
                <w:color w:val="auto"/>
                <w:sz w:val="24"/>
                <w:szCs w:val="32"/>
                <w:lang w:eastAsia="zh-CN"/>
              </w:rPr>
              <w:t>土壤</w:t>
            </w:r>
            <w:r>
              <w:rPr>
                <w:rFonts w:hint="eastAsia"/>
                <w:color w:val="auto"/>
                <w:sz w:val="24"/>
                <w:szCs w:val="32"/>
              </w:rPr>
              <w:t>环境进行评价。</w:t>
            </w:r>
          </w:p>
          <w:p w14:paraId="0C492458">
            <w:pPr>
              <w:adjustRightInd w:val="0"/>
              <w:snapToGrid w:val="0"/>
              <w:spacing w:line="360" w:lineRule="auto"/>
              <w:ind w:firstLine="482" w:firstLineChars="200"/>
              <w:jc w:val="left"/>
              <w:rPr>
                <w:color w:val="auto"/>
                <w:sz w:val="24"/>
              </w:rPr>
            </w:pPr>
            <w:r>
              <w:rPr>
                <w:b/>
                <w:bCs/>
                <w:color w:val="auto"/>
                <w:sz w:val="24"/>
              </w:rPr>
              <w:t>7</w:t>
            </w:r>
            <w:r>
              <w:rPr>
                <w:rFonts w:hint="eastAsia"/>
                <w:b/>
                <w:bCs/>
                <w:color w:val="auto"/>
                <w:sz w:val="24"/>
              </w:rPr>
              <w:t>.</w:t>
            </w:r>
            <w:r>
              <w:rPr>
                <w:b/>
                <w:bCs/>
                <w:color w:val="auto"/>
                <w:sz w:val="24"/>
              </w:rPr>
              <w:t>生态环境影响和保护措施</w:t>
            </w:r>
          </w:p>
          <w:p w14:paraId="1049FD39">
            <w:pPr>
              <w:adjustRightInd w:val="0"/>
              <w:snapToGrid w:val="0"/>
              <w:spacing w:line="360" w:lineRule="auto"/>
              <w:ind w:firstLine="480" w:firstLineChars="200"/>
              <w:jc w:val="left"/>
              <w:rPr>
                <w:rFonts w:hint="default" w:eastAsia="宋体"/>
                <w:color w:val="auto"/>
                <w:sz w:val="24"/>
                <w:lang w:val="en-US" w:eastAsia="zh-CN"/>
              </w:rPr>
            </w:pPr>
            <w:r>
              <w:rPr>
                <w:color w:val="auto"/>
                <w:sz w:val="24"/>
              </w:rPr>
              <w:t>项目位于</w:t>
            </w:r>
            <w:r>
              <w:rPr>
                <w:rFonts w:hint="default" w:ascii="Times New Roman" w:hAnsi="Times New Roman" w:eastAsia="宋体" w:cs="Times New Roman"/>
                <w:color w:val="auto"/>
                <w:sz w:val="24"/>
                <w:szCs w:val="24"/>
                <w:lang w:val="en-US" w:eastAsia="zh-CN"/>
              </w:rPr>
              <w:t>宝鸡市陈仓区科技工业园区内，港务大道27号院8幢厂房</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陕西机器人智能制造产业园</w:t>
            </w:r>
            <w:r>
              <w:rPr>
                <w:rFonts w:hint="eastAsia"/>
                <w:color w:val="auto"/>
                <w:sz w:val="24"/>
                <w:lang w:eastAsia="zh-CN"/>
              </w:rPr>
              <w:t>）</w:t>
            </w:r>
            <w:r>
              <w:rPr>
                <w:color w:val="auto"/>
                <w:sz w:val="24"/>
              </w:rPr>
              <w:t>，厂区内不含生态环境保护目标</w:t>
            </w:r>
            <w:r>
              <w:rPr>
                <w:rFonts w:hint="eastAsia"/>
                <w:color w:val="auto"/>
                <w:sz w:val="24"/>
              </w:rPr>
              <w:t>，</w:t>
            </w:r>
            <w:r>
              <w:rPr>
                <w:color w:val="auto"/>
                <w:kern w:val="0"/>
                <w:sz w:val="24"/>
              </w:rPr>
              <w:t>不进行生态环境影响分析</w:t>
            </w:r>
            <w:r>
              <w:rPr>
                <w:rFonts w:hint="eastAsia"/>
                <w:color w:val="auto"/>
                <w:sz w:val="24"/>
                <w:lang w:val="en-US" w:eastAsia="zh-CN"/>
              </w:rPr>
              <w:t>。</w:t>
            </w:r>
          </w:p>
          <w:p w14:paraId="4615DB48">
            <w:pPr>
              <w:adjustRightInd w:val="0"/>
              <w:snapToGrid w:val="0"/>
              <w:spacing w:line="360" w:lineRule="auto"/>
              <w:ind w:firstLine="482" w:firstLineChars="200"/>
              <w:jc w:val="left"/>
              <w:rPr>
                <w:b/>
                <w:bCs/>
                <w:color w:val="auto"/>
                <w:kern w:val="0"/>
                <w:sz w:val="24"/>
              </w:rPr>
            </w:pPr>
            <w:r>
              <w:rPr>
                <w:b/>
                <w:bCs/>
                <w:color w:val="auto"/>
                <w:kern w:val="0"/>
                <w:sz w:val="24"/>
              </w:rPr>
              <w:t>8</w:t>
            </w:r>
            <w:r>
              <w:rPr>
                <w:rFonts w:hint="eastAsia"/>
                <w:b/>
                <w:bCs/>
                <w:color w:val="auto"/>
                <w:kern w:val="0"/>
                <w:sz w:val="24"/>
              </w:rPr>
              <w:t>.</w:t>
            </w:r>
            <w:r>
              <w:rPr>
                <w:b/>
                <w:bCs/>
                <w:color w:val="auto"/>
                <w:kern w:val="0"/>
                <w:sz w:val="24"/>
              </w:rPr>
              <w:t>环境风险影响和保护措施</w:t>
            </w:r>
          </w:p>
          <w:p w14:paraId="0836D65E">
            <w:pPr>
              <w:adjustRightInd w:val="0"/>
              <w:snapToGrid w:val="0"/>
              <w:spacing w:line="360" w:lineRule="auto"/>
              <w:ind w:firstLine="480" w:firstLineChars="200"/>
              <w:rPr>
                <w:color w:val="auto"/>
                <w:kern w:val="0"/>
                <w:sz w:val="24"/>
              </w:rPr>
            </w:pPr>
            <w:r>
              <w:rPr>
                <w:rFonts w:hint="eastAsia"/>
                <w:color w:val="auto"/>
                <w:kern w:val="0"/>
                <w:sz w:val="24"/>
              </w:rPr>
              <w:t>（1）厂区危险物质及分布情况</w:t>
            </w:r>
          </w:p>
          <w:p w14:paraId="71DCC0FE">
            <w:pPr>
              <w:adjustRightInd w:val="0"/>
              <w:snapToGrid w:val="0"/>
              <w:spacing w:line="360" w:lineRule="auto"/>
              <w:ind w:firstLine="480" w:firstLineChars="200"/>
              <w:rPr>
                <w:color w:val="auto"/>
                <w:kern w:val="0"/>
                <w:szCs w:val="21"/>
              </w:rPr>
            </w:pPr>
            <w:r>
              <w:rPr>
                <w:rFonts w:hint="eastAsia"/>
                <w:color w:val="auto"/>
                <w:kern w:val="0"/>
                <w:sz w:val="24"/>
              </w:rPr>
              <w:t>本项目主要</w:t>
            </w:r>
            <w:r>
              <w:rPr>
                <w:rFonts w:hint="eastAsia"/>
                <w:color w:val="auto"/>
                <w:kern w:val="0"/>
                <w:sz w:val="24"/>
                <w:lang w:eastAsia="zh-CN"/>
              </w:rPr>
              <w:t>涉及的</w:t>
            </w:r>
            <w:r>
              <w:rPr>
                <w:rFonts w:hint="eastAsia"/>
                <w:color w:val="auto"/>
                <w:kern w:val="0"/>
                <w:sz w:val="24"/>
              </w:rPr>
              <w:t>风险物质为</w:t>
            </w:r>
            <w:r>
              <w:rPr>
                <w:rFonts w:hint="eastAsia"/>
                <w:color w:val="auto"/>
                <w:kern w:val="0"/>
                <w:sz w:val="24"/>
                <w:lang w:val="en-US" w:eastAsia="zh-CN"/>
              </w:rPr>
              <w:t>装载机内的油类物质</w:t>
            </w:r>
            <w:r>
              <w:rPr>
                <w:rFonts w:hint="eastAsia"/>
                <w:color w:val="auto"/>
                <w:kern w:val="0"/>
                <w:sz w:val="24"/>
              </w:rPr>
              <w:t>，其储量及分布情况见下表：</w:t>
            </w:r>
          </w:p>
          <w:p w14:paraId="56FE4064">
            <w:pPr>
              <w:adjustRightInd w:val="0"/>
              <w:snapToGrid w:val="0"/>
              <w:jc w:val="center"/>
              <w:rPr>
                <w:color w:val="auto"/>
                <w:kern w:val="0"/>
                <w:szCs w:val="21"/>
              </w:rPr>
            </w:pPr>
            <w:r>
              <w:rPr>
                <w:rFonts w:hint="eastAsia"/>
                <w:color w:val="auto"/>
                <w:kern w:val="0"/>
                <w:szCs w:val="21"/>
              </w:rPr>
              <w:t>表</w:t>
            </w:r>
            <w:r>
              <w:rPr>
                <w:rFonts w:hint="eastAsia"/>
                <w:color w:val="auto"/>
                <w:kern w:val="0"/>
                <w:szCs w:val="21"/>
                <w:lang w:val="en-US" w:eastAsia="zh-CN"/>
              </w:rPr>
              <w:t>4</w:t>
            </w:r>
            <w:r>
              <w:rPr>
                <w:rFonts w:hint="eastAsia"/>
                <w:bCs/>
                <w:color w:val="auto"/>
                <w:lang w:val="en-US" w:eastAsia="zh-CN"/>
              </w:rPr>
              <w:t>-7</w:t>
            </w:r>
            <w:r>
              <w:rPr>
                <w:rFonts w:hint="eastAsia"/>
                <w:color w:val="auto"/>
                <w:kern w:val="0"/>
                <w:szCs w:val="21"/>
              </w:rPr>
              <w:t xml:space="preserve">  项目Q值确定表</w:t>
            </w:r>
          </w:p>
          <w:tbl>
            <w:tblPr>
              <w:tblStyle w:val="23"/>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7"/>
              <w:gridCol w:w="1997"/>
              <w:gridCol w:w="1828"/>
              <w:gridCol w:w="1005"/>
              <w:gridCol w:w="1630"/>
            </w:tblGrid>
            <w:tr w14:paraId="7824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7" w:type="dxa"/>
                  <w:noWrap w:val="0"/>
                  <w:vAlign w:val="center"/>
                </w:tcPr>
                <w:p w14:paraId="4A0CE9CE">
                  <w:pPr>
                    <w:adjustRightInd w:val="0"/>
                    <w:snapToGrid w:val="0"/>
                    <w:jc w:val="center"/>
                    <w:rPr>
                      <w:b/>
                      <w:bCs/>
                      <w:color w:val="auto"/>
                      <w:kern w:val="0"/>
                      <w:szCs w:val="21"/>
                    </w:rPr>
                  </w:pPr>
                  <w:r>
                    <w:rPr>
                      <w:rFonts w:hint="eastAsia"/>
                      <w:b/>
                      <w:bCs/>
                      <w:color w:val="auto"/>
                      <w:kern w:val="0"/>
                      <w:szCs w:val="21"/>
                    </w:rPr>
                    <w:t>危险物质名称</w:t>
                  </w:r>
                </w:p>
              </w:tc>
              <w:tc>
                <w:tcPr>
                  <w:tcW w:w="1997" w:type="dxa"/>
                  <w:noWrap w:val="0"/>
                  <w:vAlign w:val="center"/>
                </w:tcPr>
                <w:p w14:paraId="0ADE0FF5">
                  <w:pPr>
                    <w:adjustRightInd w:val="0"/>
                    <w:snapToGrid w:val="0"/>
                    <w:jc w:val="center"/>
                    <w:rPr>
                      <w:b/>
                      <w:bCs/>
                      <w:color w:val="auto"/>
                      <w:kern w:val="0"/>
                      <w:szCs w:val="21"/>
                    </w:rPr>
                  </w:pPr>
                  <w:r>
                    <w:rPr>
                      <w:rFonts w:hint="eastAsia"/>
                      <w:b/>
                      <w:bCs/>
                      <w:color w:val="auto"/>
                      <w:kern w:val="0"/>
                      <w:szCs w:val="21"/>
                    </w:rPr>
                    <w:t>分布情况</w:t>
                  </w:r>
                </w:p>
              </w:tc>
              <w:tc>
                <w:tcPr>
                  <w:tcW w:w="1828" w:type="dxa"/>
                  <w:noWrap w:val="0"/>
                  <w:vAlign w:val="center"/>
                </w:tcPr>
                <w:p w14:paraId="672F9492">
                  <w:pPr>
                    <w:adjustRightInd w:val="0"/>
                    <w:snapToGrid w:val="0"/>
                    <w:jc w:val="center"/>
                    <w:rPr>
                      <w:b/>
                      <w:bCs/>
                      <w:color w:val="auto"/>
                      <w:kern w:val="0"/>
                      <w:szCs w:val="21"/>
                    </w:rPr>
                  </w:pPr>
                  <w:r>
                    <w:rPr>
                      <w:rFonts w:hint="eastAsia"/>
                      <w:b/>
                      <w:bCs/>
                      <w:color w:val="auto"/>
                      <w:kern w:val="0"/>
                      <w:szCs w:val="21"/>
                    </w:rPr>
                    <w:t>厂内最大存在量/t</w:t>
                  </w:r>
                </w:p>
              </w:tc>
              <w:tc>
                <w:tcPr>
                  <w:tcW w:w="1005" w:type="dxa"/>
                  <w:noWrap w:val="0"/>
                  <w:vAlign w:val="center"/>
                </w:tcPr>
                <w:p w14:paraId="4E288433">
                  <w:pPr>
                    <w:adjustRightInd w:val="0"/>
                    <w:snapToGrid w:val="0"/>
                    <w:jc w:val="center"/>
                    <w:rPr>
                      <w:b/>
                      <w:bCs/>
                      <w:color w:val="auto"/>
                      <w:kern w:val="0"/>
                      <w:szCs w:val="21"/>
                    </w:rPr>
                  </w:pPr>
                  <w:r>
                    <w:rPr>
                      <w:rFonts w:hint="eastAsia"/>
                      <w:b/>
                      <w:bCs/>
                      <w:color w:val="auto"/>
                      <w:kern w:val="0"/>
                      <w:szCs w:val="21"/>
                    </w:rPr>
                    <w:t>临界量/t</w:t>
                  </w:r>
                </w:p>
              </w:tc>
              <w:tc>
                <w:tcPr>
                  <w:tcW w:w="1630" w:type="dxa"/>
                  <w:noWrap w:val="0"/>
                  <w:vAlign w:val="center"/>
                </w:tcPr>
                <w:p w14:paraId="3BC76BF2">
                  <w:pPr>
                    <w:adjustRightInd w:val="0"/>
                    <w:snapToGrid w:val="0"/>
                    <w:jc w:val="center"/>
                    <w:rPr>
                      <w:b/>
                      <w:bCs/>
                      <w:color w:val="auto"/>
                      <w:kern w:val="0"/>
                      <w:szCs w:val="21"/>
                    </w:rPr>
                  </w:pPr>
                  <w:r>
                    <w:rPr>
                      <w:rFonts w:hint="eastAsia"/>
                      <w:b/>
                      <w:bCs/>
                      <w:color w:val="auto"/>
                      <w:kern w:val="0"/>
                      <w:szCs w:val="21"/>
                    </w:rPr>
                    <w:t>危险物质Q值</w:t>
                  </w:r>
                </w:p>
              </w:tc>
            </w:tr>
            <w:tr w14:paraId="222E0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7" w:type="dxa"/>
                  <w:noWrap w:val="0"/>
                  <w:vAlign w:val="center"/>
                </w:tcPr>
                <w:p w14:paraId="5678C0BF">
                  <w:pPr>
                    <w:adjustRightInd w:val="0"/>
                    <w:snapToGrid w:val="0"/>
                    <w:jc w:val="center"/>
                    <w:rPr>
                      <w:rFonts w:hint="default"/>
                      <w:color w:val="auto"/>
                      <w:kern w:val="0"/>
                      <w:szCs w:val="21"/>
                      <w:lang w:val="en-US" w:eastAsia="zh-CN"/>
                    </w:rPr>
                  </w:pPr>
                  <w:r>
                    <w:rPr>
                      <w:rFonts w:hint="eastAsia"/>
                      <w:color w:val="auto"/>
                      <w:kern w:val="0"/>
                      <w:szCs w:val="21"/>
                      <w:lang w:val="en-US" w:eastAsia="zh-CN"/>
                    </w:rPr>
                    <w:t>油类物质</w:t>
                  </w:r>
                </w:p>
              </w:tc>
              <w:tc>
                <w:tcPr>
                  <w:tcW w:w="1997" w:type="dxa"/>
                  <w:noWrap w:val="0"/>
                  <w:vAlign w:val="center"/>
                </w:tcPr>
                <w:p w14:paraId="6D6A58A5">
                  <w:pPr>
                    <w:adjustRightInd w:val="0"/>
                    <w:snapToGrid w:val="0"/>
                    <w:jc w:val="center"/>
                    <w:rPr>
                      <w:rFonts w:hint="eastAsia" w:eastAsia="宋体"/>
                      <w:color w:val="auto"/>
                      <w:kern w:val="0"/>
                      <w:szCs w:val="21"/>
                      <w:lang w:val="en-US" w:eastAsia="zh-CN"/>
                    </w:rPr>
                  </w:pPr>
                  <w:r>
                    <w:rPr>
                      <w:rFonts w:hint="eastAsia"/>
                      <w:color w:val="auto"/>
                      <w:kern w:val="0"/>
                      <w:szCs w:val="21"/>
                      <w:lang w:val="en-US" w:eastAsia="zh-CN"/>
                    </w:rPr>
                    <w:t>设备内</w:t>
                  </w:r>
                </w:p>
              </w:tc>
              <w:tc>
                <w:tcPr>
                  <w:tcW w:w="1828" w:type="dxa"/>
                  <w:noWrap w:val="0"/>
                  <w:vAlign w:val="center"/>
                </w:tcPr>
                <w:p w14:paraId="664337BE">
                  <w:pPr>
                    <w:adjustRightInd w:val="0"/>
                    <w:snapToGrid w:val="0"/>
                    <w:jc w:val="center"/>
                    <w:rPr>
                      <w:rFonts w:hint="default"/>
                      <w:color w:val="auto"/>
                      <w:kern w:val="0"/>
                      <w:szCs w:val="21"/>
                      <w:lang w:val="en-US" w:eastAsia="zh-CN"/>
                    </w:rPr>
                  </w:pPr>
                  <w:r>
                    <w:rPr>
                      <w:rFonts w:hint="eastAsia"/>
                      <w:color w:val="auto"/>
                      <w:kern w:val="0"/>
                      <w:szCs w:val="21"/>
                      <w:lang w:val="en-US" w:eastAsia="zh-CN"/>
                    </w:rPr>
                    <w:t>0.07</w:t>
                  </w:r>
                </w:p>
              </w:tc>
              <w:tc>
                <w:tcPr>
                  <w:tcW w:w="1005" w:type="dxa"/>
                  <w:noWrap w:val="0"/>
                  <w:vAlign w:val="center"/>
                </w:tcPr>
                <w:p w14:paraId="7724FC00">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2500</w:t>
                  </w:r>
                </w:p>
              </w:tc>
              <w:tc>
                <w:tcPr>
                  <w:tcW w:w="1630" w:type="dxa"/>
                  <w:noWrap w:val="0"/>
                  <w:vAlign w:val="center"/>
                </w:tcPr>
                <w:p w14:paraId="6E1677B6">
                  <w:pPr>
                    <w:pStyle w:val="31"/>
                    <w:bidi w:val="0"/>
                    <w:rPr>
                      <w:rFonts w:hint="default"/>
                      <w:color w:val="auto"/>
                      <w:lang w:val="en-US" w:eastAsia="zh-CN"/>
                    </w:rPr>
                  </w:pPr>
                  <w:r>
                    <w:rPr>
                      <w:rFonts w:hint="eastAsia"/>
                      <w:color w:val="auto"/>
                      <w:lang w:val="en-US" w:eastAsia="zh-CN"/>
                    </w:rPr>
                    <w:t>0.000028</w:t>
                  </w:r>
                </w:p>
              </w:tc>
            </w:tr>
            <w:tr w14:paraId="5E09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27" w:type="dxa"/>
                  <w:noWrap w:val="0"/>
                  <w:vAlign w:val="center"/>
                </w:tcPr>
                <w:p w14:paraId="4F3637F3">
                  <w:pPr>
                    <w:adjustRightInd w:val="0"/>
                    <w:snapToGrid w:val="0"/>
                    <w:jc w:val="center"/>
                    <w:rPr>
                      <w:rFonts w:hint="default"/>
                      <w:color w:val="auto"/>
                      <w:kern w:val="0"/>
                      <w:szCs w:val="21"/>
                      <w:lang w:val="en-US" w:eastAsia="zh-CN"/>
                    </w:rPr>
                  </w:pPr>
                  <w:r>
                    <w:rPr>
                      <w:rFonts w:hint="eastAsia"/>
                      <w:color w:val="auto"/>
                      <w:kern w:val="0"/>
                      <w:szCs w:val="21"/>
                      <w:lang w:val="en-US" w:eastAsia="zh-CN"/>
                    </w:rPr>
                    <w:t>废矿物油（废润滑油）</w:t>
                  </w:r>
                </w:p>
              </w:tc>
              <w:tc>
                <w:tcPr>
                  <w:tcW w:w="1997" w:type="dxa"/>
                  <w:noWrap w:val="0"/>
                  <w:vAlign w:val="center"/>
                </w:tcPr>
                <w:p w14:paraId="6B97C99A">
                  <w:pPr>
                    <w:adjustRightInd w:val="0"/>
                    <w:snapToGrid w:val="0"/>
                    <w:jc w:val="center"/>
                    <w:rPr>
                      <w:rFonts w:hint="eastAsia"/>
                      <w:color w:val="auto"/>
                      <w:kern w:val="0"/>
                      <w:szCs w:val="21"/>
                      <w:lang w:val="en-US" w:eastAsia="zh-CN"/>
                    </w:rPr>
                  </w:pPr>
                  <w:r>
                    <w:rPr>
                      <w:rFonts w:hint="eastAsia"/>
                      <w:color w:val="auto"/>
                      <w:kern w:val="0"/>
                      <w:szCs w:val="21"/>
                      <w:lang w:val="en-US" w:eastAsia="zh-CN"/>
                    </w:rPr>
                    <w:t>危险废物贮存库</w:t>
                  </w:r>
                </w:p>
              </w:tc>
              <w:tc>
                <w:tcPr>
                  <w:tcW w:w="1828" w:type="dxa"/>
                  <w:noWrap w:val="0"/>
                  <w:vAlign w:val="center"/>
                </w:tcPr>
                <w:p w14:paraId="5426280B">
                  <w:pPr>
                    <w:adjustRightInd w:val="0"/>
                    <w:snapToGrid w:val="0"/>
                    <w:jc w:val="center"/>
                    <w:rPr>
                      <w:rFonts w:hint="default"/>
                      <w:color w:val="auto"/>
                      <w:kern w:val="0"/>
                      <w:szCs w:val="21"/>
                      <w:lang w:val="en-US" w:eastAsia="zh-CN"/>
                    </w:rPr>
                  </w:pPr>
                  <w:r>
                    <w:rPr>
                      <w:rFonts w:hint="eastAsia"/>
                      <w:color w:val="auto"/>
                      <w:kern w:val="0"/>
                      <w:szCs w:val="21"/>
                      <w:lang w:val="en-US" w:eastAsia="zh-CN"/>
                    </w:rPr>
                    <w:t>0.05</w:t>
                  </w:r>
                </w:p>
              </w:tc>
              <w:tc>
                <w:tcPr>
                  <w:tcW w:w="1005" w:type="dxa"/>
                  <w:noWrap w:val="0"/>
                  <w:vAlign w:val="center"/>
                </w:tcPr>
                <w:p w14:paraId="4898FCE7">
                  <w:pPr>
                    <w:adjustRightInd w:val="0"/>
                    <w:snapToGrid w:val="0"/>
                    <w:jc w:val="center"/>
                    <w:rPr>
                      <w:rFonts w:hint="default"/>
                      <w:color w:val="auto"/>
                      <w:kern w:val="0"/>
                      <w:szCs w:val="21"/>
                      <w:lang w:val="en-US" w:eastAsia="zh-CN"/>
                    </w:rPr>
                  </w:pPr>
                  <w:r>
                    <w:rPr>
                      <w:rFonts w:hint="eastAsia"/>
                      <w:color w:val="auto"/>
                      <w:kern w:val="0"/>
                      <w:szCs w:val="21"/>
                      <w:lang w:val="en-US" w:eastAsia="zh-CN"/>
                    </w:rPr>
                    <w:t>50</w:t>
                  </w:r>
                </w:p>
              </w:tc>
              <w:tc>
                <w:tcPr>
                  <w:tcW w:w="1630" w:type="dxa"/>
                  <w:noWrap w:val="0"/>
                  <w:vAlign w:val="center"/>
                </w:tcPr>
                <w:p w14:paraId="111559F9">
                  <w:pPr>
                    <w:pStyle w:val="31"/>
                    <w:bidi w:val="0"/>
                    <w:rPr>
                      <w:rFonts w:hint="default"/>
                      <w:color w:val="auto"/>
                      <w:lang w:val="en-US" w:eastAsia="zh-CN"/>
                    </w:rPr>
                  </w:pPr>
                  <w:r>
                    <w:rPr>
                      <w:rFonts w:hint="eastAsia"/>
                      <w:color w:val="auto"/>
                      <w:lang w:val="en-US" w:eastAsia="zh-CN"/>
                    </w:rPr>
                    <w:t>0.001</w:t>
                  </w:r>
                </w:p>
              </w:tc>
            </w:tr>
            <w:tr w14:paraId="370A6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6657" w:type="dxa"/>
                  <w:gridSpan w:val="4"/>
                  <w:noWrap w:val="0"/>
                  <w:vAlign w:val="center"/>
                </w:tcPr>
                <w:p w14:paraId="30611FF3">
                  <w:pPr>
                    <w:tabs>
                      <w:tab w:val="center" w:pos="3439"/>
                      <w:tab w:val="left" w:pos="5006"/>
                    </w:tabs>
                    <w:adjustRightInd w:val="0"/>
                    <w:snapToGrid w:val="0"/>
                    <w:jc w:val="left"/>
                    <w:rPr>
                      <w:color w:val="auto"/>
                      <w:kern w:val="0"/>
                      <w:szCs w:val="21"/>
                    </w:rPr>
                  </w:pPr>
                  <w:r>
                    <w:rPr>
                      <w:rFonts w:hint="eastAsia"/>
                      <w:color w:val="auto"/>
                      <w:kern w:val="0"/>
                      <w:szCs w:val="21"/>
                    </w:rPr>
                    <w:tab/>
                  </w:r>
                  <w:r>
                    <w:rPr>
                      <w:rFonts w:hint="eastAsia"/>
                      <w:color w:val="auto"/>
                      <w:kern w:val="0"/>
                      <w:szCs w:val="21"/>
                    </w:rPr>
                    <w:t>项目Q值</w:t>
                  </w:r>
                  <w:r>
                    <w:rPr>
                      <w:bCs/>
                      <w:color w:val="auto"/>
                      <w:szCs w:val="21"/>
                    </w:rPr>
                    <w:t>∑</w:t>
                  </w:r>
                </w:p>
              </w:tc>
              <w:tc>
                <w:tcPr>
                  <w:tcW w:w="1630" w:type="dxa"/>
                  <w:noWrap w:val="0"/>
                  <w:vAlign w:val="center"/>
                </w:tcPr>
                <w:p w14:paraId="433A84A9">
                  <w:pPr>
                    <w:adjustRightInd w:val="0"/>
                    <w:snapToGrid w:val="0"/>
                    <w:jc w:val="center"/>
                    <w:rPr>
                      <w:rFonts w:hint="default" w:eastAsia="宋体"/>
                      <w:color w:val="auto"/>
                      <w:kern w:val="0"/>
                      <w:szCs w:val="21"/>
                      <w:lang w:val="en-US" w:eastAsia="zh-CN"/>
                    </w:rPr>
                  </w:pPr>
                  <w:r>
                    <w:rPr>
                      <w:rFonts w:hint="eastAsia"/>
                      <w:color w:val="auto"/>
                      <w:kern w:val="0"/>
                      <w:szCs w:val="21"/>
                      <w:lang w:val="en-US" w:eastAsia="zh-CN"/>
                    </w:rPr>
                    <w:t>0.001028</w:t>
                  </w:r>
                </w:p>
              </w:tc>
            </w:tr>
          </w:tbl>
          <w:p w14:paraId="6A16986D">
            <w:pPr>
              <w:adjustRightInd w:val="0"/>
              <w:snapToGrid w:val="0"/>
              <w:spacing w:line="360" w:lineRule="auto"/>
              <w:ind w:firstLine="480" w:firstLineChars="200"/>
              <w:rPr>
                <w:rFonts w:hAnsi="宋体"/>
                <w:bCs/>
                <w:color w:val="auto"/>
                <w:sz w:val="24"/>
              </w:rPr>
            </w:pPr>
            <w:r>
              <w:rPr>
                <w:rFonts w:hint="eastAsia" w:hAnsi="宋体"/>
                <w:bCs/>
                <w:color w:val="auto"/>
                <w:sz w:val="24"/>
                <w:lang w:val="en-US" w:eastAsia="zh-CN"/>
              </w:rPr>
              <w:t>废矿物油（废润滑油）以《建设项目环境风险评价技术导则》（HJ169-2018）中“B.2健康危险急性毒性物质（类别2、类别3）”计，其临界量为50t。</w:t>
            </w:r>
          </w:p>
          <w:p w14:paraId="37F01762">
            <w:pPr>
              <w:adjustRightInd w:val="0"/>
              <w:snapToGrid w:val="0"/>
              <w:spacing w:line="360" w:lineRule="auto"/>
              <w:ind w:firstLine="480" w:firstLineChars="200"/>
              <w:rPr>
                <w:rFonts w:hint="eastAsia"/>
                <w:color w:val="auto"/>
                <w:kern w:val="0"/>
                <w:sz w:val="24"/>
              </w:rPr>
            </w:pPr>
            <w:r>
              <w:rPr>
                <w:rFonts w:hAnsi="宋体"/>
                <w:bCs/>
                <w:color w:val="auto"/>
                <w:sz w:val="24"/>
              </w:rPr>
              <w:t>项目主要风险物质最大储存量总和均未超过临界量，项目</w:t>
            </w:r>
            <w:r>
              <w:rPr>
                <w:bCs/>
                <w:color w:val="auto"/>
                <w:sz w:val="24"/>
              </w:rPr>
              <w:t>Q</w:t>
            </w:r>
            <w:r>
              <w:rPr>
                <w:rFonts w:hAnsi="宋体"/>
                <w:bCs/>
                <w:color w:val="auto"/>
                <w:sz w:val="24"/>
              </w:rPr>
              <w:t>值＜</w:t>
            </w:r>
            <w:r>
              <w:rPr>
                <w:bCs/>
                <w:color w:val="auto"/>
                <w:sz w:val="24"/>
              </w:rPr>
              <w:t>1</w:t>
            </w:r>
            <w:r>
              <w:rPr>
                <w:rFonts w:hint="eastAsia"/>
                <w:bCs/>
                <w:color w:val="auto"/>
                <w:sz w:val="24"/>
              </w:rPr>
              <w:t>。</w:t>
            </w:r>
          </w:p>
          <w:p w14:paraId="0B5376C4">
            <w:pPr>
              <w:adjustRightInd w:val="0"/>
              <w:snapToGrid w:val="0"/>
              <w:spacing w:line="360" w:lineRule="auto"/>
              <w:ind w:firstLine="480" w:firstLineChars="200"/>
              <w:rPr>
                <w:color w:val="auto"/>
                <w:kern w:val="0"/>
                <w:sz w:val="24"/>
              </w:rPr>
            </w:pPr>
            <w:r>
              <w:rPr>
                <w:rFonts w:hint="eastAsia"/>
                <w:color w:val="auto"/>
                <w:kern w:val="0"/>
                <w:sz w:val="24"/>
              </w:rPr>
              <w:t>（2）可能影响环境的途径</w:t>
            </w:r>
          </w:p>
          <w:p w14:paraId="47F4F68C">
            <w:pPr>
              <w:adjustRightInd w:val="0"/>
              <w:snapToGrid w:val="0"/>
              <w:spacing w:line="360" w:lineRule="auto"/>
              <w:ind w:firstLine="480" w:firstLineChars="200"/>
              <w:rPr>
                <w:rFonts w:hint="eastAsia"/>
                <w:color w:val="auto"/>
                <w:kern w:val="0"/>
                <w:sz w:val="24"/>
                <w:lang w:val="en-US" w:eastAsia="zh-CN"/>
              </w:rPr>
            </w:pPr>
            <w:r>
              <w:rPr>
                <w:rFonts w:hint="eastAsia"/>
                <w:color w:val="auto"/>
                <w:kern w:val="0"/>
                <w:sz w:val="24"/>
                <w:lang w:val="en-US" w:eastAsia="zh-CN"/>
              </w:rPr>
              <w:t>可能影响环境的途径为：油类物质泄漏后污染导致污染土壤、地下水、地表水或油类物质泄漏后引发火灾，不完全燃烧影响大气环境。</w:t>
            </w:r>
          </w:p>
          <w:p w14:paraId="71F4A07E">
            <w:pPr>
              <w:adjustRightInd w:val="0"/>
              <w:snapToGrid w:val="0"/>
              <w:spacing w:line="360" w:lineRule="auto"/>
              <w:ind w:firstLine="480" w:firstLineChars="200"/>
              <w:rPr>
                <w:color w:val="auto"/>
                <w:kern w:val="0"/>
                <w:sz w:val="24"/>
              </w:rPr>
            </w:pPr>
            <w:r>
              <w:rPr>
                <w:rFonts w:hint="eastAsia"/>
                <w:color w:val="auto"/>
                <w:kern w:val="0"/>
                <w:sz w:val="24"/>
              </w:rPr>
              <w:t>（3）环境风险防范措施</w:t>
            </w:r>
          </w:p>
          <w:p w14:paraId="2090C60E">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根据现场核查，厂区现有环境风险防范措施可满足环境防范的要求。</w:t>
            </w:r>
          </w:p>
          <w:p w14:paraId="2E0554A3">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①按照分区防渗要求，进行重点防渗处理，防止危险物质下渗进入地基下至土壤层及地下水层；暂存容器下方设置托盘防止渗漏</w:t>
            </w:r>
            <w:r>
              <w:rPr>
                <w:rFonts w:hint="default" w:ascii="Times New Roman" w:hAnsi="Times New Roman" w:cs="Times New Roman"/>
                <w:color w:val="auto"/>
                <w:sz w:val="24"/>
                <w:szCs w:val="24"/>
                <w:lang w:val="en-US" w:eastAsia="zh-CN"/>
              </w:rPr>
              <w:t>。</w:t>
            </w:r>
          </w:p>
          <w:p w14:paraId="74776AE1">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②生产现场设置各种安全标志。按照规范对凡需要迅速发现并引起注意以防发生事故的场所、部位均按要求涂安全色。</w:t>
            </w:r>
          </w:p>
          <w:p w14:paraId="011DA143">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③建立健全的组织管理网络。管理人员和操作人员</w:t>
            </w:r>
            <w:r>
              <w:rPr>
                <w:rFonts w:hint="default" w:ascii="Times New Roman" w:hAnsi="Times New Roman" w:cs="Times New Roman"/>
                <w:color w:val="auto"/>
                <w:sz w:val="24"/>
                <w:szCs w:val="24"/>
                <w:lang w:val="en-US" w:eastAsia="zh-CN"/>
              </w:rPr>
              <w:t>在</w:t>
            </w:r>
            <w:r>
              <w:rPr>
                <w:rFonts w:hint="default" w:ascii="Times New Roman" w:hAnsi="Times New Roman" w:eastAsia="宋体" w:cs="Times New Roman"/>
                <w:color w:val="auto"/>
                <w:sz w:val="24"/>
                <w:szCs w:val="24"/>
                <w:lang w:val="en-US" w:eastAsia="zh-CN"/>
              </w:rPr>
              <w:t>事故预防中应通力合作，每个生产岗位配备必要的安全管理和责任人员。</w:t>
            </w:r>
          </w:p>
          <w:p w14:paraId="11008F2C">
            <w:pPr>
              <w:keepNext/>
              <w:keepLines/>
              <w:pageBreakBefore w:val="0"/>
              <w:widowControl/>
              <w:kinsoku/>
              <w:wordWrap/>
              <w:overflowPunct/>
              <w:topLinePunct w:val="0"/>
              <w:autoSpaceDE/>
              <w:autoSpaceDN/>
              <w:bidi w:val="0"/>
              <w:adjustRightInd/>
              <w:snapToGrid/>
              <w:spacing w:beforeAutospacing="0" w:afterAutospacing="0" w:line="360" w:lineRule="auto"/>
              <w:ind w:firstLine="480" w:firstLineChars="200"/>
              <w:jc w:val="left"/>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val="en-US" w:eastAsia="zh-CN"/>
              </w:rPr>
              <w:t>④危险废物贮存库外配备必要的消防灭火器材、消防砂以及防毒等个人防护器材，并确保其处于完好状态，如安全眼镜、防护手套等。</w:t>
            </w:r>
          </w:p>
          <w:p w14:paraId="1E14BA8C">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01286097">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13A82C03">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539A2481">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74C64CC6">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5BEA8918">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4C669DF7">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2F4EF5A8">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1EBD2ADD">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45D59042">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415DCB56">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60BD897E">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0BFB9C87">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1821F9F7">
            <w:pPr>
              <w:adjustRightInd w:val="0"/>
              <w:snapToGrid w:val="0"/>
              <w:spacing w:line="360" w:lineRule="auto"/>
              <w:ind w:firstLine="480" w:firstLineChars="200"/>
              <w:jc w:val="left"/>
              <w:rPr>
                <w:rFonts w:hint="eastAsia" w:eastAsia="Calibri" w:cs="Times New Roman"/>
                <w:b w:val="0"/>
                <w:bCs w:val="0"/>
                <w:color w:val="auto"/>
                <w:kern w:val="2"/>
                <w:sz w:val="24"/>
                <w:szCs w:val="24"/>
                <w:lang w:val="en-US" w:eastAsia="zh-CN" w:bidi="ar-SA"/>
              </w:rPr>
            </w:pPr>
          </w:p>
          <w:p w14:paraId="55EAE527">
            <w:pPr>
              <w:adjustRightInd w:val="0"/>
              <w:snapToGrid w:val="0"/>
              <w:spacing w:line="360" w:lineRule="auto"/>
              <w:jc w:val="left"/>
              <w:rPr>
                <w:rFonts w:hint="default" w:eastAsia="宋体"/>
                <w:color w:val="auto"/>
                <w:lang w:val="en-US" w:eastAsia="zh-CN"/>
              </w:rPr>
            </w:pPr>
          </w:p>
        </w:tc>
      </w:tr>
    </w:tbl>
    <w:p w14:paraId="3AB46E75">
      <w:pPr>
        <w:adjustRightInd w:val="0"/>
        <w:snapToGrid w:val="0"/>
        <w:spacing w:line="360" w:lineRule="auto"/>
        <w:rPr>
          <w:b/>
          <w:color w:val="auto"/>
          <w:kern w:val="0"/>
          <w:sz w:val="28"/>
          <w:szCs w:val="28"/>
        </w:rPr>
        <w:sectPr>
          <w:pgSz w:w="11905" w:h="16838"/>
          <w:pgMar w:top="1440" w:right="1531" w:bottom="1440" w:left="1531" w:header="851" w:footer="1077" w:gutter="0"/>
          <w:pgBorders>
            <w:top w:val="none" w:sz="0" w:space="0"/>
            <w:left w:val="none" w:sz="0" w:space="0"/>
            <w:bottom w:val="none" w:sz="0" w:space="0"/>
            <w:right w:val="none" w:sz="0" w:space="0"/>
          </w:pgBorders>
          <w:cols w:space="720" w:num="1"/>
          <w:docGrid w:linePitch="312" w:charSpace="0"/>
        </w:sectPr>
      </w:pPr>
    </w:p>
    <w:p w14:paraId="3CAD6612">
      <w:pPr>
        <w:pStyle w:val="19"/>
        <w:spacing w:before="0" w:beforeAutospacing="0" w:after="0" w:afterAutospacing="0" w:line="360" w:lineRule="auto"/>
        <w:jc w:val="center"/>
        <w:outlineLvl w:val="0"/>
        <w:rPr>
          <w:rFonts w:ascii="Times New Roman" w:hAnsi="Times New Roman" w:eastAsia="黑体"/>
          <w:snapToGrid w:val="0"/>
          <w:color w:val="auto"/>
          <w:sz w:val="30"/>
          <w:szCs w:val="30"/>
        </w:rPr>
      </w:pPr>
      <w:bookmarkStart w:id="5" w:name="_Toc75422661"/>
      <w:r>
        <w:rPr>
          <w:rFonts w:ascii="Times New Roman" w:hAnsi="Times New Roman" w:eastAsia="黑体"/>
          <w:snapToGrid w:val="0"/>
          <w:color w:val="auto"/>
          <w:sz w:val="30"/>
          <w:szCs w:val="30"/>
        </w:rPr>
        <w:t>五、</w:t>
      </w:r>
      <w:bookmarkStart w:id="6" w:name="_Hlk54167917"/>
      <w:r>
        <w:rPr>
          <w:rFonts w:ascii="Times New Roman" w:hAnsi="Times New Roman" w:eastAsia="黑体"/>
          <w:snapToGrid w:val="0"/>
          <w:color w:val="auto"/>
          <w:sz w:val="30"/>
          <w:szCs w:val="30"/>
        </w:rPr>
        <w:t>环境保护措施监督检查清单</w:t>
      </w:r>
      <w:bookmarkEnd w:id="5"/>
      <w:bookmarkEnd w:id="6"/>
    </w:p>
    <w:tbl>
      <w:tblPr>
        <w:tblStyle w:val="23"/>
        <w:tblW w:w="91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7"/>
        <w:gridCol w:w="1345"/>
        <w:gridCol w:w="1362"/>
        <w:gridCol w:w="2050"/>
        <w:gridCol w:w="3187"/>
      </w:tblGrid>
      <w:tr w14:paraId="6D591C6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37" w:type="dxa"/>
            <w:tcBorders>
              <w:tl2br w:val="single" w:color="auto" w:sz="4" w:space="0"/>
            </w:tcBorders>
            <w:noWrap w:val="0"/>
            <w:vAlign w:val="top"/>
          </w:tcPr>
          <w:p w14:paraId="281FD832">
            <w:pPr>
              <w:adjustRightInd w:val="0"/>
              <w:snapToGrid w:val="0"/>
              <w:ind w:firstLine="480" w:firstLineChars="200"/>
              <w:rPr>
                <w:color w:val="auto"/>
                <w:sz w:val="24"/>
              </w:rPr>
            </w:pPr>
            <w:r>
              <w:rPr>
                <w:color w:val="auto"/>
                <w:sz w:val="24"/>
              </w:rPr>
              <w:t>内容</w:t>
            </w:r>
          </w:p>
          <w:p w14:paraId="7515AEE2">
            <w:pPr>
              <w:adjustRightInd w:val="0"/>
              <w:snapToGrid w:val="0"/>
              <w:rPr>
                <w:color w:val="auto"/>
                <w:sz w:val="24"/>
              </w:rPr>
            </w:pPr>
          </w:p>
          <w:p w14:paraId="2C81D5E4">
            <w:pPr>
              <w:adjustRightInd w:val="0"/>
              <w:snapToGrid w:val="0"/>
              <w:rPr>
                <w:color w:val="auto"/>
                <w:sz w:val="24"/>
              </w:rPr>
            </w:pPr>
            <w:r>
              <w:rPr>
                <w:color w:val="auto"/>
                <w:sz w:val="24"/>
              </w:rPr>
              <w:t>要素</w:t>
            </w:r>
          </w:p>
        </w:tc>
        <w:tc>
          <w:tcPr>
            <w:tcW w:w="1345" w:type="dxa"/>
            <w:noWrap w:val="0"/>
            <w:vAlign w:val="center"/>
          </w:tcPr>
          <w:p w14:paraId="1A66AC51">
            <w:pPr>
              <w:adjustRightInd w:val="0"/>
              <w:snapToGrid w:val="0"/>
              <w:jc w:val="center"/>
              <w:rPr>
                <w:color w:val="auto"/>
                <w:sz w:val="24"/>
              </w:rPr>
            </w:pPr>
            <w:r>
              <w:rPr>
                <w:color w:val="auto"/>
                <w:sz w:val="24"/>
              </w:rPr>
              <w:t>排放口</w:t>
            </w:r>
            <w:r>
              <w:rPr>
                <w:rFonts w:hint="eastAsia"/>
                <w:color w:val="auto"/>
                <w:sz w:val="24"/>
                <w:lang w:eastAsia="zh-CN"/>
              </w:rPr>
              <w:t>（</w:t>
            </w:r>
            <w:r>
              <w:rPr>
                <w:color w:val="auto"/>
                <w:sz w:val="24"/>
              </w:rPr>
              <w:t>编号、名称</w:t>
            </w:r>
            <w:r>
              <w:rPr>
                <w:rFonts w:hint="eastAsia"/>
                <w:color w:val="auto"/>
                <w:sz w:val="24"/>
                <w:lang w:eastAsia="zh-CN"/>
              </w:rPr>
              <w:t>）</w:t>
            </w:r>
            <w:r>
              <w:rPr>
                <w:color w:val="auto"/>
                <w:sz w:val="24"/>
              </w:rPr>
              <w:t>/污染源</w:t>
            </w:r>
          </w:p>
        </w:tc>
        <w:tc>
          <w:tcPr>
            <w:tcW w:w="1362" w:type="dxa"/>
            <w:noWrap w:val="0"/>
            <w:vAlign w:val="center"/>
          </w:tcPr>
          <w:p w14:paraId="3B2EA686">
            <w:pPr>
              <w:adjustRightInd w:val="0"/>
              <w:snapToGrid w:val="0"/>
              <w:jc w:val="center"/>
              <w:rPr>
                <w:color w:val="auto"/>
                <w:sz w:val="24"/>
              </w:rPr>
            </w:pPr>
            <w:r>
              <w:rPr>
                <w:color w:val="auto"/>
                <w:sz w:val="24"/>
              </w:rPr>
              <w:t>污染物项目</w:t>
            </w:r>
          </w:p>
        </w:tc>
        <w:tc>
          <w:tcPr>
            <w:tcW w:w="2050" w:type="dxa"/>
            <w:tcBorders>
              <w:bottom w:val="single" w:color="auto" w:sz="4" w:space="0"/>
            </w:tcBorders>
            <w:noWrap w:val="0"/>
            <w:vAlign w:val="center"/>
          </w:tcPr>
          <w:p w14:paraId="0B9ACAFC">
            <w:pPr>
              <w:adjustRightInd w:val="0"/>
              <w:snapToGrid w:val="0"/>
              <w:jc w:val="center"/>
              <w:rPr>
                <w:color w:val="auto"/>
                <w:sz w:val="24"/>
              </w:rPr>
            </w:pPr>
            <w:r>
              <w:rPr>
                <w:color w:val="auto"/>
                <w:sz w:val="24"/>
              </w:rPr>
              <w:t>环境保护措施</w:t>
            </w:r>
          </w:p>
        </w:tc>
        <w:tc>
          <w:tcPr>
            <w:tcW w:w="3187" w:type="dxa"/>
            <w:tcBorders>
              <w:bottom w:val="single" w:color="auto" w:sz="4" w:space="0"/>
            </w:tcBorders>
            <w:noWrap w:val="0"/>
            <w:vAlign w:val="center"/>
          </w:tcPr>
          <w:p w14:paraId="1BAB1F60">
            <w:pPr>
              <w:adjustRightInd w:val="0"/>
              <w:snapToGrid w:val="0"/>
              <w:jc w:val="center"/>
              <w:rPr>
                <w:color w:val="auto"/>
                <w:sz w:val="24"/>
              </w:rPr>
            </w:pPr>
            <w:r>
              <w:rPr>
                <w:color w:val="auto"/>
                <w:sz w:val="24"/>
              </w:rPr>
              <w:t>执行标准</w:t>
            </w:r>
          </w:p>
        </w:tc>
      </w:tr>
      <w:tr w14:paraId="535A8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237" w:type="dxa"/>
            <w:noWrap w:val="0"/>
            <w:vAlign w:val="center"/>
          </w:tcPr>
          <w:p w14:paraId="5D32B32C">
            <w:pPr>
              <w:adjustRightInd w:val="0"/>
              <w:snapToGrid w:val="0"/>
              <w:jc w:val="center"/>
              <w:rPr>
                <w:rFonts w:hint="eastAsia" w:eastAsia="宋体"/>
                <w:color w:val="auto"/>
                <w:sz w:val="24"/>
                <w:lang w:val="en-US" w:eastAsia="zh-CN"/>
              </w:rPr>
            </w:pPr>
            <w:r>
              <w:rPr>
                <w:rFonts w:hint="eastAsia"/>
                <w:color w:val="auto"/>
                <w:sz w:val="24"/>
                <w:lang w:val="en-US" w:eastAsia="zh-CN"/>
              </w:rPr>
              <w:t>大气环境</w:t>
            </w:r>
          </w:p>
        </w:tc>
        <w:tc>
          <w:tcPr>
            <w:tcW w:w="1345" w:type="dxa"/>
            <w:noWrap w:val="0"/>
            <w:vAlign w:val="center"/>
          </w:tcPr>
          <w:p w14:paraId="4DC08ACA">
            <w:pPr>
              <w:adjustRightInd w:val="0"/>
              <w:snapToGrid w:val="0"/>
              <w:jc w:val="center"/>
              <w:rPr>
                <w:rFonts w:hint="eastAsia" w:eastAsia="宋体"/>
                <w:color w:val="auto"/>
                <w:sz w:val="24"/>
                <w:lang w:val="en-US" w:eastAsia="zh-CN"/>
              </w:rPr>
            </w:pPr>
            <w:r>
              <w:rPr>
                <w:rFonts w:hint="eastAsia"/>
                <w:color w:val="auto"/>
                <w:sz w:val="24"/>
                <w:lang w:val="en-US" w:eastAsia="zh-CN"/>
              </w:rPr>
              <w:t>拉丝</w:t>
            </w:r>
          </w:p>
        </w:tc>
        <w:tc>
          <w:tcPr>
            <w:tcW w:w="1362" w:type="dxa"/>
            <w:noWrap w:val="0"/>
            <w:vAlign w:val="center"/>
          </w:tcPr>
          <w:p w14:paraId="040A5A5D">
            <w:pPr>
              <w:adjustRightInd w:val="0"/>
              <w:snapToGrid w:val="0"/>
              <w:jc w:val="center"/>
              <w:rPr>
                <w:rFonts w:hint="eastAsia" w:eastAsia="宋体"/>
                <w:color w:val="auto"/>
                <w:sz w:val="24"/>
                <w:lang w:val="en-US" w:eastAsia="zh-CN"/>
              </w:rPr>
            </w:pPr>
            <w:r>
              <w:rPr>
                <w:rFonts w:hint="eastAsia"/>
                <w:color w:val="auto"/>
                <w:sz w:val="24"/>
                <w:lang w:val="en-US" w:eastAsia="zh-CN"/>
              </w:rPr>
              <w:t>颗粒物</w:t>
            </w:r>
          </w:p>
        </w:tc>
        <w:tc>
          <w:tcPr>
            <w:tcW w:w="2050" w:type="dxa"/>
            <w:tcBorders>
              <w:bottom w:val="single" w:color="auto" w:sz="4" w:space="0"/>
            </w:tcBorders>
            <w:noWrap w:val="0"/>
            <w:vAlign w:val="center"/>
          </w:tcPr>
          <w:p w14:paraId="6687585D">
            <w:pPr>
              <w:adjustRightInd w:val="0"/>
              <w:snapToGrid w:val="0"/>
              <w:jc w:val="center"/>
              <w:rPr>
                <w:rFonts w:hint="eastAsia" w:eastAsia="宋体"/>
                <w:color w:val="auto"/>
                <w:sz w:val="24"/>
                <w:lang w:val="en-US" w:eastAsia="zh-CN"/>
              </w:rPr>
            </w:pPr>
            <w:r>
              <w:rPr>
                <w:rFonts w:hint="eastAsia"/>
                <w:color w:val="auto"/>
                <w:sz w:val="24"/>
                <w:lang w:val="en-US" w:eastAsia="zh-CN"/>
              </w:rPr>
              <w:t>厂房阻隔</w:t>
            </w:r>
          </w:p>
        </w:tc>
        <w:tc>
          <w:tcPr>
            <w:tcW w:w="3187" w:type="dxa"/>
            <w:tcBorders>
              <w:bottom w:val="single" w:color="auto" w:sz="4" w:space="0"/>
            </w:tcBorders>
            <w:noWrap w:val="0"/>
            <w:vAlign w:val="center"/>
          </w:tcPr>
          <w:p w14:paraId="7FD472BE">
            <w:pPr>
              <w:adjustRightInd w:val="0"/>
              <w:snapToGrid w:val="0"/>
              <w:jc w:val="center"/>
              <w:rPr>
                <w:rFonts w:hint="eastAsia" w:eastAsia="宋体"/>
                <w:color w:val="auto"/>
                <w:sz w:val="24"/>
                <w:lang w:eastAsia="zh-CN"/>
              </w:rPr>
            </w:pPr>
            <w:r>
              <w:rPr>
                <w:rFonts w:hint="eastAsia"/>
                <w:color w:val="auto"/>
                <w:sz w:val="24"/>
                <w:lang w:eastAsia="zh-CN"/>
              </w:rPr>
              <w:t>《</w:t>
            </w:r>
            <w:r>
              <w:rPr>
                <w:rFonts w:hint="eastAsia"/>
                <w:color w:val="auto"/>
                <w:sz w:val="24"/>
                <w:lang w:val="en-US" w:eastAsia="zh-CN"/>
              </w:rPr>
              <w:t>大气污染物综合排放标准</w:t>
            </w:r>
            <w:r>
              <w:rPr>
                <w:rFonts w:hint="eastAsia"/>
                <w:color w:val="auto"/>
                <w:sz w:val="24"/>
                <w:lang w:eastAsia="zh-CN"/>
              </w:rPr>
              <w:t>》（</w:t>
            </w:r>
            <w:r>
              <w:rPr>
                <w:rFonts w:hint="eastAsia"/>
                <w:color w:val="auto"/>
                <w:sz w:val="24"/>
                <w:lang w:val="en-US" w:eastAsia="zh-CN"/>
              </w:rPr>
              <w:t>GB16297-1996</w:t>
            </w:r>
            <w:r>
              <w:rPr>
                <w:rFonts w:hint="eastAsia"/>
                <w:color w:val="auto"/>
                <w:sz w:val="24"/>
                <w:lang w:eastAsia="zh-CN"/>
              </w:rPr>
              <w:t>）</w:t>
            </w:r>
          </w:p>
        </w:tc>
      </w:tr>
      <w:tr w14:paraId="4EC9FD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8" w:hRule="atLeast"/>
          <w:jc w:val="center"/>
        </w:trPr>
        <w:tc>
          <w:tcPr>
            <w:tcW w:w="1237" w:type="dxa"/>
            <w:noWrap w:val="0"/>
            <w:vAlign w:val="center"/>
          </w:tcPr>
          <w:p w14:paraId="33DA1627">
            <w:pPr>
              <w:adjustRightInd w:val="0"/>
              <w:snapToGrid w:val="0"/>
              <w:jc w:val="center"/>
              <w:rPr>
                <w:color w:val="auto"/>
                <w:sz w:val="24"/>
              </w:rPr>
            </w:pPr>
            <w:r>
              <w:rPr>
                <w:color w:val="auto"/>
                <w:sz w:val="24"/>
              </w:rPr>
              <w:t>地表水环境</w:t>
            </w:r>
          </w:p>
        </w:tc>
        <w:tc>
          <w:tcPr>
            <w:tcW w:w="1345" w:type="dxa"/>
            <w:noWrap w:val="0"/>
            <w:vAlign w:val="center"/>
          </w:tcPr>
          <w:p w14:paraId="08F07631">
            <w:pPr>
              <w:adjustRightInd w:val="0"/>
              <w:snapToGrid w:val="0"/>
              <w:jc w:val="center"/>
              <w:rPr>
                <w:rFonts w:hint="eastAsia" w:ascii="Times New Roman" w:hAnsi="Times New Roman" w:eastAsia="宋体" w:cs="Times New Roman"/>
                <w:color w:val="auto"/>
                <w:kern w:val="2"/>
                <w:sz w:val="24"/>
                <w:szCs w:val="24"/>
                <w:lang w:val="en-US" w:eastAsia="zh-CN" w:bidi="ar-SA"/>
              </w:rPr>
            </w:pPr>
            <w:r>
              <w:rPr>
                <w:rFonts w:hint="eastAsia"/>
                <w:color w:val="auto"/>
                <w:sz w:val="24"/>
                <w:lang w:val="en-US" w:eastAsia="zh-CN"/>
              </w:rPr>
              <w:t>生活污水</w:t>
            </w:r>
          </w:p>
        </w:tc>
        <w:tc>
          <w:tcPr>
            <w:tcW w:w="1362" w:type="dxa"/>
            <w:noWrap w:val="0"/>
            <w:vAlign w:val="center"/>
          </w:tcPr>
          <w:p w14:paraId="2A5ADD4B">
            <w:pPr>
              <w:adjustRightInd w:val="0"/>
              <w:snapToGrid w:val="0"/>
              <w:jc w:val="center"/>
              <w:rPr>
                <w:rFonts w:hint="default"/>
                <w:color w:val="auto"/>
                <w:sz w:val="24"/>
                <w:lang w:val="en-US" w:eastAsia="zh-CN"/>
              </w:rPr>
            </w:pPr>
            <w:r>
              <w:rPr>
                <w:rFonts w:hint="eastAsia"/>
                <w:color w:val="auto"/>
                <w:sz w:val="24"/>
                <w:lang w:val="en-US" w:eastAsia="zh-CN"/>
              </w:rPr>
              <w:t>COD、BOD</w:t>
            </w:r>
            <w:r>
              <w:rPr>
                <w:rFonts w:hint="eastAsia"/>
                <w:color w:val="auto"/>
                <w:sz w:val="24"/>
                <w:vertAlign w:val="subscript"/>
                <w:lang w:val="en-US" w:eastAsia="zh-CN"/>
              </w:rPr>
              <w:t>5</w:t>
            </w:r>
            <w:r>
              <w:rPr>
                <w:rFonts w:hint="eastAsia"/>
                <w:color w:val="auto"/>
                <w:sz w:val="24"/>
                <w:lang w:val="en-US" w:eastAsia="zh-CN"/>
              </w:rPr>
              <w:t>、SS、氨氮、总磷、总氮</w:t>
            </w:r>
          </w:p>
        </w:tc>
        <w:tc>
          <w:tcPr>
            <w:tcW w:w="5237" w:type="dxa"/>
            <w:gridSpan w:val="2"/>
            <w:noWrap w:val="0"/>
            <w:vAlign w:val="center"/>
          </w:tcPr>
          <w:p w14:paraId="22CFD2EC">
            <w:pPr>
              <w:adjustRightInd w:val="0"/>
              <w:snapToGrid w:val="0"/>
              <w:jc w:val="center"/>
              <w:rPr>
                <w:rFonts w:hint="eastAsia"/>
                <w:color w:val="auto"/>
                <w:sz w:val="24"/>
                <w:lang w:val="en-US" w:eastAsia="zh-CN"/>
              </w:rPr>
            </w:pPr>
            <w:r>
              <w:rPr>
                <w:rFonts w:hint="eastAsia"/>
                <w:color w:val="auto"/>
                <w:sz w:val="24"/>
                <w:lang w:val="en-US" w:eastAsia="zh-CN"/>
              </w:rPr>
              <w:t>经化粪池收集后定期委托附近村民清运施肥，不外排</w:t>
            </w:r>
          </w:p>
        </w:tc>
      </w:tr>
      <w:tr w14:paraId="07788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237" w:type="dxa"/>
            <w:noWrap w:val="0"/>
            <w:vAlign w:val="center"/>
          </w:tcPr>
          <w:p w14:paraId="2C9BB092">
            <w:pPr>
              <w:adjustRightInd w:val="0"/>
              <w:snapToGrid w:val="0"/>
              <w:jc w:val="center"/>
              <w:rPr>
                <w:color w:val="auto"/>
                <w:sz w:val="24"/>
              </w:rPr>
            </w:pPr>
            <w:r>
              <w:rPr>
                <w:color w:val="auto"/>
                <w:sz w:val="24"/>
              </w:rPr>
              <w:t>声环境</w:t>
            </w:r>
          </w:p>
        </w:tc>
        <w:tc>
          <w:tcPr>
            <w:tcW w:w="1345" w:type="dxa"/>
            <w:noWrap w:val="0"/>
            <w:vAlign w:val="center"/>
          </w:tcPr>
          <w:p w14:paraId="5009BAE6">
            <w:pPr>
              <w:jc w:val="center"/>
              <w:rPr>
                <w:rFonts w:hint="default" w:eastAsia="宋体"/>
                <w:color w:val="auto"/>
                <w:kern w:val="2"/>
                <w:sz w:val="24"/>
                <w:szCs w:val="24"/>
                <w:lang w:val="en-US" w:eastAsia="zh-CN" w:bidi="ar-SA"/>
              </w:rPr>
            </w:pPr>
            <w:r>
              <w:rPr>
                <w:rFonts w:hint="eastAsia"/>
                <w:color w:val="auto"/>
                <w:kern w:val="2"/>
                <w:sz w:val="24"/>
                <w:szCs w:val="24"/>
                <w:lang w:val="en-US" w:eastAsia="zh-CN" w:bidi="ar-SA"/>
              </w:rPr>
              <w:t>生产设备</w:t>
            </w:r>
          </w:p>
        </w:tc>
        <w:tc>
          <w:tcPr>
            <w:tcW w:w="1362" w:type="dxa"/>
            <w:noWrap w:val="0"/>
            <w:vAlign w:val="center"/>
          </w:tcPr>
          <w:p w14:paraId="1D78BF98">
            <w:pPr>
              <w:adjustRightInd w:val="0"/>
              <w:snapToGrid w:val="0"/>
              <w:jc w:val="center"/>
              <w:rPr>
                <w:color w:val="auto"/>
                <w:sz w:val="24"/>
                <w:szCs w:val="24"/>
              </w:rPr>
            </w:pPr>
            <w:r>
              <w:rPr>
                <w:color w:val="auto"/>
                <w:sz w:val="24"/>
                <w:szCs w:val="24"/>
              </w:rPr>
              <w:t>噪声</w:t>
            </w:r>
          </w:p>
        </w:tc>
        <w:tc>
          <w:tcPr>
            <w:tcW w:w="2050" w:type="dxa"/>
            <w:noWrap w:val="0"/>
            <w:vAlign w:val="center"/>
          </w:tcPr>
          <w:p w14:paraId="7FC6998C">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安装于车间内，经厂房隔声、距离衰减等</w:t>
            </w:r>
          </w:p>
        </w:tc>
        <w:tc>
          <w:tcPr>
            <w:tcW w:w="3187" w:type="dxa"/>
            <w:noWrap w:val="0"/>
            <w:vAlign w:val="center"/>
          </w:tcPr>
          <w:p w14:paraId="40361B2B">
            <w:pPr>
              <w:adjustRightInd w:val="0"/>
              <w:snapToGrid w:val="0"/>
              <w:jc w:val="center"/>
              <w:rPr>
                <w:rFonts w:hint="default" w:eastAsia="宋体"/>
                <w:color w:val="auto"/>
                <w:sz w:val="24"/>
                <w:lang w:val="en-US" w:eastAsia="zh-CN"/>
              </w:rPr>
            </w:pPr>
            <w:r>
              <w:rPr>
                <w:rFonts w:hint="eastAsia"/>
                <w:bCs/>
                <w:color w:val="auto"/>
                <w:sz w:val="24"/>
              </w:rPr>
              <w:t>厂界</w:t>
            </w:r>
            <w:r>
              <w:rPr>
                <w:rFonts w:hint="eastAsia"/>
                <w:bCs/>
                <w:color w:val="auto"/>
                <w:sz w:val="24"/>
                <w:lang w:val="en-US" w:eastAsia="zh-CN"/>
              </w:rPr>
              <w:t>东、西、北侧</w:t>
            </w:r>
            <w:r>
              <w:rPr>
                <w:rFonts w:hint="eastAsia"/>
                <w:bCs/>
                <w:color w:val="auto"/>
                <w:sz w:val="24"/>
              </w:rPr>
              <w:t>执行</w:t>
            </w:r>
            <w:r>
              <w:rPr>
                <w:bCs/>
                <w:color w:val="auto"/>
                <w:sz w:val="24"/>
              </w:rPr>
              <w:t>《工业企业厂界环境噪声排放标准》（GB12348-2008）</w:t>
            </w:r>
            <w:r>
              <w:rPr>
                <w:rFonts w:hint="eastAsia"/>
                <w:bCs/>
                <w:color w:val="auto"/>
                <w:sz w:val="24"/>
                <w:lang w:val="en-US" w:eastAsia="zh-CN"/>
              </w:rPr>
              <w:t>3类</w:t>
            </w:r>
            <w:r>
              <w:rPr>
                <w:bCs/>
                <w:color w:val="auto"/>
                <w:sz w:val="24"/>
              </w:rPr>
              <w:t>标准限值</w:t>
            </w:r>
          </w:p>
        </w:tc>
      </w:tr>
      <w:tr w14:paraId="63ECA7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7" w:type="dxa"/>
            <w:noWrap w:val="0"/>
            <w:vAlign w:val="center"/>
          </w:tcPr>
          <w:p w14:paraId="03B94553">
            <w:pPr>
              <w:adjustRightInd w:val="0"/>
              <w:snapToGrid w:val="0"/>
              <w:jc w:val="center"/>
              <w:rPr>
                <w:color w:val="auto"/>
                <w:sz w:val="24"/>
              </w:rPr>
            </w:pPr>
            <w:r>
              <w:rPr>
                <w:color w:val="auto"/>
                <w:sz w:val="24"/>
              </w:rPr>
              <w:t>电磁辐射</w:t>
            </w:r>
          </w:p>
        </w:tc>
        <w:tc>
          <w:tcPr>
            <w:tcW w:w="1345" w:type="dxa"/>
            <w:noWrap w:val="0"/>
            <w:vAlign w:val="center"/>
          </w:tcPr>
          <w:p w14:paraId="61F7BD77">
            <w:pPr>
              <w:adjustRightInd w:val="0"/>
              <w:snapToGrid w:val="0"/>
              <w:jc w:val="center"/>
              <w:rPr>
                <w:color w:val="auto"/>
                <w:sz w:val="24"/>
              </w:rPr>
            </w:pPr>
            <w:r>
              <w:rPr>
                <w:color w:val="auto"/>
                <w:sz w:val="24"/>
              </w:rPr>
              <w:t>/</w:t>
            </w:r>
          </w:p>
        </w:tc>
        <w:tc>
          <w:tcPr>
            <w:tcW w:w="1362" w:type="dxa"/>
            <w:noWrap w:val="0"/>
            <w:vAlign w:val="center"/>
          </w:tcPr>
          <w:p w14:paraId="394C689C">
            <w:pPr>
              <w:adjustRightInd w:val="0"/>
              <w:snapToGrid w:val="0"/>
              <w:jc w:val="center"/>
              <w:rPr>
                <w:color w:val="auto"/>
                <w:sz w:val="24"/>
              </w:rPr>
            </w:pPr>
            <w:r>
              <w:rPr>
                <w:color w:val="auto"/>
                <w:sz w:val="24"/>
              </w:rPr>
              <w:t>/</w:t>
            </w:r>
          </w:p>
        </w:tc>
        <w:tc>
          <w:tcPr>
            <w:tcW w:w="2050" w:type="dxa"/>
            <w:noWrap w:val="0"/>
            <w:vAlign w:val="center"/>
          </w:tcPr>
          <w:p w14:paraId="7547F986">
            <w:pPr>
              <w:adjustRightInd w:val="0"/>
              <w:snapToGrid w:val="0"/>
              <w:jc w:val="center"/>
              <w:rPr>
                <w:color w:val="auto"/>
                <w:sz w:val="24"/>
              </w:rPr>
            </w:pPr>
            <w:r>
              <w:rPr>
                <w:color w:val="auto"/>
                <w:sz w:val="24"/>
              </w:rPr>
              <w:t>/</w:t>
            </w:r>
          </w:p>
        </w:tc>
        <w:tc>
          <w:tcPr>
            <w:tcW w:w="3187" w:type="dxa"/>
            <w:noWrap w:val="0"/>
            <w:vAlign w:val="center"/>
          </w:tcPr>
          <w:p w14:paraId="1B12D6EE">
            <w:pPr>
              <w:adjustRightInd w:val="0"/>
              <w:snapToGrid w:val="0"/>
              <w:jc w:val="center"/>
              <w:rPr>
                <w:color w:val="auto"/>
                <w:sz w:val="24"/>
              </w:rPr>
            </w:pPr>
            <w:r>
              <w:rPr>
                <w:color w:val="auto"/>
                <w:sz w:val="24"/>
              </w:rPr>
              <w:t>/</w:t>
            </w:r>
          </w:p>
        </w:tc>
      </w:tr>
      <w:tr w14:paraId="5C3942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237" w:type="dxa"/>
            <w:noWrap w:val="0"/>
            <w:vAlign w:val="center"/>
          </w:tcPr>
          <w:p w14:paraId="6EEAF9C3">
            <w:pPr>
              <w:adjustRightInd w:val="0"/>
              <w:snapToGrid w:val="0"/>
              <w:jc w:val="center"/>
              <w:rPr>
                <w:color w:val="auto"/>
                <w:sz w:val="24"/>
              </w:rPr>
            </w:pPr>
            <w:r>
              <w:rPr>
                <w:color w:val="auto"/>
                <w:sz w:val="24"/>
              </w:rPr>
              <w:t>固体废物</w:t>
            </w:r>
          </w:p>
        </w:tc>
        <w:tc>
          <w:tcPr>
            <w:tcW w:w="7944" w:type="dxa"/>
            <w:gridSpan w:val="4"/>
            <w:noWrap w:val="0"/>
            <w:vAlign w:val="center"/>
          </w:tcPr>
          <w:p w14:paraId="059FF516">
            <w:pPr>
              <w:adjustRightInd w:val="0"/>
              <w:snapToGrid w:val="0"/>
              <w:spacing w:line="360" w:lineRule="auto"/>
              <w:ind w:firstLine="480" w:firstLineChars="200"/>
              <w:rPr>
                <w:rFonts w:hint="eastAsia" w:eastAsia="宋体"/>
                <w:color w:val="auto"/>
                <w:sz w:val="24"/>
                <w:lang w:eastAsia="zh-CN"/>
              </w:rPr>
            </w:pPr>
            <w:r>
              <w:rPr>
                <w:rFonts w:hint="eastAsia"/>
                <w:color w:val="auto"/>
                <w:sz w:val="24"/>
              </w:rPr>
              <w:t>生活垃圾：员工生活垃圾设置生活垃圾桶（带盖）进行收集，由环卫部门统一清运，做到日产日清</w:t>
            </w:r>
            <w:r>
              <w:rPr>
                <w:rFonts w:hint="eastAsia"/>
                <w:color w:val="auto"/>
                <w:sz w:val="24"/>
                <w:lang w:eastAsia="zh-CN"/>
              </w:rPr>
              <w:t>；</w:t>
            </w:r>
          </w:p>
          <w:p w14:paraId="193CE164">
            <w:pPr>
              <w:adjustRightInd w:val="0"/>
              <w:snapToGrid w:val="0"/>
              <w:spacing w:line="360" w:lineRule="auto"/>
              <w:ind w:firstLine="480" w:firstLineChars="200"/>
              <w:rPr>
                <w:rFonts w:hint="default" w:eastAsia="宋体"/>
                <w:color w:val="auto"/>
                <w:sz w:val="24"/>
                <w:lang w:val="en-US" w:eastAsia="zh-CN"/>
              </w:rPr>
            </w:pPr>
            <w:r>
              <w:rPr>
                <w:rFonts w:hint="eastAsia"/>
                <w:color w:val="auto"/>
                <w:sz w:val="24"/>
              </w:rPr>
              <w:t>一般固废：</w:t>
            </w:r>
            <w:r>
              <w:rPr>
                <w:rFonts w:hint="eastAsia"/>
                <w:color w:val="auto"/>
                <w:sz w:val="24"/>
                <w:lang w:val="en-US" w:eastAsia="zh-CN"/>
              </w:rPr>
              <w:t>废保温材料厂内不储存，由设备厂家定期更换，并回收利用；废边角料、收集粉尘暂存于一般固废暂存区，定期交由供货商回收利用；</w:t>
            </w:r>
          </w:p>
          <w:p w14:paraId="1302E31E">
            <w:pPr>
              <w:adjustRightInd w:val="0"/>
              <w:snapToGrid w:val="0"/>
              <w:spacing w:line="360" w:lineRule="auto"/>
              <w:ind w:firstLine="480" w:firstLineChars="200"/>
              <w:rPr>
                <w:rFonts w:hint="eastAsia" w:eastAsia="宋体"/>
                <w:color w:val="auto"/>
                <w:sz w:val="24"/>
                <w:lang w:eastAsia="zh-CN"/>
              </w:rPr>
            </w:pPr>
            <w:r>
              <w:rPr>
                <w:rFonts w:hint="eastAsia" w:ascii="宋体" w:hAnsi="宋体" w:cs="宋体"/>
                <w:color w:val="auto"/>
                <w:kern w:val="0"/>
                <w:sz w:val="24"/>
              </w:rPr>
              <w:t>危险废物：</w:t>
            </w:r>
            <w:r>
              <w:rPr>
                <w:rFonts w:hint="eastAsia" w:ascii="宋体" w:hAnsi="宋体" w:cs="宋体"/>
                <w:color w:val="auto"/>
                <w:kern w:val="0"/>
                <w:sz w:val="24"/>
                <w:lang w:val="en-US" w:eastAsia="zh-CN"/>
              </w:rPr>
              <w:t>设置</w:t>
            </w:r>
            <w:r>
              <w:rPr>
                <w:rFonts w:hint="eastAsia" w:ascii="宋体" w:hAnsi="宋体" w:cs="宋体"/>
                <w:color w:val="auto"/>
                <w:kern w:val="0"/>
                <w:sz w:val="24"/>
                <w:lang w:eastAsia="zh-CN"/>
              </w:rPr>
              <w:t>危险废物贮存库</w:t>
            </w:r>
            <w:r>
              <w:rPr>
                <w:rFonts w:hint="eastAsia" w:ascii="宋体" w:hAnsi="宋体" w:cs="宋体"/>
                <w:color w:val="auto"/>
                <w:kern w:val="0"/>
                <w:sz w:val="24"/>
              </w:rPr>
              <w:t>对危险废物</w:t>
            </w:r>
            <w:r>
              <w:rPr>
                <w:rFonts w:hint="eastAsia" w:ascii="宋体" w:hAnsi="宋体" w:cs="宋体"/>
                <w:color w:val="auto"/>
                <w:kern w:val="0"/>
                <w:sz w:val="24"/>
                <w:lang w:val="en-US" w:eastAsia="zh-CN"/>
              </w:rPr>
              <w:t>进行</w:t>
            </w:r>
            <w:r>
              <w:rPr>
                <w:rFonts w:hint="eastAsia" w:ascii="宋体" w:hAnsi="宋体" w:cs="宋体"/>
                <w:color w:val="auto"/>
                <w:kern w:val="0"/>
                <w:sz w:val="24"/>
              </w:rPr>
              <w:t>暂存，定期交由有资质单位转运处置</w:t>
            </w:r>
            <w:r>
              <w:rPr>
                <w:rFonts w:hint="eastAsia" w:ascii="宋体" w:hAnsi="宋体" w:cs="宋体"/>
                <w:color w:val="auto"/>
                <w:kern w:val="0"/>
                <w:sz w:val="24"/>
                <w:lang w:eastAsia="zh-CN"/>
              </w:rPr>
              <w:t>。</w:t>
            </w:r>
          </w:p>
        </w:tc>
      </w:tr>
      <w:tr w14:paraId="5A784A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1237" w:type="dxa"/>
            <w:noWrap w:val="0"/>
            <w:vAlign w:val="center"/>
          </w:tcPr>
          <w:p w14:paraId="182137D7">
            <w:pPr>
              <w:adjustRightInd w:val="0"/>
              <w:snapToGrid w:val="0"/>
              <w:jc w:val="center"/>
              <w:rPr>
                <w:color w:val="auto"/>
                <w:sz w:val="24"/>
              </w:rPr>
            </w:pPr>
            <w:r>
              <w:rPr>
                <w:color w:val="auto"/>
                <w:sz w:val="24"/>
              </w:rPr>
              <w:t>土壤及地下水污染防治措施</w:t>
            </w:r>
          </w:p>
        </w:tc>
        <w:tc>
          <w:tcPr>
            <w:tcW w:w="7944" w:type="dxa"/>
            <w:gridSpan w:val="4"/>
            <w:noWrap w:val="0"/>
            <w:vAlign w:val="center"/>
          </w:tcPr>
          <w:p w14:paraId="567C25D7">
            <w:pPr>
              <w:adjustRightInd w:val="0"/>
              <w:snapToGrid w:val="0"/>
              <w:spacing w:line="360" w:lineRule="auto"/>
              <w:ind w:firstLine="480" w:firstLineChars="200"/>
              <w:rPr>
                <w:color w:val="auto"/>
                <w:sz w:val="24"/>
              </w:rPr>
            </w:pPr>
            <w:r>
              <w:rPr>
                <w:rFonts w:hint="eastAsia"/>
                <w:color w:val="auto"/>
                <w:sz w:val="24"/>
                <w:lang w:eastAsia="zh-CN"/>
              </w:rPr>
              <w:t>厂房内地面硬化处理，</w:t>
            </w:r>
            <w:r>
              <w:rPr>
                <w:rFonts w:hint="eastAsia"/>
                <w:color w:val="auto"/>
                <w:sz w:val="24"/>
                <w:lang w:val="en-US" w:eastAsia="zh-CN"/>
              </w:rPr>
              <w:t>生产设施定期</w:t>
            </w:r>
            <w:r>
              <w:rPr>
                <w:rFonts w:hint="eastAsia"/>
                <w:color w:val="auto"/>
                <w:sz w:val="24"/>
                <w:lang w:eastAsia="zh-CN"/>
              </w:rPr>
              <w:t>进行维护保养，</w:t>
            </w:r>
            <w:r>
              <w:rPr>
                <w:rFonts w:hint="eastAsia"/>
                <w:color w:val="auto"/>
                <w:sz w:val="24"/>
                <w:lang w:val="en-US" w:eastAsia="zh-CN"/>
              </w:rPr>
              <w:t>可</w:t>
            </w:r>
            <w:r>
              <w:rPr>
                <w:rFonts w:hint="eastAsia"/>
                <w:color w:val="auto"/>
                <w:sz w:val="24"/>
                <w:lang w:eastAsia="zh-CN"/>
              </w:rPr>
              <w:t>杜绝出现油类物质泄漏事故，且厂内</w:t>
            </w:r>
            <w:r>
              <w:rPr>
                <w:rFonts w:hint="eastAsia"/>
                <w:color w:val="auto"/>
                <w:sz w:val="24"/>
                <w:lang w:val="en-US" w:eastAsia="zh-CN"/>
              </w:rPr>
              <w:t>地面已进行</w:t>
            </w:r>
            <w:r>
              <w:rPr>
                <w:rFonts w:hint="eastAsia"/>
                <w:color w:val="auto"/>
                <w:sz w:val="24"/>
                <w:lang w:eastAsia="zh-CN"/>
              </w:rPr>
              <w:t>硬化处理，即使发生少量泄漏事故，也不会直接接触并污染土壤</w:t>
            </w:r>
            <w:r>
              <w:rPr>
                <w:rFonts w:hint="eastAsia"/>
                <w:color w:val="auto"/>
                <w:sz w:val="24"/>
                <w:lang w:val="en-US" w:eastAsia="zh-CN"/>
              </w:rPr>
              <w:t>及地下水</w:t>
            </w:r>
          </w:p>
        </w:tc>
      </w:tr>
      <w:tr w14:paraId="55DB9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237" w:type="dxa"/>
            <w:noWrap w:val="0"/>
            <w:vAlign w:val="center"/>
          </w:tcPr>
          <w:p w14:paraId="43AAA8B7">
            <w:pPr>
              <w:adjustRightInd w:val="0"/>
              <w:snapToGrid w:val="0"/>
              <w:jc w:val="center"/>
              <w:rPr>
                <w:color w:val="auto"/>
                <w:spacing w:val="0"/>
                <w:sz w:val="24"/>
              </w:rPr>
            </w:pPr>
            <w:r>
              <w:rPr>
                <w:color w:val="auto"/>
                <w:spacing w:val="0"/>
                <w:sz w:val="24"/>
              </w:rPr>
              <w:t>生态保护措施</w:t>
            </w:r>
          </w:p>
        </w:tc>
        <w:tc>
          <w:tcPr>
            <w:tcW w:w="7944" w:type="dxa"/>
            <w:gridSpan w:val="4"/>
            <w:noWrap w:val="0"/>
            <w:vAlign w:val="center"/>
          </w:tcPr>
          <w:p w14:paraId="254ADF61">
            <w:pPr>
              <w:adjustRightInd w:val="0"/>
              <w:snapToGrid w:val="0"/>
              <w:jc w:val="center"/>
              <w:rPr>
                <w:color w:val="auto"/>
                <w:sz w:val="24"/>
              </w:rPr>
            </w:pPr>
            <w:r>
              <w:rPr>
                <w:color w:val="auto"/>
                <w:sz w:val="24"/>
              </w:rPr>
              <w:t>/</w:t>
            </w:r>
          </w:p>
        </w:tc>
      </w:tr>
      <w:tr w14:paraId="6C941B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1237" w:type="dxa"/>
            <w:noWrap w:val="0"/>
            <w:vAlign w:val="center"/>
          </w:tcPr>
          <w:p w14:paraId="5005AE2E">
            <w:pPr>
              <w:adjustRightInd w:val="0"/>
              <w:snapToGrid w:val="0"/>
              <w:jc w:val="center"/>
              <w:rPr>
                <w:color w:val="auto"/>
                <w:spacing w:val="0"/>
                <w:sz w:val="24"/>
              </w:rPr>
            </w:pPr>
            <w:r>
              <w:rPr>
                <w:color w:val="auto"/>
                <w:spacing w:val="0"/>
                <w:sz w:val="24"/>
              </w:rPr>
              <w:t>环境风险防范措施</w:t>
            </w:r>
          </w:p>
        </w:tc>
        <w:tc>
          <w:tcPr>
            <w:tcW w:w="7944" w:type="dxa"/>
            <w:gridSpan w:val="4"/>
            <w:noWrap w:val="0"/>
            <w:vAlign w:val="center"/>
          </w:tcPr>
          <w:p w14:paraId="4EBDC801">
            <w:pPr>
              <w:adjustRightInd w:val="0"/>
              <w:snapToGrid w:val="0"/>
              <w:spacing w:line="360" w:lineRule="auto"/>
              <w:ind w:firstLine="480" w:firstLineChars="200"/>
              <w:jc w:val="left"/>
              <w:rPr>
                <w:color w:val="auto"/>
                <w:kern w:val="0"/>
                <w:sz w:val="24"/>
              </w:rPr>
            </w:pPr>
            <w:r>
              <w:rPr>
                <w:rFonts w:hint="eastAsia"/>
                <w:color w:val="auto"/>
                <w:kern w:val="0"/>
                <w:sz w:val="24"/>
                <w:lang w:val="en-US" w:eastAsia="zh-CN"/>
              </w:rPr>
              <w:t>设置专人对危险废物贮存库进行定期检查，防止暂存的废润滑油泄漏；定期对厂内已硬化地面进行检查，发现破损及时修复，定期对生产设施进行维护保养，杜绝油类物质泄漏事故等。</w:t>
            </w:r>
          </w:p>
        </w:tc>
      </w:tr>
      <w:tr w14:paraId="6BD46A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237" w:type="dxa"/>
            <w:noWrap w:val="0"/>
            <w:vAlign w:val="center"/>
          </w:tcPr>
          <w:p w14:paraId="4D566741">
            <w:pPr>
              <w:adjustRightInd w:val="0"/>
              <w:snapToGrid w:val="0"/>
              <w:jc w:val="center"/>
              <w:rPr>
                <w:color w:val="auto"/>
                <w:spacing w:val="-8"/>
                <w:sz w:val="24"/>
              </w:rPr>
            </w:pPr>
            <w:r>
              <w:rPr>
                <w:color w:val="auto"/>
                <w:spacing w:val="-8"/>
                <w:sz w:val="24"/>
              </w:rPr>
              <w:t>其他环境</w:t>
            </w:r>
          </w:p>
          <w:p w14:paraId="74066B74">
            <w:pPr>
              <w:adjustRightInd w:val="0"/>
              <w:snapToGrid w:val="0"/>
              <w:jc w:val="center"/>
              <w:rPr>
                <w:color w:val="auto"/>
                <w:spacing w:val="-8"/>
                <w:szCs w:val="21"/>
              </w:rPr>
            </w:pPr>
            <w:r>
              <w:rPr>
                <w:color w:val="auto"/>
                <w:spacing w:val="-8"/>
                <w:sz w:val="24"/>
              </w:rPr>
              <w:t>管理要求</w:t>
            </w:r>
          </w:p>
        </w:tc>
        <w:tc>
          <w:tcPr>
            <w:tcW w:w="7944" w:type="dxa"/>
            <w:gridSpan w:val="4"/>
            <w:noWrap w:val="0"/>
            <w:vAlign w:val="center"/>
          </w:tcPr>
          <w:p w14:paraId="606979FB">
            <w:pPr>
              <w:adjustRightInd w:val="0"/>
              <w:snapToGrid w:val="0"/>
              <w:spacing w:line="360" w:lineRule="auto"/>
              <w:ind w:firstLine="482" w:firstLineChars="200"/>
              <w:rPr>
                <w:rFonts w:hint="eastAsia"/>
                <w:color w:val="auto"/>
                <w:sz w:val="24"/>
                <w:szCs w:val="32"/>
              </w:rPr>
            </w:pPr>
            <w:r>
              <w:rPr>
                <w:rFonts w:hint="eastAsia"/>
                <w:b/>
                <w:bCs/>
                <w:color w:val="auto"/>
                <w:sz w:val="24"/>
                <w:szCs w:val="32"/>
              </w:rPr>
              <w:t>1.环境管理</w:t>
            </w:r>
          </w:p>
          <w:p w14:paraId="0F382F5D">
            <w:pPr>
              <w:adjustRightInd w:val="0"/>
              <w:snapToGrid w:val="0"/>
              <w:spacing w:line="360" w:lineRule="auto"/>
              <w:ind w:firstLine="480" w:firstLineChars="200"/>
              <w:rPr>
                <w:color w:val="auto"/>
                <w:sz w:val="24"/>
                <w:szCs w:val="32"/>
              </w:rPr>
            </w:pPr>
            <w:r>
              <w:rPr>
                <w:color w:val="auto"/>
                <w:sz w:val="24"/>
                <w:szCs w:val="32"/>
              </w:rPr>
              <w:t xml:space="preserve">本项目的污染物排放水平与厂区环境管理水平密切相关，因此在采取环境保护工程措施同时，必须加强环境管理。 </w:t>
            </w:r>
          </w:p>
          <w:p w14:paraId="7D8B5E33">
            <w:pPr>
              <w:adjustRightInd w:val="0"/>
              <w:snapToGrid w:val="0"/>
              <w:spacing w:line="360" w:lineRule="auto"/>
              <w:ind w:firstLine="480" w:firstLineChars="200"/>
              <w:rPr>
                <w:color w:val="auto"/>
                <w:sz w:val="24"/>
                <w:szCs w:val="32"/>
              </w:rPr>
            </w:pPr>
            <w:r>
              <w:rPr>
                <w:color w:val="auto"/>
                <w:sz w:val="24"/>
                <w:szCs w:val="32"/>
              </w:rPr>
              <w:t xml:space="preserve">（1）按照自行监测方案开展自行监测。 </w:t>
            </w:r>
          </w:p>
          <w:p w14:paraId="3132299F">
            <w:pPr>
              <w:adjustRightInd w:val="0"/>
              <w:snapToGrid w:val="0"/>
              <w:spacing w:line="360" w:lineRule="auto"/>
              <w:ind w:firstLine="480" w:firstLineChars="200"/>
              <w:rPr>
                <w:color w:val="auto"/>
                <w:sz w:val="24"/>
                <w:szCs w:val="32"/>
              </w:rPr>
            </w:pPr>
            <w:r>
              <w:rPr>
                <w:color w:val="auto"/>
                <w:sz w:val="24"/>
                <w:szCs w:val="32"/>
              </w:rPr>
              <w:t xml:space="preserve">（2）定期检查各设备运行情况，杜绝事故发生。 </w:t>
            </w:r>
          </w:p>
          <w:p w14:paraId="06C861C2">
            <w:pPr>
              <w:adjustRightInd w:val="0"/>
              <w:snapToGrid w:val="0"/>
              <w:spacing w:line="360" w:lineRule="auto"/>
              <w:ind w:firstLine="480" w:firstLineChars="200"/>
              <w:rPr>
                <w:color w:val="auto"/>
                <w:sz w:val="24"/>
                <w:szCs w:val="32"/>
              </w:rPr>
            </w:pPr>
            <w:r>
              <w:rPr>
                <w:color w:val="auto"/>
                <w:sz w:val="24"/>
                <w:szCs w:val="32"/>
              </w:rPr>
              <w:t>（</w:t>
            </w:r>
            <w:r>
              <w:rPr>
                <w:rFonts w:hint="eastAsia"/>
                <w:color w:val="auto"/>
                <w:sz w:val="24"/>
                <w:szCs w:val="32"/>
              </w:rPr>
              <w:t>3</w:t>
            </w:r>
            <w:r>
              <w:rPr>
                <w:color w:val="auto"/>
                <w:sz w:val="24"/>
                <w:szCs w:val="32"/>
              </w:rPr>
              <w:t>）做好环境管理台账记录，主要内容包括原辅材料使用情况、污染防治设施运行记录、监测数据等。</w:t>
            </w:r>
          </w:p>
          <w:p w14:paraId="58D434BD">
            <w:pPr>
              <w:adjustRightInd w:val="0"/>
              <w:snapToGrid w:val="0"/>
              <w:spacing w:line="360" w:lineRule="auto"/>
              <w:ind w:firstLine="480" w:firstLineChars="200"/>
              <w:rPr>
                <w:color w:val="auto"/>
                <w:sz w:val="24"/>
                <w:szCs w:val="32"/>
              </w:rPr>
            </w:pPr>
            <w:r>
              <w:rPr>
                <w:color w:val="auto"/>
                <w:sz w:val="24"/>
                <w:szCs w:val="32"/>
              </w:rPr>
              <w:t>（</w:t>
            </w:r>
            <w:r>
              <w:rPr>
                <w:rFonts w:hint="eastAsia"/>
                <w:color w:val="auto"/>
                <w:sz w:val="24"/>
                <w:szCs w:val="32"/>
              </w:rPr>
              <w:t>4</w:t>
            </w:r>
            <w:r>
              <w:rPr>
                <w:color w:val="auto"/>
                <w:sz w:val="24"/>
                <w:szCs w:val="32"/>
              </w:rPr>
              <w:t>）定期在国家排污许可证管理信息平台填报信息，编制排污许可证执行报告，及时报送有核发权的环境保护主管部门并公开。</w:t>
            </w:r>
          </w:p>
          <w:p w14:paraId="3DE667E7">
            <w:pPr>
              <w:adjustRightInd w:val="0"/>
              <w:snapToGrid w:val="0"/>
              <w:spacing w:line="360" w:lineRule="auto"/>
              <w:ind w:firstLine="482" w:firstLineChars="200"/>
              <w:rPr>
                <w:color w:val="auto"/>
                <w:sz w:val="24"/>
                <w:szCs w:val="32"/>
              </w:rPr>
            </w:pPr>
            <w:r>
              <w:rPr>
                <w:rFonts w:hint="eastAsia"/>
                <w:b/>
                <w:bCs/>
                <w:color w:val="auto"/>
                <w:sz w:val="24"/>
                <w:szCs w:val="32"/>
              </w:rPr>
              <w:t>2.排污口规范化</w:t>
            </w:r>
          </w:p>
          <w:p w14:paraId="0A13B25A">
            <w:pPr>
              <w:adjustRightInd w:val="0"/>
              <w:snapToGrid w:val="0"/>
              <w:spacing w:line="360" w:lineRule="auto"/>
              <w:ind w:firstLine="480" w:firstLineChars="200"/>
              <w:rPr>
                <w:rFonts w:hint="eastAsia"/>
                <w:color w:val="auto"/>
                <w:sz w:val="24"/>
                <w:szCs w:val="32"/>
              </w:rPr>
            </w:pPr>
            <w:r>
              <w:rPr>
                <w:rFonts w:hint="eastAsia"/>
                <w:color w:val="auto"/>
                <w:sz w:val="24"/>
                <w:szCs w:val="32"/>
              </w:rPr>
              <w:t>排污口是企业污染物进入环境、污染环境的通道，强化排污口的管理是实施污染物总量控制的基础工作之一，也是区域环境管理逐步实现污染物排放科学化、定量化的重要手段。为此，提出本项目排污口规范管理要求如下：</w:t>
            </w:r>
          </w:p>
          <w:p w14:paraId="230693E0">
            <w:pPr>
              <w:adjustRightInd w:val="0"/>
              <w:snapToGrid w:val="0"/>
              <w:spacing w:line="360" w:lineRule="auto"/>
              <w:ind w:firstLine="480" w:firstLineChars="200"/>
              <w:rPr>
                <w:color w:val="auto"/>
                <w:sz w:val="24"/>
                <w:szCs w:val="32"/>
              </w:rPr>
            </w:pPr>
            <w:r>
              <w:rPr>
                <w:rFonts w:hint="eastAsia"/>
                <w:color w:val="auto"/>
                <w:sz w:val="24"/>
                <w:szCs w:val="32"/>
              </w:rPr>
              <w:t>（1）基本原则</w:t>
            </w:r>
          </w:p>
          <w:p w14:paraId="03DDA27B">
            <w:pPr>
              <w:adjustRightInd w:val="0"/>
              <w:snapToGrid w:val="0"/>
              <w:spacing w:line="360" w:lineRule="auto"/>
              <w:ind w:firstLine="480" w:firstLineChars="200"/>
              <w:rPr>
                <w:rFonts w:hint="eastAsia"/>
                <w:color w:val="auto"/>
                <w:sz w:val="24"/>
                <w:szCs w:val="32"/>
              </w:rPr>
            </w:pPr>
            <w:r>
              <w:rPr>
                <w:rFonts w:hint="eastAsia"/>
                <w:color w:val="auto"/>
                <w:sz w:val="24"/>
                <w:szCs w:val="32"/>
              </w:rPr>
              <w:t>排污口应便于采样与计量监测，便于日常现场管理、监督和检查；如实向当地</w:t>
            </w:r>
            <w:r>
              <w:rPr>
                <w:rFonts w:hint="eastAsia"/>
                <w:color w:val="auto"/>
                <w:sz w:val="24"/>
                <w:szCs w:val="32"/>
                <w:lang w:eastAsia="zh-CN"/>
              </w:rPr>
              <w:t>环境</w:t>
            </w:r>
            <w:r>
              <w:rPr>
                <w:rFonts w:hint="eastAsia"/>
                <w:color w:val="auto"/>
                <w:sz w:val="24"/>
                <w:szCs w:val="32"/>
              </w:rPr>
              <w:t>管理部门申报排污口数量、位置及排放的主要污染物种类、数量、浓度、排放去向等情况。</w:t>
            </w:r>
          </w:p>
          <w:p w14:paraId="1DB5AECA">
            <w:pPr>
              <w:adjustRightInd w:val="0"/>
              <w:snapToGrid w:val="0"/>
              <w:spacing w:line="360" w:lineRule="auto"/>
              <w:ind w:firstLine="480" w:firstLineChars="200"/>
              <w:rPr>
                <w:rFonts w:hint="eastAsia"/>
                <w:color w:val="auto"/>
                <w:sz w:val="24"/>
                <w:szCs w:val="32"/>
              </w:rPr>
            </w:pPr>
            <w:r>
              <w:rPr>
                <w:rFonts w:hint="eastAsia"/>
                <w:color w:val="auto"/>
                <w:sz w:val="24"/>
                <w:szCs w:val="32"/>
              </w:rPr>
              <w:t>（2）环境保护图形标志</w:t>
            </w:r>
          </w:p>
          <w:p w14:paraId="01125404">
            <w:pPr>
              <w:adjustRightInd w:val="0"/>
              <w:snapToGrid w:val="0"/>
              <w:spacing w:line="360" w:lineRule="auto"/>
              <w:ind w:firstLine="480" w:firstLineChars="200"/>
              <w:rPr>
                <w:color w:val="auto"/>
              </w:rPr>
            </w:pPr>
            <w:r>
              <w:rPr>
                <w:color w:val="auto"/>
                <w:sz w:val="24"/>
                <w:szCs w:val="32"/>
              </w:rPr>
              <w:t>在厂区的噪声排放源、固体废物贮存场应设置环境保护图形标志</w:t>
            </w:r>
            <w:r>
              <w:rPr>
                <w:rFonts w:hint="eastAsia"/>
                <w:color w:val="auto"/>
                <w:sz w:val="24"/>
                <w:szCs w:val="32"/>
              </w:rPr>
              <w:t>，</w:t>
            </w:r>
            <w:r>
              <w:rPr>
                <w:rFonts w:hint="eastAsia"/>
                <w:color w:val="auto"/>
                <w:sz w:val="24"/>
                <w:szCs w:val="32"/>
                <w:lang w:val="en-US" w:eastAsia="zh-CN"/>
              </w:rPr>
              <w:t>危险废物按照《危险废物识别标志设置技术规范》（HJ1276-2022）对危险废物贮存库各种标识进行规范设置。</w:t>
            </w:r>
            <w:r>
              <w:rPr>
                <w:rFonts w:hint="eastAsia"/>
                <w:color w:val="auto"/>
                <w:sz w:val="24"/>
                <w:szCs w:val="32"/>
              </w:rPr>
              <w:t>具体环保图形</w:t>
            </w:r>
            <w:r>
              <w:rPr>
                <w:rFonts w:hint="eastAsia"/>
                <w:color w:val="auto"/>
                <w:sz w:val="24"/>
                <w:szCs w:val="32"/>
                <w:lang w:eastAsia="zh-CN"/>
              </w:rPr>
              <w:t>可参考下表</w:t>
            </w:r>
            <w:r>
              <w:rPr>
                <w:rFonts w:hint="eastAsia"/>
                <w:color w:val="auto"/>
                <w:sz w:val="24"/>
                <w:szCs w:val="32"/>
              </w:rPr>
              <w:t>：</w:t>
            </w:r>
          </w:p>
          <w:p w14:paraId="24288A16">
            <w:pPr>
              <w:adjustRightInd w:val="0"/>
              <w:snapToGrid w:val="0"/>
              <w:jc w:val="center"/>
              <w:rPr>
                <w:color w:val="auto"/>
              </w:rPr>
            </w:pPr>
            <w:r>
              <w:rPr>
                <w:rFonts w:hint="eastAsia"/>
                <w:color w:val="auto"/>
              </w:rPr>
              <w:t>表</w:t>
            </w:r>
            <w:r>
              <w:rPr>
                <w:rFonts w:hint="eastAsia"/>
                <w:color w:val="auto"/>
                <w:lang w:val="en-US" w:eastAsia="zh-CN"/>
              </w:rPr>
              <w:t>5</w:t>
            </w:r>
            <w:r>
              <w:rPr>
                <w:rFonts w:hint="eastAsia"/>
                <w:bCs/>
                <w:color w:val="auto"/>
                <w:lang w:val="en-US" w:eastAsia="zh-CN"/>
              </w:rPr>
              <w:t>-1</w:t>
            </w:r>
            <w:r>
              <w:rPr>
                <w:rFonts w:hint="eastAsia"/>
                <w:color w:val="auto"/>
              </w:rPr>
              <w:t xml:space="preserve">  环境保护图形符号一览表</w:t>
            </w:r>
          </w:p>
          <w:tbl>
            <w:tblPr>
              <w:tblStyle w:val="23"/>
              <w:tblW w:w="4997" w:type="pct"/>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9"/>
              <w:gridCol w:w="2932"/>
              <w:gridCol w:w="3052"/>
            </w:tblGrid>
            <w:tr w14:paraId="61F89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20" w:type="pct"/>
                  <w:noWrap w:val="0"/>
                  <w:vAlign w:val="center"/>
                </w:tcPr>
                <w:p w14:paraId="79B4DF76">
                  <w:pPr>
                    <w:adjustRightInd w:val="0"/>
                    <w:snapToGrid w:val="0"/>
                    <w:jc w:val="center"/>
                    <w:rPr>
                      <w:color w:val="auto"/>
                      <w:szCs w:val="21"/>
                    </w:rPr>
                  </w:pPr>
                  <w:r>
                    <w:rPr>
                      <w:rFonts w:hint="eastAsia"/>
                      <w:color w:val="auto"/>
                      <w:szCs w:val="21"/>
                    </w:rPr>
                    <w:t>图形标志</w:t>
                  </w:r>
                </w:p>
              </w:tc>
              <w:tc>
                <w:tcPr>
                  <w:tcW w:w="1900" w:type="pct"/>
                  <w:noWrap w:val="0"/>
                  <w:vAlign w:val="center"/>
                </w:tcPr>
                <w:p w14:paraId="422A1C79">
                  <w:pPr>
                    <w:adjustRightInd w:val="0"/>
                    <w:snapToGrid w:val="0"/>
                    <w:jc w:val="center"/>
                    <w:rPr>
                      <w:color w:val="auto"/>
                      <w:szCs w:val="21"/>
                    </w:rPr>
                  </w:pPr>
                  <w:r>
                    <w:rPr>
                      <w:rFonts w:hint="eastAsia"/>
                      <w:color w:val="auto"/>
                      <w:szCs w:val="21"/>
                    </w:rPr>
                    <w:t>图形代表意义</w:t>
                  </w:r>
                </w:p>
              </w:tc>
              <w:tc>
                <w:tcPr>
                  <w:tcW w:w="1978" w:type="pct"/>
                  <w:noWrap w:val="0"/>
                  <w:vAlign w:val="center"/>
                </w:tcPr>
                <w:p w14:paraId="70E9785E">
                  <w:pPr>
                    <w:adjustRightInd w:val="0"/>
                    <w:snapToGrid w:val="0"/>
                    <w:jc w:val="center"/>
                    <w:rPr>
                      <w:color w:val="auto"/>
                      <w:szCs w:val="21"/>
                    </w:rPr>
                  </w:pPr>
                  <w:r>
                    <w:rPr>
                      <w:rFonts w:hint="eastAsia"/>
                      <w:color w:val="auto"/>
                      <w:szCs w:val="21"/>
                    </w:rPr>
                    <w:t>符号简介</w:t>
                  </w:r>
                </w:p>
              </w:tc>
            </w:tr>
            <w:tr w14:paraId="2D02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3" w:hRule="atLeast"/>
              </w:trPr>
              <w:tc>
                <w:tcPr>
                  <w:tcW w:w="1120" w:type="pct"/>
                  <w:noWrap w:val="0"/>
                  <w:vAlign w:val="center"/>
                </w:tcPr>
                <w:p w14:paraId="31D0C5F6">
                  <w:pPr>
                    <w:rPr>
                      <w:color w:val="auto"/>
                    </w:rPr>
                  </w:pPr>
                  <w:r>
                    <w:rPr>
                      <w:color w:val="auto"/>
                    </w:rPr>
                    <w:drawing>
                      <wp:anchor distT="0" distB="0" distL="114300" distR="114300" simplePos="0" relativeHeight="251659264" behindDoc="0" locked="0" layoutInCell="1" allowOverlap="1">
                        <wp:simplePos x="0" y="0"/>
                        <wp:positionH relativeFrom="column">
                          <wp:posOffset>130810</wp:posOffset>
                        </wp:positionH>
                        <wp:positionV relativeFrom="paragraph">
                          <wp:posOffset>10795</wp:posOffset>
                        </wp:positionV>
                        <wp:extent cx="641350" cy="582295"/>
                        <wp:effectExtent l="0" t="0" r="6350" b="8255"/>
                        <wp:wrapNone/>
                        <wp:docPr id="14"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6"/>
                                <pic:cNvPicPr>
                                  <a:picLocks noChangeAspect="1"/>
                                </pic:cNvPicPr>
                              </pic:nvPicPr>
                              <pic:blipFill>
                                <a:blip r:embed="rId22"/>
                                <a:srcRect t="2487" b="6268"/>
                                <a:stretch>
                                  <a:fillRect/>
                                </a:stretch>
                              </pic:blipFill>
                              <pic:spPr>
                                <a:xfrm>
                                  <a:off x="0" y="0"/>
                                  <a:ext cx="641350" cy="582295"/>
                                </a:xfrm>
                                <a:prstGeom prst="rect">
                                  <a:avLst/>
                                </a:prstGeom>
                                <a:noFill/>
                                <a:ln>
                                  <a:noFill/>
                                </a:ln>
                              </pic:spPr>
                            </pic:pic>
                          </a:graphicData>
                        </a:graphic>
                      </wp:anchor>
                    </w:drawing>
                  </w:r>
                </w:p>
              </w:tc>
              <w:tc>
                <w:tcPr>
                  <w:tcW w:w="1900" w:type="pct"/>
                  <w:noWrap w:val="0"/>
                  <w:vAlign w:val="center"/>
                </w:tcPr>
                <w:p w14:paraId="337C0338">
                  <w:pPr>
                    <w:adjustRightInd w:val="0"/>
                    <w:snapToGrid w:val="0"/>
                    <w:jc w:val="center"/>
                    <w:rPr>
                      <w:rFonts w:hint="eastAsia"/>
                      <w:color w:val="auto"/>
                      <w:szCs w:val="21"/>
                    </w:rPr>
                  </w:pPr>
                  <w:r>
                    <w:rPr>
                      <w:rFonts w:hint="eastAsia"/>
                      <w:color w:val="auto"/>
                      <w:szCs w:val="21"/>
                    </w:rPr>
                    <w:t>标志名称：噪声排放源</w:t>
                  </w:r>
                </w:p>
                <w:p w14:paraId="28471802">
                  <w:pPr>
                    <w:adjustRightInd w:val="0"/>
                    <w:snapToGrid w:val="0"/>
                    <w:jc w:val="center"/>
                    <w:rPr>
                      <w:rFonts w:hint="eastAsia"/>
                      <w:color w:val="auto"/>
                      <w:szCs w:val="21"/>
                    </w:rPr>
                  </w:pPr>
                  <w:r>
                    <w:rPr>
                      <w:rFonts w:hint="eastAsia"/>
                      <w:color w:val="auto"/>
                      <w:szCs w:val="21"/>
                    </w:rPr>
                    <w:t>国标代码：GB15562.1-1995</w:t>
                  </w:r>
                </w:p>
              </w:tc>
              <w:tc>
                <w:tcPr>
                  <w:tcW w:w="1978" w:type="pct"/>
                  <w:noWrap w:val="0"/>
                  <w:vAlign w:val="center"/>
                </w:tcPr>
                <w:p w14:paraId="42312F36">
                  <w:pPr>
                    <w:adjustRightInd w:val="0"/>
                    <w:snapToGrid w:val="0"/>
                    <w:jc w:val="center"/>
                    <w:rPr>
                      <w:rFonts w:hint="eastAsia"/>
                      <w:color w:val="auto"/>
                      <w:szCs w:val="21"/>
                    </w:rPr>
                  </w:pPr>
                  <w:r>
                    <w:rPr>
                      <w:rFonts w:hint="eastAsia"/>
                      <w:color w:val="auto"/>
                      <w:szCs w:val="21"/>
                    </w:rPr>
                    <w:t>提示图形符号噪声排放源标识噪声向外环境排放</w:t>
                  </w:r>
                </w:p>
              </w:tc>
            </w:tr>
            <w:tr w14:paraId="2F109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1120" w:type="pct"/>
                  <w:noWrap w:val="0"/>
                  <w:vAlign w:val="center"/>
                </w:tcPr>
                <w:p w14:paraId="79239155">
                  <w:pPr>
                    <w:adjustRightInd w:val="0"/>
                    <w:snapToGrid w:val="0"/>
                    <w:jc w:val="center"/>
                    <w:rPr>
                      <w:color w:val="auto"/>
                    </w:rPr>
                  </w:pPr>
                  <w:r>
                    <w:rPr>
                      <w:color w:val="auto"/>
                    </w:rPr>
                    <w:drawing>
                      <wp:anchor distT="0" distB="0" distL="114300" distR="114300" simplePos="0" relativeHeight="251660288" behindDoc="0" locked="0" layoutInCell="1" allowOverlap="1">
                        <wp:simplePos x="0" y="0"/>
                        <wp:positionH relativeFrom="column">
                          <wp:posOffset>79375</wp:posOffset>
                        </wp:positionH>
                        <wp:positionV relativeFrom="paragraph">
                          <wp:posOffset>38735</wp:posOffset>
                        </wp:positionV>
                        <wp:extent cx="744855" cy="612140"/>
                        <wp:effectExtent l="0" t="0" r="17145" b="16510"/>
                        <wp:wrapNone/>
                        <wp:docPr id="15"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7"/>
                                <pic:cNvPicPr>
                                  <a:picLocks noChangeAspect="1"/>
                                </pic:cNvPicPr>
                              </pic:nvPicPr>
                              <pic:blipFill>
                                <a:blip r:embed="rId23"/>
                                <a:stretch>
                                  <a:fillRect/>
                                </a:stretch>
                              </pic:blipFill>
                              <pic:spPr>
                                <a:xfrm>
                                  <a:off x="0" y="0"/>
                                  <a:ext cx="744855" cy="612140"/>
                                </a:xfrm>
                                <a:prstGeom prst="rect">
                                  <a:avLst/>
                                </a:prstGeom>
                                <a:noFill/>
                                <a:ln>
                                  <a:noFill/>
                                </a:ln>
                              </pic:spPr>
                            </pic:pic>
                          </a:graphicData>
                        </a:graphic>
                      </wp:anchor>
                    </w:drawing>
                  </w:r>
                </w:p>
                <w:p w14:paraId="37601B95">
                  <w:pPr>
                    <w:pStyle w:val="18"/>
                    <w:ind w:left="840" w:hanging="420"/>
                    <w:rPr>
                      <w:rFonts w:hint="eastAsia"/>
                      <w:color w:val="auto"/>
                    </w:rPr>
                  </w:pPr>
                </w:p>
                <w:p w14:paraId="392F2E78">
                  <w:pPr>
                    <w:adjustRightInd w:val="0"/>
                    <w:snapToGrid w:val="0"/>
                    <w:rPr>
                      <w:color w:val="auto"/>
                      <w:szCs w:val="21"/>
                    </w:rPr>
                  </w:pPr>
                </w:p>
              </w:tc>
              <w:tc>
                <w:tcPr>
                  <w:tcW w:w="1900" w:type="pct"/>
                  <w:noWrap w:val="0"/>
                  <w:vAlign w:val="center"/>
                </w:tcPr>
                <w:p w14:paraId="1ADC5A5C">
                  <w:pPr>
                    <w:adjustRightInd w:val="0"/>
                    <w:snapToGrid w:val="0"/>
                    <w:jc w:val="center"/>
                    <w:rPr>
                      <w:color w:val="auto"/>
                      <w:szCs w:val="21"/>
                    </w:rPr>
                  </w:pPr>
                  <w:r>
                    <w:rPr>
                      <w:rFonts w:hint="eastAsia"/>
                      <w:color w:val="auto"/>
                      <w:szCs w:val="21"/>
                    </w:rPr>
                    <w:t>标志名称：固体废物提示</w:t>
                  </w:r>
                </w:p>
                <w:p w14:paraId="44A77C89">
                  <w:pPr>
                    <w:adjustRightInd w:val="0"/>
                    <w:snapToGrid w:val="0"/>
                    <w:jc w:val="center"/>
                    <w:rPr>
                      <w:color w:val="auto"/>
                      <w:szCs w:val="21"/>
                    </w:rPr>
                  </w:pPr>
                  <w:r>
                    <w:rPr>
                      <w:rFonts w:hint="eastAsia"/>
                      <w:color w:val="auto"/>
                      <w:szCs w:val="21"/>
                    </w:rPr>
                    <w:t>国标代码：GB15562.1-1995</w:t>
                  </w:r>
                </w:p>
              </w:tc>
              <w:tc>
                <w:tcPr>
                  <w:tcW w:w="1978" w:type="pct"/>
                  <w:noWrap w:val="0"/>
                  <w:vAlign w:val="center"/>
                </w:tcPr>
                <w:p w14:paraId="482ECD3B">
                  <w:pPr>
                    <w:adjustRightInd w:val="0"/>
                    <w:snapToGrid w:val="0"/>
                    <w:jc w:val="center"/>
                    <w:rPr>
                      <w:color w:val="auto"/>
                      <w:szCs w:val="21"/>
                    </w:rPr>
                  </w:pPr>
                  <w:r>
                    <w:rPr>
                      <w:rFonts w:hint="eastAsia"/>
                      <w:color w:val="auto"/>
                      <w:szCs w:val="21"/>
                    </w:rPr>
                    <w:t>固体废物提示</w:t>
                  </w:r>
                </w:p>
              </w:tc>
            </w:tr>
            <w:tr w14:paraId="3E870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trPr>
              <w:tc>
                <w:tcPr>
                  <w:tcW w:w="1120" w:type="pct"/>
                  <w:noWrap w:val="0"/>
                  <w:vAlign w:val="center"/>
                </w:tcPr>
                <w:p w14:paraId="0752584E">
                  <w:pPr>
                    <w:adjustRightInd w:val="0"/>
                    <w:snapToGrid w:val="0"/>
                    <w:jc w:val="center"/>
                    <w:rPr>
                      <w:rFonts w:hint="eastAsia"/>
                      <w:color w:val="auto"/>
                    </w:rPr>
                  </w:pPr>
                </w:p>
                <w:p w14:paraId="6E47DAB8">
                  <w:pPr>
                    <w:adjustRightInd w:val="0"/>
                    <w:snapToGrid w:val="0"/>
                    <w:jc w:val="center"/>
                    <w:rPr>
                      <w:rFonts w:hint="eastAsia"/>
                      <w:color w:val="auto"/>
                    </w:rPr>
                  </w:pPr>
                </w:p>
                <w:p w14:paraId="2AB9253F">
                  <w:pPr>
                    <w:adjustRightInd w:val="0"/>
                    <w:snapToGrid w:val="0"/>
                    <w:jc w:val="center"/>
                    <w:rPr>
                      <w:rFonts w:hint="eastAsia"/>
                      <w:color w:val="auto"/>
                    </w:rPr>
                  </w:pPr>
                  <w:r>
                    <w:rPr>
                      <w:rFonts w:hint="default" w:ascii="Times New Roman" w:hAnsi="Times New Roman" w:cs="Times New Roman"/>
                      <w:color w:val="auto"/>
                    </w:rPr>
                    <w:drawing>
                      <wp:inline distT="0" distB="0" distL="114300" distR="114300">
                        <wp:extent cx="873125" cy="544195"/>
                        <wp:effectExtent l="0" t="0" r="3175" b="8255"/>
                        <wp:docPr id="14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
                                <pic:cNvPicPr>
                                  <a:picLocks noChangeAspect="1"/>
                                </pic:cNvPicPr>
                              </pic:nvPicPr>
                              <pic:blipFill>
                                <a:blip r:embed="rId24"/>
                                <a:stretch>
                                  <a:fillRect/>
                                </a:stretch>
                              </pic:blipFill>
                              <pic:spPr>
                                <a:xfrm>
                                  <a:off x="0" y="0"/>
                                  <a:ext cx="873125" cy="544195"/>
                                </a:xfrm>
                                <a:prstGeom prst="rect">
                                  <a:avLst/>
                                </a:prstGeom>
                                <a:noFill/>
                                <a:ln>
                                  <a:noFill/>
                                </a:ln>
                              </pic:spPr>
                            </pic:pic>
                          </a:graphicData>
                        </a:graphic>
                      </wp:inline>
                    </w:drawing>
                  </w:r>
                </w:p>
                <w:p w14:paraId="25DDE864">
                  <w:pPr>
                    <w:adjustRightInd w:val="0"/>
                    <w:snapToGrid w:val="0"/>
                    <w:jc w:val="center"/>
                    <w:rPr>
                      <w:color w:val="auto"/>
                    </w:rPr>
                  </w:pPr>
                </w:p>
                <w:p w14:paraId="18F75073">
                  <w:pPr>
                    <w:rPr>
                      <w:rFonts w:hint="eastAsia" w:ascii="Times New Roman" w:hAnsi="Times New Roman" w:eastAsia="宋体" w:cs="Times New Roman"/>
                      <w:color w:val="auto"/>
                      <w:kern w:val="2"/>
                      <w:sz w:val="21"/>
                      <w:szCs w:val="24"/>
                      <w:lang w:val="en-US" w:eastAsia="zh-CN" w:bidi="ar-SA"/>
                    </w:rPr>
                  </w:pPr>
                </w:p>
              </w:tc>
              <w:tc>
                <w:tcPr>
                  <w:tcW w:w="1900" w:type="pct"/>
                  <w:noWrap w:val="0"/>
                  <w:vAlign w:val="center"/>
                </w:tcPr>
                <w:p w14:paraId="52A7A395">
                  <w:pPr>
                    <w:jc w:val="center"/>
                    <w:rPr>
                      <w:rFonts w:hint="eastAsia"/>
                      <w:color w:val="auto"/>
                    </w:rPr>
                  </w:pPr>
                  <w:r>
                    <w:rPr>
                      <w:rFonts w:hint="eastAsia"/>
                      <w:color w:val="auto"/>
                    </w:rPr>
                    <w:t>标志名称：危险废物</w:t>
                  </w:r>
                </w:p>
                <w:p w14:paraId="18B25AD6">
                  <w:pPr>
                    <w:jc w:val="center"/>
                    <w:rPr>
                      <w:rFonts w:hint="eastAsia" w:ascii="Times New Roman" w:hAnsi="Times New Roman" w:eastAsia="宋体" w:cs="Times New Roman"/>
                      <w:color w:val="auto"/>
                      <w:kern w:val="2"/>
                      <w:sz w:val="21"/>
                      <w:szCs w:val="21"/>
                      <w:lang w:val="en-US" w:eastAsia="zh-CN" w:bidi="ar-SA"/>
                    </w:rPr>
                  </w:pPr>
                  <w:r>
                    <w:rPr>
                      <w:rFonts w:hint="eastAsia"/>
                      <w:color w:val="auto"/>
                    </w:rPr>
                    <w:t>国标代码：</w:t>
                  </w:r>
                  <w:r>
                    <w:rPr>
                      <w:rFonts w:hint="eastAsia"/>
                      <w:color w:val="auto"/>
                      <w:lang w:val="en-US" w:eastAsia="zh-CN"/>
                    </w:rPr>
                    <w:t>《危险废物识别标志设置技术规范》（HJ1276-2022）</w:t>
                  </w:r>
                </w:p>
              </w:tc>
              <w:tc>
                <w:tcPr>
                  <w:tcW w:w="1978" w:type="pct"/>
                  <w:noWrap w:val="0"/>
                  <w:vAlign w:val="center"/>
                </w:tcPr>
                <w:p w14:paraId="4D18A33B">
                  <w:pPr>
                    <w:jc w:val="center"/>
                    <w:rPr>
                      <w:rFonts w:hint="eastAsia" w:ascii="Times New Roman" w:hAnsi="Times New Roman" w:eastAsia="宋体" w:cs="Times New Roman"/>
                      <w:color w:val="auto"/>
                      <w:kern w:val="2"/>
                      <w:sz w:val="21"/>
                      <w:szCs w:val="21"/>
                      <w:lang w:val="en-US" w:eastAsia="zh-CN" w:bidi="ar-SA"/>
                    </w:rPr>
                  </w:pPr>
                  <w:r>
                    <w:rPr>
                      <w:rFonts w:hint="eastAsia"/>
                      <w:color w:val="auto"/>
                      <w:lang w:val="en-US" w:eastAsia="zh-CN"/>
                    </w:rPr>
                    <w:t>表示危险废物贮存、处置场</w:t>
                  </w:r>
                </w:p>
              </w:tc>
            </w:tr>
          </w:tbl>
          <w:p w14:paraId="3842E3F1">
            <w:pPr>
              <w:adjustRightInd w:val="0"/>
              <w:snapToGrid w:val="0"/>
              <w:spacing w:line="360" w:lineRule="auto"/>
              <w:jc w:val="left"/>
              <w:rPr>
                <w:rFonts w:hint="default" w:eastAsia="宋体"/>
                <w:color w:val="auto"/>
                <w:szCs w:val="21"/>
                <w:lang w:val="en-US" w:eastAsia="zh-CN"/>
              </w:rPr>
            </w:pPr>
          </w:p>
        </w:tc>
      </w:tr>
    </w:tbl>
    <w:p w14:paraId="218E8C57">
      <w:pPr>
        <w:pStyle w:val="19"/>
        <w:spacing w:before="0" w:beforeAutospacing="0" w:after="0" w:afterAutospacing="0" w:line="360" w:lineRule="auto"/>
        <w:jc w:val="center"/>
        <w:outlineLvl w:val="0"/>
        <w:rPr>
          <w:rFonts w:ascii="Times New Roman" w:hAnsi="Times New Roman" w:eastAsia="黑体"/>
          <w:snapToGrid w:val="0"/>
          <w:color w:val="auto"/>
          <w:sz w:val="30"/>
          <w:szCs w:val="30"/>
        </w:rPr>
      </w:pPr>
      <w:r>
        <w:rPr>
          <w:rFonts w:ascii="Times New Roman" w:hAnsi="Times New Roman"/>
          <w:snapToGrid w:val="0"/>
          <w:color w:val="auto"/>
        </w:rPr>
        <w:br w:type="page"/>
      </w:r>
      <w:bookmarkStart w:id="7" w:name="_Toc75422662"/>
      <w:r>
        <w:rPr>
          <w:rFonts w:ascii="Times New Roman" w:hAnsi="Times New Roman" w:eastAsia="黑体"/>
          <w:snapToGrid w:val="0"/>
          <w:color w:val="auto"/>
          <w:sz w:val="30"/>
          <w:szCs w:val="30"/>
        </w:rPr>
        <w:t>六、结论</w:t>
      </w:r>
      <w:bookmarkEnd w:id="7"/>
    </w:p>
    <w:tbl>
      <w:tblPr>
        <w:tblStyle w:val="23"/>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32A2CA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6063D321">
            <w:pPr>
              <w:adjustRightInd w:val="0"/>
              <w:snapToGrid w:val="0"/>
              <w:spacing w:line="360" w:lineRule="auto"/>
              <w:ind w:firstLine="480" w:firstLineChars="200"/>
              <w:rPr>
                <w:color w:val="auto"/>
                <w:szCs w:val="21"/>
              </w:rPr>
            </w:pPr>
            <w:r>
              <w:rPr>
                <w:rFonts w:hint="eastAsia" w:ascii="宋体" w:hAnsi="宋体" w:cs="宋体"/>
                <w:color w:val="auto"/>
                <w:kern w:val="0"/>
                <w:sz w:val="24"/>
                <w:szCs w:val="24"/>
              </w:rPr>
              <w:t>从环境影响的角度分析，项目建设环境影响是可行的。</w:t>
            </w:r>
          </w:p>
        </w:tc>
      </w:tr>
    </w:tbl>
    <w:p w14:paraId="703697F4">
      <w:pPr>
        <w:rPr>
          <w:color w:val="auto"/>
        </w:rPr>
        <w:sectPr>
          <w:pgSz w:w="11905" w:h="16838"/>
          <w:pgMar w:top="1440" w:right="1531" w:bottom="1440" w:left="1531" w:header="851" w:footer="1077" w:gutter="0"/>
          <w:pgBorders>
            <w:top w:val="none" w:sz="0" w:space="0"/>
            <w:left w:val="none" w:sz="0" w:space="0"/>
            <w:bottom w:val="none" w:sz="0" w:space="0"/>
            <w:right w:val="none" w:sz="0" w:space="0"/>
          </w:pgBorders>
          <w:cols w:space="720" w:num="1"/>
          <w:docGrid w:linePitch="312" w:charSpace="0"/>
        </w:sectPr>
      </w:pPr>
    </w:p>
    <w:p w14:paraId="6804BFA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480" w:lineRule="auto"/>
        <w:textAlignment w:val="auto"/>
        <w:outlineLvl w:val="0"/>
        <w:rPr>
          <w:rFonts w:ascii="黑体" w:hAnsi="黑体" w:eastAsia="黑体"/>
          <w:snapToGrid w:val="0"/>
          <w:color w:val="auto"/>
          <w:sz w:val="32"/>
          <w:szCs w:val="32"/>
        </w:rPr>
      </w:pPr>
      <w:bookmarkStart w:id="8" w:name="_Toc75422664"/>
      <w:r>
        <w:rPr>
          <w:rFonts w:ascii="黑体" w:hAnsi="黑体" w:eastAsia="黑体"/>
          <w:snapToGrid w:val="0"/>
          <w:color w:val="auto"/>
          <w:sz w:val="32"/>
          <w:szCs w:val="32"/>
        </w:rPr>
        <w:t>附表</w:t>
      </w:r>
    </w:p>
    <w:p w14:paraId="72A0A29E">
      <w:pPr>
        <w:pStyle w:val="19"/>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center"/>
        <w:textAlignment w:val="auto"/>
        <w:outlineLvl w:val="0"/>
        <w:rPr>
          <w:rFonts w:ascii="方正小标宋_GBK" w:hAnsi="黑体" w:eastAsia="方正小标宋_GBK"/>
          <w:snapToGrid w:val="0"/>
          <w:color w:val="auto"/>
          <w:sz w:val="38"/>
          <w:szCs w:val="38"/>
        </w:rPr>
      </w:pPr>
      <w:bookmarkStart w:id="9" w:name="_Toc77424497"/>
      <w:r>
        <w:rPr>
          <w:rFonts w:ascii="方正小标宋_GBK" w:hAnsi="黑体" w:eastAsia="方正小标宋_GBK"/>
          <w:snapToGrid w:val="0"/>
          <w:color w:val="auto"/>
          <w:sz w:val="38"/>
          <w:szCs w:val="38"/>
        </w:rPr>
        <w:t>建设项目污染物排放量汇总表</w:t>
      </w:r>
      <w:bookmarkEnd w:id="9"/>
    </w:p>
    <w:tbl>
      <w:tblPr>
        <w:tblStyle w:val="23"/>
        <w:tblW w:w="1381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2438"/>
        <w:gridCol w:w="1546"/>
        <w:gridCol w:w="1021"/>
        <w:gridCol w:w="1563"/>
        <w:gridCol w:w="1402"/>
        <w:gridCol w:w="1368"/>
        <w:gridCol w:w="1834"/>
        <w:gridCol w:w="1409"/>
      </w:tblGrid>
      <w:tr w14:paraId="1A815E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1236" w:type="dxa"/>
            <w:tcBorders>
              <w:tl2br w:val="single" w:color="auto" w:sz="4" w:space="0"/>
            </w:tcBorders>
            <w:noWrap w:val="0"/>
            <w:tcMar>
              <w:left w:w="28" w:type="dxa"/>
              <w:right w:w="28" w:type="dxa"/>
            </w:tcMar>
            <w:vAlign w:val="center"/>
          </w:tcPr>
          <w:p w14:paraId="393119F6">
            <w:pPr>
              <w:pStyle w:val="43"/>
              <w:spacing w:beforeLines="0" w:afterLines="0" w:line="240" w:lineRule="auto"/>
              <w:rPr>
                <w:rFonts w:ascii="Times New Roman" w:eastAsia="黑体"/>
                <w:snapToGrid w:val="0"/>
                <w:color w:val="auto"/>
                <w:spacing w:val="-6"/>
                <w:kern w:val="21"/>
                <w:sz w:val="24"/>
                <w:szCs w:val="24"/>
              </w:rPr>
            </w:pPr>
            <w:r>
              <w:rPr>
                <w:rFonts w:hint="eastAsia" w:ascii="Times New Roman" w:eastAsia="黑体"/>
                <w:snapToGrid w:val="0"/>
                <w:color w:val="auto"/>
                <w:spacing w:val="-6"/>
                <w:kern w:val="21"/>
                <w:sz w:val="24"/>
                <w:szCs w:val="24"/>
              </w:rPr>
              <w:t xml:space="preserve">      </w:t>
            </w:r>
            <w:r>
              <w:rPr>
                <w:rFonts w:ascii="Times New Roman" w:eastAsia="黑体"/>
                <w:snapToGrid w:val="0"/>
                <w:color w:val="auto"/>
                <w:spacing w:val="-6"/>
                <w:kern w:val="21"/>
                <w:sz w:val="24"/>
                <w:szCs w:val="24"/>
              </w:rPr>
              <w:t>项目</w:t>
            </w:r>
          </w:p>
          <w:p w14:paraId="4AC9B09D">
            <w:pPr>
              <w:pStyle w:val="43"/>
              <w:spacing w:beforeLines="0" w:afterLines="0" w:line="240" w:lineRule="auto"/>
              <w:jc w:val="both"/>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分类</w:t>
            </w:r>
          </w:p>
        </w:tc>
        <w:tc>
          <w:tcPr>
            <w:tcW w:w="2438" w:type="dxa"/>
            <w:noWrap w:val="0"/>
            <w:tcMar>
              <w:left w:w="28" w:type="dxa"/>
              <w:right w:w="28" w:type="dxa"/>
            </w:tcMar>
            <w:vAlign w:val="center"/>
          </w:tcPr>
          <w:p w14:paraId="04F39463">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污染物名称</w:t>
            </w:r>
          </w:p>
        </w:tc>
        <w:tc>
          <w:tcPr>
            <w:tcW w:w="1546" w:type="dxa"/>
            <w:noWrap w:val="0"/>
            <w:tcMar>
              <w:left w:w="28" w:type="dxa"/>
              <w:right w:w="28" w:type="dxa"/>
            </w:tcMar>
            <w:vAlign w:val="center"/>
          </w:tcPr>
          <w:p w14:paraId="23ACF78B">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现有工程</w:t>
            </w:r>
          </w:p>
          <w:p w14:paraId="552DD578">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排放量（固体废物产生量）</w:t>
            </w:r>
            <w:r>
              <w:rPr>
                <w:rFonts w:ascii="Times New Roman" w:eastAsia="黑体"/>
                <w:snapToGrid w:val="0"/>
                <w:color w:val="auto"/>
                <w:spacing w:val="-6"/>
                <w:kern w:val="21"/>
                <w:sz w:val="24"/>
                <w:szCs w:val="24"/>
              </w:rPr>
              <w:fldChar w:fldCharType="begin"/>
            </w:r>
            <w:r>
              <w:rPr>
                <w:rFonts w:ascii="Times New Roman" w:eastAsia="黑体"/>
                <w:snapToGrid w:val="0"/>
                <w:color w:val="auto"/>
                <w:spacing w:val="-6"/>
                <w:kern w:val="21"/>
                <w:sz w:val="24"/>
                <w:szCs w:val="24"/>
              </w:rPr>
              <w:instrText xml:space="preserve"> = 1 \* GB3 \* MERGEFORMAT </w:instrText>
            </w:r>
            <w:r>
              <w:rPr>
                <w:rFonts w:ascii="Times New Roman" w:eastAsia="黑体"/>
                <w:snapToGrid w:val="0"/>
                <w:color w:val="auto"/>
                <w:spacing w:val="-6"/>
                <w:kern w:val="21"/>
                <w:sz w:val="24"/>
                <w:szCs w:val="24"/>
              </w:rPr>
              <w:fldChar w:fldCharType="separate"/>
            </w:r>
            <w:r>
              <w:rPr>
                <w:rFonts w:ascii="Times New Roman" w:eastAsia="黑体"/>
                <w:snapToGrid w:val="0"/>
                <w:color w:val="auto"/>
                <w:spacing w:val="-6"/>
                <w:kern w:val="21"/>
                <w:sz w:val="24"/>
                <w:szCs w:val="24"/>
              </w:rPr>
              <w:t>①</w:t>
            </w:r>
            <w:r>
              <w:rPr>
                <w:rFonts w:ascii="Times New Roman" w:eastAsia="黑体"/>
                <w:snapToGrid w:val="0"/>
                <w:color w:val="auto"/>
                <w:spacing w:val="-6"/>
                <w:kern w:val="21"/>
                <w:sz w:val="24"/>
                <w:szCs w:val="24"/>
              </w:rPr>
              <w:fldChar w:fldCharType="end"/>
            </w:r>
          </w:p>
        </w:tc>
        <w:tc>
          <w:tcPr>
            <w:tcW w:w="1021" w:type="dxa"/>
            <w:noWrap w:val="0"/>
            <w:tcMar>
              <w:left w:w="28" w:type="dxa"/>
              <w:right w:w="28" w:type="dxa"/>
            </w:tcMar>
            <w:vAlign w:val="center"/>
          </w:tcPr>
          <w:p w14:paraId="6331D7FD">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现有工程</w:t>
            </w:r>
          </w:p>
          <w:p w14:paraId="16150316">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许可排放量</w:t>
            </w:r>
            <w:r>
              <w:rPr>
                <w:rFonts w:ascii="Times New Roman" w:eastAsia="黑体"/>
                <w:snapToGrid w:val="0"/>
                <w:color w:val="auto"/>
                <w:spacing w:val="-6"/>
                <w:kern w:val="21"/>
                <w:sz w:val="24"/>
                <w:szCs w:val="24"/>
              </w:rPr>
              <w:fldChar w:fldCharType="begin"/>
            </w:r>
            <w:r>
              <w:rPr>
                <w:rFonts w:ascii="Times New Roman" w:eastAsia="黑体"/>
                <w:snapToGrid w:val="0"/>
                <w:color w:val="auto"/>
                <w:spacing w:val="-6"/>
                <w:kern w:val="21"/>
                <w:sz w:val="24"/>
                <w:szCs w:val="24"/>
              </w:rPr>
              <w:instrText xml:space="preserve"> = 2 \* GB3 \* MERGEFORMAT </w:instrText>
            </w:r>
            <w:r>
              <w:rPr>
                <w:rFonts w:ascii="Times New Roman" w:eastAsia="黑体"/>
                <w:snapToGrid w:val="0"/>
                <w:color w:val="auto"/>
                <w:spacing w:val="-6"/>
                <w:kern w:val="21"/>
                <w:sz w:val="24"/>
                <w:szCs w:val="24"/>
              </w:rPr>
              <w:fldChar w:fldCharType="separate"/>
            </w:r>
            <w:r>
              <w:rPr>
                <w:rFonts w:ascii="Times New Roman" w:eastAsia="黑体"/>
                <w:snapToGrid w:val="0"/>
                <w:color w:val="auto"/>
                <w:spacing w:val="-6"/>
                <w:kern w:val="21"/>
                <w:sz w:val="24"/>
                <w:szCs w:val="24"/>
              </w:rPr>
              <w:t>②</w:t>
            </w:r>
            <w:r>
              <w:rPr>
                <w:rFonts w:ascii="Times New Roman" w:eastAsia="黑体"/>
                <w:snapToGrid w:val="0"/>
                <w:color w:val="auto"/>
                <w:spacing w:val="-6"/>
                <w:kern w:val="21"/>
                <w:sz w:val="24"/>
                <w:szCs w:val="24"/>
              </w:rPr>
              <w:fldChar w:fldCharType="end"/>
            </w:r>
          </w:p>
        </w:tc>
        <w:tc>
          <w:tcPr>
            <w:tcW w:w="1563" w:type="dxa"/>
            <w:noWrap w:val="0"/>
            <w:tcMar>
              <w:left w:w="28" w:type="dxa"/>
              <w:right w:w="28" w:type="dxa"/>
            </w:tcMar>
            <w:vAlign w:val="center"/>
          </w:tcPr>
          <w:p w14:paraId="3335926C">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在建工程</w:t>
            </w:r>
          </w:p>
          <w:p w14:paraId="69613135">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排放量（固体废物产生量）</w:t>
            </w:r>
            <w:r>
              <w:rPr>
                <w:rFonts w:ascii="Times New Roman" w:eastAsia="黑体"/>
                <w:snapToGrid w:val="0"/>
                <w:color w:val="auto"/>
                <w:spacing w:val="-6"/>
                <w:kern w:val="21"/>
                <w:sz w:val="24"/>
                <w:szCs w:val="24"/>
              </w:rPr>
              <w:fldChar w:fldCharType="begin"/>
            </w:r>
            <w:r>
              <w:rPr>
                <w:rFonts w:ascii="Times New Roman" w:eastAsia="黑体"/>
                <w:snapToGrid w:val="0"/>
                <w:color w:val="auto"/>
                <w:spacing w:val="-6"/>
                <w:kern w:val="21"/>
                <w:sz w:val="24"/>
                <w:szCs w:val="24"/>
              </w:rPr>
              <w:instrText xml:space="preserve"> = 3 \* GB3 \* MERGEFORMAT </w:instrText>
            </w:r>
            <w:r>
              <w:rPr>
                <w:rFonts w:ascii="Times New Roman" w:eastAsia="黑体"/>
                <w:snapToGrid w:val="0"/>
                <w:color w:val="auto"/>
                <w:spacing w:val="-6"/>
                <w:kern w:val="21"/>
                <w:sz w:val="24"/>
                <w:szCs w:val="24"/>
              </w:rPr>
              <w:fldChar w:fldCharType="separate"/>
            </w:r>
            <w:r>
              <w:rPr>
                <w:rFonts w:ascii="Times New Roman" w:eastAsia="黑体"/>
                <w:snapToGrid w:val="0"/>
                <w:color w:val="auto"/>
                <w:spacing w:val="-6"/>
                <w:kern w:val="21"/>
                <w:sz w:val="24"/>
                <w:szCs w:val="24"/>
              </w:rPr>
              <w:t>③</w:t>
            </w:r>
            <w:r>
              <w:rPr>
                <w:rFonts w:ascii="Times New Roman" w:eastAsia="黑体"/>
                <w:snapToGrid w:val="0"/>
                <w:color w:val="auto"/>
                <w:spacing w:val="-6"/>
                <w:kern w:val="21"/>
                <w:sz w:val="24"/>
                <w:szCs w:val="24"/>
              </w:rPr>
              <w:fldChar w:fldCharType="end"/>
            </w:r>
          </w:p>
        </w:tc>
        <w:tc>
          <w:tcPr>
            <w:tcW w:w="1402" w:type="dxa"/>
            <w:noWrap w:val="0"/>
            <w:tcMar>
              <w:left w:w="28" w:type="dxa"/>
              <w:right w:w="28" w:type="dxa"/>
            </w:tcMar>
            <w:vAlign w:val="center"/>
          </w:tcPr>
          <w:p w14:paraId="4F15628D">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本项目排放量（固体废物产生量）</w:t>
            </w:r>
            <w:r>
              <w:rPr>
                <w:rFonts w:ascii="Times New Roman" w:eastAsia="黑体"/>
                <w:snapToGrid w:val="0"/>
                <w:color w:val="auto"/>
                <w:spacing w:val="-6"/>
                <w:kern w:val="21"/>
                <w:sz w:val="24"/>
                <w:szCs w:val="24"/>
              </w:rPr>
              <w:fldChar w:fldCharType="begin"/>
            </w:r>
            <w:r>
              <w:rPr>
                <w:rFonts w:ascii="Times New Roman" w:eastAsia="黑体"/>
                <w:snapToGrid w:val="0"/>
                <w:color w:val="auto"/>
                <w:spacing w:val="-6"/>
                <w:kern w:val="21"/>
                <w:sz w:val="24"/>
                <w:szCs w:val="24"/>
              </w:rPr>
              <w:instrText xml:space="preserve"> = 4 \* GB3 \* MERGEFORMAT </w:instrText>
            </w:r>
            <w:r>
              <w:rPr>
                <w:rFonts w:ascii="Times New Roman" w:eastAsia="黑体"/>
                <w:snapToGrid w:val="0"/>
                <w:color w:val="auto"/>
                <w:spacing w:val="-6"/>
                <w:kern w:val="21"/>
                <w:sz w:val="24"/>
                <w:szCs w:val="24"/>
              </w:rPr>
              <w:fldChar w:fldCharType="separate"/>
            </w:r>
            <w:r>
              <w:rPr>
                <w:rFonts w:ascii="Times New Roman" w:eastAsia="黑体"/>
                <w:snapToGrid w:val="0"/>
                <w:color w:val="auto"/>
                <w:spacing w:val="-6"/>
                <w:kern w:val="21"/>
                <w:sz w:val="24"/>
                <w:szCs w:val="24"/>
              </w:rPr>
              <w:t>④</w:t>
            </w:r>
            <w:r>
              <w:rPr>
                <w:rFonts w:ascii="Times New Roman" w:eastAsia="黑体"/>
                <w:snapToGrid w:val="0"/>
                <w:color w:val="auto"/>
                <w:spacing w:val="-6"/>
                <w:kern w:val="21"/>
                <w:sz w:val="24"/>
                <w:szCs w:val="24"/>
              </w:rPr>
              <w:fldChar w:fldCharType="end"/>
            </w:r>
          </w:p>
        </w:tc>
        <w:tc>
          <w:tcPr>
            <w:tcW w:w="1368" w:type="dxa"/>
            <w:noWrap w:val="0"/>
            <w:tcMar>
              <w:left w:w="28" w:type="dxa"/>
              <w:right w:w="28" w:type="dxa"/>
            </w:tcMar>
            <w:vAlign w:val="center"/>
          </w:tcPr>
          <w:p w14:paraId="790525B6">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以新带老削减量（新建项目不填）</w:t>
            </w:r>
            <w:r>
              <w:rPr>
                <w:rFonts w:ascii="Times New Roman" w:eastAsia="黑体"/>
                <w:snapToGrid w:val="0"/>
                <w:color w:val="auto"/>
                <w:spacing w:val="-6"/>
                <w:kern w:val="21"/>
                <w:sz w:val="24"/>
                <w:szCs w:val="24"/>
              </w:rPr>
              <w:fldChar w:fldCharType="begin"/>
            </w:r>
            <w:r>
              <w:rPr>
                <w:rFonts w:ascii="Times New Roman" w:eastAsia="黑体"/>
                <w:snapToGrid w:val="0"/>
                <w:color w:val="auto"/>
                <w:spacing w:val="-6"/>
                <w:kern w:val="21"/>
                <w:sz w:val="24"/>
                <w:szCs w:val="24"/>
              </w:rPr>
              <w:instrText xml:space="preserve"> = 5 \* GB3 \* MERGEFORMAT </w:instrText>
            </w:r>
            <w:r>
              <w:rPr>
                <w:rFonts w:ascii="Times New Roman" w:eastAsia="黑体"/>
                <w:snapToGrid w:val="0"/>
                <w:color w:val="auto"/>
                <w:spacing w:val="-6"/>
                <w:kern w:val="21"/>
                <w:sz w:val="24"/>
                <w:szCs w:val="24"/>
              </w:rPr>
              <w:fldChar w:fldCharType="separate"/>
            </w:r>
            <w:r>
              <w:rPr>
                <w:rFonts w:ascii="Times New Roman" w:eastAsia="黑体"/>
                <w:snapToGrid w:val="0"/>
                <w:color w:val="auto"/>
                <w:spacing w:val="-6"/>
                <w:kern w:val="21"/>
                <w:sz w:val="24"/>
                <w:szCs w:val="24"/>
              </w:rPr>
              <w:t>⑤</w:t>
            </w:r>
            <w:r>
              <w:rPr>
                <w:rFonts w:ascii="Times New Roman" w:eastAsia="黑体"/>
                <w:snapToGrid w:val="0"/>
                <w:color w:val="auto"/>
                <w:spacing w:val="-6"/>
                <w:kern w:val="21"/>
                <w:sz w:val="24"/>
                <w:szCs w:val="24"/>
              </w:rPr>
              <w:fldChar w:fldCharType="end"/>
            </w:r>
          </w:p>
        </w:tc>
        <w:tc>
          <w:tcPr>
            <w:tcW w:w="1834" w:type="dxa"/>
            <w:noWrap w:val="0"/>
            <w:tcMar>
              <w:left w:w="28" w:type="dxa"/>
              <w:right w:w="28" w:type="dxa"/>
            </w:tcMar>
            <w:vAlign w:val="center"/>
          </w:tcPr>
          <w:p w14:paraId="163A956A">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本项目建成后</w:t>
            </w:r>
          </w:p>
          <w:p w14:paraId="216ECDDF">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全厂排放量（固体废物产生量）</w:t>
            </w:r>
            <w:r>
              <w:rPr>
                <w:rFonts w:ascii="Times New Roman" w:eastAsia="黑体"/>
                <w:snapToGrid w:val="0"/>
                <w:color w:val="auto"/>
                <w:spacing w:val="-6"/>
                <w:kern w:val="21"/>
                <w:sz w:val="24"/>
                <w:szCs w:val="24"/>
              </w:rPr>
              <w:fldChar w:fldCharType="begin"/>
            </w:r>
            <w:r>
              <w:rPr>
                <w:rFonts w:ascii="Times New Roman" w:eastAsia="黑体"/>
                <w:snapToGrid w:val="0"/>
                <w:color w:val="auto"/>
                <w:spacing w:val="-6"/>
                <w:kern w:val="21"/>
                <w:sz w:val="24"/>
                <w:szCs w:val="24"/>
              </w:rPr>
              <w:instrText xml:space="preserve"> = 6 \* GB3 \* MERGEFORMAT </w:instrText>
            </w:r>
            <w:r>
              <w:rPr>
                <w:rFonts w:ascii="Times New Roman" w:eastAsia="黑体"/>
                <w:snapToGrid w:val="0"/>
                <w:color w:val="auto"/>
                <w:spacing w:val="-6"/>
                <w:kern w:val="21"/>
                <w:sz w:val="24"/>
                <w:szCs w:val="24"/>
              </w:rPr>
              <w:fldChar w:fldCharType="separate"/>
            </w:r>
            <w:r>
              <w:rPr>
                <w:rFonts w:ascii="Times New Roman" w:eastAsia="黑体"/>
                <w:snapToGrid w:val="0"/>
                <w:color w:val="auto"/>
                <w:spacing w:val="-6"/>
                <w:kern w:val="21"/>
                <w:sz w:val="24"/>
                <w:szCs w:val="24"/>
              </w:rPr>
              <w:t>⑥</w:t>
            </w:r>
            <w:r>
              <w:rPr>
                <w:rFonts w:ascii="Times New Roman" w:eastAsia="黑体"/>
                <w:snapToGrid w:val="0"/>
                <w:color w:val="auto"/>
                <w:spacing w:val="-6"/>
                <w:kern w:val="21"/>
                <w:sz w:val="24"/>
                <w:szCs w:val="24"/>
              </w:rPr>
              <w:fldChar w:fldCharType="end"/>
            </w:r>
          </w:p>
        </w:tc>
        <w:tc>
          <w:tcPr>
            <w:tcW w:w="1409" w:type="dxa"/>
            <w:noWrap w:val="0"/>
            <w:tcMar>
              <w:left w:w="28" w:type="dxa"/>
              <w:right w:w="28" w:type="dxa"/>
            </w:tcMar>
            <w:vAlign w:val="center"/>
          </w:tcPr>
          <w:p w14:paraId="4A4407DD">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t>变化量</w:t>
            </w:r>
          </w:p>
          <w:p w14:paraId="465BA0F8">
            <w:pPr>
              <w:pStyle w:val="43"/>
              <w:spacing w:beforeLines="0" w:afterLines="0" w:line="240" w:lineRule="auto"/>
              <w:rPr>
                <w:rFonts w:ascii="Times New Roman" w:eastAsia="黑体"/>
                <w:snapToGrid w:val="0"/>
                <w:color w:val="auto"/>
                <w:spacing w:val="-6"/>
                <w:kern w:val="21"/>
                <w:sz w:val="24"/>
                <w:szCs w:val="24"/>
              </w:rPr>
            </w:pPr>
            <w:r>
              <w:rPr>
                <w:rFonts w:ascii="Times New Roman" w:eastAsia="黑体"/>
                <w:snapToGrid w:val="0"/>
                <w:color w:val="auto"/>
                <w:spacing w:val="-6"/>
                <w:kern w:val="21"/>
                <w:sz w:val="24"/>
                <w:szCs w:val="24"/>
              </w:rPr>
              <w:fldChar w:fldCharType="begin"/>
            </w:r>
            <w:r>
              <w:rPr>
                <w:rFonts w:ascii="Times New Roman" w:eastAsia="黑体"/>
                <w:snapToGrid w:val="0"/>
                <w:color w:val="auto"/>
                <w:spacing w:val="-6"/>
                <w:kern w:val="21"/>
                <w:sz w:val="24"/>
                <w:szCs w:val="24"/>
              </w:rPr>
              <w:instrText xml:space="preserve"> = 7 \* GB3 \* MERGEFORMAT </w:instrText>
            </w:r>
            <w:r>
              <w:rPr>
                <w:rFonts w:ascii="Times New Roman" w:eastAsia="黑体"/>
                <w:snapToGrid w:val="0"/>
                <w:color w:val="auto"/>
                <w:spacing w:val="-6"/>
                <w:kern w:val="21"/>
                <w:sz w:val="24"/>
                <w:szCs w:val="24"/>
              </w:rPr>
              <w:fldChar w:fldCharType="separate"/>
            </w:r>
            <w:r>
              <w:rPr>
                <w:rFonts w:ascii="Times New Roman" w:eastAsia="黑体"/>
                <w:snapToGrid w:val="0"/>
                <w:color w:val="auto"/>
                <w:spacing w:val="-6"/>
                <w:kern w:val="21"/>
                <w:sz w:val="24"/>
                <w:szCs w:val="24"/>
              </w:rPr>
              <w:t>⑦</w:t>
            </w:r>
            <w:r>
              <w:rPr>
                <w:rFonts w:ascii="Times New Roman" w:eastAsia="黑体"/>
                <w:snapToGrid w:val="0"/>
                <w:color w:val="auto"/>
                <w:spacing w:val="-6"/>
                <w:kern w:val="21"/>
                <w:sz w:val="24"/>
                <w:szCs w:val="24"/>
              </w:rPr>
              <w:fldChar w:fldCharType="end"/>
            </w:r>
          </w:p>
        </w:tc>
      </w:tr>
      <w:tr w14:paraId="6F84874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236" w:type="dxa"/>
            <w:noWrap w:val="0"/>
            <w:tcMar>
              <w:left w:w="28" w:type="dxa"/>
              <w:right w:w="28" w:type="dxa"/>
            </w:tcMar>
            <w:vAlign w:val="center"/>
          </w:tcPr>
          <w:p w14:paraId="591AC19E">
            <w:pPr>
              <w:pStyle w:val="43"/>
              <w:spacing w:beforeLines="0" w:afterLines="0" w:line="240" w:lineRule="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废气</w:t>
            </w:r>
          </w:p>
        </w:tc>
        <w:tc>
          <w:tcPr>
            <w:tcW w:w="2438" w:type="dxa"/>
            <w:noWrap w:val="0"/>
            <w:tcMar>
              <w:left w:w="28" w:type="dxa"/>
              <w:right w:w="28" w:type="dxa"/>
            </w:tcMar>
            <w:vAlign w:val="center"/>
          </w:tcPr>
          <w:p w14:paraId="2E3F64DB">
            <w:pPr>
              <w:pStyle w:val="43"/>
              <w:spacing w:beforeLines="0" w:afterLines="0" w:line="240" w:lineRule="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颗粒物</w:t>
            </w:r>
          </w:p>
        </w:tc>
        <w:tc>
          <w:tcPr>
            <w:tcW w:w="1546" w:type="dxa"/>
            <w:noWrap w:val="0"/>
            <w:tcMar>
              <w:left w:w="28" w:type="dxa"/>
              <w:right w:w="28" w:type="dxa"/>
            </w:tcMar>
            <w:vAlign w:val="center"/>
          </w:tcPr>
          <w:p w14:paraId="545507B9">
            <w:pPr>
              <w:pStyle w:val="43"/>
              <w:spacing w:beforeLines="0" w:afterLines="0" w:line="240" w:lineRule="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w:t>
            </w:r>
          </w:p>
        </w:tc>
        <w:tc>
          <w:tcPr>
            <w:tcW w:w="1021" w:type="dxa"/>
            <w:noWrap w:val="0"/>
            <w:tcMar>
              <w:left w:w="28" w:type="dxa"/>
              <w:right w:w="28" w:type="dxa"/>
            </w:tcMar>
            <w:vAlign w:val="center"/>
          </w:tcPr>
          <w:p w14:paraId="7D8D997A">
            <w:pPr>
              <w:pStyle w:val="43"/>
              <w:spacing w:beforeLines="0" w:afterLines="0" w:line="240" w:lineRule="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w:t>
            </w:r>
          </w:p>
        </w:tc>
        <w:tc>
          <w:tcPr>
            <w:tcW w:w="1563" w:type="dxa"/>
            <w:noWrap w:val="0"/>
            <w:tcMar>
              <w:left w:w="28" w:type="dxa"/>
              <w:right w:w="28" w:type="dxa"/>
            </w:tcMar>
            <w:vAlign w:val="center"/>
          </w:tcPr>
          <w:p w14:paraId="379403E0">
            <w:pPr>
              <w:pStyle w:val="43"/>
              <w:spacing w:beforeLines="0" w:afterLines="0" w:line="240" w:lineRule="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w:t>
            </w:r>
          </w:p>
        </w:tc>
        <w:tc>
          <w:tcPr>
            <w:tcW w:w="1402" w:type="dxa"/>
            <w:noWrap w:val="0"/>
            <w:tcMar>
              <w:left w:w="28" w:type="dxa"/>
              <w:right w:w="28" w:type="dxa"/>
            </w:tcMar>
            <w:vAlign w:val="center"/>
          </w:tcPr>
          <w:p w14:paraId="0344BC80">
            <w:pPr>
              <w:pStyle w:val="43"/>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w:t>
            </w:r>
            <w:r>
              <w:rPr>
                <w:rFonts w:hint="eastAsia" w:ascii="Times New Roman" w:cs="Times New Roman"/>
                <w:snapToGrid w:val="0"/>
                <w:color w:val="auto"/>
                <w:kern w:val="21"/>
                <w:sz w:val="24"/>
                <w:szCs w:val="24"/>
                <w:lang w:val="en-US" w:eastAsia="zh-CN"/>
              </w:rPr>
              <w:t>13</w:t>
            </w:r>
            <w:r>
              <w:rPr>
                <w:rFonts w:hint="eastAsia" w:ascii="Times New Roman" w:hAnsi="Times New Roman" w:eastAsia="宋体" w:cs="Times New Roman"/>
                <w:snapToGrid w:val="0"/>
                <w:color w:val="auto"/>
                <w:kern w:val="21"/>
                <w:sz w:val="24"/>
                <w:szCs w:val="24"/>
                <w:lang w:val="en-US" w:eastAsia="zh-CN"/>
              </w:rPr>
              <w:t>t/a</w:t>
            </w:r>
          </w:p>
        </w:tc>
        <w:tc>
          <w:tcPr>
            <w:tcW w:w="1368" w:type="dxa"/>
            <w:noWrap w:val="0"/>
            <w:tcMar>
              <w:left w:w="28" w:type="dxa"/>
              <w:right w:w="28" w:type="dxa"/>
            </w:tcMar>
            <w:vAlign w:val="center"/>
          </w:tcPr>
          <w:p w14:paraId="096A8FB1">
            <w:pPr>
              <w:pStyle w:val="43"/>
              <w:spacing w:beforeLines="0" w:afterLines="0" w:line="240" w:lineRule="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w:t>
            </w:r>
          </w:p>
        </w:tc>
        <w:tc>
          <w:tcPr>
            <w:tcW w:w="1834" w:type="dxa"/>
            <w:noWrap w:val="0"/>
            <w:tcMar>
              <w:left w:w="28" w:type="dxa"/>
              <w:right w:w="28" w:type="dxa"/>
            </w:tcMar>
            <w:vAlign w:val="center"/>
          </w:tcPr>
          <w:p w14:paraId="3A1115B9">
            <w:pPr>
              <w:pStyle w:val="43"/>
              <w:spacing w:beforeLines="0" w:afterLines="0" w:line="240" w:lineRule="auto"/>
              <w:rPr>
                <w:rFonts w:ascii="Times New Roman" w:hAnsi="Times New Roman" w:eastAsia="宋体" w:cs="Times New Roman"/>
                <w:snapToGrid w:val="0"/>
                <w:color w:val="auto"/>
                <w:kern w:val="21"/>
                <w:sz w:val="24"/>
                <w:szCs w:val="24"/>
              </w:rPr>
            </w:pPr>
            <w:r>
              <w:rPr>
                <w:rFonts w:hint="eastAsia" w:ascii="Times New Roman" w:hAnsi="Times New Roman" w:eastAsia="宋体" w:cs="Times New Roman"/>
                <w:snapToGrid w:val="0"/>
                <w:color w:val="auto"/>
                <w:kern w:val="21"/>
                <w:sz w:val="24"/>
                <w:szCs w:val="24"/>
                <w:lang w:val="en-US" w:eastAsia="zh-CN"/>
              </w:rPr>
              <w:t>0.0</w:t>
            </w:r>
            <w:r>
              <w:rPr>
                <w:rFonts w:hint="eastAsia" w:ascii="Times New Roman" w:cs="Times New Roman"/>
                <w:snapToGrid w:val="0"/>
                <w:color w:val="auto"/>
                <w:kern w:val="21"/>
                <w:sz w:val="24"/>
                <w:szCs w:val="24"/>
                <w:lang w:val="en-US" w:eastAsia="zh-CN"/>
              </w:rPr>
              <w:t>13</w:t>
            </w:r>
            <w:r>
              <w:rPr>
                <w:rFonts w:hint="eastAsia" w:ascii="Times New Roman" w:hAnsi="Times New Roman" w:eastAsia="宋体" w:cs="Times New Roman"/>
                <w:snapToGrid w:val="0"/>
                <w:color w:val="auto"/>
                <w:kern w:val="21"/>
                <w:sz w:val="24"/>
                <w:szCs w:val="24"/>
                <w:lang w:val="en-US" w:eastAsia="zh-CN"/>
              </w:rPr>
              <w:t>t/a</w:t>
            </w:r>
          </w:p>
        </w:tc>
        <w:tc>
          <w:tcPr>
            <w:tcW w:w="1409" w:type="dxa"/>
            <w:noWrap w:val="0"/>
            <w:tcMar>
              <w:left w:w="28" w:type="dxa"/>
              <w:right w:w="28" w:type="dxa"/>
            </w:tcMar>
            <w:vAlign w:val="center"/>
          </w:tcPr>
          <w:p w14:paraId="13466A82">
            <w:pPr>
              <w:pStyle w:val="43"/>
              <w:spacing w:beforeLines="0" w:afterLines="0" w:line="240" w:lineRule="auto"/>
              <w:rPr>
                <w:rFonts w:hint="eastAsia"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+0.0</w:t>
            </w:r>
            <w:r>
              <w:rPr>
                <w:rFonts w:hint="eastAsia" w:ascii="Times New Roman" w:cs="Times New Roman"/>
                <w:snapToGrid w:val="0"/>
                <w:color w:val="auto"/>
                <w:kern w:val="21"/>
                <w:sz w:val="24"/>
                <w:szCs w:val="24"/>
                <w:lang w:val="en-US" w:eastAsia="zh-CN"/>
              </w:rPr>
              <w:t>13</w:t>
            </w:r>
            <w:r>
              <w:rPr>
                <w:rFonts w:hint="eastAsia" w:ascii="Times New Roman" w:hAnsi="Times New Roman" w:eastAsia="宋体" w:cs="Times New Roman"/>
                <w:snapToGrid w:val="0"/>
                <w:color w:val="auto"/>
                <w:kern w:val="21"/>
                <w:sz w:val="24"/>
                <w:szCs w:val="24"/>
                <w:lang w:val="en-US" w:eastAsia="zh-CN"/>
              </w:rPr>
              <w:t>t/a</w:t>
            </w:r>
          </w:p>
        </w:tc>
      </w:tr>
      <w:tr w14:paraId="11C6FDB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36" w:type="dxa"/>
            <w:noWrap w:val="0"/>
            <w:vAlign w:val="center"/>
          </w:tcPr>
          <w:p w14:paraId="6A089AD6">
            <w:pPr>
              <w:pStyle w:val="43"/>
              <w:spacing w:beforeLines="0" w:afterLines="0" w:line="240" w:lineRule="auto"/>
              <w:rPr>
                <w:rFonts w:ascii="Times New Roman"/>
                <w:snapToGrid w:val="0"/>
                <w:color w:val="auto"/>
                <w:kern w:val="21"/>
                <w:sz w:val="24"/>
                <w:szCs w:val="24"/>
              </w:rPr>
            </w:pPr>
            <w:r>
              <w:rPr>
                <w:rFonts w:ascii="Times New Roman"/>
                <w:snapToGrid w:val="0"/>
                <w:color w:val="auto"/>
                <w:kern w:val="21"/>
                <w:sz w:val="24"/>
                <w:szCs w:val="24"/>
              </w:rPr>
              <w:t>废水</w:t>
            </w:r>
          </w:p>
        </w:tc>
        <w:tc>
          <w:tcPr>
            <w:tcW w:w="2438" w:type="dxa"/>
            <w:noWrap w:val="0"/>
            <w:vAlign w:val="center"/>
          </w:tcPr>
          <w:p w14:paraId="3E8F32EF">
            <w:pPr>
              <w:pStyle w:val="43"/>
              <w:spacing w:beforeLines="0" w:afterLines="0" w:line="240" w:lineRule="auto"/>
              <w:rPr>
                <w:rFonts w:ascii="Times New Roman"/>
                <w:snapToGrid w:val="0"/>
                <w:color w:val="auto"/>
                <w:kern w:val="21"/>
                <w:sz w:val="24"/>
                <w:szCs w:val="24"/>
              </w:rPr>
            </w:pPr>
            <w:r>
              <w:rPr>
                <w:rFonts w:ascii="Times New Roman"/>
                <w:snapToGrid w:val="0"/>
                <w:color w:val="auto"/>
                <w:kern w:val="21"/>
                <w:sz w:val="24"/>
                <w:szCs w:val="24"/>
              </w:rPr>
              <w:t>废水量</w:t>
            </w:r>
          </w:p>
        </w:tc>
        <w:tc>
          <w:tcPr>
            <w:tcW w:w="1546" w:type="dxa"/>
            <w:noWrap w:val="0"/>
            <w:vAlign w:val="center"/>
          </w:tcPr>
          <w:p w14:paraId="7F7F7BCD">
            <w:pPr>
              <w:jc w:val="center"/>
              <w:rPr>
                <w:snapToGrid w:val="0"/>
                <w:color w:val="auto"/>
                <w:kern w:val="21"/>
                <w:sz w:val="24"/>
              </w:rPr>
            </w:pPr>
            <w:r>
              <w:rPr>
                <w:rFonts w:hint="eastAsia"/>
                <w:snapToGrid w:val="0"/>
                <w:color w:val="auto"/>
                <w:kern w:val="21"/>
                <w:sz w:val="24"/>
              </w:rPr>
              <w:t>0</w:t>
            </w:r>
          </w:p>
        </w:tc>
        <w:tc>
          <w:tcPr>
            <w:tcW w:w="1021" w:type="dxa"/>
            <w:noWrap w:val="0"/>
            <w:vAlign w:val="center"/>
          </w:tcPr>
          <w:p w14:paraId="4E5E4C37">
            <w:pPr>
              <w:jc w:val="center"/>
              <w:rPr>
                <w:snapToGrid w:val="0"/>
                <w:color w:val="auto"/>
                <w:kern w:val="21"/>
                <w:sz w:val="24"/>
              </w:rPr>
            </w:pPr>
            <w:r>
              <w:rPr>
                <w:rFonts w:hint="eastAsia"/>
                <w:snapToGrid w:val="0"/>
                <w:color w:val="auto"/>
                <w:kern w:val="21"/>
                <w:sz w:val="24"/>
              </w:rPr>
              <w:t>0</w:t>
            </w:r>
          </w:p>
        </w:tc>
        <w:tc>
          <w:tcPr>
            <w:tcW w:w="1563" w:type="dxa"/>
            <w:noWrap w:val="0"/>
            <w:vAlign w:val="center"/>
          </w:tcPr>
          <w:p w14:paraId="4F1960C9">
            <w:pPr>
              <w:jc w:val="center"/>
              <w:rPr>
                <w:snapToGrid w:val="0"/>
                <w:color w:val="auto"/>
                <w:kern w:val="21"/>
                <w:sz w:val="24"/>
              </w:rPr>
            </w:pPr>
            <w:r>
              <w:rPr>
                <w:rFonts w:hint="eastAsia"/>
                <w:snapToGrid w:val="0"/>
                <w:color w:val="auto"/>
                <w:kern w:val="21"/>
                <w:sz w:val="24"/>
              </w:rPr>
              <w:t>0</w:t>
            </w:r>
          </w:p>
        </w:tc>
        <w:tc>
          <w:tcPr>
            <w:tcW w:w="1402" w:type="dxa"/>
            <w:noWrap w:val="0"/>
            <w:vAlign w:val="center"/>
          </w:tcPr>
          <w:p w14:paraId="1D79F3CF">
            <w:pPr>
              <w:spacing w:beforeLines="0" w:afterLines="0" w:line="240" w:lineRule="auto"/>
              <w:jc w:val="center"/>
              <w:rPr>
                <w:rFonts w:hint="default" w:ascii="Times New Roman" w:eastAsia="宋体"/>
                <w:snapToGrid w:val="0"/>
                <w:color w:val="auto"/>
                <w:kern w:val="21"/>
                <w:sz w:val="24"/>
                <w:szCs w:val="24"/>
                <w:lang w:val="en-US" w:eastAsia="zh-CN"/>
              </w:rPr>
            </w:pPr>
            <w:r>
              <w:rPr>
                <w:rFonts w:hint="eastAsia"/>
                <w:snapToGrid w:val="0"/>
                <w:color w:val="auto"/>
                <w:kern w:val="21"/>
                <w:sz w:val="24"/>
                <w:lang w:val="en-US" w:eastAsia="zh-CN"/>
              </w:rPr>
              <w:t>120</w:t>
            </w:r>
          </w:p>
        </w:tc>
        <w:tc>
          <w:tcPr>
            <w:tcW w:w="1368" w:type="dxa"/>
            <w:noWrap w:val="0"/>
            <w:vAlign w:val="center"/>
          </w:tcPr>
          <w:p w14:paraId="447BC823">
            <w:pPr>
              <w:jc w:val="center"/>
              <w:rPr>
                <w:snapToGrid w:val="0"/>
                <w:color w:val="auto"/>
                <w:kern w:val="21"/>
                <w:sz w:val="24"/>
              </w:rPr>
            </w:pPr>
            <w:r>
              <w:rPr>
                <w:rFonts w:hint="eastAsia"/>
                <w:snapToGrid w:val="0"/>
                <w:color w:val="auto"/>
                <w:kern w:val="21"/>
                <w:sz w:val="24"/>
              </w:rPr>
              <w:t>0</w:t>
            </w:r>
          </w:p>
        </w:tc>
        <w:tc>
          <w:tcPr>
            <w:tcW w:w="1834" w:type="dxa"/>
            <w:noWrap w:val="0"/>
            <w:vAlign w:val="center"/>
          </w:tcPr>
          <w:p w14:paraId="187D2B37">
            <w:pPr>
              <w:spacing w:beforeLines="0" w:afterLines="0" w:line="240" w:lineRule="auto"/>
              <w:jc w:val="center"/>
              <w:rPr>
                <w:rFonts w:hint="default" w:ascii="Times New Roman" w:eastAsia="宋体"/>
                <w:snapToGrid w:val="0"/>
                <w:color w:val="auto"/>
                <w:kern w:val="21"/>
                <w:sz w:val="24"/>
                <w:szCs w:val="24"/>
                <w:lang w:val="en-US" w:eastAsia="zh-CN"/>
              </w:rPr>
            </w:pPr>
            <w:r>
              <w:rPr>
                <w:rFonts w:hint="eastAsia"/>
                <w:snapToGrid w:val="0"/>
                <w:color w:val="auto"/>
                <w:kern w:val="21"/>
                <w:sz w:val="24"/>
                <w:lang w:val="en-US" w:eastAsia="zh-CN"/>
              </w:rPr>
              <w:t>120</w:t>
            </w:r>
          </w:p>
        </w:tc>
        <w:tc>
          <w:tcPr>
            <w:tcW w:w="1409" w:type="dxa"/>
            <w:noWrap w:val="0"/>
            <w:vAlign w:val="center"/>
          </w:tcPr>
          <w:p w14:paraId="399BF6E5">
            <w:pPr>
              <w:spacing w:beforeLines="0" w:afterLines="0" w:line="240" w:lineRule="auto"/>
              <w:jc w:val="center"/>
              <w:rPr>
                <w:rFonts w:hint="default" w:ascii="Times New Roman" w:eastAsia="宋体"/>
                <w:snapToGrid w:val="0"/>
                <w:color w:val="auto"/>
                <w:kern w:val="21"/>
                <w:sz w:val="24"/>
                <w:szCs w:val="24"/>
                <w:lang w:val="en-US" w:eastAsia="zh-CN"/>
              </w:rPr>
            </w:pPr>
            <w:r>
              <w:rPr>
                <w:rFonts w:hint="eastAsia"/>
                <w:snapToGrid w:val="0"/>
                <w:color w:val="auto"/>
                <w:kern w:val="21"/>
                <w:sz w:val="24"/>
              </w:rPr>
              <w:t>0</w:t>
            </w:r>
          </w:p>
        </w:tc>
      </w:tr>
      <w:tr w14:paraId="1499BD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36" w:type="dxa"/>
            <w:vMerge w:val="restart"/>
            <w:noWrap w:val="0"/>
            <w:vAlign w:val="center"/>
          </w:tcPr>
          <w:p w14:paraId="0DA273FF">
            <w:pPr>
              <w:pStyle w:val="43"/>
              <w:spacing w:beforeLines="0" w:afterLines="0" w:line="240" w:lineRule="auto"/>
              <w:rPr>
                <w:rFonts w:ascii="Times New Roman"/>
                <w:snapToGrid w:val="0"/>
                <w:color w:val="auto"/>
                <w:kern w:val="21"/>
                <w:sz w:val="24"/>
                <w:szCs w:val="24"/>
              </w:rPr>
            </w:pPr>
            <w:r>
              <w:rPr>
                <w:rFonts w:ascii="Times New Roman"/>
                <w:snapToGrid w:val="0"/>
                <w:color w:val="auto"/>
                <w:kern w:val="21"/>
                <w:sz w:val="24"/>
                <w:szCs w:val="24"/>
              </w:rPr>
              <w:t>一般工业</w:t>
            </w:r>
          </w:p>
          <w:p w14:paraId="0FB5DCBD">
            <w:pPr>
              <w:pStyle w:val="43"/>
              <w:spacing w:beforeLines="0" w:afterLines="0" w:line="240" w:lineRule="auto"/>
              <w:rPr>
                <w:rFonts w:ascii="Times New Roman"/>
                <w:snapToGrid w:val="0"/>
                <w:color w:val="auto"/>
                <w:kern w:val="21"/>
                <w:sz w:val="24"/>
                <w:szCs w:val="24"/>
              </w:rPr>
            </w:pPr>
            <w:r>
              <w:rPr>
                <w:rFonts w:ascii="Times New Roman"/>
                <w:snapToGrid w:val="0"/>
                <w:color w:val="auto"/>
                <w:kern w:val="21"/>
                <w:sz w:val="24"/>
                <w:szCs w:val="24"/>
              </w:rPr>
              <w:t>固体废物</w:t>
            </w:r>
          </w:p>
        </w:tc>
        <w:tc>
          <w:tcPr>
            <w:tcW w:w="2438" w:type="dxa"/>
            <w:noWrap w:val="0"/>
            <w:vAlign w:val="center"/>
          </w:tcPr>
          <w:p w14:paraId="0066B97F">
            <w:pPr>
              <w:pStyle w:val="43"/>
              <w:spacing w:beforeLines="0" w:afterLines="0" w:line="240" w:lineRule="auto"/>
              <w:rPr>
                <w:rFonts w:hint="default" w:ascii="Times New Roman" w:eastAsia="宋体"/>
                <w:color w:val="auto"/>
                <w:kern w:val="0"/>
                <w:sz w:val="24"/>
                <w:szCs w:val="24"/>
                <w:lang w:val="en-US" w:eastAsia="zh-CN" w:bidi="ar-SA"/>
              </w:rPr>
            </w:pPr>
            <w:r>
              <w:rPr>
                <w:rFonts w:hint="eastAsia" w:ascii="Times New Roman"/>
                <w:color w:val="auto"/>
                <w:kern w:val="0"/>
                <w:sz w:val="24"/>
                <w:szCs w:val="24"/>
                <w:lang w:val="en-US" w:eastAsia="zh-CN" w:bidi="ar-SA"/>
              </w:rPr>
              <w:t>废保温材料</w:t>
            </w:r>
          </w:p>
        </w:tc>
        <w:tc>
          <w:tcPr>
            <w:tcW w:w="1546" w:type="dxa"/>
            <w:noWrap w:val="0"/>
            <w:vAlign w:val="center"/>
          </w:tcPr>
          <w:p w14:paraId="4DCF6583">
            <w:pPr>
              <w:jc w:val="center"/>
              <w:rPr>
                <w:rFonts w:hint="eastAsia"/>
                <w:snapToGrid w:val="0"/>
                <w:color w:val="auto"/>
                <w:kern w:val="21"/>
                <w:sz w:val="24"/>
                <w:szCs w:val="24"/>
                <w:lang w:val="en-US" w:eastAsia="zh-CN" w:bidi="ar-SA"/>
              </w:rPr>
            </w:pPr>
            <w:r>
              <w:rPr>
                <w:rFonts w:hint="eastAsia"/>
                <w:snapToGrid w:val="0"/>
                <w:color w:val="auto"/>
                <w:kern w:val="21"/>
                <w:sz w:val="24"/>
              </w:rPr>
              <w:t>0</w:t>
            </w:r>
          </w:p>
        </w:tc>
        <w:tc>
          <w:tcPr>
            <w:tcW w:w="1021" w:type="dxa"/>
            <w:noWrap w:val="0"/>
            <w:vAlign w:val="center"/>
          </w:tcPr>
          <w:p w14:paraId="70D644D2">
            <w:pPr>
              <w:jc w:val="center"/>
              <w:rPr>
                <w:rFonts w:hint="eastAsia"/>
                <w:snapToGrid w:val="0"/>
                <w:color w:val="auto"/>
                <w:kern w:val="21"/>
                <w:sz w:val="24"/>
                <w:szCs w:val="24"/>
                <w:lang w:val="en-US" w:eastAsia="zh-CN" w:bidi="ar-SA"/>
              </w:rPr>
            </w:pPr>
            <w:r>
              <w:rPr>
                <w:rFonts w:hint="eastAsia"/>
                <w:snapToGrid w:val="0"/>
                <w:color w:val="auto"/>
                <w:kern w:val="21"/>
                <w:sz w:val="24"/>
              </w:rPr>
              <w:t>0</w:t>
            </w:r>
          </w:p>
        </w:tc>
        <w:tc>
          <w:tcPr>
            <w:tcW w:w="1563" w:type="dxa"/>
            <w:noWrap w:val="0"/>
            <w:vAlign w:val="center"/>
          </w:tcPr>
          <w:p w14:paraId="46AF4828">
            <w:pPr>
              <w:jc w:val="center"/>
              <w:rPr>
                <w:rFonts w:hint="eastAsia"/>
                <w:snapToGrid w:val="0"/>
                <w:color w:val="auto"/>
                <w:kern w:val="21"/>
                <w:sz w:val="24"/>
                <w:szCs w:val="24"/>
                <w:lang w:val="en-US" w:eastAsia="zh-CN" w:bidi="ar-SA"/>
              </w:rPr>
            </w:pPr>
            <w:r>
              <w:rPr>
                <w:rFonts w:hint="eastAsia"/>
                <w:snapToGrid w:val="0"/>
                <w:color w:val="auto"/>
                <w:kern w:val="21"/>
                <w:sz w:val="24"/>
              </w:rPr>
              <w:t>0</w:t>
            </w:r>
          </w:p>
        </w:tc>
        <w:tc>
          <w:tcPr>
            <w:tcW w:w="1402" w:type="dxa"/>
            <w:noWrap w:val="0"/>
            <w:vAlign w:val="center"/>
          </w:tcPr>
          <w:p w14:paraId="17E42978">
            <w:pPr>
              <w:pStyle w:val="43"/>
              <w:spacing w:beforeLines="0" w:afterLines="0" w:line="240" w:lineRule="auto"/>
              <w:rPr>
                <w:rFonts w:hint="default" w:ascii="Times New Roman"/>
                <w:snapToGrid w:val="0"/>
                <w:color w:val="auto"/>
                <w:kern w:val="21"/>
                <w:sz w:val="24"/>
                <w:szCs w:val="24"/>
                <w:lang w:val="en-US" w:eastAsia="zh-CN" w:bidi="ar-SA"/>
              </w:rPr>
            </w:pPr>
            <w:r>
              <w:rPr>
                <w:rFonts w:hint="eastAsia" w:ascii="Times New Roman"/>
                <w:snapToGrid w:val="0"/>
                <w:color w:val="auto"/>
                <w:kern w:val="21"/>
                <w:sz w:val="24"/>
                <w:szCs w:val="24"/>
                <w:lang w:val="en-US" w:eastAsia="zh-CN"/>
              </w:rPr>
              <w:t>2t/a</w:t>
            </w:r>
          </w:p>
        </w:tc>
        <w:tc>
          <w:tcPr>
            <w:tcW w:w="1368" w:type="dxa"/>
            <w:noWrap w:val="0"/>
            <w:vAlign w:val="center"/>
          </w:tcPr>
          <w:p w14:paraId="051C4956">
            <w:pPr>
              <w:jc w:val="center"/>
              <w:rPr>
                <w:rFonts w:hint="eastAsia"/>
                <w:snapToGrid w:val="0"/>
                <w:color w:val="auto"/>
                <w:kern w:val="21"/>
                <w:sz w:val="24"/>
                <w:szCs w:val="24"/>
                <w:lang w:val="en-US" w:eastAsia="zh-CN" w:bidi="ar-SA"/>
              </w:rPr>
            </w:pPr>
            <w:r>
              <w:rPr>
                <w:rFonts w:hint="eastAsia"/>
                <w:snapToGrid w:val="0"/>
                <w:color w:val="auto"/>
                <w:kern w:val="21"/>
                <w:sz w:val="24"/>
              </w:rPr>
              <w:t>0</w:t>
            </w:r>
          </w:p>
        </w:tc>
        <w:tc>
          <w:tcPr>
            <w:tcW w:w="1834" w:type="dxa"/>
            <w:noWrap w:val="0"/>
            <w:vAlign w:val="center"/>
          </w:tcPr>
          <w:p w14:paraId="278CB6FA">
            <w:pPr>
              <w:pStyle w:val="43"/>
              <w:spacing w:beforeLines="0" w:afterLines="0" w:line="240" w:lineRule="auto"/>
              <w:rPr>
                <w:rFonts w:hint="default" w:ascii="Times New Roman"/>
                <w:snapToGrid w:val="0"/>
                <w:color w:val="auto"/>
                <w:kern w:val="21"/>
                <w:sz w:val="24"/>
                <w:szCs w:val="24"/>
                <w:lang w:val="en-US" w:eastAsia="zh-CN" w:bidi="ar-SA"/>
              </w:rPr>
            </w:pPr>
            <w:r>
              <w:rPr>
                <w:rFonts w:hint="eastAsia" w:ascii="Times New Roman"/>
                <w:snapToGrid w:val="0"/>
                <w:color w:val="auto"/>
                <w:kern w:val="21"/>
                <w:sz w:val="24"/>
                <w:szCs w:val="24"/>
                <w:lang w:val="en-US" w:eastAsia="zh-CN"/>
              </w:rPr>
              <w:t>2t/a</w:t>
            </w:r>
          </w:p>
        </w:tc>
        <w:tc>
          <w:tcPr>
            <w:tcW w:w="1409" w:type="dxa"/>
            <w:noWrap w:val="0"/>
            <w:vAlign w:val="center"/>
          </w:tcPr>
          <w:p w14:paraId="75060C38">
            <w:pPr>
              <w:pStyle w:val="43"/>
              <w:spacing w:beforeLines="0" w:afterLines="0" w:line="240" w:lineRule="auto"/>
              <w:rPr>
                <w:rFonts w:hint="default" w:ascii="Times New Roman"/>
                <w:snapToGrid w:val="0"/>
                <w:color w:val="auto"/>
                <w:kern w:val="21"/>
                <w:sz w:val="24"/>
                <w:szCs w:val="24"/>
                <w:lang w:val="en-US" w:eastAsia="zh-CN" w:bidi="ar-SA"/>
              </w:rPr>
            </w:pPr>
            <w:r>
              <w:rPr>
                <w:rFonts w:hint="eastAsia" w:ascii="Times New Roman"/>
                <w:snapToGrid w:val="0"/>
                <w:color w:val="auto"/>
                <w:kern w:val="21"/>
                <w:sz w:val="24"/>
                <w:szCs w:val="24"/>
                <w:lang w:val="en-US" w:eastAsia="zh-CN"/>
              </w:rPr>
              <w:t>+2t/a</w:t>
            </w:r>
          </w:p>
        </w:tc>
      </w:tr>
      <w:tr w14:paraId="43C337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36" w:type="dxa"/>
            <w:vMerge w:val="continue"/>
            <w:noWrap w:val="0"/>
            <w:vAlign w:val="center"/>
          </w:tcPr>
          <w:p w14:paraId="5857F615">
            <w:pPr>
              <w:pStyle w:val="43"/>
              <w:spacing w:beforeLines="0" w:afterLines="0" w:line="240" w:lineRule="auto"/>
              <w:rPr>
                <w:rFonts w:ascii="Times New Roman"/>
                <w:snapToGrid w:val="0"/>
                <w:color w:val="auto"/>
                <w:kern w:val="21"/>
                <w:sz w:val="24"/>
                <w:szCs w:val="24"/>
              </w:rPr>
            </w:pPr>
          </w:p>
        </w:tc>
        <w:tc>
          <w:tcPr>
            <w:tcW w:w="2438" w:type="dxa"/>
            <w:noWrap w:val="0"/>
            <w:vAlign w:val="center"/>
          </w:tcPr>
          <w:p w14:paraId="07CBAC68">
            <w:pPr>
              <w:pStyle w:val="43"/>
              <w:spacing w:beforeLines="0" w:afterLines="0" w:line="240" w:lineRule="auto"/>
              <w:rPr>
                <w:rFonts w:hint="eastAsia" w:ascii="Times New Roman"/>
                <w:color w:val="auto"/>
                <w:kern w:val="0"/>
                <w:sz w:val="24"/>
                <w:szCs w:val="24"/>
                <w:lang w:val="en-US" w:eastAsia="zh-CN" w:bidi="ar-SA"/>
              </w:rPr>
            </w:pPr>
            <w:r>
              <w:rPr>
                <w:rFonts w:hint="eastAsia" w:ascii="Times New Roman"/>
                <w:color w:val="auto"/>
                <w:kern w:val="0"/>
                <w:sz w:val="24"/>
                <w:szCs w:val="24"/>
                <w:lang w:val="en-US" w:eastAsia="zh-CN" w:bidi="ar-SA"/>
              </w:rPr>
              <w:t>废边角料</w:t>
            </w:r>
          </w:p>
        </w:tc>
        <w:tc>
          <w:tcPr>
            <w:tcW w:w="1546" w:type="dxa"/>
            <w:noWrap w:val="0"/>
            <w:vAlign w:val="center"/>
          </w:tcPr>
          <w:p w14:paraId="33DE1BD3">
            <w:pPr>
              <w:jc w:val="center"/>
              <w:rPr>
                <w:rFonts w:hint="eastAsia" w:eastAsia="宋体"/>
                <w:snapToGrid w:val="0"/>
                <w:color w:val="auto"/>
                <w:kern w:val="21"/>
                <w:sz w:val="24"/>
                <w:lang w:val="en-US" w:eastAsia="zh-CN"/>
              </w:rPr>
            </w:pPr>
            <w:r>
              <w:rPr>
                <w:rFonts w:hint="eastAsia"/>
                <w:snapToGrid w:val="0"/>
                <w:color w:val="auto"/>
                <w:kern w:val="21"/>
                <w:sz w:val="24"/>
                <w:lang w:val="en-US" w:eastAsia="zh-CN"/>
              </w:rPr>
              <w:t>0</w:t>
            </w:r>
          </w:p>
        </w:tc>
        <w:tc>
          <w:tcPr>
            <w:tcW w:w="1021" w:type="dxa"/>
            <w:noWrap w:val="0"/>
            <w:vAlign w:val="center"/>
          </w:tcPr>
          <w:p w14:paraId="13B39988">
            <w:pPr>
              <w:jc w:val="center"/>
              <w:rPr>
                <w:rFonts w:hint="eastAsia" w:eastAsia="宋体"/>
                <w:snapToGrid w:val="0"/>
                <w:color w:val="auto"/>
                <w:kern w:val="21"/>
                <w:sz w:val="24"/>
                <w:lang w:val="en-US" w:eastAsia="zh-CN"/>
              </w:rPr>
            </w:pPr>
            <w:r>
              <w:rPr>
                <w:rFonts w:hint="eastAsia"/>
                <w:snapToGrid w:val="0"/>
                <w:color w:val="auto"/>
                <w:kern w:val="21"/>
                <w:sz w:val="24"/>
                <w:lang w:val="en-US" w:eastAsia="zh-CN"/>
              </w:rPr>
              <w:t>0</w:t>
            </w:r>
          </w:p>
        </w:tc>
        <w:tc>
          <w:tcPr>
            <w:tcW w:w="1563" w:type="dxa"/>
            <w:noWrap w:val="0"/>
            <w:vAlign w:val="center"/>
          </w:tcPr>
          <w:p w14:paraId="3EA84828">
            <w:pPr>
              <w:jc w:val="center"/>
              <w:rPr>
                <w:rFonts w:hint="eastAsia" w:eastAsia="宋体"/>
                <w:snapToGrid w:val="0"/>
                <w:color w:val="auto"/>
                <w:kern w:val="21"/>
                <w:sz w:val="24"/>
                <w:lang w:val="en-US" w:eastAsia="zh-CN"/>
              </w:rPr>
            </w:pPr>
            <w:r>
              <w:rPr>
                <w:rFonts w:hint="eastAsia"/>
                <w:snapToGrid w:val="0"/>
                <w:color w:val="auto"/>
                <w:kern w:val="21"/>
                <w:sz w:val="24"/>
                <w:lang w:val="en-US" w:eastAsia="zh-CN"/>
              </w:rPr>
              <w:t>0</w:t>
            </w:r>
          </w:p>
        </w:tc>
        <w:tc>
          <w:tcPr>
            <w:tcW w:w="1402" w:type="dxa"/>
            <w:noWrap w:val="0"/>
            <w:vAlign w:val="center"/>
          </w:tcPr>
          <w:p w14:paraId="7E62B2E3">
            <w:pPr>
              <w:pStyle w:val="43"/>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0.2t/a</w:t>
            </w:r>
          </w:p>
        </w:tc>
        <w:tc>
          <w:tcPr>
            <w:tcW w:w="1368" w:type="dxa"/>
            <w:noWrap w:val="0"/>
            <w:vAlign w:val="center"/>
          </w:tcPr>
          <w:p w14:paraId="5FFD1A6A">
            <w:pPr>
              <w:jc w:val="center"/>
              <w:rPr>
                <w:rFonts w:hint="eastAsia" w:eastAsia="宋体"/>
                <w:snapToGrid w:val="0"/>
                <w:color w:val="auto"/>
                <w:kern w:val="21"/>
                <w:sz w:val="24"/>
                <w:lang w:val="en-US" w:eastAsia="zh-CN"/>
              </w:rPr>
            </w:pPr>
            <w:r>
              <w:rPr>
                <w:rFonts w:hint="eastAsia"/>
                <w:snapToGrid w:val="0"/>
                <w:color w:val="auto"/>
                <w:kern w:val="21"/>
                <w:sz w:val="24"/>
                <w:lang w:val="en-US" w:eastAsia="zh-CN"/>
              </w:rPr>
              <w:t>0</w:t>
            </w:r>
          </w:p>
        </w:tc>
        <w:tc>
          <w:tcPr>
            <w:tcW w:w="1834" w:type="dxa"/>
            <w:noWrap w:val="0"/>
            <w:vAlign w:val="center"/>
          </w:tcPr>
          <w:p w14:paraId="23A39038">
            <w:pPr>
              <w:pStyle w:val="43"/>
              <w:spacing w:beforeLines="0" w:afterLines="0" w:line="240" w:lineRule="auto"/>
              <w:rPr>
                <w:rFonts w:hint="eastAsia"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0.2t/a</w:t>
            </w:r>
          </w:p>
        </w:tc>
        <w:tc>
          <w:tcPr>
            <w:tcW w:w="1409" w:type="dxa"/>
            <w:noWrap w:val="0"/>
            <w:vAlign w:val="center"/>
          </w:tcPr>
          <w:p w14:paraId="3E45CF5E">
            <w:pPr>
              <w:pStyle w:val="43"/>
              <w:spacing w:beforeLines="0" w:afterLines="0" w:line="240" w:lineRule="auto"/>
              <w:rPr>
                <w:rFonts w:hint="eastAsia"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+0.2t/a</w:t>
            </w:r>
          </w:p>
        </w:tc>
      </w:tr>
      <w:tr w14:paraId="4347A7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36" w:type="dxa"/>
            <w:vMerge w:val="continue"/>
            <w:noWrap w:val="0"/>
            <w:vAlign w:val="center"/>
          </w:tcPr>
          <w:p w14:paraId="7B13BBD8">
            <w:pPr>
              <w:pStyle w:val="43"/>
              <w:spacing w:beforeLines="0" w:afterLines="0" w:line="240" w:lineRule="auto"/>
              <w:rPr>
                <w:rFonts w:ascii="Times New Roman"/>
                <w:snapToGrid w:val="0"/>
                <w:color w:val="auto"/>
                <w:kern w:val="21"/>
                <w:sz w:val="24"/>
                <w:szCs w:val="24"/>
              </w:rPr>
            </w:pPr>
          </w:p>
        </w:tc>
        <w:tc>
          <w:tcPr>
            <w:tcW w:w="2438" w:type="dxa"/>
            <w:noWrap w:val="0"/>
            <w:vAlign w:val="center"/>
          </w:tcPr>
          <w:p w14:paraId="76EF634E">
            <w:pPr>
              <w:pStyle w:val="43"/>
              <w:spacing w:beforeLines="0" w:afterLines="0" w:line="240" w:lineRule="auto"/>
              <w:rPr>
                <w:rFonts w:hint="eastAsia" w:ascii="Times New Roman" w:hAnsi="Times New Roman" w:eastAsia="宋体" w:cs="Times New Roman"/>
                <w:snapToGrid w:val="0"/>
                <w:color w:val="auto"/>
                <w:kern w:val="21"/>
                <w:sz w:val="24"/>
                <w:szCs w:val="24"/>
                <w:lang w:val="en-US" w:eastAsia="zh-CN" w:bidi="ar-SA"/>
              </w:rPr>
            </w:pPr>
            <w:r>
              <w:rPr>
                <w:rFonts w:hint="eastAsia" w:ascii="Times New Roman"/>
                <w:snapToGrid w:val="0"/>
                <w:color w:val="auto"/>
                <w:kern w:val="21"/>
                <w:sz w:val="24"/>
                <w:szCs w:val="24"/>
                <w:lang w:val="en-US" w:eastAsia="zh-CN"/>
              </w:rPr>
              <w:t>收集粉尘</w:t>
            </w:r>
          </w:p>
        </w:tc>
        <w:tc>
          <w:tcPr>
            <w:tcW w:w="1546" w:type="dxa"/>
            <w:noWrap w:val="0"/>
            <w:vAlign w:val="center"/>
          </w:tcPr>
          <w:p w14:paraId="7D90AB63">
            <w:pPr>
              <w:jc w:val="center"/>
              <w:rPr>
                <w:rFonts w:hint="eastAsia" w:ascii="Times New Roman" w:hAnsi="Times New Roman" w:eastAsia="宋体" w:cs="Times New Roman"/>
                <w:snapToGrid w:val="0"/>
                <w:color w:val="auto"/>
                <w:kern w:val="21"/>
                <w:sz w:val="24"/>
                <w:szCs w:val="24"/>
                <w:lang w:val="en-US" w:eastAsia="zh-CN" w:bidi="ar-SA"/>
              </w:rPr>
            </w:pPr>
            <w:r>
              <w:rPr>
                <w:rFonts w:hint="eastAsia"/>
                <w:snapToGrid w:val="0"/>
                <w:color w:val="auto"/>
                <w:kern w:val="21"/>
                <w:sz w:val="24"/>
                <w:lang w:val="en-US" w:eastAsia="zh-CN"/>
              </w:rPr>
              <w:t>0</w:t>
            </w:r>
          </w:p>
        </w:tc>
        <w:tc>
          <w:tcPr>
            <w:tcW w:w="1021" w:type="dxa"/>
            <w:noWrap w:val="0"/>
            <w:vAlign w:val="center"/>
          </w:tcPr>
          <w:p w14:paraId="7B79E881">
            <w:pPr>
              <w:jc w:val="center"/>
              <w:rPr>
                <w:rFonts w:hint="eastAsia" w:ascii="Times New Roman" w:hAnsi="Times New Roman" w:eastAsia="宋体" w:cs="Times New Roman"/>
                <w:snapToGrid w:val="0"/>
                <w:color w:val="auto"/>
                <w:kern w:val="21"/>
                <w:sz w:val="24"/>
                <w:szCs w:val="24"/>
                <w:lang w:val="en-US" w:eastAsia="zh-CN" w:bidi="ar-SA"/>
              </w:rPr>
            </w:pPr>
            <w:r>
              <w:rPr>
                <w:rFonts w:hint="eastAsia"/>
                <w:snapToGrid w:val="0"/>
                <w:color w:val="auto"/>
                <w:kern w:val="21"/>
                <w:sz w:val="24"/>
                <w:lang w:val="en-US" w:eastAsia="zh-CN"/>
              </w:rPr>
              <w:t>0</w:t>
            </w:r>
          </w:p>
        </w:tc>
        <w:tc>
          <w:tcPr>
            <w:tcW w:w="1563" w:type="dxa"/>
            <w:noWrap w:val="0"/>
            <w:vAlign w:val="center"/>
          </w:tcPr>
          <w:p w14:paraId="6277CEE2">
            <w:pPr>
              <w:jc w:val="center"/>
              <w:rPr>
                <w:rFonts w:hint="eastAsia" w:ascii="Times New Roman" w:hAnsi="Times New Roman" w:eastAsia="宋体" w:cs="Times New Roman"/>
                <w:snapToGrid w:val="0"/>
                <w:color w:val="auto"/>
                <w:kern w:val="21"/>
                <w:sz w:val="24"/>
                <w:szCs w:val="24"/>
                <w:lang w:val="en-US" w:eastAsia="zh-CN" w:bidi="ar-SA"/>
              </w:rPr>
            </w:pPr>
            <w:r>
              <w:rPr>
                <w:rFonts w:hint="eastAsia"/>
                <w:snapToGrid w:val="0"/>
                <w:color w:val="auto"/>
                <w:kern w:val="21"/>
                <w:sz w:val="24"/>
                <w:lang w:val="en-US" w:eastAsia="zh-CN"/>
              </w:rPr>
              <w:t>0</w:t>
            </w:r>
          </w:p>
        </w:tc>
        <w:tc>
          <w:tcPr>
            <w:tcW w:w="1402" w:type="dxa"/>
            <w:noWrap w:val="0"/>
            <w:vAlign w:val="center"/>
          </w:tcPr>
          <w:p w14:paraId="4849B305">
            <w:pPr>
              <w:spacing w:beforeLines="0" w:afterLines="0" w:line="240" w:lineRule="auto"/>
              <w:jc w:val="center"/>
              <w:rPr>
                <w:rFonts w:hint="eastAsia" w:ascii="Times New Roman" w:hAnsi="Times New Roman" w:eastAsia="宋体" w:cs="Times New Roman"/>
                <w:snapToGrid w:val="0"/>
                <w:color w:val="auto"/>
                <w:kern w:val="21"/>
                <w:sz w:val="24"/>
                <w:szCs w:val="24"/>
                <w:lang w:val="en-US" w:eastAsia="zh-CN" w:bidi="ar-SA"/>
              </w:rPr>
            </w:pPr>
            <w:r>
              <w:rPr>
                <w:rFonts w:hint="eastAsia"/>
                <w:snapToGrid w:val="0"/>
                <w:color w:val="auto"/>
                <w:kern w:val="21"/>
                <w:sz w:val="24"/>
                <w:lang w:val="en-US" w:eastAsia="zh-CN"/>
              </w:rPr>
              <w:t>0.317t/a</w:t>
            </w:r>
          </w:p>
        </w:tc>
        <w:tc>
          <w:tcPr>
            <w:tcW w:w="1368" w:type="dxa"/>
            <w:noWrap w:val="0"/>
            <w:vAlign w:val="center"/>
          </w:tcPr>
          <w:p w14:paraId="39B7F480">
            <w:pPr>
              <w:jc w:val="center"/>
              <w:rPr>
                <w:rFonts w:hint="eastAsia" w:ascii="Times New Roman" w:hAnsi="Times New Roman" w:eastAsia="宋体" w:cs="Times New Roman"/>
                <w:snapToGrid w:val="0"/>
                <w:color w:val="auto"/>
                <w:kern w:val="21"/>
                <w:sz w:val="24"/>
                <w:szCs w:val="24"/>
                <w:lang w:val="en-US" w:eastAsia="zh-CN" w:bidi="ar-SA"/>
              </w:rPr>
            </w:pPr>
            <w:r>
              <w:rPr>
                <w:rFonts w:hint="eastAsia"/>
                <w:snapToGrid w:val="0"/>
                <w:color w:val="auto"/>
                <w:kern w:val="21"/>
                <w:sz w:val="24"/>
                <w:lang w:val="en-US" w:eastAsia="zh-CN"/>
              </w:rPr>
              <w:t>0</w:t>
            </w:r>
          </w:p>
        </w:tc>
        <w:tc>
          <w:tcPr>
            <w:tcW w:w="1834" w:type="dxa"/>
            <w:noWrap w:val="0"/>
            <w:vAlign w:val="center"/>
          </w:tcPr>
          <w:p w14:paraId="6539054D">
            <w:pPr>
              <w:spacing w:beforeLines="0" w:afterLines="0" w:line="240" w:lineRule="auto"/>
              <w:jc w:val="center"/>
              <w:rPr>
                <w:rFonts w:hint="eastAsia" w:ascii="Times New Roman" w:hAnsi="Times New Roman" w:eastAsia="宋体" w:cs="Times New Roman"/>
                <w:snapToGrid w:val="0"/>
                <w:color w:val="auto"/>
                <w:kern w:val="21"/>
                <w:sz w:val="24"/>
                <w:szCs w:val="24"/>
                <w:lang w:val="en-US" w:eastAsia="zh-CN" w:bidi="ar-SA"/>
              </w:rPr>
            </w:pPr>
            <w:r>
              <w:rPr>
                <w:rFonts w:hint="eastAsia"/>
                <w:snapToGrid w:val="0"/>
                <w:color w:val="auto"/>
                <w:kern w:val="21"/>
                <w:sz w:val="24"/>
                <w:lang w:val="en-US" w:eastAsia="zh-CN"/>
              </w:rPr>
              <w:t>0.317t/a</w:t>
            </w:r>
          </w:p>
        </w:tc>
        <w:tc>
          <w:tcPr>
            <w:tcW w:w="1409" w:type="dxa"/>
            <w:noWrap w:val="0"/>
            <w:vAlign w:val="center"/>
          </w:tcPr>
          <w:p w14:paraId="33309DF0">
            <w:pPr>
              <w:spacing w:beforeLines="0" w:afterLines="0" w:line="240" w:lineRule="auto"/>
              <w:jc w:val="center"/>
              <w:rPr>
                <w:rFonts w:hint="eastAsia" w:ascii="Times New Roman" w:hAnsi="Times New Roman" w:eastAsia="宋体" w:cs="Times New Roman"/>
                <w:snapToGrid w:val="0"/>
                <w:color w:val="auto"/>
                <w:kern w:val="21"/>
                <w:sz w:val="24"/>
                <w:szCs w:val="24"/>
                <w:lang w:val="en-US" w:eastAsia="zh-CN" w:bidi="ar-SA"/>
              </w:rPr>
            </w:pPr>
            <w:r>
              <w:rPr>
                <w:rFonts w:hint="eastAsia"/>
                <w:snapToGrid w:val="0"/>
                <w:color w:val="auto"/>
                <w:kern w:val="21"/>
                <w:sz w:val="24"/>
                <w:lang w:val="en-US" w:eastAsia="zh-CN"/>
              </w:rPr>
              <w:t>+0.317t/a</w:t>
            </w:r>
          </w:p>
        </w:tc>
      </w:tr>
      <w:tr w14:paraId="211049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36" w:type="dxa"/>
            <w:vMerge w:val="restart"/>
            <w:noWrap w:val="0"/>
            <w:vAlign w:val="center"/>
          </w:tcPr>
          <w:p w14:paraId="05AAE313">
            <w:pPr>
              <w:jc w:val="center"/>
              <w:rPr>
                <w:color w:val="auto"/>
                <w:sz w:val="24"/>
              </w:rPr>
            </w:pPr>
            <w:r>
              <w:rPr>
                <w:snapToGrid w:val="0"/>
                <w:color w:val="auto"/>
                <w:kern w:val="21"/>
                <w:sz w:val="24"/>
              </w:rPr>
              <w:t>危险废物</w:t>
            </w:r>
          </w:p>
        </w:tc>
        <w:tc>
          <w:tcPr>
            <w:tcW w:w="2438" w:type="dxa"/>
            <w:noWrap w:val="0"/>
            <w:vAlign w:val="center"/>
          </w:tcPr>
          <w:p w14:paraId="176C18A8">
            <w:pPr>
              <w:pStyle w:val="43"/>
              <w:spacing w:beforeLines="0" w:afterLines="0" w:line="240" w:lineRule="auto"/>
              <w:rPr>
                <w:rFonts w:hint="eastAsia" w:ascii="Times New Roman" w:eastAsia="宋体"/>
                <w:snapToGrid w:val="0"/>
                <w:color w:val="auto"/>
                <w:kern w:val="21"/>
                <w:sz w:val="24"/>
                <w:szCs w:val="24"/>
                <w:lang w:val="en-US" w:eastAsia="zh-CN"/>
              </w:rPr>
            </w:pPr>
            <w:r>
              <w:rPr>
                <w:rFonts w:hint="eastAsia" w:ascii="Times New Roman"/>
                <w:snapToGrid w:val="0"/>
                <w:color w:val="auto"/>
                <w:kern w:val="21"/>
                <w:sz w:val="24"/>
                <w:szCs w:val="24"/>
                <w:lang w:val="en-US" w:eastAsia="zh-CN"/>
              </w:rPr>
              <w:t>废润滑油</w:t>
            </w:r>
          </w:p>
        </w:tc>
        <w:tc>
          <w:tcPr>
            <w:tcW w:w="1546" w:type="dxa"/>
            <w:noWrap w:val="0"/>
            <w:vAlign w:val="center"/>
          </w:tcPr>
          <w:p w14:paraId="4B2C918B">
            <w:pPr>
              <w:jc w:val="center"/>
              <w:rPr>
                <w:snapToGrid w:val="0"/>
                <w:color w:val="auto"/>
                <w:kern w:val="21"/>
                <w:sz w:val="24"/>
              </w:rPr>
            </w:pPr>
            <w:r>
              <w:rPr>
                <w:rFonts w:hint="eastAsia"/>
                <w:snapToGrid w:val="0"/>
                <w:color w:val="auto"/>
                <w:kern w:val="21"/>
                <w:sz w:val="24"/>
              </w:rPr>
              <w:t>0</w:t>
            </w:r>
          </w:p>
        </w:tc>
        <w:tc>
          <w:tcPr>
            <w:tcW w:w="1021" w:type="dxa"/>
            <w:noWrap w:val="0"/>
            <w:vAlign w:val="center"/>
          </w:tcPr>
          <w:p w14:paraId="74EAE486">
            <w:pPr>
              <w:jc w:val="center"/>
              <w:rPr>
                <w:snapToGrid w:val="0"/>
                <w:color w:val="auto"/>
                <w:kern w:val="21"/>
                <w:sz w:val="24"/>
              </w:rPr>
            </w:pPr>
            <w:r>
              <w:rPr>
                <w:rFonts w:hint="eastAsia"/>
                <w:snapToGrid w:val="0"/>
                <w:color w:val="auto"/>
                <w:kern w:val="21"/>
                <w:sz w:val="24"/>
              </w:rPr>
              <w:t>0</w:t>
            </w:r>
          </w:p>
        </w:tc>
        <w:tc>
          <w:tcPr>
            <w:tcW w:w="1563" w:type="dxa"/>
            <w:noWrap w:val="0"/>
            <w:vAlign w:val="center"/>
          </w:tcPr>
          <w:p w14:paraId="2A2D4292">
            <w:pPr>
              <w:jc w:val="center"/>
              <w:rPr>
                <w:snapToGrid w:val="0"/>
                <w:color w:val="auto"/>
                <w:kern w:val="21"/>
                <w:sz w:val="24"/>
              </w:rPr>
            </w:pPr>
            <w:r>
              <w:rPr>
                <w:rFonts w:hint="eastAsia"/>
                <w:snapToGrid w:val="0"/>
                <w:color w:val="auto"/>
                <w:kern w:val="21"/>
                <w:sz w:val="24"/>
              </w:rPr>
              <w:t>0</w:t>
            </w:r>
          </w:p>
        </w:tc>
        <w:tc>
          <w:tcPr>
            <w:tcW w:w="1402" w:type="dxa"/>
            <w:noWrap w:val="0"/>
            <w:vAlign w:val="center"/>
          </w:tcPr>
          <w:p w14:paraId="2D8E94DE">
            <w:pPr>
              <w:spacing w:beforeLines="0" w:afterLines="0" w:line="240" w:lineRule="auto"/>
              <w:jc w:val="center"/>
              <w:rPr>
                <w:rFonts w:hint="default" w:ascii="Times New Roman" w:eastAsia="宋体"/>
                <w:snapToGrid w:val="0"/>
                <w:color w:val="auto"/>
                <w:kern w:val="21"/>
                <w:sz w:val="24"/>
                <w:szCs w:val="24"/>
                <w:lang w:val="en-US" w:eastAsia="zh-CN"/>
              </w:rPr>
            </w:pPr>
            <w:r>
              <w:rPr>
                <w:rFonts w:hint="eastAsia"/>
                <w:snapToGrid w:val="0"/>
                <w:color w:val="auto"/>
                <w:kern w:val="21"/>
                <w:sz w:val="24"/>
                <w:lang w:val="en-US" w:eastAsia="zh-CN"/>
              </w:rPr>
              <w:t>0.05t/a</w:t>
            </w:r>
          </w:p>
        </w:tc>
        <w:tc>
          <w:tcPr>
            <w:tcW w:w="1368" w:type="dxa"/>
            <w:noWrap w:val="0"/>
            <w:vAlign w:val="center"/>
          </w:tcPr>
          <w:p w14:paraId="4AA858D0">
            <w:pPr>
              <w:jc w:val="center"/>
              <w:rPr>
                <w:snapToGrid w:val="0"/>
                <w:color w:val="auto"/>
                <w:kern w:val="21"/>
                <w:sz w:val="24"/>
              </w:rPr>
            </w:pPr>
            <w:r>
              <w:rPr>
                <w:rFonts w:hint="eastAsia"/>
                <w:snapToGrid w:val="0"/>
                <w:color w:val="auto"/>
                <w:kern w:val="21"/>
                <w:sz w:val="24"/>
              </w:rPr>
              <w:t>0</w:t>
            </w:r>
          </w:p>
        </w:tc>
        <w:tc>
          <w:tcPr>
            <w:tcW w:w="1834" w:type="dxa"/>
            <w:noWrap w:val="0"/>
            <w:vAlign w:val="center"/>
          </w:tcPr>
          <w:p w14:paraId="4F000E20">
            <w:pPr>
              <w:spacing w:beforeLines="0" w:afterLines="0" w:line="240" w:lineRule="auto"/>
              <w:jc w:val="center"/>
              <w:rPr>
                <w:rFonts w:ascii="Times New Roman"/>
                <w:snapToGrid w:val="0"/>
                <w:color w:val="auto"/>
                <w:kern w:val="21"/>
                <w:sz w:val="24"/>
                <w:szCs w:val="24"/>
              </w:rPr>
            </w:pPr>
            <w:r>
              <w:rPr>
                <w:rFonts w:hint="eastAsia"/>
                <w:snapToGrid w:val="0"/>
                <w:color w:val="auto"/>
                <w:kern w:val="21"/>
                <w:sz w:val="24"/>
                <w:lang w:val="en-US" w:eastAsia="zh-CN"/>
              </w:rPr>
              <w:t>0.05t/a</w:t>
            </w:r>
          </w:p>
        </w:tc>
        <w:tc>
          <w:tcPr>
            <w:tcW w:w="1409" w:type="dxa"/>
            <w:noWrap w:val="0"/>
            <w:vAlign w:val="center"/>
          </w:tcPr>
          <w:p w14:paraId="64E26C9B">
            <w:pPr>
              <w:spacing w:beforeLines="0" w:afterLines="0" w:line="240" w:lineRule="auto"/>
              <w:jc w:val="center"/>
              <w:rPr>
                <w:rFonts w:ascii="Times New Roman"/>
                <w:snapToGrid w:val="0"/>
                <w:color w:val="auto"/>
                <w:kern w:val="21"/>
                <w:sz w:val="24"/>
                <w:szCs w:val="24"/>
              </w:rPr>
            </w:pPr>
            <w:r>
              <w:rPr>
                <w:rFonts w:hint="eastAsia"/>
                <w:snapToGrid w:val="0"/>
                <w:color w:val="auto"/>
                <w:kern w:val="21"/>
                <w:sz w:val="24"/>
                <w:lang w:val="en-US" w:eastAsia="zh-CN"/>
              </w:rPr>
              <w:t>+0.05t/a</w:t>
            </w:r>
          </w:p>
        </w:tc>
      </w:tr>
      <w:tr w14:paraId="37AE42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36" w:type="dxa"/>
            <w:vMerge w:val="continue"/>
            <w:noWrap w:val="0"/>
            <w:vAlign w:val="center"/>
          </w:tcPr>
          <w:p w14:paraId="1BAE3C3C">
            <w:pPr>
              <w:jc w:val="center"/>
              <w:rPr>
                <w:snapToGrid w:val="0"/>
                <w:color w:val="auto"/>
                <w:kern w:val="21"/>
                <w:sz w:val="24"/>
              </w:rPr>
            </w:pPr>
          </w:p>
        </w:tc>
        <w:tc>
          <w:tcPr>
            <w:tcW w:w="2438" w:type="dxa"/>
            <w:noWrap w:val="0"/>
            <w:vAlign w:val="center"/>
          </w:tcPr>
          <w:p w14:paraId="3C99A211">
            <w:pPr>
              <w:pStyle w:val="43"/>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废油桶</w:t>
            </w:r>
          </w:p>
        </w:tc>
        <w:tc>
          <w:tcPr>
            <w:tcW w:w="1546" w:type="dxa"/>
            <w:noWrap w:val="0"/>
            <w:vAlign w:val="center"/>
          </w:tcPr>
          <w:p w14:paraId="5578D645">
            <w:pPr>
              <w:jc w:val="center"/>
              <w:rPr>
                <w:rFonts w:hint="eastAsia" w:eastAsia="宋体"/>
                <w:snapToGrid w:val="0"/>
                <w:color w:val="auto"/>
                <w:kern w:val="21"/>
                <w:sz w:val="24"/>
                <w:lang w:val="en-US" w:eastAsia="zh-CN"/>
              </w:rPr>
            </w:pPr>
            <w:r>
              <w:rPr>
                <w:rFonts w:hint="eastAsia"/>
                <w:snapToGrid w:val="0"/>
                <w:color w:val="auto"/>
                <w:kern w:val="21"/>
                <w:sz w:val="24"/>
                <w:lang w:val="en-US" w:eastAsia="zh-CN"/>
              </w:rPr>
              <w:t>0</w:t>
            </w:r>
          </w:p>
        </w:tc>
        <w:tc>
          <w:tcPr>
            <w:tcW w:w="1021" w:type="dxa"/>
            <w:noWrap w:val="0"/>
            <w:vAlign w:val="center"/>
          </w:tcPr>
          <w:p w14:paraId="389CE58E">
            <w:pPr>
              <w:jc w:val="center"/>
              <w:rPr>
                <w:rFonts w:hint="eastAsia" w:eastAsia="宋体"/>
                <w:snapToGrid w:val="0"/>
                <w:color w:val="auto"/>
                <w:kern w:val="21"/>
                <w:sz w:val="24"/>
                <w:lang w:val="en-US" w:eastAsia="zh-CN"/>
              </w:rPr>
            </w:pPr>
            <w:r>
              <w:rPr>
                <w:rFonts w:hint="eastAsia"/>
                <w:snapToGrid w:val="0"/>
                <w:color w:val="auto"/>
                <w:kern w:val="21"/>
                <w:sz w:val="24"/>
                <w:lang w:val="en-US" w:eastAsia="zh-CN"/>
              </w:rPr>
              <w:t>0</w:t>
            </w:r>
          </w:p>
        </w:tc>
        <w:tc>
          <w:tcPr>
            <w:tcW w:w="1563" w:type="dxa"/>
            <w:noWrap w:val="0"/>
            <w:vAlign w:val="center"/>
          </w:tcPr>
          <w:p w14:paraId="4BA297E8">
            <w:pPr>
              <w:jc w:val="center"/>
              <w:rPr>
                <w:rFonts w:hint="eastAsia" w:eastAsia="宋体"/>
                <w:snapToGrid w:val="0"/>
                <w:color w:val="auto"/>
                <w:kern w:val="21"/>
                <w:sz w:val="24"/>
                <w:lang w:val="en-US" w:eastAsia="zh-CN"/>
              </w:rPr>
            </w:pPr>
            <w:r>
              <w:rPr>
                <w:rFonts w:hint="eastAsia"/>
                <w:snapToGrid w:val="0"/>
                <w:color w:val="auto"/>
                <w:kern w:val="21"/>
                <w:sz w:val="24"/>
                <w:lang w:val="en-US" w:eastAsia="zh-CN"/>
              </w:rPr>
              <w:t>0</w:t>
            </w:r>
          </w:p>
        </w:tc>
        <w:tc>
          <w:tcPr>
            <w:tcW w:w="1402" w:type="dxa"/>
            <w:noWrap w:val="0"/>
            <w:vAlign w:val="center"/>
          </w:tcPr>
          <w:p w14:paraId="58DE87B9">
            <w:pPr>
              <w:spacing w:beforeLines="0" w:afterLines="0" w:line="240" w:lineRule="auto"/>
              <w:jc w:val="center"/>
              <w:rPr>
                <w:rFonts w:hint="default"/>
                <w:snapToGrid w:val="0"/>
                <w:color w:val="auto"/>
                <w:kern w:val="21"/>
                <w:sz w:val="24"/>
                <w:lang w:val="en-US" w:eastAsia="zh-CN"/>
              </w:rPr>
            </w:pPr>
            <w:r>
              <w:rPr>
                <w:rFonts w:hint="eastAsia"/>
                <w:snapToGrid w:val="0"/>
                <w:color w:val="auto"/>
                <w:kern w:val="21"/>
                <w:sz w:val="24"/>
                <w:lang w:val="en-US" w:eastAsia="zh-CN"/>
              </w:rPr>
              <w:t>0.002t/a</w:t>
            </w:r>
          </w:p>
        </w:tc>
        <w:tc>
          <w:tcPr>
            <w:tcW w:w="1368" w:type="dxa"/>
            <w:noWrap w:val="0"/>
            <w:vAlign w:val="center"/>
          </w:tcPr>
          <w:p w14:paraId="21EDF779">
            <w:pPr>
              <w:jc w:val="center"/>
              <w:rPr>
                <w:rFonts w:hint="eastAsia" w:eastAsia="宋体"/>
                <w:snapToGrid w:val="0"/>
                <w:color w:val="auto"/>
                <w:kern w:val="21"/>
                <w:sz w:val="24"/>
                <w:lang w:val="en-US" w:eastAsia="zh-CN"/>
              </w:rPr>
            </w:pPr>
            <w:r>
              <w:rPr>
                <w:rFonts w:hint="eastAsia"/>
                <w:snapToGrid w:val="0"/>
                <w:color w:val="auto"/>
                <w:kern w:val="21"/>
                <w:sz w:val="24"/>
                <w:lang w:val="en-US" w:eastAsia="zh-CN"/>
              </w:rPr>
              <w:t>0</w:t>
            </w:r>
          </w:p>
        </w:tc>
        <w:tc>
          <w:tcPr>
            <w:tcW w:w="1834" w:type="dxa"/>
            <w:noWrap w:val="0"/>
            <w:vAlign w:val="center"/>
          </w:tcPr>
          <w:p w14:paraId="0FE79460">
            <w:pPr>
              <w:spacing w:beforeLines="0" w:afterLines="0" w:line="240" w:lineRule="auto"/>
              <w:jc w:val="center"/>
              <w:rPr>
                <w:rFonts w:hint="default"/>
                <w:snapToGrid w:val="0"/>
                <w:color w:val="auto"/>
                <w:kern w:val="21"/>
                <w:sz w:val="24"/>
                <w:lang w:val="en-US" w:eastAsia="zh-CN"/>
              </w:rPr>
            </w:pPr>
            <w:r>
              <w:rPr>
                <w:rFonts w:hint="eastAsia"/>
                <w:snapToGrid w:val="0"/>
                <w:color w:val="auto"/>
                <w:kern w:val="21"/>
                <w:sz w:val="24"/>
                <w:lang w:val="en-US" w:eastAsia="zh-CN"/>
              </w:rPr>
              <w:t>0.002t/a</w:t>
            </w:r>
          </w:p>
        </w:tc>
        <w:tc>
          <w:tcPr>
            <w:tcW w:w="1409" w:type="dxa"/>
            <w:noWrap w:val="0"/>
            <w:vAlign w:val="center"/>
          </w:tcPr>
          <w:p w14:paraId="30464646">
            <w:pPr>
              <w:spacing w:beforeLines="0" w:afterLines="0" w:line="240" w:lineRule="auto"/>
              <w:jc w:val="center"/>
              <w:rPr>
                <w:rFonts w:hint="default"/>
                <w:snapToGrid w:val="0"/>
                <w:color w:val="auto"/>
                <w:kern w:val="21"/>
                <w:sz w:val="24"/>
                <w:lang w:val="en-US" w:eastAsia="zh-CN"/>
              </w:rPr>
            </w:pPr>
            <w:r>
              <w:rPr>
                <w:rFonts w:hint="eastAsia"/>
                <w:snapToGrid w:val="0"/>
                <w:color w:val="auto"/>
                <w:kern w:val="21"/>
                <w:sz w:val="24"/>
                <w:lang w:val="en-US" w:eastAsia="zh-CN"/>
              </w:rPr>
              <w:t>+0.002t/a</w:t>
            </w:r>
          </w:p>
        </w:tc>
      </w:tr>
      <w:tr w14:paraId="66A4EA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236" w:type="dxa"/>
            <w:vMerge w:val="continue"/>
            <w:noWrap w:val="0"/>
            <w:vAlign w:val="center"/>
          </w:tcPr>
          <w:p w14:paraId="5BDF045A">
            <w:pPr>
              <w:jc w:val="center"/>
              <w:rPr>
                <w:snapToGrid w:val="0"/>
                <w:color w:val="auto"/>
                <w:kern w:val="21"/>
                <w:sz w:val="24"/>
              </w:rPr>
            </w:pPr>
          </w:p>
        </w:tc>
        <w:tc>
          <w:tcPr>
            <w:tcW w:w="2438" w:type="dxa"/>
            <w:noWrap w:val="0"/>
            <w:vAlign w:val="center"/>
          </w:tcPr>
          <w:p w14:paraId="68DACED2">
            <w:pPr>
              <w:pStyle w:val="43"/>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废含油抹布手套</w:t>
            </w:r>
          </w:p>
        </w:tc>
        <w:tc>
          <w:tcPr>
            <w:tcW w:w="1546" w:type="dxa"/>
            <w:noWrap w:val="0"/>
            <w:vAlign w:val="center"/>
          </w:tcPr>
          <w:p w14:paraId="1FD48682">
            <w:pPr>
              <w:jc w:val="center"/>
              <w:rPr>
                <w:rFonts w:hint="eastAsia"/>
                <w:snapToGrid w:val="0"/>
                <w:color w:val="auto"/>
                <w:kern w:val="21"/>
                <w:sz w:val="24"/>
              </w:rPr>
            </w:pPr>
            <w:r>
              <w:rPr>
                <w:rFonts w:hint="eastAsia"/>
                <w:snapToGrid w:val="0"/>
                <w:color w:val="auto"/>
                <w:kern w:val="21"/>
                <w:sz w:val="24"/>
              </w:rPr>
              <w:t>0</w:t>
            </w:r>
          </w:p>
        </w:tc>
        <w:tc>
          <w:tcPr>
            <w:tcW w:w="1021" w:type="dxa"/>
            <w:noWrap w:val="0"/>
            <w:vAlign w:val="center"/>
          </w:tcPr>
          <w:p w14:paraId="3F4693F9">
            <w:pPr>
              <w:jc w:val="center"/>
              <w:rPr>
                <w:rFonts w:hint="eastAsia"/>
                <w:snapToGrid w:val="0"/>
                <w:color w:val="auto"/>
                <w:kern w:val="21"/>
                <w:sz w:val="24"/>
              </w:rPr>
            </w:pPr>
            <w:r>
              <w:rPr>
                <w:rFonts w:hint="eastAsia"/>
                <w:snapToGrid w:val="0"/>
                <w:color w:val="auto"/>
                <w:kern w:val="21"/>
                <w:sz w:val="24"/>
              </w:rPr>
              <w:t>0</w:t>
            </w:r>
          </w:p>
        </w:tc>
        <w:tc>
          <w:tcPr>
            <w:tcW w:w="1563" w:type="dxa"/>
            <w:noWrap w:val="0"/>
            <w:vAlign w:val="center"/>
          </w:tcPr>
          <w:p w14:paraId="32DB0D12">
            <w:pPr>
              <w:jc w:val="center"/>
              <w:rPr>
                <w:rFonts w:hint="eastAsia"/>
                <w:snapToGrid w:val="0"/>
                <w:color w:val="auto"/>
                <w:kern w:val="21"/>
                <w:sz w:val="24"/>
              </w:rPr>
            </w:pPr>
            <w:r>
              <w:rPr>
                <w:rFonts w:hint="eastAsia"/>
                <w:snapToGrid w:val="0"/>
                <w:color w:val="auto"/>
                <w:kern w:val="21"/>
                <w:sz w:val="24"/>
              </w:rPr>
              <w:t>0</w:t>
            </w:r>
          </w:p>
        </w:tc>
        <w:tc>
          <w:tcPr>
            <w:tcW w:w="1402" w:type="dxa"/>
            <w:noWrap w:val="0"/>
            <w:vAlign w:val="center"/>
          </w:tcPr>
          <w:p w14:paraId="1B87FB7E">
            <w:pPr>
              <w:spacing w:beforeLines="0" w:afterLines="0" w:line="240" w:lineRule="auto"/>
              <w:jc w:val="center"/>
              <w:rPr>
                <w:rFonts w:hint="default" w:eastAsia="宋体"/>
                <w:snapToGrid w:val="0"/>
                <w:color w:val="auto"/>
                <w:kern w:val="21"/>
                <w:sz w:val="24"/>
                <w:lang w:val="en-US" w:eastAsia="zh-CN"/>
              </w:rPr>
            </w:pPr>
            <w:r>
              <w:rPr>
                <w:rFonts w:hint="eastAsia"/>
                <w:snapToGrid w:val="0"/>
                <w:color w:val="auto"/>
                <w:kern w:val="21"/>
                <w:sz w:val="24"/>
                <w:lang w:val="en-US" w:eastAsia="zh-CN"/>
              </w:rPr>
              <w:t>0.002t/a</w:t>
            </w:r>
          </w:p>
        </w:tc>
        <w:tc>
          <w:tcPr>
            <w:tcW w:w="1368" w:type="dxa"/>
            <w:noWrap w:val="0"/>
            <w:vAlign w:val="center"/>
          </w:tcPr>
          <w:p w14:paraId="4D6FB63C">
            <w:pPr>
              <w:jc w:val="center"/>
              <w:rPr>
                <w:rFonts w:hint="eastAsia"/>
                <w:snapToGrid w:val="0"/>
                <w:color w:val="auto"/>
                <w:kern w:val="21"/>
                <w:sz w:val="24"/>
              </w:rPr>
            </w:pPr>
            <w:r>
              <w:rPr>
                <w:rFonts w:hint="eastAsia"/>
                <w:snapToGrid w:val="0"/>
                <w:color w:val="auto"/>
                <w:kern w:val="21"/>
                <w:sz w:val="24"/>
              </w:rPr>
              <w:t>0</w:t>
            </w:r>
          </w:p>
        </w:tc>
        <w:tc>
          <w:tcPr>
            <w:tcW w:w="1834" w:type="dxa"/>
            <w:noWrap w:val="0"/>
            <w:vAlign w:val="center"/>
          </w:tcPr>
          <w:p w14:paraId="2391DF7A">
            <w:pPr>
              <w:spacing w:beforeLines="0" w:afterLines="0" w:line="240" w:lineRule="auto"/>
              <w:jc w:val="center"/>
              <w:rPr>
                <w:rFonts w:hint="eastAsia"/>
                <w:snapToGrid w:val="0"/>
                <w:color w:val="auto"/>
                <w:kern w:val="21"/>
                <w:sz w:val="24"/>
              </w:rPr>
            </w:pPr>
            <w:r>
              <w:rPr>
                <w:rFonts w:hint="eastAsia"/>
                <w:snapToGrid w:val="0"/>
                <w:color w:val="auto"/>
                <w:kern w:val="21"/>
                <w:sz w:val="24"/>
                <w:lang w:val="en-US" w:eastAsia="zh-CN"/>
              </w:rPr>
              <w:t>0.002t/a</w:t>
            </w:r>
          </w:p>
        </w:tc>
        <w:tc>
          <w:tcPr>
            <w:tcW w:w="1409" w:type="dxa"/>
            <w:noWrap w:val="0"/>
            <w:vAlign w:val="center"/>
          </w:tcPr>
          <w:p w14:paraId="77453F60">
            <w:pPr>
              <w:spacing w:beforeLines="0" w:afterLines="0" w:line="240" w:lineRule="auto"/>
              <w:jc w:val="center"/>
              <w:rPr>
                <w:rFonts w:hint="eastAsia"/>
                <w:snapToGrid w:val="0"/>
                <w:color w:val="auto"/>
                <w:kern w:val="21"/>
                <w:sz w:val="24"/>
              </w:rPr>
            </w:pPr>
            <w:r>
              <w:rPr>
                <w:rFonts w:hint="eastAsia"/>
                <w:snapToGrid w:val="0"/>
                <w:color w:val="auto"/>
                <w:kern w:val="21"/>
                <w:sz w:val="24"/>
                <w:lang w:val="en-US" w:eastAsia="zh-CN"/>
              </w:rPr>
              <w:t>+0.002t/a</w:t>
            </w:r>
          </w:p>
        </w:tc>
      </w:tr>
      <w:tr w14:paraId="5C2624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36" w:type="dxa"/>
            <w:noWrap w:val="0"/>
            <w:vAlign w:val="center"/>
          </w:tcPr>
          <w:p w14:paraId="0D5F1200">
            <w:pPr>
              <w:pStyle w:val="43"/>
              <w:spacing w:beforeLines="0" w:afterLines="0" w:line="240" w:lineRule="auto"/>
              <w:rPr>
                <w:rFonts w:ascii="Times New Roman"/>
                <w:snapToGrid w:val="0"/>
                <w:color w:val="auto"/>
                <w:kern w:val="21"/>
                <w:sz w:val="24"/>
                <w:szCs w:val="24"/>
              </w:rPr>
            </w:pPr>
            <w:r>
              <w:rPr>
                <w:rFonts w:hint="eastAsia" w:ascii="Times New Roman"/>
                <w:snapToGrid w:val="0"/>
                <w:color w:val="auto"/>
                <w:kern w:val="21"/>
                <w:sz w:val="24"/>
                <w:szCs w:val="24"/>
              </w:rPr>
              <w:t>生活垃圾</w:t>
            </w:r>
          </w:p>
        </w:tc>
        <w:tc>
          <w:tcPr>
            <w:tcW w:w="2438" w:type="dxa"/>
            <w:noWrap w:val="0"/>
            <w:vAlign w:val="center"/>
          </w:tcPr>
          <w:p w14:paraId="6E25B01D">
            <w:pPr>
              <w:pStyle w:val="43"/>
              <w:spacing w:beforeLines="0" w:afterLines="0" w:line="240" w:lineRule="auto"/>
              <w:rPr>
                <w:rFonts w:hint="eastAsia" w:ascii="Times New Roman"/>
                <w:snapToGrid w:val="0"/>
                <w:color w:val="auto"/>
                <w:kern w:val="21"/>
                <w:sz w:val="24"/>
                <w:szCs w:val="24"/>
              </w:rPr>
            </w:pPr>
            <w:r>
              <w:rPr>
                <w:rFonts w:hint="eastAsia" w:ascii="Times New Roman"/>
                <w:snapToGrid w:val="0"/>
                <w:color w:val="auto"/>
                <w:kern w:val="21"/>
                <w:sz w:val="24"/>
                <w:szCs w:val="24"/>
              </w:rPr>
              <w:t>生活垃圾</w:t>
            </w:r>
          </w:p>
        </w:tc>
        <w:tc>
          <w:tcPr>
            <w:tcW w:w="1546" w:type="dxa"/>
            <w:noWrap w:val="0"/>
            <w:vAlign w:val="center"/>
          </w:tcPr>
          <w:p w14:paraId="79711F63">
            <w:pPr>
              <w:jc w:val="center"/>
              <w:rPr>
                <w:snapToGrid w:val="0"/>
                <w:color w:val="auto"/>
                <w:kern w:val="21"/>
                <w:sz w:val="24"/>
              </w:rPr>
            </w:pPr>
            <w:r>
              <w:rPr>
                <w:rFonts w:hint="eastAsia"/>
                <w:snapToGrid w:val="0"/>
                <w:color w:val="auto"/>
                <w:kern w:val="21"/>
                <w:sz w:val="24"/>
              </w:rPr>
              <w:t>0</w:t>
            </w:r>
          </w:p>
        </w:tc>
        <w:tc>
          <w:tcPr>
            <w:tcW w:w="1021" w:type="dxa"/>
            <w:noWrap w:val="0"/>
            <w:vAlign w:val="center"/>
          </w:tcPr>
          <w:p w14:paraId="5AA195A7">
            <w:pPr>
              <w:jc w:val="center"/>
              <w:rPr>
                <w:snapToGrid w:val="0"/>
                <w:color w:val="auto"/>
                <w:kern w:val="21"/>
                <w:sz w:val="24"/>
              </w:rPr>
            </w:pPr>
            <w:r>
              <w:rPr>
                <w:rFonts w:hint="eastAsia"/>
                <w:snapToGrid w:val="0"/>
                <w:color w:val="auto"/>
                <w:kern w:val="21"/>
                <w:sz w:val="24"/>
              </w:rPr>
              <w:t>0</w:t>
            </w:r>
          </w:p>
        </w:tc>
        <w:tc>
          <w:tcPr>
            <w:tcW w:w="1563" w:type="dxa"/>
            <w:noWrap w:val="0"/>
            <w:vAlign w:val="center"/>
          </w:tcPr>
          <w:p w14:paraId="644896B5">
            <w:pPr>
              <w:jc w:val="center"/>
              <w:rPr>
                <w:snapToGrid w:val="0"/>
                <w:color w:val="auto"/>
                <w:kern w:val="21"/>
                <w:sz w:val="24"/>
              </w:rPr>
            </w:pPr>
            <w:r>
              <w:rPr>
                <w:rFonts w:hint="eastAsia"/>
                <w:snapToGrid w:val="0"/>
                <w:color w:val="auto"/>
                <w:kern w:val="21"/>
                <w:sz w:val="24"/>
              </w:rPr>
              <w:t>0</w:t>
            </w:r>
          </w:p>
        </w:tc>
        <w:tc>
          <w:tcPr>
            <w:tcW w:w="1402" w:type="dxa"/>
            <w:noWrap w:val="0"/>
            <w:vAlign w:val="center"/>
          </w:tcPr>
          <w:p w14:paraId="472EC1D4">
            <w:pPr>
              <w:pStyle w:val="43"/>
              <w:spacing w:beforeLines="0" w:afterLines="0" w:line="240" w:lineRule="auto"/>
              <w:rPr>
                <w:rFonts w:hint="default" w:ascii="Times New Roman" w:eastAsia="宋体"/>
                <w:snapToGrid w:val="0"/>
                <w:color w:val="auto"/>
                <w:kern w:val="21"/>
                <w:sz w:val="24"/>
                <w:szCs w:val="24"/>
                <w:lang w:val="en-US" w:eastAsia="zh-CN"/>
              </w:rPr>
            </w:pPr>
            <w:r>
              <w:rPr>
                <w:rFonts w:hint="eastAsia" w:ascii="Times New Roman"/>
                <w:snapToGrid w:val="0"/>
                <w:color w:val="auto"/>
                <w:kern w:val="21"/>
                <w:sz w:val="24"/>
                <w:szCs w:val="24"/>
                <w:lang w:val="en-US" w:eastAsia="zh-CN"/>
              </w:rPr>
              <w:t>1.98t/a</w:t>
            </w:r>
          </w:p>
        </w:tc>
        <w:tc>
          <w:tcPr>
            <w:tcW w:w="1368" w:type="dxa"/>
            <w:noWrap w:val="0"/>
            <w:vAlign w:val="center"/>
          </w:tcPr>
          <w:p w14:paraId="05760998">
            <w:pPr>
              <w:jc w:val="center"/>
              <w:rPr>
                <w:snapToGrid w:val="0"/>
                <w:color w:val="auto"/>
                <w:kern w:val="21"/>
                <w:sz w:val="24"/>
              </w:rPr>
            </w:pPr>
            <w:r>
              <w:rPr>
                <w:rFonts w:hint="eastAsia"/>
                <w:snapToGrid w:val="0"/>
                <w:color w:val="auto"/>
                <w:kern w:val="21"/>
                <w:sz w:val="24"/>
              </w:rPr>
              <w:t>0</w:t>
            </w:r>
          </w:p>
        </w:tc>
        <w:tc>
          <w:tcPr>
            <w:tcW w:w="1834" w:type="dxa"/>
            <w:noWrap w:val="0"/>
            <w:vAlign w:val="center"/>
          </w:tcPr>
          <w:p w14:paraId="5B26B363">
            <w:pPr>
              <w:pStyle w:val="43"/>
              <w:spacing w:beforeLines="0" w:afterLines="0" w:line="240" w:lineRule="auto"/>
              <w:rPr>
                <w:rFonts w:ascii="Times New Roman"/>
                <w:snapToGrid w:val="0"/>
                <w:color w:val="auto"/>
                <w:kern w:val="21"/>
                <w:sz w:val="24"/>
                <w:szCs w:val="24"/>
              </w:rPr>
            </w:pPr>
            <w:r>
              <w:rPr>
                <w:rFonts w:hint="eastAsia" w:ascii="Times New Roman"/>
                <w:snapToGrid w:val="0"/>
                <w:color w:val="auto"/>
                <w:kern w:val="21"/>
                <w:sz w:val="24"/>
                <w:szCs w:val="24"/>
                <w:lang w:val="en-US" w:eastAsia="zh-CN"/>
              </w:rPr>
              <w:t>1.98t/a</w:t>
            </w:r>
          </w:p>
        </w:tc>
        <w:tc>
          <w:tcPr>
            <w:tcW w:w="1409" w:type="dxa"/>
            <w:noWrap w:val="0"/>
            <w:vAlign w:val="center"/>
          </w:tcPr>
          <w:p w14:paraId="3427C7AE">
            <w:pPr>
              <w:pStyle w:val="43"/>
              <w:spacing w:beforeLines="0" w:afterLines="0" w:line="240" w:lineRule="auto"/>
              <w:rPr>
                <w:rFonts w:ascii="Times New Roman"/>
                <w:snapToGrid w:val="0"/>
                <w:color w:val="auto"/>
                <w:kern w:val="21"/>
                <w:sz w:val="24"/>
                <w:szCs w:val="24"/>
              </w:rPr>
            </w:pPr>
            <w:r>
              <w:rPr>
                <w:rFonts w:hint="eastAsia" w:ascii="Times New Roman"/>
                <w:snapToGrid w:val="0"/>
                <w:color w:val="auto"/>
                <w:kern w:val="21"/>
                <w:sz w:val="24"/>
                <w:szCs w:val="24"/>
                <w:lang w:val="en-US" w:eastAsia="zh-CN"/>
              </w:rPr>
              <w:t>+1.98t/a</w:t>
            </w:r>
          </w:p>
        </w:tc>
      </w:tr>
    </w:tbl>
    <w:p w14:paraId="73F43C02">
      <w:pPr>
        <w:pStyle w:val="4"/>
        <w:rPr>
          <w:snapToGrid w:val="0"/>
          <w:color w:val="auto"/>
          <w:spacing w:val="-6"/>
          <w:kern w:val="21"/>
          <w:sz w:val="24"/>
          <w:szCs w:val="32"/>
        </w:rPr>
        <w:sectPr>
          <w:pgSz w:w="16838" w:h="11905" w:orient="landscape"/>
          <w:pgMar w:top="1531" w:right="1440" w:bottom="1531" w:left="1440" w:header="851" w:footer="1077" w:gutter="0"/>
          <w:pgBorders>
            <w:top w:val="none" w:sz="0" w:space="0"/>
            <w:left w:val="none" w:sz="0" w:space="0"/>
            <w:bottom w:val="none" w:sz="0" w:space="0"/>
            <w:right w:val="none" w:sz="0" w:space="0"/>
          </w:pgBorders>
          <w:cols w:space="720" w:num="1"/>
          <w:docGrid w:linePitch="312" w:charSpace="0"/>
        </w:sectPr>
      </w:pPr>
      <w:r>
        <w:rPr>
          <w:snapToGrid w:val="0"/>
          <w:color w:val="auto"/>
          <w:kern w:val="21"/>
          <w:sz w:val="24"/>
          <w:szCs w:val="32"/>
        </w:rPr>
        <w:t>注：</w:t>
      </w:r>
      <w:r>
        <w:rPr>
          <w:snapToGrid w:val="0"/>
          <w:color w:val="auto"/>
          <w:kern w:val="21"/>
          <w:sz w:val="24"/>
          <w:szCs w:val="32"/>
        </w:rPr>
        <w:fldChar w:fldCharType="begin"/>
      </w:r>
      <w:r>
        <w:rPr>
          <w:snapToGrid w:val="0"/>
          <w:color w:val="auto"/>
          <w:kern w:val="21"/>
          <w:sz w:val="24"/>
          <w:szCs w:val="32"/>
        </w:rPr>
        <w:instrText xml:space="preserve"> = 6 \* GB3 \* MERGEFORMAT </w:instrText>
      </w:r>
      <w:r>
        <w:rPr>
          <w:snapToGrid w:val="0"/>
          <w:color w:val="auto"/>
          <w:kern w:val="21"/>
          <w:sz w:val="24"/>
          <w:szCs w:val="32"/>
        </w:rPr>
        <w:fldChar w:fldCharType="separate"/>
      </w:r>
      <w:r>
        <w:rPr>
          <w:color w:val="auto"/>
          <w:sz w:val="24"/>
          <w:szCs w:val="32"/>
        </w:rPr>
        <w:t>⑥</w:t>
      </w:r>
      <w:r>
        <w:rPr>
          <w:snapToGrid w:val="0"/>
          <w:color w:val="auto"/>
          <w:kern w:val="21"/>
          <w:sz w:val="24"/>
          <w:szCs w:val="32"/>
        </w:rPr>
        <w:fldChar w:fldCharType="end"/>
      </w:r>
      <w:r>
        <w:rPr>
          <w:snapToGrid w:val="0"/>
          <w:color w:val="auto"/>
          <w:kern w:val="21"/>
          <w:sz w:val="24"/>
          <w:szCs w:val="32"/>
        </w:rPr>
        <w:t>=</w:t>
      </w:r>
      <w:r>
        <w:rPr>
          <w:snapToGrid w:val="0"/>
          <w:color w:val="auto"/>
          <w:spacing w:val="-6"/>
          <w:kern w:val="21"/>
          <w:sz w:val="24"/>
          <w:szCs w:val="32"/>
        </w:rPr>
        <w:fldChar w:fldCharType="begin"/>
      </w:r>
      <w:r>
        <w:rPr>
          <w:snapToGrid w:val="0"/>
          <w:color w:val="auto"/>
          <w:spacing w:val="-6"/>
          <w:kern w:val="21"/>
          <w:sz w:val="24"/>
          <w:szCs w:val="32"/>
        </w:rPr>
        <w:instrText xml:space="preserve"> = 1 \* GB3 \* MERGEFORMAT </w:instrText>
      </w:r>
      <w:r>
        <w:rPr>
          <w:snapToGrid w:val="0"/>
          <w:color w:val="auto"/>
          <w:spacing w:val="-6"/>
          <w:kern w:val="21"/>
          <w:sz w:val="24"/>
          <w:szCs w:val="32"/>
        </w:rPr>
        <w:fldChar w:fldCharType="separate"/>
      </w:r>
      <w:r>
        <w:rPr>
          <w:color w:val="auto"/>
          <w:sz w:val="24"/>
          <w:szCs w:val="32"/>
        </w:rPr>
        <w:t>①</w:t>
      </w:r>
      <w:r>
        <w:rPr>
          <w:snapToGrid w:val="0"/>
          <w:color w:val="auto"/>
          <w:spacing w:val="-6"/>
          <w:kern w:val="21"/>
          <w:sz w:val="24"/>
          <w:szCs w:val="32"/>
        </w:rPr>
        <w:fldChar w:fldCharType="end"/>
      </w:r>
      <w:r>
        <w:rPr>
          <w:snapToGrid w:val="0"/>
          <w:color w:val="auto"/>
          <w:spacing w:val="-6"/>
          <w:kern w:val="21"/>
          <w:sz w:val="24"/>
          <w:szCs w:val="32"/>
        </w:rPr>
        <w:t>+</w:t>
      </w:r>
      <w:r>
        <w:rPr>
          <w:snapToGrid w:val="0"/>
          <w:color w:val="auto"/>
          <w:spacing w:val="-6"/>
          <w:kern w:val="21"/>
          <w:sz w:val="24"/>
          <w:szCs w:val="32"/>
        </w:rPr>
        <w:fldChar w:fldCharType="begin"/>
      </w:r>
      <w:r>
        <w:rPr>
          <w:snapToGrid w:val="0"/>
          <w:color w:val="auto"/>
          <w:spacing w:val="-6"/>
          <w:kern w:val="21"/>
          <w:sz w:val="24"/>
          <w:szCs w:val="32"/>
        </w:rPr>
        <w:instrText xml:space="preserve"> = 3 \* GB3 \* MERGEFORMAT </w:instrText>
      </w:r>
      <w:r>
        <w:rPr>
          <w:snapToGrid w:val="0"/>
          <w:color w:val="auto"/>
          <w:spacing w:val="-6"/>
          <w:kern w:val="21"/>
          <w:sz w:val="24"/>
          <w:szCs w:val="32"/>
        </w:rPr>
        <w:fldChar w:fldCharType="separate"/>
      </w:r>
      <w:r>
        <w:rPr>
          <w:color w:val="auto"/>
          <w:sz w:val="24"/>
          <w:szCs w:val="32"/>
        </w:rPr>
        <w:t>③</w:t>
      </w:r>
      <w:r>
        <w:rPr>
          <w:snapToGrid w:val="0"/>
          <w:color w:val="auto"/>
          <w:spacing w:val="-6"/>
          <w:kern w:val="21"/>
          <w:sz w:val="24"/>
          <w:szCs w:val="32"/>
        </w:rPr>
        <w:fldChar w:fldCharType="end"/>
      </w:r>
      <w:r>
        <w:rPr>
          <w:snapToGrid w:val="0"/>
          <w:color w:val="auto"/>
          <w:spacing w:val="-6"/>
          <w:kern w:val="21"/>
          <w:sz w:val="24"/>
          <w:szCs w:val="32"/>
        </w:rPr>
        <w:t>+</w:t>
      </w:r>
      <w:r>
        <w:rPr>
          <w:snapToGrid w:val="0"/>
          <w:color w:val="auto"/>
          <w:spacing w:val="-6"/>
          <w:kern w:val="21"/>
          <w:sz w:val="24"/>
          <w:szCs w:val="32"/>
        </w:rPr>
        <w:fldChar w:fldCharType="begin"/>
      </w:r>
      <w:r>
        <w:rPr>
          <w:snapToGrid w:val="0"/>
          <w:color w:val="auto"/>
          <w:spacing w:val="-6"/>
          <w:kern w:val="21"/>
          <w:sz w:val="24"/>
          <w:szCs w:val="32"/>
        </w:rPr>
        <w:instrText xml:space="preserve"> = 4 \* GB3 \* MERGEFORMAT </w:instrText>
      </w:r>
      <w:r>
        <w:rPr>
          <w:snapToGrid w:val="0"/>
          <w:color w:val="auto"/>
          <w:spacing w:val="-6"/>
          <w:kern w:val="21"/>
          <w:sz w:val="24"/>
          <w:szCs w:val="32"/>
        </w:rPr>
        <w:fldChar w:fldCharType="separate"/>
      </w:r>
      <w:r>
        <w:rPr>
          <w:color w:val="auto"/>
          <w:sz w:val="24"/>
          <w:szCs w:val="32"/>
        </w:rPr>
        <w:t>④</w:t>
      </w:r>
      <w:r>
        <w:rPr>
          <w:snapToGrid w:val="0"/>
          <w:color w:val="auto"/>
          <w:spacing w:val="-6"/>
          <w:kern w:val="21"/>
          <w:sz w:val="24"/>
          <w:szCs w:val="32"/>
        </w:rPr>
        <w:fldChar w:fldCharType="end"/>
      </w:r>
      <w:r>
        <w:rPr>
          <w:snapToGrid w:val="0"/>
          <w:color w:val="auto"/>
          <w:spacing w:val="-6"/>
          <w:kern w:val="21"/>
          <w:sz w:val="24"/>
          <w:szCs w:val="32"/>
        </w:rPr>
        <w:t>-</w:t>
      </w:r>
      <w:r>
        <w:rPr>
          <w:snapToGrid w:val="0"/>
          <w:color w:val="auto"/>
          <w:kern w:val="21"/>
          <w:sz w:val="24"/>
          <w:szCs w:val="32"/>
        </w:rPr>
        <w:fldChar w:fldCharType="begin"/>
      </w:r>
      <w:r>
        <w:rPr>
          <w:snapToGrid w:val="0"/>
          <w:color w:val="auto"/>
          <w:kern w:val="21"/>
          <w:sz w:val="24"/>
          <w:szCs w:val="32"/>
        </w:rPr>
        <w:instrText xml:space="preserve"> = 5 \* GB3 \* MERGEFORMAT </w:instrText>
      </w:r>
      <w:r>
        <w:rPr>
          <w:snapToGrid w:val="0"/>
          <w:color w:val="auto"/>
          <w:kern w:val="21"/>
          <w:sz w:val="24"/>
          <w:szCs w:val="32"/>
        </w:rPr>
        <w:fldChar w:fldCharType="separate"/>
      </w:r>
      <w:r>
        <w:rPr>
          <w:color w:val="auto"/>
          <w:sz w:val="24"/>
          <w:szCs w:val="32"/>
        </w:rPr>
        <w:t>⑤</w:t>
      </w:r>
      <w:r>
        <w:rPr>
          <w:snapToGrid w:val="0"/>
          <w:color w:val="auto"/>
          <w:kern w:val="21"/>
          <w:sz w:val="24"/>
          <w:szCs w:val="32"/>
        </w:rPr>
        <w:fldChar w:fldCharType="end"/>
      </w:r>
      <w:r>
        <w:rPr>
          <w:snapToGrid w:val="0"/>
          <w:color w:val="auto"/>
          <w:kern w:val="21"/>
          <w:sz w:val="24"/>
          <w:szCs w:val="32"/>
        </w:rPr>
        <w:t>；</w:t>
      </w:r>
      <w:r>
        <w:rPr>
          <w:snapToGrid w:val="0"/>
          <w:color w:val="auto"/>
          <w:spacing w:val="-6"/>
          <w:kern w:val="21"/>
          <w:sz w:val="24"/>
          <w:szCs w:val="32"/>
        </w:rPr>
        <w:fldChar w:fldCharType="begin"/>
      </w:r>
      <w:r>
        <w:rPr>
          <w:snapToGrid w:val="0"/>
          <w:color w:val="auto"/>
          <w:spacing w:val="-6"/>
          <w:kern w:val="21"/>
          <w:sz w:val="24"/>
          <w:szCs w:val="32"/>
        </w:rPr>
        <w:instrText xml:space="preserve"> = 7 \* GB3 \* MERGEFORMAT </w:instrText>
      </w:r>
      <w:r>
        <w:rPr>
          <w:snapToGrid w:val="0"/>
          <w:color w:val="auto"/>
          <w:spacing w:val="-6"/>
          <w:kern w:val="21"/>
          <w:sz w:val="24"/>
          <w:szCs w:val="32"/>
        </w:rPr>
        <w:fldChar w:fldCharType="separate"/>
      </w:r>
      <w:r>
        <w:rPr>
          <w:color w:val="auto"/>
          <w:sz w:val="24"/>
          <w:szCs w:val="32"/>
        </w:rPr>
        <w:t>⑦</w:t>
      </w:r>
      <w:r>
        <w:rPr>
          <w:snapToGrid w:val="0"/>
          <w:color w:val="auto"/>
          <w:spacing w:val="-6"/>
          <w:kern w:val="21"/>
          <w:sz w:val="24"/>
          <w:szCs w:val="32"/>
        </w:rPr>
        <w:fldChar w:fldCharType="end"/>
      </w:r>
      <w:r>
        <w:rPr>
          <w:snapToGrid w:val="0"/>
          <w:color w:val="auto"/>
          <w:spacing w:val="-6"/>
          <w:kern w:val="21"/>
          <w:sz w:val="24"/>
          <w:szCs w:val="32"/>
        </w:rPr>
        <w:t>=</w:t>
      </w:r>
      <w:r>
        <w:rPr>
          <w:snapToGrid w:val="0"/>
          <w:color w:val="auto"/>
          <w:kern w:val="21"/>
          <w:sz w:val="24"/>
          <w:szCs w:val="32"/>
        </w:rPr>
        <w:fldChar w:fldCharType="begin"/>
      </w:r>
      <w:r>
        <w:rPr>
          <w:snapToGrid w:val="0"/>
          <w:color w:val="auto"/>
          <w:kern w:val="21"/>
          <w:sz w:val="24"/>
          <w:szCs w:val="32"/>
        </w:rPr>
        <w:instrText xml:space="preserve"> = 6 \* GB3 \* MERGEFORMAT </w:instrText>
      </w:r>
      <w:r>
        <w:rPr>
          <w:snapToGrid w:val="0"/>
          <w:color w:val="auto"/>
          <w:kern w:val="21"/>
          <w:sz w:val="24"/>
          <w:szCs w:val="32"/>
        </w:rPr>
        <w:fldChar w:fldCharType="separate"/>
      </w:r>
      <w:r>
        <w:rPr>
          <w:color w:val="auto"/>
          <w:sz w:val="24"/>
          <w:szCs w:val="32"/>
        </w:rPr>
        <w:t>⑥</w:t>
      </w:r>
      <w:r>
        <w:rPr>
          <w:snapToGrid w:val="0"/>
          <w:color w:val="auto"/>
          <w:kern w:val="21"/>
          <w:sz w:val="24"/>
          <w:szCs w:val="32"/>
        </w:rPr>
        <w:fldChar w:fldCharType="end"/>
      </w:r>
      <w:r>
        <w:rPr>
          <w:snapToGrid w:val="0"/>
          <w:color w:val="auto"/>
          <w:kern w:val="21"/>
          <w:sz w:val="24"/>
          <w:szCs w:val="32"/>
        </w:rPr>
        <w:t>-</w:t>
      </w:r>
      <w:r>
        <w:rPr>
          <w:snapToGrid w:val="0"/>
          <w:color w:val="auto"/>
          <w:spacing w:val="-6"/>
          <w:kern w:val="21"/>
          <w:sz w:val="24"/>
          <w:szCs w:val="32"/>
        </w:rPr>
        <w:fldChar w:fldCharType="begin"/>
      </w:r>
      <w:r>
        <w:rPr>
          <w:snapToGrid w:val="0"/>
          <w:color w:val="auto"/>
          <w:spacing w:val="-6"/>
          <w:kern w:val="21"/>
          <w:sz w:val="24"/>
          <w:szCs w:val="32"/>
        </w:rPr>
        <w:instrText xml:space="preserve"> = 1 \* GB3 \* MERGEFORMAT </w:instrText>
      </w:r>
      <w:r>
        <w:rPr>
          <w:snapToGrid w:val="0"/>
          <w:color w:val="auto"/>
          <w:spacing w:val="-6"/>
          <w:kern w:val="21"/>
          <w:sz w:val="24"/>
          <w:szCs w:val="32"/>
        </w:rPr>
        <w:fldChar w:fldCharType="separate"/>
      </w:r>
      <w:r>
        <w:rPr>
          <w:color w:val="auto"/>
          <w:sz w:val="24"/>
          <w:szCs w:val="32"/>
        </w:rPr>
        <w:t>①</w:t>
      </w:r>
      <w:r>
        <w:rPr>
          <w:snapToGrid w:val="0"/>
          <w:color w:val="auto"/>
          <w:spacing w:val="-6"/>
          <w:kern w:val="21"/>
          <w:sz w:val="24"/>
          <w:szCs w:val="32"/>
        </w:rPr>
        <w:fldChar w:fldCharType="end"/>
      </w:r>
      <w:bookmarkEnd w:id="8"/>
    </w:p>
    <w:p w14:paraId="5145399B">
      <w:pPr>
        <w:pStyle w:val="4"/>
        <w:rPr>
          <w:rFonts w:hint="eastAsia"/>
          <w:color w:val="auto"/>
          <w:lang w:eastAsia="zh-CN"/>
        </w:rPr>
      </w:pPr>
      <w:bookmarkStart w:id="10" w:name="_GoBack"/>
      <w:bookmarkEnd w:id="10"/>
      <w:r>
        <w:rPr>
          <w:color w:val="auto"/>
        </w:rPr>
        <mc:AlternateContent>
          <mc:Choice Requires="wps">
            <w:drawing>
              <wp:anchor distT="0" distB="0" distL="114300" distR="114300" simplePos="0" relativeHeight="251661312" behindDoc="0" locked="0" layoutInCell="1" allowOverlap="1">
                <wp:simplePos x="0" y="0"/>
                <wp:positionH relativeFrom="column">
                  <wp:posOffset>1830070</wp:posOffset>
                </wp:positionH>
                <wp:positionV relativeFrom="paragraph">
                  <wp:posOffset>8317230</wp:posOffset>
                </wp:positionV>
                <wp:extent cx="2216150" cy="276860"/>
                <wp:effectExtent l="0" t="0" r="0" b="0"/>
                <wp:wrapNone/>
                <wp:docPr id="16" name="文本框 61"/>
                <wp:cNvGraphicFramePr/>
                <a:graphic xmlns:a="http://schemas.openxmlformats.org/drawingml/2006/main">
                  <a:graphicData uri="http://schemas.microsoft.com/office/word/2010/wordprocessingShape">
                    <wps:wsp>
                      <wps:cNvSpPr txBox="1"/>
                      <wps:spPr>
                        <a:xfrm>
                          <a:off x="0" y="0"/>
                          <a:ext cx="2216150" cy="276860"/>
                        </a:xfrm>
                        <a:prstGeom prst="rect">
                          <a:avLst/>
                        </a:prstGeom>
                        <a:noFill/>
                        <a:ln w="6350">
                          <a:noFill/>
                        </a:ln>
                      </wps:spPr>
                      <wps:txbx>
                        <w:txbxContent>
                          <w:p w14:paraId="572E4BCB">
                            <w:r>
                              <w:rPr>
                                <w:rFonts w:hint="eastAsia"/>
                              </w:rPr>
                              <w:t>附图三：厂区平面布置图</w:t>
                            </w:r>
                          </w:p>
                        </w:txbxContent>
                      </wps:txbx>
                      <wps:bodyPr wrap="square" upright="1"/>
                    </wps:wsp>
                  </a:graphicData>
                </a:graphic>
              </wp:anchor>
            </w:drawing>
          </mc:Choice>
          <mc:Fallback>
            <w:pict>
              <v:shape id="文本框 61" o:spid="_x0000_s1026" o:spt="202" type="#_x0000_t202" style="position:absolute;left:0pt;margin-left:144.1pt;margin-top:654.9pt;height:21.8pt;width:174.5pt;z-index:251661312;mso-width-relative:page;mso-height-relative:page;" filled="f" stroked="f" coordsize="21600,21600" o:gfxdata="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9MyOJ9wAAAANAQAADwAAAAAAAAABACAAAAAiAAAAZHJzL2Rvd25yZXYu&#10;eG1sUEsBAhQAFAAAAAgAh07iQG0Bm5u+AQAAZwMAAA4AAAAAAAAAAQAgAAAAKwEAAGRycy9lMm9E&#10;b2MueG1sUEsFBgAAAAAGAAYAWQEAAFsFAAAAAA==&#10;">
                <v:fill on="f" focussize="0,0"/>
                <v:stroke on="f" weight="0.5pt"/>
                <v:imagedata o:title=""/>
                <o:lock v:ext="edit" aspectratio="f"/>
                <v:textbox>
                  <w:txbxContent>
                    <w:p w14:paraId="572E4BCB">
                      <w:r>
                        <w:rPr>
                          <w:rFonts w:hint="eastAsia"/>
                        </w:rPr>
                        <w:t>附图三：厂区平面布置图</w:t>
                      </w:r>
                    </w:p>
                  </w:txbxContent>
                </v:textbox>
              </v:shape>
            </w:pict>
          </mc:Fallback>
        </mc:AlternateContent>
      </w:r>
      <w:r>
        <w:rPr>
          <w:color w:val="auto"/>
          <w:sz w:val="21"/>
        </w:rPr>
        <mc:AlternateContent>
          <mc:Choice Requires="wps">
            <w:drawing>
              <wp:anchor distT="0" distB="0" distL="114300" distR="114300" simplePos="0" relativeHeight="251663360" behindDoc="0" locked="0" layoutInCell="1" allowOverlap="1">
                <wp:simplePos x="0" y="0"/>
                <wp:positionH relativeFrom="column">
                  <wp:posOffset>4056380</wp:posOffset>
                </wp:positionH>
                <wp:positionV relativeFrom="paragraph">
                  <wp:posOffset>6985000</wp:posOffset>
                </wp:positionV>
                <wp:extent cx="1028700" cy="295275"/>
                <wp:effectExtent l="0" t="0" r="0" b="0"/>
                <wp:wrapNone/>
                <wp:docPr id="40" name="矩形 117"/>
                <wp:cNvGraphicFramePr/>
                <a:graphic xmlns:a="http://schemas.openxmlformats.org/drawingml/2006/main">
                  <a:graphicData uri="http://schemas.microsoft.com/office/word/2010/wordprocessingShape">
                    <wps:wsp>
                      <wps:cNvSpPr/>
                      <wps:spPr>
                        <a:xfrm>
                          <a:off x="0" y="0"/>
                          <a:ext cx="1028700" cy="295275"/>
                        </a:xfrm>
                        <a:prstGeom prst="rect">
                          <a:avLst/>
                        </a:prstGeom>
                        <a:noFill/>
                        <a:ln>
                          <a:noFill/>
                        </a:ln>
                      </wps:spPr>
                      <wps:txbx>
                        <w:txbxContent>
                          <w:p w14:paraId="0BE3537D">
                            <w:pPr>
                              <w:rPr>
                                <w:rFonts w:hint="default" w:eastAsia="宋体"/>
                                <w:lang w:val="en-US" w:eastAsia="zh-CN"/>
                              </w:rPr>
                            </w:pPr>
                            <w:r>
                              <w:rPr>
                                <w:rFonts w:hint="eastAsia"/>
                                <w:lang w:val="en-US" w:eastAsia="zh-CN"/>
                              </w:rPr>
                              <w:t>：排气筒位置</w:t>
                            </w:r>
                          </w:p>
                        </w:txbxContent>
                      </wps:txbx>
                      <wps:bodyPr vert="horz" wrap="square" anchor="t" anchorCtr="0" upright="1"/>
                    </wps:wsp>
                  </a:graphicData>
                </a:graphic>
              </wp:anchor>
            </w:drawing>
          </mc:Choice>
          <mc:Fallback>
            <w:pict>
              <v:rect id="矩形 117" o:spid="_x0000_s1026" o:spt="1" style="position:absolute;left:0pt;margin-left:319.4pt;margin-top:550pt;height:23.25pt;width:81pt;z-index:251663360;mso-width-relative:page;mso-height-relative:page;" filled="f" stroked="f" coordsize="21600,21600" o:gfxdata="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D6ewhnbAAAADQEAAA8AAAAAAAAAAQAgAAAAIgAAAGRycy9kb3du&#10;cmV2LnhtbFBLAQIUABQAAAAIAIdO4kBuZA29wwEAAHcDAAAOAAAAAAAAAAEAIAAAACoBAABkcnMv&#10;ZTJvRG9jLnhtbFBLBQYAAAAABgAGAFkBAABfBQAAAAA=&#10;">
                <v:fill on="f" focussize="0,0"/>
                <v:stroke on="f"/>
                <v:imagedata o:title=""/>
                <o:lock v:ext="edit" aspectratio="f"/>
                <v:textbox>
                  <w:txbxContent>
                    <w:p w14:paraId="0BE3537D">
                      <w:pPr>
                        <w:rPr>
                          <w:rFonts w:hint="default" w:eastAsia="宋体"/>
                          <w:lang w:val="en-US" w:eastAsia="zh-CN"/>
                        </w:rPr>
                      </w:pPr>
                      <w:r>
                        <w:rPr>
                          <w:rFonts w:hint="eastAsia"/>
                          <w:lang w:val="en-US" w:eastAsia="zh-CN"/>
                        </w:rPr>
                        <w:t>：排气筒位置</w:t>
                      </w:r>
                    </w:p>
                  </w:txbxContent>
                </v:textbox>
              </v:rect>
            </w:pict>
          </mc:Fallback>
        </mc:AlternateContent>
      </w:r>
      <w:r>
        <w:rPr>
          <w:color w:val="auto"/>
          <w:sz w:val="21"/>
        </w:rPr>
        <mc:AlternateContent>
          <mc:Choice Requires="wps">
            <w:drawing>
              <wp:anchor distT="0" distB="0" distL="114300" distR="114300" simplePos="0" relativeHeight="251662336" behindDoc="0" locked="0" layoutInCell="1" allowOverlap="1">
                <wp:simplePos x="0" y="0"/>
                <wp:positionH relativeFrom="column">
                  <wp:posOffset>3980180</wp:posOffset>
                </wp:positionH>
                <wp:positionV relativeFrom="paragraph">
                  <wp:posOffset>7042150</wp:posOffset>
                </wp:positionV>
                <wp:extent cx="142875" cy="133350"/>
                <wp:effectExtent l="4445" t="4445" r="5080" b="14605"/>
                <wp:wrapNone/>
                <wp:docPr id="39" name="自选图形 116"/>
                <wp:cNvGraphicFramePr/>
                <a:graphic xmlns:a="http://schemas.openxmlformats.org/drawingml/2006/main">
                  <a:graphicData uri="http://schemas.microsoft.com/office/word/2010/wordprocessingShape">
                    <wps:wsp>
                      <wps:cNvSpPr/>
                      <wps:spPr>
                        <a:xfrm>
                          <a:off x="0" y="0"/>
                          <a:ext cx="142875" cy="1333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FFFF"/>
                        </a:solidFill>
                        <a:ln w="9525" cap="flat" cmpd="sng">
                          <a:solidFill>
                            <a:srgbClr val="000000"/>
                          </a:solidFill>
                          <a:prstDash val="solid"/>
                          <a:headEnd type="none" w="med" len="med"/>
                          <a:tailEnd type="none" w="med" len="med"/>
                        </a:ln>
                      </wps:spPr>
                      <wps:bodyPr wrap="square" upright="1"/>
                    </wps:wsp>
                  </a:graphicData>
                </a:graphic>
              </wp:anchor>
            </w:drawing>
          </mc:Choice>
          <mc:Fallback>
            <w:pict>
              <v:shape id="自选图形 116" o:spid="_x0000_s1026" o:spt="100" style="position:absolute;left:0pt;margin-left:313.4pt;margin-top:554.5pt;height:10.5pt;width:11.25pt;z-index:251662336;mso-width-relative:page;mso-height-relative:page;" fillcolor="#FFFFFF" filled="t" stroked="t" coordsize="21600,21600" o:gfxdata="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Cn6KQh2QAAAA0BAAAPAAAAAAAAAAEAIAAAACIAAABkcnMvZG93bnJldi54&#10;bWxQSwECFAAUAAAACACHTuJASrrXyE8DAABVCQAADgAAAAAAAAABACAAAAAoAQAAZHJzL2Uyb0Rv&#10;Yy54bWxQSwUGAAAAAAYABgBZAQAA6QYAAAAA&#10;" path="m0,10800c0,4835,4835,0,10800,0c16765,0,21600,4835,21600,10800c21600,16765,16765,21600,10800,21600c4835,21600,0,16765,0,10800xm5400,10800c5400,13782,7818,16200,10800,16200c13782,16200,16200,13782,16200,10800c16200,7818,13782,5400,10800,5400c7818,5400,5400,7818,5400,10800xe">
                <v:path o:connectlocs="10800,0;3163,3163;0,10800;3163,18437;10800,21600;18437,18437;21600,10800;18437,3163" o:connectangles="0,0,0,0,0,0,0,0"/>
                <v:fill on="t" focussize="0,0"/>
                <v:stroke color="#000000" joinstyle="round"/>
                <v:imagedata o:title=""/>
                <o:lock v:ext="edit" aspectratio="f"/>
              </v:shape>
            </w:pict>
          </mc:Fallback>
        </mc:AlternateContent>
      </w:r>
    </w:p>
    <w:sectPr>
      <w:footerReference r:id="rId10" w:type="default"/>
      <w:pgSz w:w="16838" w:h="11905" w:orient="landscape"/>
      <w:pgMar w:top="1440" w:right="1080" w:bottom="1440" w:left="1080" w:header="851" w:footer="1077"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CD1217A-2FE6-4521-823E-61FC97A78F8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2" w:fontKey="{1C889401-6C44-4CC4-8EF0-6BD67CC08145}"/>
  </w:font>
  <w:font w:name="等线 Light">
    <w:altName w:val="宋体"/>
    <w:panose1 w:val="02010600030101010101"/>
    <w:charset w:val="86"/>
    <w:family w:val="auto"/>
    <w:pitch w:val="default"/>
    <w:sig w:usb0="00000000" w:usb1="00000000" w:usb2="00000016" w:usb3="00000000" w:csb0="0004000F" w:csb1="00000000"/>
  </w:font>
  <w:font w:name="微软雅黑">
    <w:panose1 w:val="020B0503020204020204"/>
    <w:charset w:val="86"/>
    <w:family w:val="swiss"/>
    <w:pitch w:val="default"/>
    <w:sig w:usb0="80000287" w:usb1="280F3C52" w:usb2="00000016" w:usb3="00000000" w:csb0="0004001F" w:csb1="00000000"/>
  </w:font>
  <w:font w:name="仿宋_GB2312">
    <w:panose1 w:val="02010609030101010101"/>
    <w:charset w:val="86"/>
    <w:family w:val="modern"/>
    <w:pitch w:val="default"/>
    <w:sig w:usb0="00000001" w:usb1="080E0000" w:usb2="00000000" w:usb3="00000000" w:csb0="00040000" w:csb1="00000000"/>
    <w:embedRegular r:id="rId3" w:fontKey="{5D0769E7-A978-4403-985C-86667442BC51}"/>
  </w:font>
  <w:font w:name="方正小标宋_GBK">
    <w:panose1 w:val="03000509000000000000"/>
    <w:charset w:val="86"/>
    <w:family w:val="script"/>
    <w:pitch w:val="default"/>
    <w:sig w:usb0="00000001" w:usb1="080E0000" w:usb2="00000000" w:usb3="00000000" w:csb0="00040000" w:csb1="00000000"/>
    <w:embedRegular r:id="rId4" w:fontKey="{7EE3A0CA-7E99-4E06-A9B4-F1EFB71A04EC}"/>
  </w:font>
  <w:font w:name="楷体_GB2312">
    <w:panose1 w:val="02010609030101010101"/>
    <w:charset w:val="86"/>
    <w:family w:val="modern"/>
    <w:pitch w:val="default"/>
    <w:sig w:usb0="00000001" w:usb1="080E0000" w:usb2="00000000" w:usb3="00000000" w:csb0="00040000" w:csb1="00000000"/>
    <w:embedRegular r:id="rId5" w:fontKey="{C40A42DC-E0D0-4154-87EC-FD7C9E361B60}"/>
  </w:font>
  <w:font w:name="华文仿宋">
    <w:panose1 w:val="02010600040101010101"/>
    <w:charset w:val="86"/>
    <w:family w:val="auto"/>
    <w:pitch w:val="default"/>
    <w:sig w:usb0="00000287" w:usb1="080F0000" w:usb2="00000000" w:usb3="00000000" w:csb0="0004009F" w:csb1="DFD70000"/>
    <w:embedRegular r:id="rId6" w:fontKey="{35BE6B06-7357-4A4C-BAB7-9A71EDC834D2}"/>
  </w:font>
  <w:font w:name="Times New Roman Regular">
    <w:altName w:val="Times New Roman"/>
    <w:panose1 w:val="02020503050405090304"/>
    <w:charset w:val="00"/>
    <w:family w:val="auto"/>
    <w:pitch w:val="default"/>
    <w:sig w:usb0="00000000" w:usb1="00000000" w:usb2="00000001" w:usb3="00000000" w:csb0="400001BF" w:csb1="DFF70000"/>
    <w:embedRegular r:id="rId7" w:fontKey="{8A5C0A45-19F9-4014-923D-047B48ACF5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232E0">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3B7B0">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5CB5CA">
    <w:pPr>
      <w:pStyle w:val="13"/>
      <w:framePr w:wrap="around" w:vAnchor="text" w:hAnchor="margin" w:xAlign="outside" w:y="1"/>
      <w:rPr>
        <w:rStyle w:val="27"/>
        <w:rFonts w:ascii="宋体" w:hAnsi="宋体"/>
        <w:sz w:val="28"/>
        <w:szCs w:val="28"/>
      </w:rPr>
    </w:pPr>
    <w:r>
      <w:rPr>
        <w:rStyle w:val="27"/>
        <w:rFonts w:hint="eastAsia" w:ascii="宋体" w:hAnsi="宋体"/>
        <w:sz w:val="28"/>
        <w:szCs w:val="28"/>
      </w:rPr>
      <w:t>—</w:t>
    </w:r>
    <w:r>
      <w:rPr>
        <w:rStyle w:val="27"/>
        <w:rFonts w:hint="eastAsia" w:ascii="宋体" w:hAnsi="宋体"/>
        <w:sz w:val="20"/>
      </w:rPr>
      <w:t xml:space="preserve">  </w:t>
    </w:r>
    <w:r>
      <w:rPr>
        <w:rFonts w:ascii="宋体" w:hAnsi="宋体"/>
        <w:sz w:val="26"/>
        <w:szCs w:val="26"/>
      </w:rPr>
      <w:fldChar w:fldCharType="begin"/>
    </w:r>
    <w:r>
      <w:rPr>
        <w:rStyle w:val="27"/>
        <w:rFonts w:ascii="宋体" w:hAnsi="宋体"/>
        <w:sz w:val="26"/>
        <w:szCs w:val="26"/>
      </w:rPr>
      <w:instrText xml:space="preserve">PAGE  </w:instrText>
    </w:r>
    <w:r>
      <w:rPr>
        <w:rFonts w:ascii="宋体" w:hAnsi="宋体"/>
        <w:sz w:val="26"/>
        <w:szCs w:val="26"/>
      </w:rPr>
      <w:fldChar w:fldCharType="separate"/>
    </w:r>
    <w:r>
      <w:rPr>
        <w:rStyle w:val="27"/>
        <w:rFonts w:ascii="宋体" w:hAnsi="宋体"/>
        <w:sz w:val="26"/>
        <w:szCs w:val="26"/>
      </w:rPr>
      <w:t>46</w:t>
    </w:r>
    <w:r>
      <w:rPr>
        <w:rFonts w:ascii="宋体" w:hAnsi="宋体"/>
        <w:sz w:val="26"/>
        <w:szCs w:val="26"/>
      </w:rPr>
      <w:fldChar w:fldCharType="end"/>
    </w:r>
    <w:r>
      <w:rPr>
        <w:rStyle w:val="27"/>
        <w:rFonts w:hint="eastAsia" w:ascii="宋体" w:hAnsi="宋体"/>
        <w:sz w:val="20"/>
      </w:rPr>
      <w:t xml:space="preserve">  </w:t>
    </w:r>
    <w:r>
      <w:rPr>
        <w:rStyle w:val="27"/>
        <w:rFonts w:hint="eastAsia" w:ascii="宋体" w:hAnsi="宋体"/>
        <w:sz w:val="28"/>
        <w:szCs w:val="28"/>
      </w:rPr>
      <w:t>—</w:t>
    </w:r>
  </w:p>
  <w:p w14:paraId="3D7B738E">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4A9BD">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EC7A2F">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59E1FB">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16461">
    <w:pPr>
      <w:pStyle w:val="14"/>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4E116">
    <w:pPr>
      <w:pStyle w:val="1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CF2BB88"/>
    <w:multiLevelType w:val="singleLevel"/>
    <w:tmpl w:val="BCF2BB88"/>
    <w:lvl w:ilvl="0" w:tentative="0">
      <w:start w:val="2"/>
      <w:numFmt w:val="decimal"/>
      <w:lvlText w:val="%1."/>
      <w:lvlJc w:val="left"/>
      <w:pPr>
        <w:tabs>
          <w:tab w:val="left" w:pos="312"/>
        </w:tabs>
      </w:pPr>
    </w:lvl>
  </w:abstractNum>
  <w:abstractNum w:abstractNumId="1">
    <w:nsid w:val="06768105"/>
    <w:multiLevelType w:val="singleLevel"/>
    <w:tmpl w:val="06768105"/>
    <w:lvl w:ilvl="0" w:tentative="0">
      <w:start w:val="2"/>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A14947"/>
    <w:rsid w:val="000060B3"/>
    <w:rsid w:val="00015C37"/>
    <w:rsid w:val="00034EA5"/>
    <w:rsid w:val="000355F0"/>
    <w:rsid w:val="00041328"/>
    <w:rsid w:val="0004364B"/>
    <w:rsid w:val="0005252E"/>
    <w:rsid w:val="00055A93"/>
    <w:rsid w:val="00056C75"/>
    <w:rsid w:val="0006038A"/>
    <w:rsid w:val="00061B1F"/>
    <w:rsid w:val="00061E8D"/>
    <w:rsid w:val="000676B1"/>
    <w:rsid w:val="00072EEB"/>
    <w:rsid w:val="000733C4"/>
    <w:rsid w:val="00074783"/>
    <w:rsid w:val="00076E72"/>
    <w:rsid w:val="0008070B"/>
    <w:rsid w:val="000810AC"/>
    <w:rsid w:val="00081A02"/>
    <w:rsid w:val="00081A3F"/>
    <w:rsid w:val="00081FB1"/>
    <w:rsid w:val="00082231"/>
    <w:rsid w:val="00083CE2"/>
    <w:rsid w:val="00091C4B"/>
    <w:rsid w:val="00092D38"/>
    <w:rsid w:val="00092E4A"/>
    <w:rsid w:val="0009377B"/>
    <w:rsid w:val="000A20C9"/>
    <w:rsid w:val="000B058F"/>
    <w:rsid w:val="000B4467"/>
    <w:rsid w:val="000B48AC"/>
    <w:rsid w:val="000B4DB9"/>
    <w:rsid w:val="000C057E"/>
    <w:rsid w:val="000C09AC"/>
    <w:rsid w:val="000C23CA"/>
    <w:rsid w:val="000C767F"/>
    <w:rsid w:val="000D3A01"/>
    <w:rsid w:val="000D5A44"/>
    <w:rsid w:val="000D7F7A"/>
    <w:rsid w:val="000E3ED2"/>
    <w:rsid w:val="000F293D"/>
    <w:rsid w:val="000F54F6"/>
    <w:rsid w:val="00103225"/>
    <w:rsid w:val="00106A09"/>
    <w:rsid w:val="001106F1"/>
    <w:rsid w:val="00112340"/>
    <w:rsid w:val="00122DA2"/>
    <w:rsid w:val="00124462"/>
    <w:rsid w:val="00131F42"/>
    <w:rsid w:val="001357F1"/>
    <w:rsid w:val="00136317"/>
    <w:rsid w:val="001373A2"/>
    <w:rsid w:val="00137DD1"/>
    <w:rsid w:val="00140FA8"/>
    <w:rsid w:val="00141666"/>
    <w:rsid w:val="00142FEB"/>
    <w:rsid w:val="001437A8"/>
    <w:rsid w:val="00143A2D"/>
    <w:rsid w:val="00145A41"/>
    <w:rsid w:val="001500A7"/>
    <w:rsid w:val="00150FA6"/>
    <w:rsid w:val="00151675"/>
    <w:rsid w:val="00151990"/>
    <w:rsid w:val="00155351"/>
    <w:rsid w:val="00157435"/>
    <w:rsid w:val="00157A3E"/>
    <w:rsid w:val="00157D5F"/>
    <w:rsid w:val="00162D09"/>
    <w:rsid w:val="00163B6D"/>
    <w:rsid w:val="00166479"/>
    <w:rsid w:val="00167AC0"/>
    <w:rsid w:val="0017504D"/>
    <w:rsid w:val="0017671A"/>
    <w:rsid w:val="00177422"/>
    <w:rsid w:val="00177592"/>
    <w:rsid w:val="0017770A"/>
    <w:rsid w:val="0018131A"/>
    <w:rsid w:val="00181748"/>
    <w:rsid w:val="0018184E"/>
    <w:rsid w:val="001818BE"/>
    <w:rsid w:val="00184590"/>
    <w:rsid w:val="00184CB8"/>
    <w:rsid w:val="001870D1"/>
    <w:rsid w:val="0018781E"/>
    <w:rsid w:val="0019262D"/>
    <w:rsid w:val="001A1B35"/>
    <w:rsid w:val="001A2025"/>
    <w:rsid w:val="001A2A3B"/>
    <w:rsid w:val="001A48A2"/>
    <w:rsid w:val="001A52A3"/>
    <w:rsid w:val="001A5395"/>
    <w:rsid w:val="001A6F61"/>
    <w:rsid w:val="001A7E87"/>
    <w:rsid w:val="001B323C"/>
    <w:rsid w:val="001B41D1"/>
    <w:rsid w:val="001B452A"/>
    <w:rsid w:val="001B72B8"/>
    <w:rsid w:val="001C17D3"/>
    <w:rsid w:val="001C69B3"/>
    <w:rsid w:val="001C6A82"/>
    <w:rsid w:val="001D3EEA"/>
    <w:rsid w:val="001D5595"/>
    <w:rsid w:val="001D625D"/>
    <w:rsid w:val="001D7874"/>
    <w:rsid w:val="001D7F22"/>
    <w:rsid w:val="001E03AC"/>
    <w:rsid w:val="001E2CEC"/>
    <w:rsid w:val="001F0F17"/>
    <w:rsid w:val="001F1B8D"/>
    <w:rsid w:val="001F3347"/>
    <w:rsid w:val="001F53CD"/>
    <w:rsid w:val="001F66CD"/>
    <w:rsid w:val="001F69E4"/>
    <w:rsid w:val="00200505"/>
    <w:rsid w:val="00203B8A"/>
    <w:rsid w:val="0020494E"/>
    <w:rsid w:val="002125B4"/>
    <w:rsid w:val="00214795"/>
    <w:rsid w:val="002151A9"/>
    <w:rsid w:val="002155B8"/>
    <w:rsid w:val="00217332"/>
    <w:rsid w:val="00222A1E"/>
    <w:rsid w:val="0022465C"/>
    <w:rsid w:val="00224839"/>
    <w:rsid w:val="002249B2"/>
    <w:rsid w:val="00226335"/>
    <w:rsid w:val="00226574"/>
    <w:rsid w:val="002266B8"/>
    <w:rsid w:val="002269DF"/>
    <w:rsid w:val="002278EC"/>
    <w:rsid w:val="0023280E"/>
    <w:rsid w:val="002360F4"/>
    <w:rsid w:val="002377D1"/>
    <w:rsid w:val="002401E1"/>
    <w:rsid w:val="00240D77"/>
    <w:rsid w:val="002506BC"/>
    <w:rsid w:val="00254345"/>
    <w:rsid w:val="002545F5"/>
    <w:rsid w:val="002552A5"/>
    <w:rsid w:val="0026131B"/>
    <w:rsid w:val="00262E7C"/>
    <w:rsid w:val="00264557"/>
    <w:rsid w:val="0027367B"/>
    <w:rsid w:val="00273EA0"/>
    <w:rsid w:val="002805AB"/>
    <w:rsid w:val="00284204"/>
    <w:rsid w:val="00286A73"/>
    <w:rsid w:val="0029057E"/>
    <w:rsid w:val="00291773"/>
    <w:rsid w:val="002A0BF1"/>
    <w:rsid w:val="002A168C"/>
    <w:rsid w:val="002A3312"/>
    <w:rsid w:val="002A3DC7"/>
    <w:rsid w:val="002A7377"/>
    <w:rsid w:val="002B0B06"/>
    <w:rsid w:val="002B19FE"/>
    <w:rsid w:val="002B49E2"/>
    <w:rsid w:val="002B7B00"/>
    <w:rsid w:val="002B7C44"/>
    <w:rsid w:val="002C29C1"/>
    <w:rsid w:val="002C2B17"/>
    <w:rsid w:val="002D3DD0"/>
    <w:rsid w:val="002E1F3A"/>
    <w:rsid w:val="002E298A"/>
    <w:rsid w:val="002E2C2B"/>
    <w:rsid w:val="002E40B8"/>
    <w:rsid w:val="002E5DC4"/>
    <w:rsid w:val="002E5F3B"/>
    <w:rsid w:val="002F0211"/>
    <w:rsid w:val="002F10D2"/>
    <w:rsid w:val="002F1396"/>
    <w:rsid w:val="00301978"/>
    <w:rsid w:val="00301F17"/>
    <w:rsid w:val="0030332C"/>
    <w:rsid w:val="00303364"/>
    <w:rsid w:val="003051C2"/>
    <w:rsid w:val="003071E8"/>
    <w:rsid w:val="00310098"/>
    <w:rsid w:val="00312296"/>
    <w:rsid w:val="00314036"/>
    <w:rsid w:val="00314F0E"/>
    <w:rsid w:val="00315E39"/>
    <w:rsid w:val="003168C0"/>
    <w:rsid w:val="00317EFA"/>
    <w:rsid w:val="00321D8E"/>
    <w:rsid w:val="00325928"/>
    <w:rsid w:val="00332863"/>
    <w:rsid w:val="0033684D"/>
    <w:rsid w:val="00337B42"/>
    <w:rsid w:val="0034187A"/>
    <w:rsid w:val="00341B42"/>
    <w:rsid w:val="0034348F"/>
    <w:rsid w:val="00344E50"/>
    <w:rsid w:val="0034511F"/>
    <w:rsid w:val="003474B7"/>
    <w:rsid w:val="00350C5A"/>
    <w:rsid w:val="00352055"/>
    <w:rsid w:val="003538E0"/>
    <w:rsid w:val="00354E4A"/>
    <w:rsid w:val="00356653"/>
    <w:rsid w:val="0035743F"/>
    <w:rsid w:val="00357BE2"/>
    <w:rsid w:val="00361020"/>
    <w:rsid w:val="0036170C"/>
    <w:rsid w:val="00366E0F"/>
    <w:rsid w:val="00374E36"/>
    <w:rsid w:val="0037709D"/>
    <w:rsid w:val="00377307"/>
    <w:rsid w:val="00380538"/>
    <w:rsid w:val="00381A72"/>
    <w:rsid w:val="00384676"/>
    <w:rsid w:val="00384C43"/>
    <w:rsid w:val="003862FB"/>
    <w:rsid w:val="00390857"/>
    <w:rsid w:val="003A0C4D"/>
    <w:rsid w:val="003A31B9"/>
    <w:rsid w:val="003A3595"/>
    <w:rsid w:val="003A4BF3"/>
    <w:rsid w:val="003A5400"/>
    <w:rsid w:val="003B0B26"/>
    <w:rsid w:val="003B1123"/>
    <w:rsid w:val="003B420D"/>
    <w:rsid w:val="003C29D2"/>
    <w:rsid w:val="003C45DA"/>
    <w:rsid w:val="003C53E8"/>
    <w:rsid w:val="003C6C16"/>
    <w:rsid w:val="003C70D6"/>
    <w:rsid w:val="003C7114"/>
    <w:rsid w:val="003C716A"/>
    <w:rsid w:val="003D1682"/>
    <w:rsid w:val="003D1EDA"/>
    <w:rsid w:val="003D6992"/>
    <w:rsid w:val="003D794D"/>
    <w:rsid w:val="003E097A"/>
    <w:rsid w:val="003E23D4"/>
    <w:rsid w:val="003E3058"/>
    <w:rsid w:val="003E5F87"/>
    <w:rsid w:val="003E76A9"/>
    <w:rsid w:val="003F0809"/>
    <w:rsid w:val="003F0C5B"/>
    <w:rsid w:val="003F410A"/>
    <w:rsid w:val="003F58F7"/>
    <w:rsid w:val="003F5F06"/>
    <w:rsid w:val="003F6A8C"/>
    <w:rsid w:val="003F755C"/>
    <w:rsid w:val="00400323"/>
    <w:rsid w:val="00403300"/>
    <w:rsid w:val="00404518"/>
    <w:rsid w:val="00406CB3"/>
    <w:rsid w:val="00406F01"/>
    <w:rsid w:val="004102E4"/>
    <w:rsid w:val="00413CA8"/>
    <w:rsid w:val="00416D50"/>
    <w:rsid w:val="00416FD5"/>
    <w:rsid w:val="00417772"/>
    <w:rsid w:val="00420E6A"/>
    <w:rsid w:val="00422BA5"/>
    <w:rsid w:val="00425A9E"/>
    <w:rsid w:val="00426269"/>
    <w:rsid w:val="00426D6B"/>
    <w:rsid w:val="00431E6C"/>
    <w:rsid w:val="00433CE7"/>
    <w:rsid w:val="00436A3A"/>
    <w:rsid w:val="00436C3E"/>
    <w:rsid w:val="00437A3A"/>
    <w:rsid w:val="004405BC"/>
    <w:rsid w:val="004422E6"/>
    <w:rsid w:val="0044474C"/>
    <w:rsid w:val="004506BD"/>
    <w:rsid w:val="00450BD2"/>
    <w:rsid w:val="00452607"/>
    <w:rsid w:val="00452738"/>
    <w:rsid w:val="00454064"/>
    <w:rsid w:val="0045477D"/>
    <w:rsid w:val="00454F35"/>
    <w:rsid w:val="00456091"/>
    <w:rsid w:val="00460800"/>
    <w:rsid w:val="00462675"/>
    <w:rsid w:val="00465F57"/>
    <w:rsid w:val="00466321"/>
    <w:rsid w:val="004668F9"/>
    <w:rsid w:val="00467982"/>
    <w:rsid w:val="00484B9B"/>
    <w:rsid w:val="004855F6"/>
    <w:rsid w:val="00485EA2"/>
    <w:rsid w:val="0048661E"/>
    <w:rsid w:val="004867B1"/>
    <w:rsid w:val="00486FEA"/>
    <w:rsid w:val="00492552"/>
    <w:rsid w:val="00494670"/>
    <w:rsid w:val="004A15AE"/>
    <w:rsid w:val="004A3823"/>
    <w:rsid w:val="004A3934"/>
    <w:rsid w:val="004B255E"/>
    <w:rsid w:val="004B4D4F"/>
    <w:rsid w:val="004B4FBA"/>
    <w:rsid w:val="004C0D48"/>
    <w:rsid w:val="004C1EC6"/>
    <w:rsid w:val="004C5EB9"/>
    <w:rsid w:val="004D35CB"/>
    <w:rsid w:val="004D3BDC"/>
    <w:rsid w:val="004D4D00"/>
    <w:rsid w:val="004D624F"/>
    <w:rsid w:val="004E22C4"/>
    <w:rsid w:val="004E2590"/>
    <w:rsid w:val="004E3887"/>
    <w:rsid w:val="004E6946"/>
    <w:rsid w:val="004E742E"/>
    <w:rsid w:val="004F162D"/>
    <w:rsid w:val="004F17E6"/>
    <w:rsid w:val="004F1AD8"/>
    <w:rsid w:val="004F2F8F"/>
    <w:rsid w:val="004F5C78"/>
    <w:rsid w:val="0050186D"/>
    <w:rsid w:val="005039CB"/>
    <w:rsid w:val="00503E79"/>
    <w:rsid w:val="0050558F"/>
    <w:rsid w:val="00506286"/>
    <w:rsid w:val="00510813"/>
    <w:rsid w:val="00511990"/>
    <w:rsid w:val="00511DE0"/>
    <w:rsid w:val="00514870"/>
    <w:rsid w:val="00514B9B"/>
    <w:rsid w:val="00517F02"/>
    <w:rsid w:val="00524303"/>
    <w:rsid w:val="005258A2"/>
    <w:rsid w:val="00534AC4"/>
    <w:rsid w:val="005358CF"/>
    <w:rsid w:val="005401AE"/>
    <w:rsid w:val="00542141"/>
    <w:rsid w:val="00542D46"/>
    <w:rsid w:val="00542E07"/>
    <w:rsid w:val="00545424"/>
    <w:rsid w:val="00554646"/>
    <w:rsid w:val="00554A7B"/>
    <w:rsid w:val="0055572C"/>
    <w:rsid w:val="0056106A"/>
    <w:rsid w:val="005613DF"/>
    <w:rsid w:val="00564BF7"/>
    <w:rsid w:val="005720AE"/>
    <w:rsid w:val="00573891"/>
    <w:rsid w:val="00574253"/>
    <w:rsid w:val="00574561"/>
    <w:rsid w:val="00574F5B"/>
    <w:rsid w:val="00576721"/>
    <w:rsid w:val="00581A68"/>
    <w:rsid w:val="00586D4A"/>
    <w:rsid w:val="00594D77"/>
    <w:rsid w:val="005969E4"/>
    <w:rsid w:val="00597DBC"/>
    <w:rsid w:val="005A06B7"/>
    <w:rsid w:val="005A1759"/>
    <w:rsid w:val="005A3C01"/>
    <w:rsid w:val="005A68A7"/>
    <w:rsid w:val="005A6DE0"/>
    <w:rsid w:val="005A7EC9"/>
    <w:rsid w:val="005B384F"/>
    <w:rsid w:val="005C4FBD"/>
    <w:rsid w:val="005C544A"/>
    <w:rsid w:val="005C6CE6"/>
    <w:rsid w:val="005D36AB"/>
    <w:rsid w:val="005E176C"/>
    <w:rsid w:val="005E5F73"/>
    <w:rsid w:val="005E648C"/>
    <w:rsid w:val="005F0295"/>
    <w:rsid w:val="005F3413"/>
    <w:rsid w:val="0060575D"/>
    <w:rsid w:val="00611C30"/>
    <w:rsid w:val="006135B5"/>
    <w:rsid w:val="00617CC3"/>
    <w:rsid w:val="006221D6"/>
    <w:rsid w:val="00623C19"/>
    <w:rsid w:val="006301E6"/>
    <w:rsid w:val="00630B55"/>
    <w:rsid w:val="006377A6"/>
    <w:rsid w:val="00637A3D"/>
    <w:rsid w:val="006411EF"/>
    <w:rsid w:val="006466BC"/>
    <w:rsid w:val="006505D1"/>
    <w:rsid w:val="006552F5"/>
    <w:rsid w:val="006651D7"/>
    <w:rsid w:val="00665654"/>
    <w:rsid w:val="00667983"/>
    <w:rsid w:val="00673A7E"/>
    <w:rsid w:val="006748B8"/>
    <w:rsid w:val="006775C3"/>
    <w:rsid w:val="006833E9"/>
    <w:rsid w:val="00683FE8"/>
    <w:rsid w:val="006872C5"/>
    <w:rsid w:val="00687EDF"/>
    <w:rsid w:val="0069290A"/>
    <w:rsid w:val="00695396"/>
    <w:rsid w:val="00695998"/>
    <w:rsid w:val="00695F58"/>
    <w:rsid w:val="0069775A"/>
    <w:rsid w:val="00697813"/>
    <w:rsid w:val="006A35FA"/>
    <w:rsid w:val="006A3EE8"/>
    <w:rsid w:val="006A72BF"/>
    <w:rsid w:val="006B03F2"/>
    <w:rsid w:val="006B37DC"/>
    <w:rsid w:val="006B4F68"/>
    <w:rsid w:val="006B4FC3"/>
    <w:rsid w:val="006B70CD"/>
    <w:rsid w:val="006C0592"/>
    <w:rsid w:val="006C272E"/>
    <w:rsid w:val="006C5479"/>
    <w:rsid w:val="006C6FC5"/>
    <w:rsid w:val="006C7EED"/>
    <w:rsid w:val="006D13B5"/>
    <w:rsid w:val="006D2745"/>
    <w:rsid w:val="006D2DDE"/>
    <w:rsid w:val="006D4647"/>
    <w:rsid w:val="006D5B3F"/>
    <w:rsid w:val="006D7F72"/>
    <w:rsid w:val="006E12FF"/>
    <w:rsid w:val="006E607E"/>
    <w:rsid w:val="0070135D"/>
    <w:rsid w:val="007014F7"/>
    <w:rsid w:val="00701F71"/>
    <w:rsid w:val="007043BD"/>
    <w:rsid w:val="00705E87"/>
    <w:rsid w:val="00706C5D"/>
    <w:rsid w:val="00722091"/>
    <w:rsid w:val="00723ACD"/>
    <w:rsid w:val="00727ED8"/>
    <w:rsid w:val="00727FEC"/>
    <w:rsid w:val="00731768"/>
    <w:rsid w:val="00732922"/>
    <w:rsid w:val="00737493"/>
    <w:rsid w:val="007374C9"/>
    <w:rsid w:val="007458CE"/>
    <w:rsid w:val="00746494"/>
    <w:rsid w:val="00750066"/>
    <w:rsid w:val="00750FDE"/>
    <w:rsid w:val="0075105B"/>
    <w:rsid w:val="0075162E"/>
    <w:rsid w:val="00754034"/>
    <w:rsid w:val="00756556"/>
    <w:rsid w:val="00756ADB"/>
    <w:rsid w:val="0075775E"/>
    <w:rsid w:val="007618C4"/>
    <w:rsid w:val="00767980"/>
    <w:rsid w:val="00770A66"/>
    <w:rsid w:val="00770B19"/>
    <w:rsid w:val="0077463F"/>
    <w:rsid w:val="00776F0C"/>
    <w:rsid w:val="007820E2"/>
    <w:rsid w:val="007836EA"/>
    <w:rsid w:val="00784B18"/>
    <w:rsid w:val="00784CDA"/>
    <w:rsid w:val="00785C9B"/>
    <w:rsid w:val="00785F4E"/>
    <w:rsid w:val="007906C4"/>
    <w:rsid w:val="007940EA"/>
    <w:rsid w:val="007952C9"/>
    <w:rsid w:val="00795916"/>
    <w:rsid w:val="00795C9D"/>
    <w:rsid w:val="007967E8"/>
    <w:rsid w:val="007A0CF5"/>
    <w:rsid w:val="007A2170"/>
    <w:rsid w:val="007A22BF"/>
    <w:rsid w:val="007A3323"/>
    <w:rsid w:val="007A4E36"/>
    <w:rsid w:val="007A732C"/>
    <w:rsid w:val="007B20A2"/>
    <w:rsid w:val="007B5F77"/>
    <w:rsid w:val="007B6165"/>
    <w:rsid w:val="007B72B8"/>
    <w:rsid w:val="007B7A58"/>
    <w:rsid w:val="007C21B5"/>
    <w:rsid w:val="007C2ECE"/>
    <w:rsid w:val="007C5F78"/>
    <w:rsid w:val="007C71C5"/>
    <w:rsid w:val="007D5FFB"/>
    <w:rsid w:val="007E2372"/>
    <w:rsid w:val="007E3396"/>
    <w:rsid w:val="007E4BD2"/>
    <w:rsid w:val="007E754E"/>
    <w:rsid w:val="007E7944"/>
    <w:rsid w:val="007F4482"/>
    <w:rsid w:val="007F6269"/>
    <w:rsid w:val="007F7D68"/>
    <w:rsid w:val="00800397"/>
    <w:rsid w:val="00801393"/>
    <w:rsid w:val="00802834"/>
    <w:rsid w:val="00802F88"/>
    <w:rsid w:val="0081293E"/>
    <w:rsid w:val="00815465"/>
    <w:rsid w:val="00817E9A"/>
    <w:rsid w:val="008306BD"/>
    <w:rsid w:val="0083195E"/>
    <w:rsid w:val="00831A80"/>
    <w:rsid w:val="00833743"/>
    <w:rsid w:val="0083385F"/>
    <w:rsid w:val="008340A4"/>
    <w:rsid w:val="008431A7"/>
    <w:rsid w:val="008431B0"/>
    <w:rsid w:val="00846F6B"/>
    <w:rsid w:val="00851269"/>
    <w:rsid w:val="00853CAE"/>
    <w:rsid w:val="00857732"/>
    <w:rsid w:val="00860D03"/>
    <w:rsid w:val="00861A09"/>
    <w:rsid w:val="00865943"/>
    <w:rsid w:val="0087135F"/>
    <w:rsid w:val="00872D94"/>
    <w:rsid w:val="00877280"/>
    <w:rsid w:val="00880364"/>
    <w:rsid w:val="008857F8"/>
    <w:rsid w:val="00890AEA"/>
    <w:rsid w:val="0089115F"/>
    <w:rsid w:val="00891592"/>
    <w:rsid w:val="00891E9E"/>
    <w:rsid w:val="00894AA0"/>
    <w:rsid w:val="00894B12"/>
    <w:rsid w:val="0089540A"/>
    <w:rsid w:val="008A2D73"/>
    <w:rsid w:val="008A2F68"/>
    <w:rsid w:val="008A624F"/>
    <w:rsid w:val="008B09E5"/>
    <w:rsid w:val="008B29B6"/>
    <w:rsid w:val="008B4FA6"/>
    <w:rsid w:val="008B5282"/>
    <w:rsid w:val="008B7C17"/>
    <w:rsid w:val="008C2D01"/>
    <w:rsid w:val="008C40E6"/>
    <w:rsid w:val="008C4BCF"/>
    <w:rsid w:val="008C60C7"/>
    <w:rsid w:val="008D0F7A"/>
    <w:rsid w:val="008D1D69"/>
    <w:rsid w:val="008D68E4"/>
    <w:rsid w:val="008E0506"/>
    <w:rsid w:val="008E0CFF"/>
    <w:rsid w:val="008E3F44"/>
    <w:rsid w:val="008E5D6B"/>
    <w:rsid w:val="008E76F0"/>
    <w:rsid w:val="008F15FE"/>
    <w:rsid w:val="008F2D29"/>
    <w:rsid w:val="008F5187"/>
    <w:rsid w:val="008F60D8"/>
    <w:rsid w:val="00900C6F"/>
    <w:rsid w:val="00902727"/>
    <w:rsid w:val="0090312B"/>
    <w:rsid w:val="00904AEA"/>
    <w:rsid w:val="009051C7"/>
    <w:rsid w:val="0091736D"/>
    <w:rsid w:val="00917DFA"/>
    <w:rsid w:val="009200E9"/>
    <w:rsid w:val="0093037A"/>
    <w:rsid w:val="00932115"/>
    <w:rsid w:val="0093267C"/>
    <w:rsid w:val="009327C1"/>
    <w:rsid w:val="00937381"/>
    <w:rsid w:val="0094154D"/>
    <w:rsid w:val="00941B86"/>
    <w:rsid w:val="00941DFD"/>
    <w:rsid w:val="00947BC8"/>
    <w:rsid w:val="0095155F"/>
    <w:rsid w:val="00953F3D"/>
    <w:rsid w:val="00954429"/>
    <w:rsid w:val="009563CE"/>
    <w:rsid w:val="00957C25"/>
    <w:rsid w:val="00962375"/>
    <w:rsid w:val="00976328"/>
    <w:rsid w:val="0097680D"/>
    <w:rsid w:val="0098145D"/>
    <w:rsid w:val="00981F0B"/>
    <w:rsid w:val="00982438"/>
    <w:rsid w:val="0098404C"/>
    <w:rsid w:val="00985283"/>
    <w:rsid w:val="009874AE"/>
    <w:rsid w:val="00990DE3"/>
    <w:rsid w:val="00995992"/>
    <w:rsid w:val="009A03E5"/>
    <w:rsid w:val="009A0F3B"/>
    <w:rsid w:val="009A1BB4"/>
    <w:rsid w:val="009A2628"/>
    <w:rsid w:val="009A3200"/>
    <w:rsid w:val="009A3F42"/>
    <w:rsid w:val="009B019C"/>
    <w:rsid w:val="009B03EA"/>
    <w:rsid w:val="009B0897"/>
    <w:rsid w:val="009B5A0B"/>
    <w:rsid w:val="009B5D4F"/>
    <w:rsid w:val="009B7BD9"/>
    <w:rsid w:val="009B7EB7"/>
    <w:rsid w:val="009C3740"/>
    <w:rsid w:val="009C3E12"/>
    <w:rsid w:val="009C7DD5"/>
    <w:rsid w:val="009E18EC"/>
    <w:rsid w:val="009E19A0"/>
    <w:rsid w:val="009E227D"/>
    <w:rsid w:val="009E5019"/>
    <w:rsid w:val="009E5808"/>
    <w:rsid w:val="009E719B"/>
    <w:rsid w:val="009F2540"/>
    <w:rsid w:val="009F47F7"/>
    <w:rsid w:val="009F4FFB"/>
    <w:rsid w:val="00A0207C"/>
    <w:rsid w:val="00A025AF"/>
    <w:rsid w:val="00A04F1B"/>
    <w:rsid w:val="00A0501B"/>
    <w:rsid w:val="00A06882"/>
    <w:rsid w:val="00A14947"/>
    <w:rsid w:val="00A16EA1"/>
    <w:rsid w:val="00A17E3E"/>
    <w:rsid w:val="00A32917"/>
    <w:rsid w:val="00A32A83"/>
    <w:rsid w:val="00A35F12"/>
    <w:rsid w:val="00A368DB"/>
    <w:rsid w:val="00A423AA"/>
    <w:rsid w:val="00A44093"/>
    <w:rsid w:val="00A473CA"/>
    <w:rsid w:val="00A475D8"/>
    <w:rsid w:val="00A47981"/>
    <w:rsid w:val="00A5180B"/>
    <w:rsid w:val="00A53AC5"/>
    <w:rsid w:val="00A53EC6"/>
    <w:rsid w:val="00A55C0F"/>
    <w:rsid w:val="00A56054"/>
    <w:rsid w:val="00A6428A"/>
    <w:rsid w:val="00A65265"/>
    <w:rsid w:val="00A80415"/>
    <w:rsid w:val="00A824C0"/>
    <w:rsid w:val="00A82CFC"/>
    <w:rsid w:val="00A83FF4"/>
    <w:rsid w:val="00A86CBA"/>
    <w:rsid w:val="00A8713F"/>
    <w:rsid w:val="00A90BA1"/>
    <w:rsid w:val="00A97A9A"/>
    <w:rsid w:val="00AA0671"/>
    <w:rsid w:val="00AA2531"/>
    <w:rsid w:val="00AB1E09"/>
    <w:rsid w:val="00AB1E12"/>
    <w:rsid w:val="00AB2B42"/>
    <w:rsid w:val="00AB2E23"/>
    <w:rsid w:val="00AB322B"/>
    <w:rsid w:val="00AB3718"/>
    <w:rsid w:val="00AB428F"/>
    <w:rsid w:val="00AB5330"/>
    <w:rsid w:val="00AB55B0"/>
    <w:rsid w:val="00AB7747"/>
    <w:rsid w:val="00AC0534"/>
    <w:rsid w:val="00AC0AAD"/>
    <w:rsid w:val="00AC14CE"/>
    <w:rsid w:val="00AC2A56"/>
    <w:rsid w:val="00AC3CCC"/>
    <w:rsid w:val="00AC5C69"/>
    <w:rsid w:val="00AC794E"/>
    <w:rsid w:val="00AD055E"/>
    <w:rsid w:val="00AD1CBC"/>
    <w:rsid w:val="00AD47A7"/>
    <w:rsid w:val="00AE0DD4"/>
    <w:rsid w:val="00AE2729"/>
    <w:rsid w:val="00AE4B19"/>
    <w:rsid w:val="00AE56A7"/>
    <w:rsid w:val="00AE6AE6"/>
    <w:rsid w:val="00AE74B4"/>
    <w:rsid w:val="00AF0CBF"/>
    <w:rsid w:val="00AF257F"/>
    <w:rsid w:val="00AF3029"/>
    <w:rsid w:val="00AF33CF"/>
    <w:rsid w:val="00AF4B95"/>
    <w:rsid w:val="00AF4D50"/>
    <w:rsid w:val="00AF6179"/>
    <w:rsid w:val="00AF6891"/>
    <w:rsid w:val="00B03CCB"/>
    <w:rsid w:val="00B0582E"/>
    <w:rsid w:val="00B06A05"/>
    <w:rsid w:val="00B10F4D"/>
    <w:rsid w:val="00B1295A"/>
    <w:rsid w:val="00B13D9B"/>
    <w:rsid w:val="00B20A45"/>
    <w:rsid w:val="00B22C5C"/>
    <w:rsid w:val="00B22E6B"/>
    <w:rsid w:val="00B239EB"/>
    <w:rsid w:val="00B24F30"/>
    <w:rsid w:val="00B25C52"/>
    <w:rsid w:val="00B31ABF"/>
    <w:rsid w:val="00B32AD1"/>
    <w:rsid w:val="00B33BE3"/>
    <w:rsid w:val="00B347F5"/>
    <w:rsid w:val="00B35FD7"/>
    <w:rsid w:val="00B407E9"/>
    <w:rsid w:val="00B426E5"/>
    <w:rsid w:val="00B45F46"/>
    <w:rsid w:val="00B4695D"/>
    <w:rsid w:val="00B51442"/>
    <w:rsid w:val="00B5210B"/>
    <w:rsid w:val="00B53B5D"/>
    <w:rsid w:val="00B554D3"/>
    <w:rsid w:val="00B56A82"/>
    <w:rsid w:val="00B576E4"/>
    <w:rsid w:val="00B577D8"/>
    <w:rsid w:val="00B6055E"/>
    <w:rsid w:val="00B6317D"/>
    <w:rsid w:val="00B7723F"/>
    <w:rsid w:val="00B80534"/>
    <w:rsid w:val="00B82F0F"/>
    <w:rsid w:val="00B8433C"/>
    <w:rsid w:val="00B87491"/>
    <w:rsid w:val="00B90D19"/>
    <w:rsid w:val="00B93259"/>
    <w:rsid w:val="00BA02EA"/>
    <w:rsid w:val="00BA29E9"/>
    <w:rsid w:val="00BA317F"/>
    <w:rsid w:val="00BA6B91"/>
    <w:rsid w:val="00BA7142"/>
    <w:rsid w:val="00BB01AF"/>
    <w:rsid w:val="00BB2031"/>
    <w:rsid w:val="00BB237C"/>
    <w:rsid w:val="00BB41A3"/>
    <w:rsid w:val="00BB41F4"/>
    <w:rsid w:val="00BB6B0A"/>
    <w:rsid w:val="00BB7E0C"/>
    <w:rsid w:val="00BC32DC"/>
    <w:rsid w:val="00BC35B6"/>
    <w:rsid w:val="00BC5E18"/>
    <w:rsid w:val="00BD1B51"/>
    <w:rsid w:val="00BD317B"/>
    <w:rsid w:val="00BD4596"/>
    <w:rsid w:val="00BE1405"/>
    <w:rsid w:val="00BE2A29"/>
    <w:rsid w:val="00BE312D"/>
    <w:rsid w:val="00BF1C20"/>
    <w:rsid w:val="00BF204C"/>
    <w:rsid w:val="00C0126E"/>
    <w:rsid w:val="00C028C7"/>
    <w:rsid w:val="00C02E3F"/>
    <w:rsid w:val="00C04BDC"/>
    <w:rsid w:val="00C07CA7"/>
    <w:rsid w:val="00C10578"/>
    <w:rsid w:val="00C135BC"/>
    <w:rsid w:val="00C15152"/>
    <w:rsid w:val="00C1528A"/>
    <w:rsid w:val="00C158C0"/>
    <w:rsid w:val="00C15C95"/>
    <w:rsid w:val="00C23C4E"/>
    <w:rsid w:val="00C2596A"/>
    <w:rsid w:val="00C271C8"/>
    <w:rsid w:val="00C27537"/>
    <w:rsid w:val="00C30492"/>
    <w:rsid w:val="00C328FE"/>
    <w:rsid w:val="00C33507"/>
    <w:rsid w:val="00C346E9"/>
    <w:rsid w:val="00C347B8"/>
    <w:rsid w:val="00C4409D"/>
    <w:rsid w:val="00C44E72"/>
    <w:rsid w:val="00C45A06"/>
    <w:rsid w:val="00C45B52"/>
    <w:rsid w:val="00C47E5B"/>
    <w:rsid w:val="00C54015"/>
    <w:rsid w:val="00C5477D"/>
    <w:rsid w:val="00C61E4B"/>
    <w:rsid w:val="00C620D9"/>
    <w:rsid w:val="00C636AB"/>
    <w:rsid w:val="00C64BFF"/>
    <w:rsid w:val="00C64F7F"/>
    <w:rsid w:val="00C704E9"/>
    <w:rsid w:val="00C763C9"/>
    <w:rsid w:val="00C77FBB"/>
    <w:rsid w:val="00C80057"/>
    <w:rsid w:val="00C82232"/>
    <w:rsid w:val="00C828A7"/>
    <w:rsid w:val="00C82913"/>
    <w:rsid w:val="00C87DD0"/>
    <w:rsid w:val="00C94078"/>
    <w:rsid w:val="00C9657D"/>
    <w:rsid w:val="00C972B1"/>
    <w:rsid w:val="00C97FC2"/>
    <w:rsid w:val="00CA2C89"/>
    <w:rsid w:val="00CA2CCE"/>
    <w:rsid w:val="00CA43FD"/>
    <w:rsid w:val="00CA5A59"/>
    <w:rsid w:val="00CA613C"/>
    <w:rsid w:val="00CA7EF8"/>
    <w:rsid w:val="00CB7859"/>
    <w:rsid w:val="00CC138B"/>
    <w:rsid w:val="00CC435C"/>
    <w:rsid w:val="00CC489B"/>
    <w:rsid w:val="00CC4CC7"/>
    <w:rsid w:val="00CC718F"/>
    <w:rsid w:val="00CD2BCD"/>
    <w:rsid w:val="00CD3A4C"/>
    <w:rsid w:val="00CD70F1"/>
    <w:rsid w:val="00CE10E9"/>
    <w:rsid w:val="00CE2910"/>
    <w:rsid w:val="00CE2B90"/>
    <w:rsid w:val="00CE5393"/>
    <w:rsid w:val="00CE6243"/>
    <w:rsid w:val="00CE7E28"/>
    <w:rsid w:val="00CF36BE"/>
    <w:rsid w:val="00CF3A97"/>
    <w:rsid w:val="00CF6000"/>
    <w:rsid w:val="00CF73AA"/>
    <w:rsid w:val="00D00383"/>
    <w:rsid w:val="00D003F3"/>
    <w:rsid w:val="00D01278"/>
    <w:rsid w:val="00D02647"/>
    <w:rsid w:val="00D02D7C"/>
    <w:rsid w:val="00D0364F"/>
    <w:rsid w:val="00D066A7"/>
    <w:rsid w:val="00D06834"/>
    <w:rsid w:val="00D139D3"/>
    <w:rsid w:val="00D1493D"/>
    <w:rsid w:val="00D1663C"/>
    <w:rsid w:val="00D308ED"/>
    <w:rsid w:val="00D35838"/>
    <w:rsid w:val="00D35EA3"/>
    <w:rsid w:val="00D3692F"/>
    <w:rsid w:val="00D36D86"/>
    <w:rsid w:val="00D407C8"/>
    <w:rsid w:val="00D41659"/>
    <w:rsid w:val="00D428AA"/>
    <w:rsid w:val="00D44AB8"/>
    <w:rsid w:val="00D47A1E"/>
    <w:rsid w:val="00D50A34"/>
    <w:rsid w:val="00D523F3"/>
    <w:rsid w:val="00D52BDA"/>
    <w:rsid w:val="00D53176"/>
    <w:rsid w:val="00D53EFA"/>
    <w:rsid w:val="00D650FF"/>
    <w:rsid w:val="00D702E2"/>
    <w:rsid w:val="00D706FF"/>
    <w:rsid w:val="00D801F3"/>
    <w:rsid w:val="00D8625C"/>
    <w:rsid w:val="00D87BBC"/>
    <w:rsid w:val="00D9380E"/>
    <w:rsid w:val="00D93AA5"/>
    <w:rsid w:val="00D94A7C"/>
    <w:rsid w:val="00D95896"/>
    <w:rsid w:val="00D95C83"/>
    <w:rsid w:val="00D9660B"/>
    <w:rsid w:val="00DA44D1"/>
    <w:rsid w:val="00DA647B"/>
    <w:rsid w:val="00DB2983"/>
    <w:rsid w:val="00DB4ADF"/>
    <w:rsid w:val="00DB6D33"/>
    <w:rsid w:val="00DC1257"/>
    <w:rsid w:val="00DC3DC0"/>
    <w:rsid w:val="00DC5B2B"/>
    <w:rsid w:val="00DD0424"/>
    <w:rsid w:val="00DD0F79"/>
    <w:rsid w:val="00DD10DB"/>
    <w:rsid w:val="00DD318D"/>
    <w:rsid w:val="00DE48B6"/>
    <w:rsid w:val="00DE4E41"/>
    <w:rsid w:val="00DF0178"/>
    <w:rsid w:val="00DF1D35"/>
    <w:rsid w:val="00DF2E12"/>
    <w:rsid w:val="00DF456A"/>
    <w:rsid w:val="00DF514A"/>
    <w:rsid w:val="00DF6525"/>
    <w:rsid w:val="00DF6690"/>
    <w:rsid w:val="00DF6804"/>
    <w:rsid w:val="00DF686D"/>
    <w:rsid w:val="00E0358D"/>
    <w:rsid w:val="00E04323"/>
    <w:rsid w:val="00E051CF"/>
    <w:rsid w:val="00E070A2"/>
    <w:rsid w:val="00E13F76"/>
    <w:rsid w:val="00E2656A"/>
    <w:rsid w:val="00E33015"/>
    <w:rsid w:val="00E33A3D"/>
    <w:rsid w:val="00E34EDE"/>
    <w:rsid w:val="00E3759F"/>
    <w:rsid w:val="00E40A65"/>
    <w:rsid w:val="00E412D0"/>
    <w:rsid w:val="00E44147"/>
    <w:rsid w:val="00E4638A"/>
    <w:rsid w:val="00E529B7"/>
    <w:rsid w:val="00E56322"/>
    <w:rsid w:val="00E5740B"/>
    <w:rsid w:val="00E60982"/>
    <w:rsid w:val="00E6187E"/>
    <w:rsid w:val="00E61B1C"/>
    <w:rsid w:val="00E62C62"/>
    <w:rsid w:val="00E654C1"/>
    <w:rsid w:val="00E65D97"/>
    <w:rsid w:val="00E7035F"/>
    <w:rsid w:val="00E7041B"/>
    <w:rsid w:val="00E72A5A"/>
    <w:rsid w:val="00E73354"/>
    <w:rsid w:val="00E7578C"/>
    <w:rsid w:val="00E77A42"/>
    <w:rsid w:val="00E85213"/>
    <w:rsid w:val="00E864A5"/>
    <w:rsid w:val="00E879A7"/>
    <w:rsid w:val="00E9242D"/>
    <w:rsid w:val="00E92D46"/>
    <w:rsid w:val="00E948FA"/>
    <w:rsid w:val="00E963C9"/>
    <w:rsid w:val="00EA1461"/>
    <w:rsid w:val="00EA14FA"/>
    <w:rsid w:val="00EA3433"/>
    <w:rsid w:val="00EB5255"/>
    <w:rsid w:val="00EB5273"/>
    <w:rsid w:val="00EB5C47"/>
    <w:rsid w:val="00EB6026"/>
    <w:rsid w:val="00EC1879"/>
    <w:rsid w:val="00EC2278"/>
    <w:rsid w:val="00EC3249"/>
    <w:rsid w:val="00ED0639"/>
    <w:rsid w:val="00ED2EEF"/>
    <w:rsid w:val="00ED4561"/>
    <w:rsid w:val="00EE2BF3"/>
    <w:rsid w:val="00EE4AF0"/>
    <w:rsid w:val="00EF4755"/>
    <w:rsid w:val="00EF7135"/>
    <w:rsid w:val="00F027DB"/>
    <w:rsid w:val="00F14A7A"/>
    <w:rsid w:val="00F15AF0"/>
    <w:rsid w:val="00F22985"/>
    <w:rsid w:val="00F2334B"/>
    <w:rsid w:val="00F2747F"/>
    <w:rsid w:val="00F312C3"/>
    <w:rsid w:val="00F3383E"/>
    <w:rsid w:val="00F341B7"/>
    <w:rsid w:val="00F41159"/>
    <w:rsid w:val="00F465A7"/>
    <w:rsid w:val="00F50AEF"/>
    <w:rsid w:val="00F50B7C"/>
    <w:rsid w:val="00F50BE1"/>
    <w:rsid w:val="00F550E6"/>
    <w:rsid w:val="00F621B0"/>
    <w:rsid w:val="00F63F30"/>
    <w:rsid w:val="00F66A98"/>
    <w:rsid w:val="00F67098"/>
    <w:rsid w:val="00F70D20"/>
    <w:rsid w:val="00F72D44"/>
    <w:rsid w:val="00F74345"/>
    <w:rsid w:val="00F76852"/>
    <w:rsid w:val="00F80A0A"/>
    <w:rsid w:val="00F82B19"/>
    <w:rsid w:val="00F842D8"/>
    <w:rsid w:val="00F9212D"/>
    <w:rsid w:val="00F95AF0"/>
    <w:rsid w:val="00F95E92"/>
    <w:rsid w:val="00F96168"/>
    <w:rsid w:val="00F96273"/>
    <w:rsid w:val="00F9653C"/>
    <w:rsid w:val="00F965DA"/>
    <w:rsid w:val="00F972A3"/>
    <w:rsid w:val="00FA2022"/>
    <w:rsid w:val="00FA3C29"/>
    <w:rsid w:val="00FA406A"/>
    <w:rsid w:val="00FA4DA7"/>
    <w:rsid w:val="00FA6E57"/>
    <w:rsid w:val="00FA76B6"/>
    <w:rsid w:val="00FB10CA"/>
    <w:rsid w:val="00FB2FA2"/>
    <w:rsid w:val="00FB503A"/>
    <w:rsid w:val="00FB516C"/>
    <w:rsid w:val="00FC3B2D"/>
    <w:rsid w:val="00FD0236"/>
    <w:rsid w:val="00FD18F4"/>
    <w:rsid w:val="00FD54DB"/>
    <w:rsid w:val="00FD619F"/>
    <w:rsid w:val="00FE4071"/>
    <w:rsid w:val="00FE457D"/>
    <w:rsid w:val="00FF10B4"/>
    <w:rsid w:val="00FF1572"/>
    <w:rsid w:val="00FF1E65"/>
    <w:rsid w:val="00FF5984"/>
    <w:rsid w:val="00FF6396"/>
    <w:rsid w:val="00FF69D1"/>
    <w:rsid w:val="01002AC7"/>
    <w:rsid w:val="01057174"/>
    <w:rsid w:val="010A330A"/>
    <w:rsid w:val="010C0502"/>
    <w:rsid w:val="011318C8"/>
    <w:rsid w:val="01151C88"/>
    <w:rsid w:val="0119334B"/>
    <w:rsid w:val="01211321"/>
    <w:rsid w:val="01237EC8"/>
    <w:rsid w:val="01290F7E"/>
    <w:rsid w:val="012C687B"/>
    <w:rsid w:val="01305012"/>
    <w:rsid w:val="014324AF"/>
    <w:rsid w:val="014A5B8D"/>
    <w:rsid w:val="01506E4E"/>
    <w:rsid w:val="015D1E09"/>
    <w:rsid w:val="016E28C5"/>
    <w:rsid w:val="01801F53"/>
    <w:rsid w:val="01877B89"/>
    <w:rsid w:val="018B248D"/>
    <w:rsid w:val="018F2EE2"/>
    <w:rsid w:val="019776F6"/>
    <w:rsid w:val="01A47ABD"/>
    <w:rsid w:val="01AA3F47"/>
    <w:rsid w:val="01AB7876"/>
    <w:rsid w:val="01AC79D9"/>
    <w:rsid w:val="01B0010F"/>
    <w:rsid w:val="01B16AD4"/>
    <w:rsid w:val="01BE07C7"/>
    <w:rsid w:val="01C515AF"/>
    <w:rsid w:val="01C76E95"/>
    <w:rsid w:val="01DC1F93"/>
    <w:rsid w:val="01DC7044"/>
    <w:rsid w:val="01E03DFF"/>
    <w:rsid w:val="01E11E15"/>
    <w:rsid w:val="01E36F4E"/>
    <w:rsid w:val="01E9245B"/>
    <w:rsid w:val="01F749EE"/>
    <w:rsid w:val="01F876FA"/>
    <w:rsid w:val="0204742C"/>
    <w:rsid w:val="02103BBE"/>
    <w:rsid w:val="021A6C4F"/>
    <w:rsid w:val="021E1CE5"/>
    <w:rsid w:val="023613C7"/>
    <w:rsid w:val="02387B64"/>
    <w:rsid w:val="02424F35"/>
    <w:rsid w:val="02554842"/>
    <w:rsid w:val="02697903"/>
    <w:rsid w:val="02822136"/>
    <w:rsid w:val="02837690"/>
    <w:rsid w:val="02931B6D"/>
    <w:rsid w:val="029629E9"/>
    <w:rsid w:val="02A215AA"/>
    <w:rsid w:val="02BA3F8E"/>
    <w:rsid w:val="02CC432C"/>
    <w:rsid w:val="02D1737B"/>
    <w:rsid w:val="02DA7164"/>
    <w:rsid w:val="02DB2C37"/>
    <w:rsid w:val="02EC5818"/>
    <w:rsid w:val="02F96569"/>
    <w:rsid w:val="030671D3"/>
    <w:rsid w:val="031C10D7"/>
    <w:rsid w:val="03222094"/>
    <w:rsid w:val="032269E7"/>
    <w:rsid w:val="032D3C9E"/>
    <w:rsid w:val="03407516"/>
    <w:rsid w:val="03482C59"/>
    <w:rsid w:val="03544C23"/>
    <w:rsid w:val="035937A7"/>
    <w:rsid w:val="035C1ED6"/>
    <w:rsid w:val="035C2393"/>
    <w:rsid w:val="03604017"/>
    <w:rsid w:val="03622B9D"/>
    <w:rsid w:val="03720CB3"/>
    <w:rsid w:val="037A3BE3"/>
    <w:rsid w:val="038673DC"/>
    <w:rsid w:val="038A2976"/>
    <w:rsid w:val="03925117"/>
    <w:rsid w:val="03996E3F"/>
    <w:rsid w:val="039E6AF8"/>
    <w:rsid w:val="03AA7B5F"/>
    <w:rsid w:val="03C968E0"/>
    <w:rsid w:val="03CD7961"/>
    <w:rsid w:val="03D67D52"/>
    <w:rsid w:val="03DB0660"/>
    <w:rsid w:val="03E56FE6"/>
    <w:rsid w:val="03EA7B21"/>
    <w:rsid w:val="03F83DCC"/>
    <w:rsid w:val="03FD515B"/>
    <w:rsid w:val="03FE3CC3"/>
    <w:rsid w:val="041B5E34"/>
    <w:rsid w:val="042018E6"/>
    <w:rsid w:val="042B1481"/>
    <w:rsid w:val="042C2727"/>
    <w:rsid w:val="043921F1"/>
    <w:rsid w:val="043B6013"/>
    <w:rsid w:val="043C30E2"/>
    <w:rsid w:val="04443608"/>
    <w:rsid w:val="04471F90"/>
    <w:rsid w:val="04487B86"/>
    <w:rsid w:val="044C30ED"/>
    <w:rsid w:val="04547F31"/>
    <w:rsid w:val="046260D5"/>
    <w:rsid w:val="04687563"/>
    <w:rsid w:val="046F590C"/>
    <w:rsid w:val="04763F12"/>
    <w:rsid w:val="0478164A"/>
    <w:rsid w:val="0478655E"/>
    <w:rsid w:val="047A58F0"/>
    <w:rsid w:val="047F32B1"/>
    <w:rsid w:val="04875098"/>
    <w:rsid w:val="048E4C2C"/>
    <w:rsid w:val="04901713"/>
    <w:rsid w:val="049D275A"/>
    <w:rsid w:val="04A0411F"/>
    <w:rsid w:val="04A610B0"/>
    <w:rsid w:val="04A72244"/>
    <w:rsid w:val="04A95451"/>
    <w:rsid w:val="04AA0A87"/>
    <w:rsid w:val="04AB5C2F"/>
    <w:rsid w:val="04AE64BD"/>
    <w:rsid w:val="04B908D9"/>
    <w:rsid w:val="04BA5501"/>
    <w:rsid w:val="04C15DD2"/>
    <w:rsid w:val="04C218DA"/>
    <w:rsid w:val="04C36291"/>
    <w:rsid w:val="04C47A45"/>
    <w:rsid w:val="04CA53F7"/>
    <w:rsid w:val="04CD61FB"/>
    <w:rsid w:val="04E46248"/>
    <w:rsid w:val="04E5321D"/>
    <w:rsid w:val="04EA6C6F"/>
    <w:rsid w:val="04EE7BE8"/>
    <w:rsid w:val="04F33787"/>
    <w:rsid w:val="04F41631"/>
    <w:rsid w:val="04FF6143"/>
    <w:rsid w:val="05051289"/>
    <w:rsid w:val="050A034B"/>
    <w:rsid w:val="05187961"/>
    <w:rsid w:val="051A66FF"/>
    <w:rsid w:val="05354B67"/>
    <w:rsid w:val="053F0A22"/>
    <w:rsid w:val="05402C9B"/>
    <w:rsid w:val="054C3231"/>
    <w:rsid w:val="055261F3"/>
    <w:rsid w:val="056B5D52"/>
    <w:rsid w:val="056D2C74"/>
    <w:rsid w:val="05722C87"/>
    <w:rsid w:val="05785FC6"/>
    <w:rsid w:val="057B665E"/>
    <w:rsid w:val="0596483F"/>
    <w:rsid w:val="05A42878"/>
    <w:rsid w:val="05B44035"/>
    <w:rsid w:val="05B945AD"/>
    <w:rsid w:val="05BC2B6D"/>
    <w:rsid w:val="05BF3D7B"/>
    <w:rsid w:val="05C306ED"/>
    <w:rsid w:val="05C62ECB"/>
    <w:rsid w:val="05C935A6"/>
    <w:rsid w:val="05D67C2C"/>
    <w:rsid w:val="05DC2004"/>
    <w:rsid w:val="05E76E48"/>
    <w:rsid w:val="05E87261"/>
    <w:rsid w:val="05EA3927"/>
    <w:rsid w:val="05EE5441"/>
    <w:rsid w:val="05F11B6D"/>
    <w:rsid w:val="05F571EB"/>
    <w:rsid w:val="05F83EAE"/>
    <w:rsid w:val="05FE4C83"/>
    <w:rsid w:val="06035C4C"/>
    <w:rsid w:val="06084F90"/>
    <w:rsid w:val="06094DCC"/>
    <w:rsid w:val="060D53F2"/>
    <w:rsid w:val="0612484F"/>
    <w:rsid w:val="06127D66"/>
    <w:rsid w:val="06350328"/>
    <w:rsid w:val="063E68EC"/>
    <w:rsid w:val="063E74AA"/>
    <w:rsid w:val="063E7D85"/>
    <w:rsid w:val="066C325B"/>
    <w:rsid w:val="06706144"/>
    <w:rsid w:val="067130A6"/>
    <w:rsid w:val="067A2651"/>
    <w:rsid w:val="06811EAF"/>
    <w:rsid w:val="06824FB6"/>
    <w:rsid w:val="069C410C"/>
    <w:rsid w:val="06A74829"/>
    <w:rsid w:val="06B3091C"/>
    <w:rsid w:val="06B31AB4"/>
    <w:rsid w:val="06B459D4"/>
    <w:rsid w:val="06BD4576"/>
    <w:rsid w:val="06BF25A4"/>
    <w:rsid w:val="06CB4422"/>
    <w:rsid w:val="06F1108E"/>
    <w:rsid w:val="06F32D79"/>
    <w:rsid w:val="07060142"/>
    <w:rsid w:val="07070E25"/>
    <w:rsid w:val="07082B4F"/>
    <w:rsid w:val="070E4294"/>
    <w:rsid w:val="07121C34"/>
    <w:rsid w:val="071460C9"/>
    <w:rsid w:val="072858CC"/>
    <w:rsid w:val="0728596A"/>
    <w:rsid w:val="07293586"/>
    <w:rsid w:val="07295285"/>
    <w:rsid w:val="07373DFF"/>
    <w:rsid w:val="073E491E"/>
    <w:rsid w:val="07464658"/>
    <w:rsid w:val="074B7A32"/>
    <w:rsid w:val="075A369E"/>
    <w:rsid w:val="075D015E"/>
    <w:rsid w:val="075D4A37"/>
    <w:rsid w:val="076151C5"/>
    <w:rsid w:val="07625D15"/>
    <w:rsid w:val="07636392"/>
    <w:rsid w:val="07770C56"/>
    <w:rsid w:val="079414FD"/>
    <w:rsid w:val="079923C4"/>
    <w:rsid w:val="079B438E"/>
    <w:rsid w:val="07A051BE"/>
    <w:rsid w:val="07B34097"/>
    <w:rsid w:val="07CD6C29"/>
    <w:rsid w:val="07D8547D"/>
    <w:rsid w:val="07EB1A50"/>
    <w:rsid w:val="07EE5354"/>
    <w:rsid w:val="07F8789F"/>
    <w:rsid w:val="07FE1307"/>
    <w:rsid w:val="08016067"/>
    <w:rsid w:val="08051A37"/>
    <w:rsid w:val="08056997"/>
    <w:rsid w:val="08101141"/>
    <w:rsid w:val="0820165D"/>
    <w:rsid w:val="08234FE7"/>
    <w:rsid w:val="08297C37"/>
    <w:rsid w:val="083E61B8"/>
    <w:rsid w:val="08475D24"/>
    <w:rsid w:val="08504889"/>
    <w:rsid w:val="08551CEA"/>
    <w:rsid w:val="086C2179"/>
    <w:rsid w:val="08780537"/>
    <w:rsid w:val="088A5223"/>
    <w:rsid w:val="08964B56"/>
    <w:rsid w:val="08982524"/>
    <w:rsid w:val="08A3414B"/>
    <w:rsid w:val="08A95EF4"/>
    <w:rsid w:val="08AA0E57"/>
    <w:rsid w:val="08AA5898"/>
    <w:rsid w:val="08BA36D2"/>
    <w:rsid w:val="08DA1279"/>
    <w:rsid w:val="08E523C9"/>
    <w:rsid w:val="08EF2262"/>
    <w:rsid w:val="08F7761A"/>
    <w:rsid w:val="08FE7136"/>
    <w:rsid w:val="09017904"/>
    <w:rsid w:val="09157F20"/>
    <w:rsid w:val="092217DD"/>
    <w:rsid w:val="092263E9"/>
    <w:rsid w:val="092875D6"/>
    <w:rsid w:val="093645B1"/>
    <w:rsid w:val="093A7294"/>
    <w:rsid w:val="093F5AA7"/>
    <w:rsid w:val="09420839"/>
    <w:rsid w:val="09463C6A"/>
    <w:rsid w:val="094A52CA"/>
    <w:rsid w:val="09562AE5"/>
    <w:rsid w:val="095C5AD4"/>
    <w:rsid w:val="09650ED5"/>
    <w:rsid w:val="0967660B"/>
    <w:rsid w:val="096864F2"/>
    <w:rsid w:val="09725355"/>
    <w:rsid w:val="09733A2B"/>
    <w:rsid w:val="09964B76"/>
    <w:rsid w:val="09A432A2"/>
    <w:rsid w:val="09BA4874"/>
    <w:rsid w:val="09C474A0"/>
    <w:rsid w:val="09CD2368"/>
    <w:rsid w:val="09D04097"/>
    <w:rsid w:val="09D14DF1"/>
    <w:rsid w:val="09E70FBF"/>
    <w:rsid w:val="09EC3F3A"/>
    <w:rsid w:val="09FA65A0"/>
    <w:rsid w:val="0A0410BB"/>
    <w:rsid w:val="0A0D281E"/>
    <w:rsid w:val="0A0F4BBF"/>
    <w:rsid w:val="0A23183D"/>
    <w:rsid w:val="0A263993"/>
    <w:rsid w:val="0A2D3AC2"/>
    <w:rsid w:val="0A2F2AFC"/>
    <w:rsid w:val="0A5311CB"/>
    <w:rsid w:val="0A554EFC"/>
    <w:rsid w:val="0A56208E"/>
    <w:rsid w:val="0A634F0B"/>
    <w:rsid w:val="0A6A5E81"/>
    <w:rsid w:val="0A791D21"/>
    <w:rsid w:val="0A797AFD"/>
    <w:rsid w:val="0A7D5FCD"/>
    <w:rsid w:val="0A844315"/>
    <w:rsid w:val="0A87259A"/>
    <w:rsid w:val="0A8A06EA"/>
    <w:rsid w:val="0A8D3D36"/>
    <w:rsid w:val="0A8D4ABA"/>
    <w:rsid w:val="0A9A7BBB"/>
    <w:rsid w:val="0A9C1E16"/>
    <w:rsid w:val="0AA52C2E"/>
    <w:rsid w:val="0AA755DF"/>
    <w:rsid w:val="0AB310E4"/>
    <w:rsid w:val="0AB40E59"/>
    <w:rsid w:val="0ABD54C3"/>
    <w:rsid w:val="0ABE63CB"/>
    <w:rsid w:val="0AC030AE"/>
    <w:rsid w:val="0AC260D6"/>
    <w:rsid w:val="0AC53B15"/>
    <w:rsid w:val="0ADB0F46"/>
    <w:rsid w:val="0AE42FCE"/>
    <w:rsid w:val="0AE64B34"/>
    <w:rsid w:val="0AEB7DE9"/>
    <w:rsid w:val="0AEC20C2"/>
    <w:rsid w:val="0AFE506F"/>
    <w:rsid w:val="0B086A7D"/>
    <w:rsid w:val="0B09160F"/>
    <w:rsid w:val="0B0E4E77"/>
    <w:rsid w:val="0B11349B"/>
    <w:rsid w:val="0B120D44"/>
    <w:rsid w:val="0B1747D6"/>
    <w:rsid w:val="0B1A7CC0"/>
    <w:rsid w:val="0B1C5C66"/>
    <w:rsid w:val="0B38173A"/>
    <w:rsid w:val="0B3B0C81"/>
    <w:rsid w:val="0B4C03CC"/>
    <w:rsid w:val="0B53510C"/>
    <w:rsid w:val="0B561D0A"/>
    <w:rsid w:val="0B564F2F"/>
    <w:rsid w:val="0B6F5FED"/>
    <w:rsid w:val="0B7E2F67"/>
    <w:rsid w:val="0B812F1B"/>
    <w:rsid w:val="0B8A79EB"/>
    <w:rsid w:val="0B997714"/>
    <w:rsid w:val="0B9C2713"/>
    <w:rsid w:val="0BAA3254"/>
    <w:rsid w:val="0BB33FF8"/>
    <w:rsid w:val="0BC95848"/>
    <w:rsid w:val="0BD27BF6"/>
    <w:rsid w:val="0BDE4F1F"/>
    <w:rsid w:val="0BEB0C81"/>
    <w:rsid w:val="0BEC53CE"/>
    <w:rsid w:val="0BF7260E"/>
    <w:rsid w:val="0BFE016B"/>
    <w:rsid w:val="0C032BE5"/>
    <w:rsid w:val="0C0847BA"/>
    <w:rsid w:val="0C0D5283"/>
    <w:rsid w:val="0C0E77A3"/>
    <w:rsid w:val="0C0F1E96"/>
    <w:rsid w:val="0C0F7E73"/>
    <w:rsid w:val="0C1C173F"/>
    <w:rsid w:val="0C1D311A"/>
    <w:rsid w:val="0C2B42D4"/>
    <w:rsid w:val="0C2F779B"/>
    <w:rsid w:val="0C3532E8"/>
    <w:rsid w:val="0C3A48BB"/>
    <w:rsid w:val="0C3B3C7D"/>
    <w:rsid w:val="0C3D1575"/>
    <w:rsid w:val="0C41551D"/>
    <w:rsid w:val="0C4D7BC7"/>
    <w:rsid w:val="0C547419"/>
    <w:rsid w:val="0C5E697A"/>
    <w:rsid w:val="0C637B3C"/>
    <w:rsid w:val="0C6F3E5D"/>
    <w:rsid w:val="0C7A01A3"/>
    <w:rsid w:val="0C8F1333"/>
    <w:rsid w:val="0C960274"/>
    <w:rsid w:val="0C970E9C"/>
    <w:rsid w:val="0C973BE7"/>
    <w:rsid w:val="0CA07363"/>
    <w:rsid w:val="0CA12CFD"/>
    <w:rsid w:val="0CA31149"/>
    <w:rsid w:val="0CAB2EAE"/>
    <w:rsid w:val="0CB46419"/>
    <w:rsid w:val="0CCA5DF0"/>
    <w:rsid w:val="0CCC4252"/>
    <w:rsid w:val="0CCF791E"/>
    <w:rsid w:val="0CD8589B"/>
    <w:rsid w:val="0CE665AE"/>
    <w:rsid w:val="0CEA5160"/>
    <w:rsid w:val="0CF35E5E"/>
    <w:rsid w:val="0CF63D22"/>
    <w:rsid w:val="0CFF2F82"/>
    <w:rsid w:val="0D087DD7"/>
    <w:rsid w:val="0D0C4421"/>
    <w:rsid w:val="0D160B7F"/>
    <w:rsid w:val="0D251837"/>
    <w:rsid w:val="0D2A42A8"/>
    <w:rsid w:val="0D3579C3"/>
    <w:rsid w:val="0D4F6E76"/>
    <w:rsid w:val="0D552E2B"/>
    <w:rsid w:val="0D621C7D"/>
    <w:rsid w:val="0D642F93"/>
    <w:rsid w:val="0D66117E"/>
    <w:rsid w:val="0D732DC0"/>
    <w:rsid w:val="0D7D0092"/>
    <w:rsid w:val="0D846C10"/>
    <w:rsid w:val="0D984ECC"/>
    <w:rsid w:val="0D9D4C71"/>
    <w:rsid w:val="0DA2581C"/>
    <w:rsid w:val="0DAE1274"/>
    <w:rsid w:val="0DB96F39"/>
    <w:rsid w:val="0DBE593F"/>
    <w:rsid w:val="0DC70DC6"/>
    <w:rsid w:val="0DCE6B40"/>
    <w:rsid w:val="0DE0246F"/>
    <w:rsid w:val="0DE411CB"/>
    <w:rsid w:val="0DEB4159"/>
    <w:rsid w:val="0DEF77CD"/>
    <w:rsid w:val="0DF70DD1"/>
    <w:rsid w:val="0E072703"/>
    <w:rsid w:val="0E146ECE"/>
    <w:rsid w:val="0E2F5830"/>
    <w:rsid w:val="0E361188"/>
    <w:rsid w:val="0E3A7EF6"/>
    <w:rsid w:val="0E3E02AD"/>
    <w:rsid w:val="0E477E26"/>
    <w:rsid w:val="0E5572BB"/>
    <w:rsid w:val="0E630B42"/>
    <w:rsid w:val="0E6507AC"/>
    <w:rsid w:val="0E7055FC"/>
    <w:rsid w:val="0E722A0B"/>
    <w:rsid w:val="0E73034D"/>
    <w:rsid w:val="0E8116C4"/>
    <w:rsid w:val="0E813BB2"/>
    <w:rsid w:val="0E882641"/>
    <w:rsid w:val="0E91462F"/>
    <w:rsid w:val="0E9E3CB3"/>
    <w:rsid w:val="0EA93F09"/>
    <w:rsid w:val="0EAB6CCE"/>
    <w:rsid w:val="0EAC2263"/>
    <w:rsid w:val="0EBA4B0F"/>
    <w:rsid w:val="0ED64340"/>
    <w:rsid w:val="0EF17CFD"/>
    <w:rsid w:val="0F02005B"/>
    <w:rsid w:val="0F13775A"/>
    <w:rsid w:val="0F1D7A30"/>
    <w:rsid w:val="0F250038"/>
    <w:rsid w:val="0F2D4F98"/>
    <w:rsid w:val="0F2F1C75"/>
    <w:rsid w:val="0F4418AD"/>
    <w:rsid w:val="0F4672BC"/>
    <w:rsid w:val="0F474DFC"/>
    <w:rsid w:val="0F5B5315"/>
    <w:rsid w:val="0F5F45FE"/>
    <w:rsid w:val="0F657030"/>
    <w:rsid w:val="0F66298E"/>
    <w:rsid w:val="0F6A48E6"/>
    <w:rsid w:val="0F712F29"/>
    <w:rsid w:val="0F717F8E"/>
    <w:rsid w:val="0F777496"/>
    <w:rsid w:val="0F7B0068"/>
    <w:rsid w:val="0F823F1F"/>
    <w:rsid w:val="0F840FF0"/>
    <w:rsid w:val="0F8F7AEA"/>
    <w:rsid w:val="0F9933C0"/>
    <w:rsid w:val="0F9A112B"/>
    <w:rsid w:val="0FA719B7"/>
    <w:rsid w:val="0FC14EC7"/>
    <w:rsid w:val="0FE12B5A"/>
    <w:rsid w:val="0FE80275"/>
    <w:rsid w:val="0FEE21D9"/>
    <w:rsid w:val="0FFA00C0"/>
    <w:rsid w:val="100047F3"/>
    <w:rsid w:val="10027679"/>
    <w:rsid w:val="10097FAD"/>
    <w:rsid w:val="100F7438"/>
    <w:rsid w:val="101175BF"/>
    <w:rsid w:val="10156478"/>
    <w:rsid w:val="102C563C"/>
    <w:rsid w:val="1030763E"/>
    <w:rsid w:val="103D0568"/>
    <w:rsid w:val="104D4694"/>
    <w:rsid w:val="1060254A"/>
    <w:rsid w:val="10653F0C"/>
    <w:rsid w:val="106D2F64"/>
    <w:rsid w:val="107023AE"/>
    <w:rsid w:val="107648D2"/>
    <w:rsid w:val="107B5992"/>
    <w:rsid w:val="10800963"/>
    <w:rsid w:val="10854409"/>
    <w:rsid w:val="109069E7"/>
    <w:rsid w:val="109E57E8"/>
    <w:rsid w:val="10A02A03"/>
    <w:rsid w:val="10B26DDB"/>
    <w:rsid w:val="10B63710"/>
    <w:rsid w:val="10B9797C"/>
    <w:rsid w:val="10BE74ED"/>
    <w:rsid w:val="10C1070C"/>
    <w:rsid w:val="10CD7883"/>
    <w:rsid w:val="10E25D7C"/>
    <w:rsid w:val="10E31863"/>
    <w:rsid w:val="10E329F6"/>
    <w:rsid w:val="10E6512D"/>
    <w:rsid w:val="10F10820"/>
    <w:rsid w:val="10F16FD3"/>
    <w:rsid w:val="10FD379E"/>
    <w:rsid w:val="10FE2C78"/>
    <w:rsid w:val="10FE55E4"/>
    <w:rsid w:val="110079DA"/>
    <w:rsid w:val="110411F6"/>
    <w:rsid w:val="11044768"/>
    <w:rsid w:val="1108183A"/>
    <w:rsid w:val="110A60C6"/>
    <w:rsid w:val="111A6957"/>
    <w:rsid w:val="111C2F7A"/>
    <w:rsid w:val="111D4066"/>
    <w:rsid w:val="1128422F"/>
    <w:rsid w:val="113E0A97"/>
    <w:rsid w:val="11410767"/>
    <w:rsid w:val="11433163"/>
    <w:rsid w:val="11491958"/>
    <w:rsid w:val="115263CF"/>
    <w:rsid w:val="115571B8"/>
    <w:rsid w:val="11653799"/>
    <w:rsid w:val="11665CA1"/>
    <w:rsid w:val="116A2B44"/>
    <w:rsid w:val="11966075"/>
    <w:rsid w:val="11986BEC"/>
    <w:rsid w:val="119E74C1"/>
    <w:rsid w:val="119F422D"/>
    <w:rsid w:val="11AE4EED"/>
    <w:rsid w:val="11B2449C"/>
    <w:rsid w:val="11BB24B0"/>
    <w:rsid w:val="11BB73DB"/>
    <w:rsid w:val="11C87BDE"/>
    <w:rsid w:val="11C955BB"/>
    <w:rsid w:val="11CA1092"/>
    <w:rsid w:val="11CA5287"/>
    <w:rsid w:val="11D66A7E"/>
    <w:rsid w:val="11DC0439"/>
    <w:rsid w:val="11DF0DF9"/>
    <w:rsid w:val="11E044D7"/>
    <w:rsid w:val="11E12405"/>
    <w:rsid w:val="11E216E6"/>
    <w:rsid w:val="11F50B3F"/>
    <w:rsid w:val="12071CB9"/>
    <w:rsid w:val="121A520B"/>
    <w:rsid w:val="1224283A"/>
    <w:rsid w:val="12355472"/>
    <w:rsid w:val="12395E6D"/>
    <w:rsid w:val="123C7B86"/>
    <w:rsid w:val="123F6AA2"/>
    <w:rsid w:val="125B45C0"/>
    <w:rsid w:val="12625C6D"/>
    <w:rsid w:val="126A522D"/>
    <w:rsid w:val="126D3AE3"/>
    <w:rsid w:val="12794AAC"/>
    <w:rsid w:val="127D1BE6"/>
    <w:rsid w:val="12833940"/>
    <w:rsid w:val="1290009A"/>
    <w:rsid w:val="1292638E"/>
    <w:rsid w:val="129A4402"/>
    <w:rsid w:val="12A16E06"/>
    <w:rsid w:val="12A85BB1"/>
    <w:rsid w:val="12AE245A"/>
    <w:rsid w:val="12B64F8D"/>
    <w:rsid w:val="12B732B0"/>
    <w:rsid w:val="12C55766"/>
    <w:rsid w:val="12CB222E"/>
    <w:rsid w:val="12D3094F"/>
    <w:rsid w:val="12D66C59"/>
    <w:rsid w:val="12E017EF"/>
    <w:rsid w:val="12F12A66"/>
    <w:rsid w:val="12F532EF"/>
    <w:rsid w:val="12F54657"/>
    <w:rsid w:val="13031BD6"/>
    <w:rsid w:val="13056D9D"/>
    <w:rsid w:val="13146A4C"/>
    <w:rsid w:val="13155608"/>
    <w:rsid w:val="13184B50"/>
    <w:rsid w:val="1318606C"/>
    <w:rsid w:val="132A0CBC"/>
    <w:rsid w:val="1337424A"/>
    <w:rsid w:val="13376E55"/>
    <w:rsid w:val="134150C1"/>
    <w:rsid w:val="134703ED"/>
    <w:rsid w:val="13563C2F"/>
    <w:rsid w:val="135F604A"/>
    <w:rsid w:val="13615D68"/>
    <w:rsid w:val="1364452E"/>
    <w:rsid w:val="13657E57"/>
    <w:rsid w:val="136E1102"/>
    <w:rsid w:val="137061F4"/>
    <w:rsid w:val="13706BF0"/>
    <w:rsid w:val="137430FA"/>
    <w:rsid w:val="13761404"/>
    <w:rsid w:val="137E2B2B"/>
    <w:rsid w:val="13813ABE"/>
    <w:rsid w:val="13830FD7"/>
    <w:rsid w:val="138715F5"/>
    <w:rsid w:val="13951726"/>
    <w:rsid w:val="139F1796"/>
    <w:rsid w:val="13A1169C"/>
    <w:rsid w:val="13A50343"/>
    <w:rsid w:val="13B07EA1"/>
    <w:rsid w:val="13C7651E"/>
    <w:rsid w:val="13DE4D8F"/>
    <w:rsid w:val="13E16280"/>
    <w:rsid w:val="13EF7419"/>
    <w:rsid w:val="140B2D25"/>
    <w:rsid w:val="14232A64"/>
    <w:rsid w:val="143005A2"/>
    <w:rsid w:val="14385EE1"/>
    <w:rsid w:val="14396509"/>
    <w:rsid w:val="143A0DA4"/>
    <w:rsid w:val="1441438F"/>
    <w:rsid w:val="144539DF"/>
    <w:rsid w:val="144768C9"/>
    <w:rsid w:val="144D0A0A"/>
    <w:rsid w:val="1451030D"/>
    <w:rsid w:val="14543B69"/>
    <w:rsid w:val="14583214"/>
    <w:rsid w:val="145853B5"/>
    <w:rsid w:val="145A1B30"/>
    <w:rsid w:val="145A2321"/>
    <w:rsid w:val="146135FD"/>
    <w:rsid w:val="14665D24"/>
    <w:rsid w:val="14690572"/>
    <w:rsid w:val="146E6FE3"/>
    <w:rsid w:val="14777733"/>
    <w:rsid w:val="14830684"/>
    <w:rsid w:val="14887C98"/>
    <w:rsid w:val="148B0CB4"/>
    <w:rsid w:val="149D6EC5"/>
    <w:rsid w:val="149E1725"/>
    <w:rsid w:val="14A46659"/>
    <w:rsid w:val="14A80150"/>
    <w:rsid w:val="14B05B25"/>
    <w:rsid w:val="14C54AC5"/>
    <w:rsid w:val="14D428D8"/>
    <w:rsid w:val="14DD2C3C"/>
    <w:rsid w:val="14F015C8"/>
    <w:rsid w:val="14F075E7"/>
    <w:rsid w:val="150E5713"/>
    <w:rsid w:val="151C0421"/>
    <w:rsid w:val="152C3803"/>
    <w:rsid w:val="15314987"/>
    <w:rsid w:val="1534197E"/>
    <w:rsid w:val="153521D3"/>
    <w:rsid w:val="153769B6"/>
    <w:rsid w:val="153E3E77"/>
    <w:rsid w:val="1548518D"/>
    <w:rsid w:val="154A72C6"/>
    <w:rsid w:val="15521CF6"/>
    <w:rsid w:val="15651390"/>
    <w:rsid w:val="156829ED"/>
    <w:rsid w:val="156D15F7"/>
    <w:rsid w:val="157171DC"/>
    <w:rsid w:val="157B5F87"/>
    <w:rsid w:val="157C68A2"/>
    <w:rsid w:val="157F7058"/>
    <w:rsid w:val="15856AF8"/>
    <w:rsid w:val="1592351A"/>
    <w:rsid w:val="15955151"/>
    <w:rsid w:val="15A30C01"/>
    <w:rsid w:val="15AA2B26"/>
    <w:rsid w:val="15AE5BDA"/>
    <w:rsid w:val="15CB6525"/>
    <w:rsid w:val="15CC14BE"/>
    <w:rsid w:val="15CC5CC5"/>
    <w:rsid w:val="15D80574"/>
    <w:rsid w:val="15DE6761"/>
    <w:rsid w:val="15F20E8D"/>
    <w:rsid w:val="15FA7A7C"/>
    <w:rsid w:val="15FB142D"/>
    <w:rsid w:val="15FB4C34"/>
    <w:rsid w:val="15FD434D"/>
    <w:rsid w:val="15FF19A6"/>
    <w:rsid w:val="160015D0"/>
    <w:rsid w:val="16005770"/>
    <w:rsid w:val="16087E1D"/>
    <w:rsid w:val="160D0CF8"/>
    <w:rsid w:val="160E172B"/>
    <w:rsid w:val="160E6054"/>
    <w:rsid w:val="161B0001"/>
    <w:rsid w:val="161E0162"/>
    <w:rsid w:val="161E56FA"/>
    <w:rsid w:val="1623663A"/>
    <w:rsid w:val="1624706F"/>
    <w:rsid w:val="16390A43"/>
    <w:rsid w:val="16523319"/>
    <w:rsid w:val="16560E82"/>
    <w:rsid w:val="16584BE2"/>
    <w:rsid w:val="165929ED"/>
    <w:rsid w:val="166427C2"/>
    <w:rsid w:val="166D6770"/>
    <w:rsid w:val="16743888"/>
    <w:rsid w:val="16745391"/>
    <w:rsid w:val="167C0DF1"/>
    <w:rsid w:val="16905027"/>
    <w:rsid w:val="1695504C"/>
    <w:rsid w:val="169757FF"/>
    <w:rsid w:val="16A10D7E"/>
    <w:rsid w:val="16A2619A"/>
    <w:rsid w:val="16B156F9"/>
    <w:rsid w:val="16B46DE6"/>
    <w:rsid w:val="16C632F0"/>
    <w:rsid w:val="16C64858"/>
    <w:rsid w:val="16C87851"/>
    <w:rsid w:val="16CB4C64"/>
    <w:rsid w:val="16D85655"/>
    <w:rsid w:val="16DC464A"/>
    <w:rsid w:val="16E021F0"/>
    <w:rsid w:val="16EB5F91"/>
    <w:rsid w:val="17076659"/>
    <w:rsid w:val="170F61FF"/>
    <w:rsid w:val="17136CB0"/>
    <w:rsid w:val="17145043"/>
    <w:rsid w:val="17263CEA"/>
    <w:rsid w:val="172B584C"/>
    <w:rsid w:val="172D48D7"/>
    <w:rsid w:val="17380414"/>
    <w:rsid w:val="17477887"/>
    <w:rsid w:val="17515291"/>
    <w:rsid w:val="17535460"/>
    <w:rsid w:val="17563E2E"/>
    <w:rsid w:val="176F310B"/>
    <w:rsid w:val="17701D14"/>
    <w:rsid w:val="17735226"/>
    <w:rsid w:val="177811B9"/>
    <w:rsid w:val="177F50C7"/>
    <w:rsid w:val="17852965"/>
    <w:rsid w:val="178B4195"/>
    <w:rsid w:val="17A32F79"/>
    <w:rsid w:val="17BA5E71"/>
    <w:rsid w:val="17C178F3"/>
    <w:rsid w:val="17C35F7C"/>
    <w:rsid w:val="17C549B5"/>
    <w:rsid w:val="17D0642A"/>
    <w:rsid w:val="17D4629D"/>
    <w:rsid w:val="17D87D33"/>
    <w:rsid w:val="17DA77C9"/>
    <w:rsid w:val="17DD1E83"/>
    <w:rsid w:val="17E22AF6"/>
    <w:rsid w:val="17E30BB9"/>
    <w:rsid w:val="17E72CD0"/>
    <w:rsid w:val="180A780B"/>
    <w:rsid w:val="180E1EC6"/>
    <w:rsid w:val="180F7009"/>
    <w:rsid w:val="180F7034"/>
    <w:rsid w:val="18171058"/>
    <w:rsid w:val="181734DA"/>
    <w:rsid w:val="181B2693"/>
    <w:rsid w:val="183A24D8"/>
    <w:rsid w:val="183D00DF"/>
    <w:rsid w:val="18431388"/>
    <w:rsid w:val="184A0718"/>
    <w:rsid w:val="185428E9"/>
    <w:rsid w:val="18543EB4"/>
    <w:rsid w:val="185C1667"/>
    <w:rsid w:val="18662E46"/>
    <w:rsid w:val="1866766D"/>
    <w:rsid w:val="18684E84"/>
    <w:rsid w:val="186C0251"/>
    <w:rsid w:val="18787C11"/>
    <w:rsid w:val="18813420"/>
    <w:rsid w:val="188D7CE8"/>
    <w:rsid w:val="18981D6C"/>
    <w:rsid w:val="189B210F"/>
    <w:rsid w:val="189F624C"/>
    <w:rsid w:val="18A309DA"/>
    <w:rsid w:val="18B67034"/>
    <w:rsid w:val="18B82C0E"/>
    <w:rsid w:val="18BC4164"/>
    <w:rsid w:val="18D97FEF"/>
    <w:rsid w:val="18E5173F"/>
    <w:rsid w:val="18E83143"/>
    <w:rsid w:val="18E85045"/>
    <w:rsid w:val="18F83C81"/>
    <w:rsid w:val="18FC4C73"/>
    <w:rsid w:val="19206A0E"/>
    <w:rsid w:val="19267A25"/>
    <w:rsid w:val="192B0299"/>
    <w:rsid w:val="193517B8"/>
    <w:rsid w:val="1935348E"/>
    <w:rsid w:val="193D34D8"/>
    <w:rsid w:val="19441BA3"/>
    <w:rsid w:val="19461E17"/>
    <w:rsid w:val="19465A03"/>
    <w:rsid w:val="19477C94"/>
    <w:rsid w:val="195C0BA8"/>
    <w:rsid w:val="196614A1"/>
    <w:rsid w:val="196C11FD"/>
    <w:rsid w:val="197A06A2"/>
    <w:rsid w:val="198A7DBF"/>
    <w:rsid w:val="198C33B8"/>
    <w:rsid w:val="198C71D2"/>
    <w:rsid w:val="198E0E75"/>
    <w:rsid w:val="199A3FA6"/>
    <w:rsid w:val="199B6790"/>
    <w:rsid w:val="199D6D22"/>
    <w:rsid w:val="19A406D2"/>
    <w:rsid w:val="19A5038E"/>
    <w:rsid w:val="19AF2F9C"/>
    <w:rsid w:val="19BC52F8"/>
    <w:rsid w:val="19BD776F"/>
    <w:rsid w:val="19C01A32"/>
    <w:rsid w:val="19C070EE"/>
    <w:rsid w:val="19D737F2"/>
    <w:rsid w:val="19DF6EC9"/>
    <w:rsid w:val="19E017A3"/>
    <w:rsid w:val="19E07574"/>
    <w:rsid w:val="19E94E16"/>
    <w:rsid w:val="19ED1014"/>
    <w:rsid w:val="19EE48D7"/>
    <w:rsid w:val="19F86762"/>
    <w:rsid w:val="19F9460F"/>
    <w:rsid w:val="1A0B3B5C"/>
    <w:rsid w:val="1A12125A"/>
    <w:rsid w:val="1A1C66C0"/>
    <w:rsid w:val="1A282473"/>
    <w:rsid w:val="1A28612F"/>
    <w:rsid w:val="1A2C4BB6"/>
    <w:rsid w:val="1A367F46"/>
    <w:rsid w:val="1A42393B"/>
    <w:rsid w:val="1A4A0303"/>
    <w:rsid w:val="1A5664B6"/>
    <w:rsid w:val="1A573E30"/>
    <w:rsid w:val="1A5D2FCC"/>
    <w:rsid w:val="1A607BD9"/>
    <w:rsid w:val="1A6772BD"/>
    <w:rsid w:val="1A69690E"/>
    <w:rsid w:val="1A7A1DE1"/>
    <w:rsid w:val="1A807E6E"/>
    <w:rsid w:val="1A847D14"/>
    <w:rsid w:val="1A871BC7"/>
    <w:rsid w:val="1A8872F6"/>
    <w:rsid w:val="1A940875"/>
    <w:rsid w:val="1A955867"/>
    <w:rsid w:val="1A960948"/>
    <w:rsid w:val="1AAD45DE"/>
    <w:rsid w:val="1AB339F8"/>
    <w:rsid w:val="1AC740D6"/>
    <w:rsid w:val="1AC90E5F"/>
    <w:rsid w:val="1AD66D74"/>
    <w:rsid w:val="1ADB110B"/>
    <w:rsid w:val="1ADD5638"/>
    <w:rsid w:val="1AE40EE5"/>
    <w:rsid w:val="1AEE01A1"/>
    <w:rsid w:val="1AF06347"/>
    <w:rsid w:val="1AF57E02"/>
    <w:rsid w:val="1AF85C16"/>
    <w:rsid w:val="1AF96905"/>
    <w:rsid w:val="1B046F80"/>
    <w:rsid w:val="1B107A42"/>
    <w:rsid w:val="1B1B4FFC"/>
    <w:rsid w:val="1B1B5506"/>
    <w:rsid w:val="1B1C0EEA"/>
    <w:rsid w:val="1B233B4A"/>
    <w:rsid w:val="1B28339F"/>
    <w:rsid w:val="1B2A675A"/>
    <w:rsid w:val="1B2F1F27"/>
    <w:rsid w:val="1B3267B5"/>
    <w:rsid w:val="1B365A71"/>
    <w:rsid w:val="1B40161D"/>
    <w:rsid w:val="1B410951"/>
    <w:rsid w:val="1B441859"/>
    <w:rsid w:val="1B4A4913"/>
    <w:rsid w:val="1B4D2BED"/>
    <w:rsid w:val="1B520DB0"/>
    <w:rsid w:val="1B5944E3"/>
    <w:rsid w:val="1B5C578B"/>
    <w:rsid w:val="1B5D372A"/>
    <w:rsid w:val="1B5F7EB7"/>
    <w:rsid w:val="1B6606B1"/>
    <w:rsid w:val="1B724FAE"/>
    <w:rsid w:val="1B750FCE"/>
    <w:rsid w:val="1B9273FE"/>
    <w:rsid w:val="1BAC5276"/>
    <w:rsid w:val="1BD63088"/>
    <w:rsid w:val="1BDA3C88"/>
    <w:rsid w:val="1BDB2B53"/>
    <w:rsid w:val="1BE568D7"/>
    <w:rsid w:val="1BE87EF8"/>
    <w:rsid w:val="1C0975A0"/>
    <w:rsid w:val="1C147A9F"/>
    <w:rsid w:val="1C19360F"/>
    <w:rsid w:val="1C203E40"/>
    <w:rsid w:val="1C3507C2"/>
    <w:rsid w:val="1C44361D"/>
    <w:rsid w:val="1C4721A7"/>
    <w:rsid w:val="1C493D2E"/>
    <w:rsid w:val="1C4A31FF"/>
    <w:rsid w:val="1C4B2719"/>
    <w:rsid w:val="1C4C632C"/>
    <w:rsid w:val="1C5E7925"/>
    <w:rsid w:val="1C714269"/>
    <w:rsid w:val="1C7504C2"/>
    <w:rsid w:val="1C817A18"/>
    <w:rsid w:val="1C834575"/>
    <w:rsid w:val="1C8C1590"/>
    <w:rsid w:val="1C8C6544"/>
    <w:rsid w:val="1C955355"/>
    <w:rsid w:val="1CAD006F"/>
    <w:rsid w:val="1CE63988"/>
    <w:rsid w:val="1CEA3071"/>
    <w:rsid w:val="1CFD070F"/>
    <w:rsid w:val="1CFD57C8"/>
    <w:rsid w:val="1CFE5E7F"/>
    <w:rsid w:val="1D002685"/>
    <w:rsid w:val="1D0A30C1"/>
    <w:rsid w:val="1D1C5676"/>
    <w:rsid w:val="1D1F26E5"/>
    <w:rsid w:val="1D2561C5"/>
    <w:rsid w:val="1D256674"/>
    <w:rsid w:val="1D2972FA"/>
    <w:rsid w:val="1D2A44FB"/>
    <w:rsid w:val="1D406FC3"/>
    <w:rsid w:val="1D465B98"/>
    <w:rsid w:val="1D4F1A7E"/>
    <w:rsid w:val="1D556936"/>
    <w:rsid w:val="1D5F6196"/>
    <w:rsid w:val="1D6132A5"/>
    <w:rsid w:val="1D734218"/>
    <w:rsid w:val="1D742F17"/>
    <w:rsid w:val="1D794CDC"/>
    <w:rsid w:val="1D7D5E4C"/>
    <w:rsid w:val="1D84195E"/>
    <w:rsid w:val="1D8A2A83"/>
    <w:rsid w:val="1D8E56D5"/>
    <w:rsid w:val="1D9A6FE1"/>
    <w:rsid w:val="1DA43064"/>
    <w:rsid w:val="1DB40AA9"/>
    <w:rsid w:val="1DC165B1"/>
    <w:rsid w:val="1DD26459"/>
    <w:rsid w:val="1DD94940"/>
    <w:rsid w:val="1DE12AC6"/>
    <w:rsid w:val="1DE334C1"/>
    <w:rsid w:val="1DE336A1"/>
    <w:rsid w:val="1DF73A09"/>
    <w:rsid w:val="1DF76D33"/>
    <w:rsid w:val="1E001F20"/>
    <w:rsid w:val="1E016762"/>
    <w:rsid w:val="1E130E7D"/>
    <w:rsid w:val="1E162086"/>
    <w:rsid w:val="1E26281D"/>
    <w:rsid w:val="1E290ABB"/>
    <w:rsid w:val="1E2C6BBA"/>
    <w:rsid w:val="1E3E0571"/>
    <w:rsid w:val="1E44357B"/>
    <w:rsid w:val="1E4875D2"/>
    <w:rsid w:val="1E6247EE"/>
    <w:rsid w:val="1E740EAB"/>
    <w:rsid w:val="1E766B63"/>
    <w:rsid w:val="1E7A43DA"/>
    <w:rsid w:val="1E802B32"/>
    <w:rsid w:val="1E833521"/>
    <w:rsid w:val="1E841CFD"/>
    <w:rsid w:val="1E8E5CFC"/>
    <w:rsid w:val="1E9361C2"/>
    <w:rsid w:val="1E9526A5"/>
    <w:rsid w:val="1E9C0569"/>
    <w:rsid w:val="1EA0191F"/>
    <w:rsid w:val="1EA30273"/>
    <w:rsid w:val="1EA42A1C"/>
    <w:rsid w:val="1EA63ABB"/>
    <w:rsid w:val="1EA77E8D"/>
    <w:rsid w:val="1EAA2CB1"/>
    <w:rsid w:val="1EB57D18"/>
    <w:rsid w:val="1EB6616C"/>
    <w:rsid w:val="1ED366E8"/>
    <w:rsid w:val="1ED54DF8"/>
    <w:rsid w:val="1EDB1A66"/>
    <w:rsid w:val="1EE0071E"/>
    <w:rsid w:val="1EEB532C"/>
    <w:rsid w:val="1EF22207"/>
    <w:rsid w:val="1EF47B1B"/>
    <w:rsid w:val="1F047AFE"/>
    <w:rsid w:val="1F0625DD"/>
    <w:rsid w:val="1F0B4AB8"/>
    <w:rsid w:val="1F0E6957"/>
    <w:rsid w:val="1F230B7D"/>
    <w:rsid w:val="1F2C11C3"/>
    <w:rsid w:val="1F2E1D36"/>
    <w:rsid w:val="1F2E4567"/>
    <w:rsid w:val="1F3903EC"/>
    <w:rsid w:val="1F394761"/>
    <w:rsid w:val="1F3D795B"/>
    <w:rsid w:val="1F407C2C"/>
    <w:rsid w:val="1F4215EB"/>
    <w:rsid w:val="1F4248DA"/>
    <w:rsid w:val="1F511E72"/>
    <w:rsid w:val="1F6A4913"/>
    <w:rsid w:val="1F74367C"/>
    <w:rsid w:val="1F800FCF"/>
    <w:rsid w:val="1F885753"/>
    <w:rsid w:val="1F8E6706"/>
    <w:rsid w:val="1F8F0201"/>
    <w:rsid w:val="1F8F5329"/>
    <w:rsid w:val="1F92175F"/>
    <w:rsid w:val="1F9876B9"/>
    <w:rsid w:val="1F9D46C1"/>
    <w:rsid w:val="1F9D6CDD"/>
    <w:rsid w:val="1FA06810"/>
    <w:rsid w:val="1FAB1C01"/>
    <w:rsid w:val="1FC055D8"/>
    <w:rsid w:val="1FC16504"/>
    <w:rsid w:val="1FC45D7A"/>
    <w:rsid w:val="1FC76A34"/>
    <w:rsid w:val="1FD07ED1"/>
    <w:rsid w:val="1FD168C0"/>
    <w:rsid w:val="1FE63988"/>
    <w:rsid w:val="1FE7539E"/>
    <w:rsid w:val="1FE94B5A"/>
    <w:rsid w:val="1FFD09E3"/>
    <w:rsid w:val="1FFE7E7B"/>
    <w:rsid w:val="20005124"/>
    <w:rsid w:val="20014576"/>
    <w:rsid w:val="20103889"/>
    <w:rsid w:val="20185A6A"/>
    <w:rsid w:val="201E37BC"/>
    <w:rsid w:val="2020248E"/>
    <w:rsid w:val="20286583"/>
    <w:rsid w:val="202A12D4"/>
    <w:rsid w:val="202C4A14"/>
    <w:rsid w:val="202C7D85"/>
    <w:rsid w:val="203B64EB"/>
    <w:rsid w:val="203C3DDD"/>
    <w:rsid w:val="203D4934"/>
    <w:rsid w:val="204431AA"/>
    <w:rsid w:val="204B5CBA"/>
    <w:rsid w:val="204B5F85"/>
    <w:rsid w:val="20511886"/>
    <w:rsid w:val="20517888"/>
    <w:rsid w:val="205E6EBF"/>
    <w:rsid w:val="2061110A"/>
    <w:rsid w:val="20671BE0"/>
    <w:rsid w:val="20800BF1"/>
    <w:rsid w:val="208744B3"/>
    <w:rsid w:val="208C08C0"/>
    <w:rsid w:val="208F4C4A"/>
    <w:rsid w:val="209162FC"/>
    <w:rsid w:val="2092767C"/>
    <w:rsid w:val="20963CB8"/>
    <w:rsid w:val="209A6992"/>
    <w:rsid w:val="209E05F3"/>
    <w:rsid w:val="20A81A1B"/>
    <w:rsid w:val="20AC2D10"/>
    <w:rsid w:val="20B07FB6"/>
    <w:rsid w:val="20B22DAB"/>
    <w:rsid w:val="20B646FB"/>
    <w:rsid w:val="20BC17B5"/>
    <w:rsid w:val="20BC2DDD"/>
    <w:rsid w:val="20BE1C47"/>
    <w:rsid w:val="20BE4283"/>
    <w:rsid w:val="20C642E9"/>
    <w:rsid w:val="20CA0B32"/>
    <w:rsid w:val="20E07673"/>
    <w:rsid w:val="20E17D82"/>
    <w:rsid w:val="20F148BD"/>
    <w:rsid w:val="20F20BF5"/>
    <w:rsid w:val="20F44E1F"/>
    <w:rsid w:val="21075E3D"/>
    <w:rsid w:val="21182154"/>
    <w:rsid w:val="211920FD"/>
    <w:rsid w:val="212E3AEF"/>
    <w:rsid w:val="213B74B1"/>
    <w:rsid w:val="214458FB"/>
    <w:rsid w:val="214866A3"/>
    <w:rsid w:val="214C4634"/>
    <w:rsid w:val="214E21C2"/>
    <w:rsid w:val="215A2310"/>
    <w:rsid w:val="216929AF"/>
    <w:rsid w:val="218619ED"/>
    <w:rsid w:val="218E0631"/>
    <w:rsid w:val="219A525F"/>
    <w:rsid w:val="21AC0F26"/>
    <w:rsid w:val="21B20853"/>
    <w:rsid w:val="21B31F4B"/>
    <w:rsid w:val="21BC3427"/>
    <w:rsid w:val="21BE7D8E"/>
    <w:rsid w:val="21BF0730"/>
    <w:rsid w:val="21D002B6"/>
    <w:rsid w:val="21DE318A"/>
    <w:rsid w:val="21EA5571"/>
    <w:rsid w:val="21EE586A"/>
    <w:rsid w:val="21EF5B80"/>
    <w:rsid w:val="21F00203"/>
    <w:rsid w:val="21F2151B"/>
    <w:rsid w:val="21F33481"/>
    <w:rsid w:val="21F97370"/>
    <w:rsid w:val="221C2118"/>
    <w:rsid w:val="221E377D"/>
    <w:rsid w:val="22214A16"/>
    <w:rsid w:val="222859CC"/>
    <w:rsid w:val="22405975"/>
    <w:rsid w:val="22420C43"/>
    <w:rsid w:val="224C3D28"/>
    <w:rsid w:val="224F6537"/>
    <w:rsid w:val="22576990"/>
    <w:rsid w:val="225B3BD4"/>
    <w:rsid w:val="22683BFA"/>
    <w:rsid w:val="226F199F"/>
    <w:rsid w:val="227675DA"/>
    <w:rsid w:val="228763E2"/>
    <w:rsid w:val="22972EB6"/>
    <w:rsid w:val="229813DD"/>
    <w:rsid w:val="22A25F66"/>
    <w:rsid w:val="22AA773A"/>
    <w:rsid w:val="22AC092D"/>
    <w:rsid w:val="22B20386"/>
    <w:rsid w:val="22B41DE6"/>
    <w:rsid w:val="22C6341A"/>
    <w:rsid w:val="22D401B1"/>
    <w:rsid w:val="22DE7967"/>
    <w:rsid w:val="22ED3995"/>
    <w:rsid w:val="22F47480"/>
    <w:rsid w:val="22F57506"/>
    <w:rsid w:val="22FD1FA9"/>
    <w:rsid w:val="230951EA"/>
    <w:rsid w:val="230B0D41"/>
    <w:rsid w:val="230B5DD1"/>
    <w:rsid w:val="2317783D"/>
    <w:rsid w:val="231E3BEF"/>
    <w:rsid w:val="23266752"/>
    <w:rsid w:val="232A5C8F"/>
    <w:rsid w:val="232C2C5A"/>
    <w:rsid w:val="233879E9"/>
    <w:rsid w:val="23417E34"/>
    <w:rsid w:val="23430166"/>
    <w:rsid w:val="2348792E"/>
    <w:rsid w:val="2355768F"/>
    <w:rsid w:val="23663970"/>
    <w:rsid w:val="23676ED7"/>
    <w:rsid w:val="237023CA"/>
    <w:rsid w:val="2374178C"/>
    <w:rsid w:val="23770818"/>
    <w:rsid w:val="23773AAF"/>
    <w:rsid w:val="23777F99"/>
    <w:rsid w:val="23781DBB"/>
    <w:rsid w:val="237A17CA"/>
    <w:rsid w:val="237E2C29"/>
    <w:rsid w:val="23814F05"/>
    <w:rsid w:val="239028DF"/>
    <w:rsid w:val="23974F97"/>
    <w:rsid w:val="23A0125D"/>
    <w:rsid w:val="23A979DB"/>
    <w:rsid w:val="23B13736"/>
    <w:rsid w:val="23CF178A"/>
    <w:rsid w:val="23DC0489"/>
    <w:rsid w:val="23DE1C48"/>
    <w:rsid w:val="23DF60E5"/>
    <w:rsid w:val="23E31F1B"/>
    <w:rsid w:val="23F45B03"/>
    <w:rsid w:val="23F70558"/>
    <w:rsid w:val="23F944BF"/>
    <w:rsid w:val="24004E98"/>
    <w:rsid w:val="240210CD"/>
    <w:rsid w:val="24081E2E"/>
    <w:rsid w:val="240F43EE"/>
    <w:rsid w:val="24264886"/>
    <w:rsid w:val="242A392A"/>
    <w:rsid w:val="24311E80"/>
    <w:rsid w:val="24375059"/>
    <w:rsid w:val="244051FF"/>
    <w:rsid w:val="244411EA"/>
    <w:rsid w:val="24504A47"/>
    <w:rsid w:val="247618B2"/>
    <w:rsid w:val="247E04E1"/>
    <w:rsid w:val="2480698E"/>
    <w:rsid w:val="24872B02"/>
    <w:rsid w:val="249447D8"/>
    <w:rsid w:val="24A43FDD"/>
    <w:rsid w:val="24A62068"/>
    <w:rsid w:val="24A66BD8"/>
    <w:rsid w:val="24A75DD1"/>
    <w:rsid w:val="24BA7B81"/>
    <w:rsid w:val="24BF09F7"/>
    <w:rsid w:val="24C24418"/>
    <w:rsid w:val="24C74098"/>
    <w:rsid w:val="24CD76F9"/>
    <w:rsid w:val="24DA2039"/>
    <w:rsid w:val="24DC0587"/>
    <w:rsid w:val="24E137B3"/>
    <w:rsid w:val="24E76D58"/>
    <w:rsid w:val="24F507FB"/>
    <w:rsid w:val="24F5497F"/>
    <w:rsid w:val="25001A40"/>
    <w:rsid w:val="250F3447"/>
    <w:rsid w:val="251055C6"/>
    <w:rsid w:val="251D41DD"/>
    <w:rsid w:val="25233BEC"/>
    <w:rsid w:val="25267967"/>
    <w:rsid w:val="25276B86"/>
    <w:rsid w:val="252D53FE"/>
    <w:rsid w:val="25334819"/>
    <w:rsid w:val="253C219D"/>
    <w:rsid w:val="253E1157"/>
    <w:rsid w:val="25407AE5"/>
    <w:rsid w:val="254E00D5"/>
    <w:rsid w:val="25501A85"/>
    <w:rsid w:val="255B04F2"/>
    <w:rsid w:val="255D7014"/>
    <w:rsid w:val="25657105"/>
    <w:rsid w:val="25665B84"/>
    <w:rsid w:val="256B4972"/>
    <w:rsid w:val="257077FA"/>
    <w:rsid w:val="25767AF4"/>
    <w:rsid w:val="257A162F"/>
    <w:rsid w:val="257E0540"/>
    <w:rsid w:val="25864064"/>
    <w:rsid w:val="258C3110"/>
    <w:rsid w:val="258D6542"/>
    <w:rsid w:val="25B476C2"/>
    <w:rsid w:val="25BA1A9A"/>
    <w:rsid w:val="25C60D09"/>
    <w:rsid w:val="25E20751"/>
    <w:rsid w:val="25E23BE3"/>
    <w:rsid w:val="25EC2D81"/>
    <w:rsid w:val="25ED4EEF"/>
    <w:rsid w:val="25F0544D"/>
    <w:rsid w:val="25F22658"/>
    <w:rsid w:val="25FA322D"/>
    <w:rsid w:val="26041023"/>
    <w:rsid w:val="2607360C"/>
    <w:rsid w:val="26131AC1"/>
    <w:rsid w:val="26195742"/>
    <w:rsid w:val="26235823"/>
    <w:rsid w:val="2627714B"/>
    <w:rsid w:val="263064F4"/>
    <w:rsid w:val="26393298"/>
    <w:rsid w:val="26436930"/>
    <w:rsid w:val="26517948"/>
    <w:rsid w:val="267933CC"/>
    <w:rsid w:val="2683355D"/>
    <w:rsid w:val="26860B24"/>
    <w:rsid w:val="268A250E"/>
    <w:rsid w:val="269C053F"/>
    <w:rsid w:val="26AD4DC5"/>
    <w:rsid w:val="26C30E23"/>
    <w:rsid w:val="26CA1B72"/>
    <w:rsid w:val="26CC1C4A"/>
    <w:rsid w:val="26CD7CCE"/>
    <w:rsid w:val="26D362A4"/>
    <w:rsid w:val="26DD66C8"/>
    <w:rsid w:val="26DF1EB3"/>
    <w:rsid w:val="26E53685"/>
    <w:rsid w:val="26EE4083"/>
    <w:rsid w:val="2701366F"/>
    <w:rsid w:val="27024090"/>
    <w:rsid w:val="2707015E"/>
    <w:rsid w:val="27091343"/>
    <w:rsid w:val="27165AEA"/>
    <w:rsid w:val="27245B5F"/>
    <w:rsid w:val="272C46A5"/>
    <w:rsid w:val="27565784"/>
    <w:rsid w:val="27576182"/>
    <w:rsid w:val="27592C23"/>
    <w:rsid w:val="276C57C2"/>
    <w:rsid w:val="277057A2"/>
    <w:rsid w:val="2777514C"/>
    <w:rsid w:val="278060D3"/>
    <w:rsid w:val="27806E06"/>
    <w:rsid w:val="278B3166"/>
    <w:rsid w:val="278D64ED"/>
    <w:rsid w:val="27906876"/>
    <w:rsid w:val="279A30F5"/>
    <w:rsid w:val="279B67EE"/>
    <w:rsid w:val="27AB1218"/>
    <w:rsid w:val="27B20F19"/>
    <w:rsid w:val="27B70160"/>
    <w:rsid w:val="27C17045"/>
    <w:rsid w:val="27D86764"/>
    <w:rsid w:val="27DA6C4E"/>
    <w:rsid w:val="27DB6842"/>
    <w:rsid w:val="27E32286"/>
    <w:rsid w:val="27EE6E31"/>
    <w:rsid w:val="280629E6"/>
    <w:rsid w:val="280A2CA9"/>
    <w:rsid w:val="28155F15"/>
    <w:rsid w:val="28160E53"/>
    <w:rsid w:val="281C19B1"/>
    <w:rsid w:val="28255CC4"/>
    <w:rsid w:val="282B5014"/>
    <w:rsid w:val="282B77A9"/>
    <w:rsid w:val="28316A6C"/>
    <w:rsid w:val="28341D7A"/>
    <w:rsid w:val="2834716A"/>
    <w:rsid w:val="28350FE6"/>
    <w:rsid w:val="283A6CE4"/>
    <w:rsid w:val="28423380"/>
    <w:rsid w:val="284534A8"/>
    <w:rsid w:val="284673B7"/>
    <w:rsid w:val="2847363F"/>
    <w:rsid w:val="28500425"/>
    <w:rsid w:val="28506677"/>
    <w:rsid w:val="285735F9"/>
    <w:rsid w:val="28792246"/>
    <w:rsid w:val="2879781A"/>
    <w:rsid w:val="287D2AE8"/>
    <w:rsid w:val="288037A3"/>
    <w:rsid w:val="288F0BBD"/>
    <w:rsid w:val="28935FAE"/>
    <w:rsid w:val="28945ABB"/>
    <w:rsid w:val="28AB0D8E"/>
    <w:rsid w:val="28B50A31"/>
    <w:rsid w:val="28C05B16"/>
    <w:rsid w:val="28CB1111"/>
    <w:rsid w:val="28D41B4A"/>
    <w:rsid w:val="28D472A8"/>
    <w:rsid w:val="28D8795B"/>
    <w:rsid w:val="28D9580E"/>
    <w:rsid w:val="28E16ECD"/>
    <w:rsid w:val="28E513C3"/>
    <w:rsid w:val="28E72548"/>
    <w:rsid w:val="28E920EB"/>
    <w:rsid w:val="29001E4B"/>
    <w:rsid w:val="290336EA"/>
    <w:rsid w:val="29104F07"/>
    <w:rsid w:val="291122AA"/>
    <w:rsid w:val="29151A2D"/>
    <w:rsid w:val="291602FD"/>
    <w:rsid w:val="29171A70"/>
    <w:rsid w:val="2919692B"/>
    <w:rsid w:val="29206EB8"/>
    <w:rsid w:val="29257B04"/>
    <w:rsid w:val="292756D2"/>
    <w:rsid w:val="29276575"/>
    <w:rsid w:val="292B56AB"/>
    <w:rsid w:val="292D7D91"/>
    <w:rsid w:val="29346156"/>
    <w:rsid w:val="29373C19"/>
    <w:rsid w:val="2946347A"/>
    <w:rsid w:val="295715F4"/>
    <w:rsid w:val="29595666"/>
    <w:rsid w:val="29746F4E"/>
    <w:rsid w:val="297920CF"/>
    <w:rsid w:val="297A1827"/>
    <w:rsid w:val="297E4474"/>
    <w:rsid w:val="29874881"/>
    <w:rsid w:val="29A50C45"/>
    <w:rsid w:val="29A84CE7"/>
    <w:rsid w:val="29AF20F4"/>
    <w:rsid w:val="29AF6DD6"/>
    <w:rsid w:val="29B12818"/>
    <w:rsid w:val="29B34495"/>
    <w:rsid w:val="29C06608"/>
    <w:rsid w:val="29C11534"/>
    <w:rsid w:val="29DB0905"/>
    <w:rsid w:val="29E325E0"/>
    <w:rsid w:val="29E376ED"/>
    <w:rsid w:val="2A045CD0"/>
    <w:rsid w:val="2A054EFC"/>
    <w:rsid w:val="2A0A64AC"/>
    <w:rsid w:val="2A121D53"/>
    <w:rsid w:val="2A194580"/>
    <w:rsid w:val="2A1E3744"/>
    <w:rsid w:val="2A204A5D"/>
    <w:rsid w:val="2A452503"/>
    <w:rsid w:val="2A4818A2"/>
    <w:rsid w:val="2A4E0A7C"/>
    <w:rsid w:val="2A4E3A78"/>
    <w:rsid w:val="2A52271A"/>
    <w:rsid w:val="2A522801"/>
    <w:rsid w:val="2A585C5A"/>
    <w:rsid w:val="2A585CB7"/>
    <w:rsid w:val="2A5E3487"/>
    <w:rsid w:val="2A5E5F24"/>
    <w:rsid w:val="2A630C01"/>
    <w:rsid w:val="2A7B5F86"/>
    <w:rsid w:val="2A7B6B4F"/>
    <w:rsid w:val="2A8F1776"/>
    <w:rsid w:val="2A932366"/>
    <w:rsid w:val="2AA15A7D"/>
    <w:rsid w:val="2AA50E4B"/>
    <w:rsid w:val="2AA95896"/>
    <w:rsid w:val="2AB222F5"/>
    <w:rsid w:val="2AB400A0"/>
    <w:rsid w:val="2ABA348E"/>
    <w:rsid w:val="2ABA4251"/>
    <w:rsid w:val="2ABB6FE0"/>
    <w:rsid w:val="2ABD5054"/>
    <w:rsid w:val="2ACD398E"/>
    <w:rsid w:val="2AD9085E"/>
    <w:rsid w:val="2ADF2592"/>
    <w:rsid w:val="2AE42F91"/>
    <w:rsid w:val="2AE5579D"/>
    <w:rsid w:val="2AEC4F06"/>
    <w:rsid w:val="2AF624B5"/>
    <w:rsid w:val="2AF7125C"/>
    <w:rsid w:val="2AFC4894"/>
    <w:rsid w:val="2AFE5DF1"/>
    <w:rsid w:val="2AFF68BE"/>
    <w:rsid w:val="2B06466B"/>
    <w:rsid w:val="2B116DDB"/>
    <w:rsid w:val="2B142FBB"/>
    <w:rsid w:val="2B217007"/>
    <w:rsid w:val="2B27185F"/>
    <w:rsid w:val="2B2F316D"/>
    <w:rsid w:val="2B591A39"/>
    <w:rsid w:val="2B6842B5"/>
    <w:rsid w:val="2B737156"/>
    <w:rsid w:val="2B7507EF"/>
    <w:rsid w:val="2B75639D"/>
    <w:rsid w:val="2B78671A"/>
    <w:rsid w:val="2B7D1BD9"/>
    <w:rsid w:val="2B803D2D"/>
    <w:rsid w:val="2B866C21"/>
    <w:rsid w:val="2B9B2B99"/>
    <w:rsid w:val="2B9B3F1D"/>
    <w:rsid w:val="2B9E14F7"/>
    <w:rsid w:val="2BA54860"/>
    <w:rsid w:val="2BA71211"/>
    <w:rsid w:val="2BA936A8"/>
    <w:rsid w:val="2BB50D61"/>
    <w:rsid w:val="2BB86D40"/>
    <w:rsid w:val="2BBE55FF"/>
    <w:rsid w:val="2BC96286"/>
    <w:rsid w:val="2BD06D75"/>
    <w:rsid w:val="2BD1071D"/>
    <w:rsid w:val="2BD504E8"/>
    <w:rsid w:val="2BD84083"/>
    <w:rsid w:val="2BE22969"/>
    <w:rsid w:val="2BE7061B"/>
    <w:rsid w:val="2BE8195B"/>
    <w:rsid w:val="2BFB26B2"/>
    <w:rsid w:val="2BFF463C"/>
    <w:rsid w:val="2C0849D1"/>
    <w:rsid w:val="2C157EF6"/>
    <w:rsid w:val="2C165923"/>
    <w:rsid w:val="2C181352"/>
    <w:rsid w:val="2C1B0D4A"/>
    <w:rsid w:val="2C2053A7"/>
    <w:rsid w:val="2C26610B"/>
    <w:rsid w:val="2C2D2B4E"/>
    <w:rsid w:val="2C315A5A"/>
    <w:rsid w:val="2C3B721F"/>
    <w:rsid w:val="2C3D0BF6"/>
    <w:rsid w:val="2C46357C"/>
    <w:rsid w:val="2C4B1C25"/>
    <w:rsid w:val="2C4E6D35"/>
    <w:rsid w:val="2C5348C6"/>
    <w:rsid w:val="2C5E303A"/>
    <w:rsid w:val="2C6525F5"/>
    <w:rsid w:val="2C685C19"/>
    <w:rsid w:val="2C6C1A85"/>
    <w:rsid w:val="2C6D01B1"/>
    <w:rsid w:val="2C703684"/>
    <w:rsid w:val="2C714E8B"/>
    <w:rsid w:val="2C755F14"/>
    <w:rsid w:val="2C781071"/>
    <w:rsid w:val="2C7874DA"/>
    <w:rsid w:val="2C850EAC"/>
    <w:rsid w:val="2C855933"/>
    <w:rsid w:val="2C9113B0"/>
    <w:rsid w:val="2C960AF9"/>
    <w:rsid w:val="2CA51109"/>
    <w:rsid w:val="2CA62B22"/>
    <w:rsid w:val="2CA861ED"/>
    <w:rsid w:val="2CA92100"/>
    <w:rsid w:val="2CB6767C"/>
    <w:rsid w:val="2CB82A3D"/>
    <w:rsid w:val="2CCA2E9C"/>
    <w:rsid w:val="2CCF1274"/>
    <w:rsid w:val="2CD535EF"/>
    <w:rsid w:val="2CD70491"/>
    <w:rsid w:val="2CDC6DA8"/>
    <w:rsid w:val="2CDE44AA"/>
    <w:rsid w:val="2CEC2829"/>
    <w:rsid w:val="2CF84085"/>
    <w:rsid w:val="2D0855E2"/>
    <w:rsid w:val="2D0A20BE"/>
    <w:rsid w:val="2D0F6BF0"/>
    <w:rsid w:val="2D105F7D"/>
    <w:rsid w:val="2D190E35"/>
    <w:rsid w:val="2D1934DC"/>
    <w:rsid w:val="2D1D3740"/>
    <w:rsid w:val="2D3C5C02"/>
    <w:rsid w:val="2D3E1194"/>
    <w:rsid w:val="2D4D5112"/>
    <w:rsid w:val="2D56649E"/>
    <w:rsid w:val="2D5D1615"/>
    <w:rsid w:val="2D680B8A"/>
    <w:rsid w:val="2D723EF5"/>
    <w:rsid w:val="2D7F3505"/>
    <w:rsid w:val="2D853D21"/>
    <w:rsid w:val="2D897C8D"/>
    <w:rsid w:val="2D8A262B"/>
    <w:rsid w:val="2D8E5ADB"/>
    <w:rsid w:val="2D9E56F5"/>
    <w:rsid w:val="2DAD1660"/>
    <w:rsid w:val="2DAE08D3"/>
    <w:rsid w:val="2DBB0A37"/>
    <w:rsid w:val="2DC02145"/>
    <w:rsid w:val="2DCB2FBF"/>
    <w:rsid w:val="2DCE09B6"/>
    <w:rsid w:val="2DE008E1"/>
    <w:rsid w:val="2DE24F4F"/>
    <w:rsid w:val="2DF47F08"/>
    <w:rsid w:val="2E0655CB"/>
    <w:rsid w:val="2E083DE3"/>
    <w:rsid w:val="2E1348A7"/>
    <w:rsid w:val="2E1554B8"/>
    <w:rsid w:val="2E16672E"/>
    <w:rsid w:val="2E184C68"/>
    <w:rsid w:val="2E1F0798"/>
    <w:rsid w:val="2E270D50"/>
    <w:rsid w:val="2E2A7EAC"/>
    <w:rsid w:val="2E2D1208"/>
    <w:rsid w:val="2E2F2230"/>
    <w:rsid w:val="2E397D44"/>
    <w:rsid w:val="2E461E7F"/>
    <w:rsid w:val="2E473325"/>
    <w:rsid w:val="2E4E146C"/>
    <w:rsid w:val="2E520C6D"/>
    <w:rsid w:val="2E5333DD"/>
    <w:rsid w:val="2E540CE2"/>
    <w:rsid w:val="2E5834DA"/>
    <w:rsid w:val="2E667F96"/>
    <w:rsid w:val="2E6E74F1"/>
    <w:rsid w:val="2E700367"/>
    <w:rsid w:val="2E711D90"/>
    <w:rsid w:val="2E733A9B"/>
    <w:rsid w:val="2E775DC0"/>
    <w:rsid w:val="2E82128B"/>
    <w:rsid w:val="2E8226AB"/>
    <w:rsid w:val="2E83762E"/>
    <w:rsid w:val="2E865E29"/>
    <w:rsid w:val="2E866DE4"/>
    <w:rsid w:val="2E91016D"/>
    <w:rsid w:val="2E9C252D"/>
    <w:rsid w:val="2EB3488B"/>
    <w:rsid w:val="2EBA723B"/>
    <w:rsid w:val="2EBE07DF"/>
    <w:rsid w:val="2EC456C9"/>
    <w:rsid w:val="2EC45DC3"/>
    <w:rsid w:val="2EC947E6"/>
    <w:rsid w:val="2ED2499D"/>
    <w:rsid w:val="2EDC007C"/>
    <w:rsid w:val="2EDC7072"/>
    <w:rsid w:val="2EE243F4"/>
    <w:rsid w:val="2EEA7D96"/>
    <w:rsid w:val="2F011A5C"/>
    <w:rsid w:val="2F0453CB"/>
    <w:rsid w:val="2F07790B"/>
    <w:rsid w:val="2F0856C7"/>
    <w:rsid w:val="2F0857BD"/>
    <w:rsid w:val="2F0B6FBF"/>
    <w:rsid w:val="2F127453"/>
    <w:rsid w:val="2F155F25"/>
    <w:rsid w:val="2F176357"/>
    <w:rsid w:val="2F1B648E"/>
    <w:rsid w:val="2F1E67F3"/>
    <w:rsid w:val="2F2D0876"/>
    <w:rsid w:val="2F373A2B"/>
    <w:rsid w:val="2F382DF5"/>
    <w:rsid w:val="2F3B4869"/>
    <w:rsid w:val="2F4C25DA"/>
    <w:rsid w:val="2F5A5A06"/>
    <w:rsid w:val="2F653D5F"/>
    <w:rsid w:val="2F756613"/>
    <w:rsid w:val="2F776FD2"/>
    <w:rsid w:val="2F7B7CA6"/>
    <w:rsid w:val="2F7C2E0F"/>
    <w:rsid w:val="2F7E4052"/>
    <w:rsid w:val="2F9415D7"/>
    <w:rsid w:val="2F984EB6"/>
    <w:rsid w:val="2FA87BAA"/>
    <w:rsid w:val="2FAE46D9"/>
    <w:rsid w:val="2FB53426"/>
    <w:rsid w:val="2FC7774F"/>
    <w:rsid w:val="2FD065E6"/>
    <w:rsid w:val="2FD41123"/>
    <w:rsid w:val="2FD46BA9"/>
    <w:rsid w:val="2FD624DC"/>
    <w:rsid w:val="2FD96870"/>
    <w:rsid w:val="2FDC2824"/>
    <w:rsid w:val="2FF31B21"/>
    <w:rsid w:val="2FF624BE"/>
    <w:rsid w:val="2FF739C1"/>
    <w:rsid w:val="2FF81FD1"/>
    <w:rsid w:val="2FFF10C4"/>
    <w:rsid w:val="2FFF3290"/>
    <w:rsid w:val="30070A54"/>
    <w:rsid w:val="300A0177"/>
    <w:rsid w:val="30107EF2"/>
    <w:rsid w:val="30183DA9"/>
    <w:rsid w:val="301F616D"/>
    <w:rsid w:val="302124A8"/>
    <w:rsid w:val="3021268A"/>
    <w:rsid w:val="3025663B"/>
    <w:rsid w:val="30280C36"/>
    <w:rsid w:val="30291095"/>
    <w:rsid w:val="302A7643"/>
    <w:rsid w:val="302C6BC2"/>
    <w:rsid w:val="3045283A"/>
    <w:rsid w:val="3050452D"/>
    <w:rsid w:val="305245C4"/>
    <w:rsid w:val="30580BC9"/>
    <w:rsid w:val="3061381B"/>
    <w:rsid w:val="30727505"/>
    <w:rsid w:val="30733629"/>
    <w:rsid w:val="30817D16"/>
    <w:rsid w:val="308E1400"/>
    <w:rsid w:val="30A04F50"/>
    <w:rsid w:val="30A2344F"/>
    <w:rsid w:val="30A30B69"/>
    <w:rsid w:val="30A96A97"/>
    <w:rsid w:val="30CB7F1E"/>
    <w:rsid w:val="30CD42C6"/>
    <w:rsid w:val="30CE66A5"/>
    <w:rsid w:val="30D527F5"/>
    <w:rsid w:val="30DA1E02"/>
    <w:rsid w:val="30E17308"/>
    <w:rsid w:val="30EA2F49"/>
    <w:rsid w:val="30EC5ECB"/>
    <w:rsid w:val="3106646D"/>
    <w:rsid w:val="31071A18"/>
    <w:rsid w:val="311279A6"/>
    <w:rsid w:val="311E2ED7"/>
    <w:rsid w:val="312D7A2D"/>
    <w:rsid w:val="31365E81"/>
    <w:rsid w:val="31384580"/>
    <w:rsid w:val="313C532F"/>
    <w:rsid w:val="31406CDE"/>
    <w:rsid w:val="314569CA"/>
    <w:rsid w:val="315619EE"/>
    <w:rsid w:val="315C449C"/>
    <w:rsid w:val="31625D55"/>
    <w:rsid w:val="317B165F"/>
    <w:rsid w:val="318A24EF"/>
    <w:rsid w:val="318B0263"/>
    <w:rsid w:val="318B6972"/>
    <w:rsid w:val="318D74E5"/>
    <w:rsid w:val="318F6C7E"/>
    <w:rsid w:val="31972E55"/>
    <w:rsid w:val="319B4E07"/>
    <w:rsid w:val="319C48E2"/>
    <w:rsid w:val="31AB491E"/>
    <w:rsid w:val="31AD367C"/>
    <w:rsid w:val="31B82709"/>
    <w:rsid w:val="31C27A7D"/>
    <w:rsid w:val="31D05482"/>
    <w:rsid w:val="31D602F4"/>
    <w:rsid w:val="31D73F7F"/>
    <w:rsid w:val="31E63907"/>
    <w:rsid w:val="31E81F3D"/>
    <w:rsid w:val="31EE1A9A"/>
    <w:rsid w:val="31F4631B"/>
    <w:rsid w:val="31F836FD"/>
    <w:rsid w:val="3202703E"/>
    <w:rsid w:val="32036A88"/>
    <w:rsid w:val="320C360F"/>
    <w:rsid w:val="320C7B39"/>
    <w:rsid w:val="322773DD"/>
    <w:rsid w:val="32372F1D"/>
    <w:rsid w:val="32400B34"/>
    <w:rsid w:val="324E51B6"/>
    <w:rsid w:val="325E10BB"/>
    <w:rsid w:val="325F76CC"/>
    <w:rsid w:val="32642249"/>
    <w:rsid w:val="32693339"/>
    <w:rsid w:val="326B1881"/>
    <w:rsid w:val="327A27BD"/>
    <w:rsid w:val="327F2242"/>
    <w:rsid w:val="328A420B"/>
    <w:rsid w:val="32902015"/>
    <w:rsid w:val="329E6876"/>
    <w:rsid w:val="32A3404A"/>
    <w:rsid w:val="32A41266"/>
    <w:rsid w:val="32B116F7"/>
    <w:rsid w:val="32BC0B7E"/>
    <w:rsid w:val="32CB73C5"/>
    <w:rsid w:val="32DF5185"/>
    <w:rsid w:val="32ED4ABB"/>
    <w:rsid w:val="32EF77D9"/>
    <w:rsid w:val="32F045E2"/>
    <w:rsid w:val="32F50547"/>
    <w:rsid w:val="32F81DE5"/>
    <w:rsid w:val="32FC663B"/>
    <w:rsid w:val="330F1DB9"/>
    <w:rsid w:val="3311789A"/>
    <w:rsid w:val="331F72CF"/>
    <w:rsid w:val="332842F1"/>
    <w:rsid w:val="332A7C4E"/>
    <w:rsid w:val="333015F2"/>
    <w:rsid w:val="33372193"/>
    <w:rsid w:val="333A5C48"/>
    <w:rsid w:val="334254A8"/>
    <w:rsid w:val="334B6320"/>
    <w:rsid w:val="33705D8E"/>
    <w:rsid w:val="33770F47"/>
    <w:rsid w:val="337E23FF"/>
    <w:rsid w:val="33842FD2"/>
    <w:rsid w:val="33865094"/>
    <w:rsid w:val="338A5133"/>
    <w:rsid w:val="338D4C23"/>
    <w:rsid w:val="3392130B"/>
    <w:rsid w:val="339550D6"/>
    <w:rsid w:val="339565A6"/>
    <w:rsid w:val="33991417"/>
    <w:rsid w:val="339B0428"/>
    <w:rsid w:val="33A71145"/>
    <w:rsid w:val="33A806D0"/>
    <w:rsid w:val="33B17536"/>
    <w:rsid w:val="33BA3DE7"/>
    <w:rsid w:val="33BE302F"/>
    <w:rsid w:val="33BE4F81"/>
    <w:rsid w:val="33C922EF"/>
    <w:rsid w:val="33D26577"/>
    <w:rsid w:val="33D934D4"/>
    <w:rsid w:val="33DA426B"/>
    <w:rsid w:val="33E13A0E"/>
    <w:rsid w:val="33E86ECF"/>
    <w:rsid w:val="33F27801"/>
    <w:rsid w:val="33F41CFD"/>
    <w:rsid w:val="33FE2F6A"/>
    <w:rsid w:val="34000EC8"/>
    <w:rsid w:val="340D366E"/>
    <w:rsid w:val="340E07E5"/>
    <w:rsid w:val="341B145F"/>
    <w:rsid w:val="3420758C"/>
    <w:rsid w:val="34235BF7"/>
    <w:rsid w:val="34256ACA"/>
    <w:rsid w:val="34260143"/>
    <w:rsid w:val="34296EAD"/>
    <w:rsid w:val="343108AE"/>
    <w:rsid w:val="343F7A53"/>
    <w:rsid w:val="34460787"/>
    <w:rsid w:val="34470053"/>
    <w:rsid w:val="34482900"/>
    <w:rsid w:val="34496039"/>
    <w:rsid w:val="344B172B"/>
    <w:rsid w:val="344F2E2A"/>
    <w:rsid w:val="345E4D5D"/>
    <w:rsid w:val="345F06BD"/>
    <w:rsid w:val="34612D08"/>
    <w:rsid w:val="346231EF"/>
    <w:rsid w:val="3464438C"/>
    <w:rsid w:val="3480330D"/>
    <w:rsid w:val="34806885"/>
    <w:rsid w:val="349C7762"/>
    <w:rsid w:val="34A173CE"/>
    <w:rsid w:val="34CD04CE"/>
    <w:rsid w:val="34D56F1C"/>
    <w:rsid w:val="34D64944"/>
    <w:rsid w:val="34D82FC0"/>
    <w:rsid w:val="34DA64C3"/>
    <w:rsid w:val="34E974C9"/>
    <w:rsid w:val="34ED01F9"/>
    <w:rsid w:val="351D2693"/>
    <w:rsid w:val="35311149"/>
    <w:rsid w:val="353C44FD"/>
    <w:rsid w:val="353D0DF5"/>
    <w:rsid w:val="35461978"/>
    <w:rsid w:val="35495346"/>
    <w:rsid w:val="35584DBD"/>
    <w:rsid w:val="35644509"/>
    <w:rsid w:val="35672B63"/>
    <w:rsid w:val="356C0B3B"/>
    <w:rsid w:val="35717C54"/>
    <w:rsid w:val="35736215"/>
    <w:rsid w:val="357464BB"/>
    <w:rsid w:val="35761144"/>
    <w:rsid w:val="358A2ADF"/>
    <w:rsid w:val="358C5FA8"/>
    <w:rsid w:val="359045D8"/>
    <w:rsid w:val="3598296E"/>
    <w:rsid w:val="359E7435"/>
    <w:rsid w:val="35A079BF"/>
    <w:rsid w:val="35AB1496"/>
    <w:rsid w:val="35B12F74"/>
    <w:rsid w:val="35B90DF3"/>
    <w:rsid w:val="35C15DF1"/>
    <w:rsid w:val="35CD71F8"/>
    <w:rsid w:val="35D40299"/>
    <w:rsid w:val="35DA5BBB"/>
    <w:rsid w:val="35E17A5C"/>
    <w:rsid w:val="35EE7E62"/>
    <w:rsid w:val="35FF0CC4"/>
    <w:rsid w:val="360040A7"/>
    <w:rsid w:val="36052A5B"/>
    <w:rsid w:val="36074A7F"/>
    <w:rsid w:val="360D4335"/>
    <w:rsid w:val="361D467F"/>
    <w:rsid w:val="363C77FB"/>
    <w:rsid w:val="364041CF"/>
    <w:rsid w:val="364517E5"/>
    <w:rsid w:val="36486EB8"/>
    <w:rsid w:val="36605D09"/>
    <w:rsid w:val="366B4FDB"/>
    <w:rsid w:val="36703B69"/>
    <w:rsid w:val="36863A8C"/>
    <w:rsid w:val="368A45F2"/>
    <w:rsid w:val="368A729E"/>
    <w:rsid w:val="36922B60"/>
    <w:rsid w:val="36923549"/>
    <w:rsid w:val="369F5FFD"/>
    <w:rsid w:val="36AC7176"/>
    <w:rsid w:val="36B62551"/>
    <w:rsid w:val="36B75FBF"/>
    <w:rsid w:val="36BD0C45"/>
    <w:rsid w:val="36C91572"/>
    <w:rsid w:val="36C95F72"/>
    <w:rsid w:val="36CD4A1D"/>
    <w:rsid w:val="36D63D3F"/>
    <w:rsid w:val="36DC3C76"/>
    <w:rsid w:val="36E76D4F"/>
    <w:rsid w:val="36F92963"/>
    <w:rsid w:val="370B5859"/>
    <w:rsid w:val="370E37B7"/>
    <w:rsid w:val="37192561"/>
    <w:rsid w:val="371C1A2A"/>
    <w:rsid w:val="37270EEB"/>
    <w:rsid w:val="37297A02"/>
    <w:rsid w:val="37367E1B"/>
    <w:rsid w:val="373F08DA"/>
    <w:rsid w:val="3748158D"/>
    <w:rsid w:val="374B2BC8"/>
    <w:rsid w:val="374C7672"/>
    <w:rsid w:val="374D4211"/>
    <w:rsid w:val="374D676C"/>
    <w:rsid w:val="375A6729"/>
    <w:rsid w:val="376644E9"/>
    <w:rsid w:val="3770078D"/>
    <w:rsid w:val="37727331"/>
    <w:rsid w:val="377314EC"/>
    <w:rsid w:val="377B42BF"/>
    <w:rsid w:val="377F22CE"/>
    <w:rsid w:val="37847DFA"/>
    <w:rsid w:val="378F0E18"/>
    <w:rsid w:val="37904B70"/>
    <w:rsid w:val="37A507E8"/>
    <w:rsid w:val="37A6224E"/>
    <w:rsid w:val="37AF2D13"/>
    <w:rsid w:val="37C07B1C"/>
    <w:rsid w:val="37C104DE"/>
    <w:rsid w:val="37C84104"/>
    <w:rsid w:val="37CA5DFD"/>
    <w:rsid w:val="37CD1259"/>
    <w:rsid w:val="37D079D8"/>
    <w:rsid w:val="37D7150C"/>
    <w:rsid w:val="37E00298"/>
    <w:rsid w:val="37E07984"/>
    <w:rsid w:val="37E64902"/>
    <w:rsid w:val="37EA7EAA"/>
    <w:rsid w:val="37FF24A1"/>
    <w:rsid w:val="380062EE"/>
    <w:rsid w:val="380102BC"/>
    <w:rsid w:val="38057C95"/>
    <w:rsid w:val="380A4A95"/>
    <w:rsid w:val="380F46CF"/>
    <w:rsid w:val="381864A3"/>
    <w:rsid w:val="381C11CF"/>
    <w:rsid w:val="3824766C"/>
    <w:rsid w:val="38280C76"/>
    <w:rsid w:val="383874F3"/>
    <w:rsid w:val="38425CC1"/>
    <w:rsid w:val="38495C5E"/>
    <w:rsid w:val="385471AE"/>
    <w:rsid w:val="385B52F0"/>
    <w:rsid w:val="38610E8A"/>
    <w:rsid w:val="38642718"/>
    <w:rsid w:val="38647F7A"/>
    <w:rsid w:val="386A6DCF"/>
    <w:rsid w:val="38737F8D"/>
    <w:rsid w:val="389A6DAB"/>
    <w:rsid w:val="389D6499"/>
    <w:rsid w:val="38A271CB"/>
    <w:rsid w:val="38AC7C71"/>
    <w:rsid w:val="38B302F9"/>
    <w:rsid w:val="38B95B73"/>
    <w:rsid w:val="38C52C46"/>
    <w:rsid w:val="38C70B1E"/>
    <w:rsid w:val="38DC2A34"/>
    <w:rsid w:val="38F12C32"/>
    <w:rsid w:val="38F12CD3"/>
    <w:rsid w:val="38F711FF"/>
    <w:rsid w:val="38F93B0A"/>
    <w:rsid w:val="38F94775"/>
    <w:rsid w:val="39024164"/>
    <w:rsid w:val="39065299"/>
    <w:rsid w:val="3907360F"/>
    <w:rsid w:val="390D4FBF"/>
    <w:rsid w:val="390E5F29"/>
    <w:rsid w:val="39101DFF"/>
    <w:rsid w:val="39180016"/>
    <w:rsid w:val="39197D79"/>
    <w:rsid w:val="391F17D3"/>
    <w:rsid w:val="39256838"/>
    <w:rsid w:val="392964DC"/>
    <w:rsid w:val="392971ED"/>
    <w:rsid w:val="3930188D"/>
    <w:rsid w:val="39325651"/>
    <w:rsid w:val="39331F87"/>
    <w:rsid w:val="39343364"/>
    <w:rsid w:val="39455658"/>
    <w:rsid w:val="3949030C"/>
    <w:rsid w:val="39551D3F"/>
    <w:rsid w:val="39595128"/>
    <w:rsid w:val="395E0781"/>
    <w:rsid w:val="39650B36"/>
    <w:rsid w:val="39653E33"/>
    <w:rsid w:val="39657AA9"/>
    <w:rsid w:val="39752A0F"/>
    <w:rsid w:val="39757840"/>
    <w:rsid w:val="3976761E"/>
    <w:rsid w:val="397E4AD6"/>
    <w:rsid w:val="39845FD0"/>
    <w:rsid w:val="39897718"/>
    <w:rsid w:val="398D5CD6"/>
    <w:rsid w:val="39981C2C"/>
    <w:rsid w:val="399F499D"/>
    <w:rsid w:val="39A22387"/>
    <w:rsid w:val="39B1529B"/>
    <w:rsid w:val="39C30B4D"/>
    <w:rsid w:val="39C62C3D"/>
    <w:rsid w:val="39DA0875"/>
    <w:rsid w:val="39DC24AF"/>
    <w:rsid w:val="39E35230"/>
    <w:rsid w:val="39E47C7F"/>
    <w:rsid w:val="39E54D97"/>
    <w:rsid w:val="39E57B8C"/>
    <w:rsid w:val="39E9692C"/>
    <w:rsid w:val="39EC40B0"/>
    <w:rsid w:val="39F04C3C"/>
    <w:rsid w:val="39F72DF7"/>
    <w:rsid w:val="3A017F2C"/>
    <w:rsid w:val="3A0948D8"/>
    <w:rsid w:val="3A0F6392"/>
    <w:rsid w:val="3A152F18"/>
    <w:rsid w:val="3A156259"/>
    <w:rsid w:val="3A1C0AAF"/>
    <w:rsid w:val="3A231B61"/>
    <w:rsid w:val="3A353F29"/>
    <w:rsid w:val="3A3F654C"/>
    <w:rsid w:val="3A40644A"/>
    <w:rsid w:val="3A573895"/>
    <w:rsid w:val="3A630D55"/>
    <w:rsid w:val="3A63493E"/>
    <w:rsid w:val="3A6777AD"/>
    <w:rsid w:val="3A6E719D"/>
    <w:rsid w:val="3A6F0616"/>
    <w:rsid w:val="3A7E0E22"/>
    <w:rsid w:val="3A7F757F"/>
    <w:rsid w:val="3A82170B"/>
    <w:rsid w:val="3A860608"/>
    <w:rsid w:val="3A86079A"/>
    <w:rsid w:val="3A872856"/>
    <w:rsid w:val="3A8A3C6B"/>
    <w:rsid w:val="3A8F2FEC"/>
    <w:rsid w:val="3A957A39"/>
    <w:rsid w:val="3A9A35AD"/>
    <w:rsid w:val="3A9C6634"/>
    <w:rsid w:val="3A9D042D"/>
    <w:rsid w:val="3AB137F0"/>
    <w:rsid w:val="3AB564F8"/>
    <w:rsid w:val="3AB63FD5"/>
    <w:rsid w:val="3AB704E3"/>
    <w:rsid w:val="3AB76573"/>
    <w:rsid w:val="3AC06151"/>
    <w:rsid w:val="3AC83A23"/>
    <w:rsid w:val="3ACA63A9"/>
    <w:rsid w:val="3ACD2686"/>
    <w:rsid w:val="3ACF5B21"/>
    <w:rsid w:val="3ACF669F"/>
    <w:rsid w:val="3AD24831"/>
    <w:rsid w:val="3AD529DB"/>
    <w:rsid w:val="3ADF2799"/>
    <w:rsid w:val="3AE37BCB"/>
    <w:rsid w:val="3AE42EC5"/>
    <w:rsid w:val="3AED73C4"/>
    <w:rsid w:val="3AF5586C"/>
    <w:rsid w:val="3B0B33C8"/>
    <w:rsid w:val="3B0F75BD"/>
    <w:rsid w:val="3B1968E6"/>
    <w:rsid w:val="3B284866"/>
    <w:rsid w:val="3B2E1E87"/>
    <w:rsid w:val="3B2E7450"/>
    <w:rsid w:val="3B3763D1"/>
    <w:rsid w:val="3B4E3006"/>
    <w:rsid w:val="3B586E0D"/>
    <w:rsid w:val="3B692505"/>
    <w:rsid w:val="3B6D0F0B"/>
    <w:rsid w:val="3B7869F4"/>
    <w:rsid w:val="3B8107CA"/>
    <w:rsid w:val="3B911029"/>
    <w:rsid w:val="3B9276F0"/>
    <w:rsid w:val="3B967256"/>
    <w:rsid w:val="3BA40D5C"/>
    <w:rsid w:val="3BAA3ADF"/>
    <w:rsid w:val="3BAE2719"/>
    <w:rsid w:val="3BAE6E57"/>
    <w:rsid w:val="3BBD7F6E"/>
    <w:rsid w:val="3BBE1F45"/>
    <w:rsid w:val="3BDB5B18"/>
    <w:rsid w:val="3BDF0B60"/>
    <w:rsid w:val="3BDF4D96"/>
    <w:rsid w:val="3BEC7A3C"/>
    <w:rsid w:val="3BF1753E"/>
    <w:rsid w:val="3C08753D"/>
    <w:rsid w:val="3C0B1A29"/>
    <w:rsid w:val="3C0C354E"/>
    <w:rsid w:val="3C1560A7"/>
    <w:rsid w:val="3C161724"/>
    <w:rsid w:val="3C1A23D9"/>
    <w:rsid w:val="3C1F02DB"/>
    <w:rsid w:val="3C2C5CF0"/>
    <w:rsid w:val="3C2F6E1E"/>
    <w:rsid w:val="3C354BF6"/>
    <w:rsid w:val="3C3E2FEF"/>
    <w:rsid w:val="3C3F762A"/>
    <w:rsid w:val="3C43068A"/>
    <w:rsid w:val="3C452FAA"/>
    <w:rsid w:val="3C4F64BA"/>
    <w:rsid w:val="3C51185A"/>
    <w:rsid w:val="3C51565E"/>
    <w:rsid w:val="3C595F9F"/>
    <w:rsid w:val="3C661D19"/>
    <w:rsid w:val="3C690B97"/>
    <w:rsid w:val="3C872007"/>
    <w:rsid w:val="3C886A25"/>
    <w:rsid w:val="3C9030FE"/>
    <w:rsid w:val="3C9D0189"/>
    <w:rsid w:val="3CB31758"/>
    <w:rsid w:val="3CB82BA0"/>
    <w:rsid w:val="3CB96F85"/>
    <w:rsid w:val="3CC2289A"/>
    <w:rsid w:val="3CC316B6"/>
    <w:rsid w:val="3CC36DBC"/>
    <w:rsid w:val="3CC86905"/>
    <w:rsid w:val="3CC943A5"/>
    <w:rsid w:val="3CDA245A"/>
    <w:rsid w:val="3CEC1E3A"/>
    <w:rsid w:val="3CF257A2"/>
    <w:rsid w:val="3CF9771A"/>
    <w:rsid w:val="3D0B61D8"/>
    <w:rsid w:val="3D1E06B7"/>
    <w:rsid w:val="3D1F0390"/>
    <w:rsid w:val="3D231666"/>
    <w:rsid w:val="3D282051"/>
    <w:rsid w:val="3D2F338B"/>
    <w:rsid w:val="3D2F3604"/>
    <w:rsid w:val="3D3103CE"/>
    <w:rsid w:val="3D3205C8"/>
    <w:rsid w:val="3D3418BA"/>
    <w:rsid w:val="3D4E6C45"/>
    <w:rsid w:val="3D4F78C8"/>
    <w:rsid w:val="3D580050"/>
    <w:rsid w:val="3D5B62DC"/>
    <w:rsid w:val="3D615EC3"/>
    <w:rsid w:val="3D6C385B"/>
    <w:rsid w:val="3D6E5FAB"/>
    <w:rsid w:val="3D727C75"/>
    <w:rsid w:val="3D766F63"/>
    <w:rsid w:val="3D7D7AB7"/>
    <w:rsid w:val="3D89645B"/>
    <w:rsid w:val="3DA10946"/>
    <w:rsid w:val="3DA865A3"/>
    <w:rsid w:val="3DAC64A3"/>
    <w:rsid w:val="3DCE0312"/>
    <w:rsid w:val="3DDA63F1"/>
    <w:rsid w:val="3DDD52F2"/>
    <w:rsid w:val="3DE85913"/>
    <w:rsid w:val="3DEC6D86"/>
    <w:rsid w:val="3DEF03EB"/>
    <w:rsid w:val="3DF43E8B"/>
    <w:rsid w:val="3DFA1F63"/>
    <w:rsid w:val="3DFB7521"/>
    <w:rsid w:val="3DFC4E7F"/>
    <w:rsid w:val="3E0B41BD"/>
    <w:rsid w:val="3E1050C1"/>
    <w:rsid w:val="3E1D0D4C"/>
    <w:rsid w:val="3E207822"/>
    <w:rsid w:val="3E2F30E8"/>
    <w:rsid w:val="3E366099"/>
    <w:rsid w:val="3E391C30"/>
    <w:rsid w:val="3E430C30"/>
    <w:rsid w:val="3E5739EE"/>
    <w:rsid w:val="3E5F50AA"/>
    <w:rsid w:val="3E691DE9"/>
    <w:rsid w:val="3E6F48A5"/>
    <w:rsid w:val="3E75559F"/>
    <w:rsid w:val="3E855130"/>
    <w:rsid w:val="3E860BD7"/>
    <w:rsid w:val="3E875EB3"/>
    <w:rsid w:val="3E9D31EF"/>
    <w:rsid w:val="3EA729A5"/>
    <w:rsid w:val="3EB30313"/>
    <w:rsid w:val="3EB51CDA"/>
    <w:rsid w:val="3EC07B6C"/>
    <w:rsid w:val="3EC43D05"/>
    <w:rsid w:val="3EC63A5E"/>
    <w:rsid w:val="3EC81FC9"/>
    <w:rsid w:val="3ED478D2"/>
    <w:rsid w:val="3EDA0523"/>
    <w:rsid w:val="3EE13DB5"/>
    <w:rsid w:val="3EEA2F2A"/>
    <w:rsid w:val="3EEC1AC0"/>
    <w:rsid w:val="3EEE4EE2"/>
    <w:rsid w:val="3EF94F1B"/>
    <w:rsid w:val="3EFC399B"/>
    <w:rsid w:val="3F112757"/>
    <w:rsid w:val="3F19458E"/>
    <w:rsid w:val="3F206EBC"/>
    <w:rsid w:val="3F234C3E"/>
    <w:rsid w:val="3F401D03"/>
    <w:rsid w:val="3F4277A9"/>
    <w:rsid w:val="3F5860E5"/>
    <w:rsid w:val="3F777994"/>
    <w:rsid w:val="3F8139FC"/>
    <w:rsid w:val="3F8B6280"/>
    <w:rsid w:val="3F8C51FE"/>
    <w:rsid w:val="3F8E1520"/>
    <w:rsid w:val="3FBD1B75"/>
    <w:rsid w:val="3FC76C8D"/>
    <w:rsid w:val="3FC83D82"/>
    <w:rsid w:val="3FCB2A47"/>
    <w:rsid w:val="3FCB7970"/>
    <w:rsid w:val="3FD425DD"/>
    <w:rsid w:val="3FD85478"/>
    <w:rsid w:val="3FD90C2C"/>
    <w:rsid w:val="3FE85492"/>
    <w:rsid w:val="3FF53C7D"/>
    <w:rsid w:val="3FF66B38"/>
    <w:rsid w:val="40000A78"/>
    <w:rsid w:val="400C112B"/>
    <w:rsid w:val="4035051A"/>
    <w:rsid w:val="403F52FD"/>
    <w:rsid w:val="405074DD"/>
    <w:rsid w:val="40516582"/>
    <w:rsid w:val="40593890"/>
    <w:rsid w:val="405B7257"/>
    <w:rsid w:val="4061546E"/>
    <w:rsid w:val="406D5E19"/>
    <w:rsid w:val="407A6407"/>
    <w:rsid w:val="407C2D55"/>
    <w:rsid w:val="408C153E"/>
    <w:rsid w:val="409F5F96"/>
    <w:rsid w:val="40A37359"/>
    <w:rsid w:val="40A91654"/>
    <w:rsid w:val="40B0577F"/>
    <w:rsid w:val="40B137A8"/>
    <w:rsid w:val="40B86068"/>
    <w:rsid w:val="40BD62C9"/>
    <w:rsid w:val="40C71C78"/>
    <w:rsid w:val="40D73C42"/>
    <w:rsid w:val="40DC76E9"/>
    <w:rsid w:val="40E8793D"/>
    <w:rsid w:val="40EA7211"/>
    <w:rsid w:val="40EB2F11"/>
    <w:rsid w:val="40F21E30"/>
    <w:rsid w:val="4101356D"/>
    <w:rsid w:val="4102758C"/>
    <w:rsid w:val="410659D1"/>
    <w:rsid w:val="410C238F"/>
    <w:rsid w:val="411E13BD"/>
    <w:rsid w:val="4133751F"/>
    <w:rsid w:val="413479B5"/>
    <w:rsid w:val="41350BBA"/>
    <w:rsid w:val="413F2B2D"/>
    <w:rsid w:val="41414196"/>
    <w:rsid w:val="415C1AF3"/>
    <w:rsid w:val="415C2B87"/>
    <w:rsid w:val="41646408"/>
    <w:rsid w:val="4165788B"/>
    <w:rsid w:val="416D5CD7"/>
    <w:rsid w:val="41716FA8"/>
    <w:rsid w:val="417A3E87"/>
    <w:rsid w:val="417E68A7"/>
    <w:rsid w:val="4184257F"/>
    <w:rsid w:val="41877059"/>
    <w:rsid w:val="41884265"/>
    <w:rsid w:val="419047D2"/>
    <w:rsid w:val="41A46349"/>
    <w:rsid w:val="41A63BE9"/>
    <w:rsid w:val="41AB0F4C"/>
    <w:rsid w:val="41AC096A"/>
    <w:rsid w:val="41B15F81"/>
    <w:rsid w:val="41C26AA4"/>
    <w:rsid w:val="41D703BA"/>
    <w:rsid w:val="41D71C06"/>
    <w:rsid w:val="41E75937"/>
    <w:rsid w:val="41ED17C2"/>
    <w:rsid w:val="41EF37FD"/>
    <w:rsid w:val="41F128CD"/>
    <w:rsid w:val="41F320F5"/>
    <w:rsid w:val="41F45E6E"/>
    <w:rsid w:val="41FA472B"/>
    <w:rsid w:val="4200449D"/>
    <w:rsid w:val="42017924"/>
    <w:rsid w:val="420700EB"/>
    <w:rsid w:val="420811AB"/>
    <w:rsid w:val="420E6F2F"/>
    <w:rsid w:val="42100EF9"/>
    <w:rsid w:val="4219346B"/>
    <w:rsid w:val="42196953"/>
    <w:rsid w:val="4235526E"/>
    <w:rsid w:val="423A3BCC"/>
    <w:rsid w:val="423B2B23"/>
    <w:rsid w:val="424E57D2"/>
    <w:rsid w:val="424F5E69"/>
    <w:rsid w:val="4262727B"/>
    <w:rsid w:val="426B17FE"/>
    <w:rsid w:val="42731E8B"/>
    <w:rsid w:val="428736DF"/>
    <w:rsid w:val="429934B7"/>
    <w:rsid w:val="42AB65B6"/>
    <w:rsid w:val="42AC04F6"/>
    <w:rsid w:val="42AE24C0"/>
    <w:rsid w:val="42B26C49"/>
    <w:rsid w:val="42B3131D"/>
    <w:rsid w:val="42B86DB8"/>
    <w:rsid w:val="42BA3C03"/>
    <w:rsid w:val="42C24431"/>
    <w:rsid w:val="42C3751B"/>
    <w:rsid w:val="42CC60DA"/>
    <w:rsid w:val="42DE5FC3"/>
    <w:rsid w:val="42F446F5"/>
    <w:rsid w:val="42F56711"/>
    <w:rsid w:val="42F64AB4"/>
    <w:rsid w:val="42F81DEE"/>
    <w:rsid w:val="43022D1C"/>
    <w:rsid w:val="43037D41"/>
    <w:rsid w:val="43057E30"/>
    <w:rsid w:val="430D2AC7"/>
    <w:rsid w:val="4316324B"/>
    <w:rsid w:val="431E43F2"/>
    <w:rsid w:val="43212B30"/>
    <w:rsid w:val="43212C92"/>
    <w:rsid w:val="432203E5"/>
    <w:rsid w:val="43237768"/>
    <w:rsid w:val="4329746D"/>
    <w:rsid w:val="43306643"/>
    <w:rsid w:val="43356FEE"/>
    <w:rsid w:val="433A6FE6"/>
    <w:rsid w:val="433B7163"/>
    <w:rsid w:val="43480868"/>
    <w:rsid w:val="4350713C"/>
    <w:rsid w:val="43595368"/>
    <w:rsid w:val="436653E0"/>
    <w:rsid w:val="436F7031"/>
    <w:rsid w:val="438D657A"/>
    <w:rsid w:val="438F4DC6"/>
    <w:rsid w:val="43994E6F"/>
    <w:rsid w:val="439A0FE7"/>
    <w:rsid w:val="43AE707F"/>
    <w:rsid w:val="43C4431A"/>
    <w:rsid w:val="43D1087C"/>
    <w:rsid w:val="43D10883"/>
    <w:rsid w:val="43D60400"/>
    <w:rsid w:val="43D7445E"/>
    <w:rsid w:val="43D97131"/>
    <w:rsid w:val="43EA48EC"/>
    <w:rsid w:val="43F42D7A"/>
    <w:rsid w:val="43FF3EA5"/>
    <w:rsid w:val="43FF7BD8"/>
    <w:rsid w:val="4403299E"/>
    <w:rsid w:val="440877E4"/>
    <w:rsid w:val="44087BDD"/>
    <w:rsid w:val="44090313"/>
    <w:rsid w:val="440920A4"/>
    <w:rsid w:val="441920CF"/>
    <w:rsid w:val="441B0419"/>
    <w:rsid w:val="441F5424"/>
    <w:rsid w:val="442339D8"/>
    <w:rsid w:val="44316F05"/>
    <w:rsid w:val="44384FBA"/>
    <w:rsid w:val="444A2F5C"/>
    <w:rsid w:val="445F5CDD"/>
    <w:rsid w:val="446127E5"/>
    <w:rsid w:val="446E0679"/>
    <w:rsid w:val="44706BED"/>
    <w:rsid w:val="448E5A65"/>
    <w:rsid w:val="44903597"/>
    <w:rsid w:val="449239B4"/>
    <w:rsid w:val="449F47B6"/>
    <w:rsid w:val="44A147AE"/>
    <w:rsid w:val="44A846F3"/>
    <w:rsid w:val="44A84AA6"/>
    <w:rsid w:val="44AA4BB6"/>
    <w:rsid w:val="44AD38AE"/>
    <w:rsid w:val="44AE27D7"/>
    <w:rsid w:val="44AF29C4"/>
    <w:rsid w:val="44B259EF"/>
    <w:rsid w:val="44B951CC"/>
    <w:rsid w:val="44BA7F63"/>
    <w:rsid w:val="44BF6C07"/>
    <w:rsid w:val="44C81D58"/>
    <w:rsid w:val="44CD14E0"/>
    <w:rsid w:val="44D8186D"/>
    <w:rsid w:val="44D958E6"/>
    <w:rsid w:val="44E374B5"/>
    <w:rsid w:val="44EC46E6"/>
    <w:rsid w:val="44F20B0B"/>
    <w:rsid w:val="4508235C"/>
    <w:rsid w:val="450D7972"/>
    <w:rsid w:val="45185F6F"/>
    <w:rsid w:val="451C2E25"/>
    <w:rsid w:val="451C3BF0"/>
    <w:rsid w:val="45296FC6"/>
    <w:rsid w:val="452E5F4C"/>
    <w:rsid w:val="45313E34"/>
    <w:rsid w:val="45357ED5"/>
    <w:rsid w:val="453F2FCA"/>
    <w:rsid w:val="454163AE"/>
    <w:rsid w:val="45420F86"/>
    <w:rsid w:val="4542525D"/>
    <w:rsid w:val="4545159A"/>
    <w:rsid w:val="45492610"/>
    <w:rsid w:val="454E35F6"/>
    <w:rsid w:val="4552670F"/>
    <w:rsid w:val="45544298"/>
    <w:rsid w:val="455C26A8"/>
    <w:rsid w:val="45612018"/>
    <w:rsid w:val="456618B9"/>
    <w:rsid w:val="457A3938"/>
    <w:rsid w:val="458946E9"/>
    <w:rsid w:val="458B1796"/>
    <w:rsid w:val="45913BAE"/>
    <w:rsid w:val="45951A43"/>
    <w:rsid w:val="45A4741A"/>
    <w:rsid w:val="45A47C0E"/>
    <w:rsid w:val="45AA78B4"/>
    <w:rsid w:val="45AE58FA"/>
    <w:rsid w:val="45AF69E2"/>
    <w:rsid w:val="45B10BE3"/>
    <w:rsid w:val="45D14B86"/>
    <w:rsid w:val="45D31695"/>
    <w:rsid w:val="45D50E9F"/>
    <w:rsid w:val="45DF4568"/>
    <w:rsid w:val="45E71F71"/>
    <w:rsid w:val="45EA380F"/>
    <w:rsid w:val="45EB2B25"/>
    <w:rsid w:val="45EE269E"/>
    <w:rsid w:val="45EF2091"/>
    <w:rsid w:val="46095A4C"/>
    <w:rsid w:val="460B58EF"/>
    <w:rsid w:val="460F135D"/>
    <w:rsid w:val="461168CD"/>
    <w:rsid w:val="461868A6"/>
    <w:rsid w:val="461C1710"/>
    <w:rsid w:val="461F0AEB"/>
    <w:rsid w:val="462A6509"/>
    <w:rsid w:val="462E4075"/>
    <w:rsid w:val="462F1C33"/>
    <w:rsid w:val="46340F2E"/>
    <w:rsid w:val="463B2DD2"/>
    <w:rsid w:val="463F5721"/>
    <w:rsid w:val="46487256"/>
    <w:rsid w:val="464D55E6"/>
    <w:rsid w:val="464E3420"/>
    <w:rsid w:val="46577FD6"/>
    <w:rsid w:val="465D2053"/>
    <w:rsid w:val="46686AA7"/>
    <w:rsid w:val="46716ED2"/>
    <w:rsid w:val="4672286B"/>
    <w:rsid w:val="4676209F"/>
    <w:rsid w:val="468466AD"/>
    <w:rsid w:val="468653C0"/>
    <w:rsid w:val="46933176"/>
    <w:rsid w:val="46986998"/>
    <w:rsid w:val="469B5EF8"/>
    <w:rsid w:val="46A1520F"/>
    <w:rsid w:val="46A40171"/>
    <w:rsid w:val="46A50945"/>
    <w:rsid w:val="46A613B3"/>
    <w:rsid w:val="46A858AC"/>
    <w:rsid w:val="46BB68E7"/>
    <w:rsid w:val="46BE13C2"/>
    <w:rsid w:val="46BE2E2E"/>
    <w:rsid w:val="46CB39D7"/>
    <w:rsid w:val="46D43404"/>
    <w:rsid w:val="46D955A7"/>
    <w:rsid w:val="46D968C5"/>
    <w:rsid w:val="46DC2172"/>
    <w:rsid w:val="46DF0E9A"/>
    <w:rsid w:val="46FC6042"/>
    <w:rsid w:val="470053D8"/>
    <w:rsid w:val="47012B0C"/>
    <w:rsid w:val="470F5464"/>
    <w:rsid w:val="47133957"/>
    <w:rsid w:val="4713502D"/>
    <w:rsid w:val="471872F8"/>
    <w:rsid w:val="472321EC"/>
    <w:rsid w:val="47271CBA"/>
    <w:rsid w:val="472D7E58"/>
    <w:rsid w:val="473025DC"/>
    <w:rsid w:val="47370CD6"/>
    <w:rsid w:val="47462CC7"/>
    <w:rsid w:val="4750021F"/>
    <w:rsid w:val="47500E1E"/>
    <w:rsid w:val="47504BE3"/>
    <w:rsid w:val="47595A18"/>
    <w:rsid w:val="476903B6"/>
    <w:rsid w:val="476B0E7A"/>
    <w:rsid w:val="476B4538"/>
    <w:rsid w:val="47733B07"/>
    <w:rsid w:val="47794E4B"/>
    <w:rsid w:val="47794E77"/>
    <w:rsid w:val="477D62AB"/>
    <w:rsid w:val="477E225A"/>
    <w:rsid w:val="47A07E0C"/>
    <w:rsid w:val="47C00CCC"/>
    <w:rsid w:val="47C87792"/>
    <w:rsid w:val="47CC062A"/>
    <w:rsid w:val="47D315BF"/>
    <w:rsid w:val="47DC7345"/>
    <w:rsid w:val="47E50BAC"/>
    <w:rsid w:val="47F75B2A"/>
    <w:rsid w:val="480E2810"/>
    <w:rsid w:val="48170C6C"/>
    <w:rsid w:val="481A347D"/>
    <w:rsid w:val="481A666F"/>
    <w:rsid w:val="482A0B5B"/>
    <w:rsid w:val="485633DE"/>
    <w:rsid w:val="485B5EF6"/>
    <w:rsid w:val="48617456"/>
    <w:rsid w:val="486758A7"/>
    <w:rsid w:val="48685E42"/>
    <w:rsid w:val="4870272E"/>
    <w:rsid w:val="48735ADA"/>
    <w:rsid w:val="48752C3B"/>
    <w:rsid w:val="48850709"/>
    <w:rsid w:val="488E6B23"/>
    <w:rsid w:val="488F0FA9"/>
    <w:rsid w:val="48AD0076"/>
    <w:rsid w:val="48D303FE"/>
    <w:rsid w:val="48D40BBB"/>
    <w:rsid w:val="48D87CB6"/>
    <w:rsid w:val="48DE32C9"/>
    <w:rsid w:val="48DF47BE"/>
    <w:rsid w:val="48F650FE"/>
    <w:rsid w:val="49080065"/>
    <w:rsid w:val="490D7FF6"/>
    <w:rsid w:val="490E6F34"/>
    <w:rsid w:val="490F67D8"/>
    <w:rsid w:val="49126C77"/>
    <w:rsid w:val="491A21D0"/>
    <w:rsid w:val="49245BC9"/>
    <w:rsid w:val="492D5126"/>
    <w:rsid w:val="49324F0F"/>
    <w:rsid w:val="49325BF9"/>
    <w:rsid w:val="49384441"/>
    <w:rsid w:val="495140F2"/>
    <w:rsid w:val="49523BA5"/>
    <w:rsid w:val="495E4E73"/>
    <w:rsid w:val="4967416C"/>
    <w:rsid w:val="496B0333"/>
    <w:rsid w:val="497F4380"/>
    <w:rsid w:val="498126DD"/>
    <w:rsid w:val="4982000F"/>
    <w:rsid w:val="49830A4D"/>
    <w:rsid w:val="49910BDE"/>
    <w:rsid w:val="499A1524"/>
    <w:rsid w:val="49AE7610"/>
    <w:rsid w:val="49AF0B84"/>
    <w:rsid w:val="49B27E76"/>
    <w:rsid w:val="49D54B2A"/>
    <w:rsid w:val="49DC252C"/>
    <w:rsid w:val="49DC7715"/>
    <w:rsid w:val="49DD1BC4"/>
    <w:rsid w:val="49E631FD"/>
    <w:rsid w:val="49EF6445"/>
    <w:rsid w:val="49F03845"/>
    <w:rsid w:val="49F5175B"/>
    <w:rsid w:val="4A023139"/>
    <w:rsid w:val="4A223C9F"/>
    <w:rsid w:val="4A223EDA"/>
    <w:rsid w:val="4A272951"/>
    <w:rsid w:val="4A2B20FA"/>
    <w:rsid w:val="4A2E7440"/>
    <w:rsid w:val="4A4414DD"/>
    <w:rsid w:val="4A4556DF"/>
    <w:rsid w:val="4A523414"/>
    <w:rsid w:val="4A5A7924"/>
    <w:rsid w:val="4A5F241C"/>
    <w:rsid w:val="4A6B2228"/>
    <w:rsid w:val="4A6B50A6"/>
    <w:rsid w:val="4A7B576F"/>
    <w:rsid w:val="4A7E722F"/>
    <w:rsid w:val="4A8202A4"/>
    <w:rsid w:val="4A8325D3"/>
    <w:rsid w:val="4A873D23"/>
    <w:rsid w:val="4A8831FA"/>
    <w:rsid w:val="4AA06B93"/>
    <w:rsid w:val="4AA16C0D"/>
    <w:rsid w:val="4AA217E3"/>
    <w:rsid w:val="4AA959BA"/>
    <w:rsid w:val="4AB05162"/>
    <w:rsid w:val="4AB8064A"/>
    <w:rsid w:val="4AB916A8"/>
    <w:rsid w:val="4AC90704"/>
    <w:rsid w:val="4ACA7A47"/>
    <w:rsid w:val="4ACF3E82"/>
    <w:rsid w:val="4AD6216D"/>
    <w:rsid w:val="4AD652B4"/>
    <w:rsid w:val="4AE60CF0"/>
    <w:rsid w:val="4AE759D4"/>
    <w:rsid w:val="4AEC4CE9"/>
    <w:rsid w:val="4AF561A9"/>
    <w:rsid w:val="4AF60C9A"/>
    <w:rsid w:val="4AFF2A2E"/>
    <w:rsid w:val="4B042305"/>
    <w:rsid w:val="4B17661E"/>
    <w:rsid w:val="4B2C3442"/>
    <w:rsid w:val="4B3021E6"/>
    <w:rsid w:val="4B327C3C"/>
    <w:rsid w:val="4B5A1437"/>
    <w:rsid w:val="4B5D5DBD"/>
    <w:rsid w:val="4B6A0BA9"/>
    <w:rsid w:val="4B6A2B68"/>
    <w:rsid w:val="4B76021B"/>
    <w:rsid w:val="4B7A359C"/>
    <w:rsid w:val="4B814374"/>
    <w:rsid w:val="4B8C60EB"/>
    <w:rsid w:val="4B9055FF"/>
    <w:rsid w:val="4B9B725E"/>
    <w:rsid w:val="4BA11E0A"/>
    <w:rsid w:val="4BA46E75"/>
    <w:rsid w:val="4BA54331"/>
    <w:rsid w:val="4BAC2BC7"/>
    <w:rsid w:val="4BB97957"/>
    <w:rsid w:val="4BBA6687"/>
    <w:rsid w:val="4BBB253E"/>
    <w:rsid w:val="4BBB5F56"/>
    <w:rsid w:val="4BC201EE"/>
    <w:rsid w:val="4BC25B89"/>
    <w:rsid w:val="4BCE0E3A"/>
    <w:rsid w:val="4BCF5314"/>
    <w:rsid w:val="4BD2616C"/>
    <w:rsid w:val="4BE90180"/>
    <w:rsid w:val="4BF3677E"/>
    <w:rsid w:val="4C183F24"/>
    <w:rsid w:val="4C1D36BA"/>
    <w:rsid w:val="4C1E04D1"/>
    <w:rsid w:val="4C246533"/>
    <w:rsid w:val="4C2E5BFD"/>
    <w:rsid w:val="4C412532"/>
    <w:rsid w:val="4C417F01"/>
    <w:rsid w:val="4C473C81"/>
    <w:rsid w:val="4C4A0649"/>
    <w:rsid w:val="4C4C7F14"/>
    <w:rsid w:val="4C4D1FDE"/>
    <w:rsid w:val="4C5502D6"/>
    <w:rsid w:val="4C5C7A55"/>
    <w:rsid w:val="4C6138D9"/>
    <w:rsid w:val="4C672396"/>
    <w:rsid w:val="4C6964B5"/>
    <w:rsid w:val="4C6A49A3"/>
    <w:rsid w:val="4C6D00A4"/>
    <w:rsid w:val="4C6E0C92"/>
    <w:rsid w:val="4C7371FC"/>
    <w:rsid w:val="4C7B4571"/>
    <w:rsid w:val="4C7D7357"/>
    <w:rsid w:val="4C7E5ECA"/>
    <w:rsid w:val="4C817C62"/>
    <w:rsid w:val="4C876AA5"/>
    <w:rsid w:val="4C9778F3"/>
    <w:rsid w:val="4CA06D7B"/>
    <w:rsid w:val="4CA11DD1"/>
    <w:rsid w:val="4CA414F7"/>
    <w:rsid w:val="4CAD2284"/>
    <w:rsid w:val="4CB47D35"/>
    <w:rsid w:val="4CB510CC"/>
    <w:rsid w:val="4CB76E6A"/>
    <w:rsid w:val="4CC36C15"/>
    <w:rsid w:val="4CC92E63"/>
    <w:rsid w:val="4CCE2C27"/>
    <w:rsid w:val="4CCE4B70"/>
    <w:rsid w:val="4CD15A14"/>
    <w:rsid w:val="4CD82B6B"/>
    <w:rsid w:val="4CD92A85"/>
    <w:rsid w:val="4CEB2F45"/>
    <w:rsid w:val="4CF65F5F"/>
    <w:rsid w:val="4CFE5BEA"/>
    <w:rsid w:val="4D0E00FB"/>
    <w:rsid w:val="4D176606"/>
    <w:rsid w:val="4D1E3BF0"/>
    <w:rsid w:val="4D1F4D85"/>
    <w:rsid w:val="4D2316A0"/>
    <w:rsid w:val="4D2629FC"/>
    <w:rsid w:val="4D2B0986"/>
    <w:rsid w:val="4D2C0BB1"/>
    <w:rsid w:val="4D304059"/>
    <w:rsid w:val="4D371807"/>
    <w:rsid w:val="4D471406"/>
    <w:rsid w:val="4D477799"/>
    <w:rsid w:val="4D567D3B"/>
    <w:rsid w:val="4D5714C2"/>
    <w:rsid w:val="4D6E2F78"/>
    <w:rsid w:val="4D786ED8"/>
    <w:rsid w:val="4D802574"/>
    <w:rsid w:val="4D87262D"/>
    <w:rsid w:val="4D8958C8"/>
    <w:rsid w:val="4D95256C"/>
    <w:rsid w:val="4D97427D"/>
    <w:rsid w:val="4D9E5AFA"/>
    <w:rsid w:val="4DA145EC"/>
    <w:rsid w:val="4DB972B9"/>
    <w:rsid w:val="4DBD7A5B"/>
    <w:rsid w:val="4DC43221"/>
    <w:rsid w:val="4DCB4B6B"/>
    <w:rsid w:val="4DCD389A"/>
    <w:rsid w:val="4DD5563F"/>
    <w:rsid w:val="4DD83C40"/>
    <w:rsid w:val="4DDF6200"/>
    <w:rsid w:val="4DE90850"/>
    <w:rsid w:val="4DEC4FB0"/>
    <w:rsid w:val="4DED4259"/>
    <w:rsid w:val="4DEF1F77"/>
    <w:rsid w:val="4DF04C10"/>
    <w:rsid w:val="4DFD7181"/>
    <w:rsid w:val="4E002015"/>
    <w:rsid w:val="4E075D8A"/>
    <w:rsid w:val="4E0A18DB"/>
    <w:rsid w:val="4E112F6F"/>
    <w:rsid w:val="4E124509"/>
    <w:rsid w:val="4E1B4CED"/>
    <w:rsid w:val="4E1E58E9"/>
    <w:rsid w:val="4E1E791B"/>
    <w:rsid w:val="4E2A0BC6"/>
    <w:rsid w:val="4E2B07B0"/>
    <w:rsid w:val="4E402680"/>
    <w:rsid w:val="4E415EA0"/>
    <w:rsid w:val="4E595AA7"/>
    <w:rsid w:val="4E6A373F"/>
    <w:rsid w:val="4E6B7D3D"/>
    <w:rsid w:val="4E6C5709"/>
    <w:rsid w:val="4E6E68B4"/>
    <w:rsid w:val="4E724CC9"/>
    <w:rsid w:val="4E74729C"/>
    <w:rsid w:val="4E8D6872"/>
    <w:rsid w:val="4E8E1FF4"/>
    <w:rsid w:val="4E986489"/>
    <w:rsid w:val="4E993778"/>
    <w:rsid w:val="4E9B000C"/>
    <w:rsid w:val="4EA056ED"/>
    <w:rsid w:val="4EA2205F"/>
    <w:rsid w:val="4EB47EDB"/>
    <w:rsid w:val="4EC00FAD"/>
    <w:rsid w:val="4EC24CB8"/>
    <w:rsid w:val="4ECC2DF4"/>
    <w:rsid w:val="4ECF3757"/>
    <w:rsid w:val="4ED17560"/>
    <w:rsid w:val="4EDA5492"/>
    <w:rsid w:val="4EE87BE4"/>
    <w:rsid w:val="4EEA1AEB"/>
    <w:rsid w:val="4EEA5304"/>
    <w:rsid w:val="4EF27A04"/>
    <w:rsid w:val="4EF82903"/>
    <w:rsid w:val="4EFD77DB"/>
    <w:rsid w:val="4F2628C1"/>
    <w:rsid w:val="4F26750A"/>
    <w:rsid w:val="4F2953A8"/>
    <w:rsid w:val="4F331C2E"/>
    <w:rsid w:val="4F3D58FF"/>
    <w:rsid w:val="4F4450E1"/>
    <w:rsid w:val="4F495B26"/>
    <w:rsid w:val="4F507E9E"/>
    <w:rsid w:val="4F577461"/>
    <w:rsid w:val="4F5F41E4"/>
    <w:rsid w:val="4F726C81"/>
    <w:rsid w:val="4F735774"/>
    <w:rsid w:val="4F7543D9"/>
    <w:rsid w:val="4F8B2723"/>
    <w:rsid w:val="4F956EB6"/>
    <w:rsid w:val="4F9843DC"/>
    <w:rsid w:val="4F9C1E92"/>
    <w:rsid w:val="4FA05C57"/>
    <w:rsid w:val="4FB559F7"/>
    <w:rsid w:val="4FC62A8C"/>
    <w:rsid w:val="4FC6356D"/>
    <w:rsid w:val="4FCA7857"/>
    <w:rsid w:val="4FD30A4B"/>
    <w:rsid w:val="4FD3445D"/>
    <w:rsid w:val="4FD5108C"/>
    <w:rsid w:val="4FD97E80"/>
    <w:rsid w:val="4FE20F0D"/>
    <w:rsid w:val="4FE451FE"/>
    <w:rsid w:val="4FE51552"/>
    <w:rsid w:val="4FE64BD4"/>
    <w:rsid w:val="4FEB271F"/>
    <w:rsid w:val="4FEB56E9"/>
    <w:rsid w:val="4FF74E86"/>
    <w:rsid w:val="4FFD6400"/>
    <w:rsid w:val="5004160F"/>
    <w:rsid w:val="500A342C"/>
    <w:rsid w:val="500C5BB9"/>
    <w:rsid w:val="500D2D33"/>
    <w:rsid w:val="500F7E65"/>
    <w:rsid w:val="501C6CBB"/>
    <w:rsid w:val="501F7E86"/>
    <w:rsid w:val="50275849"/>
    <w:rsid w:val="502D16BB"/>
    <w:rsid w:val="502D252B"/>
    <w:rsid w:val="5032196D"/>
    <w:rsid w:val="50351F4A"/>
    <w:rsid w:val="50373E2B"/>
    <w:rsid w:val="50392C40"/>
    <w:rsid w:val="503D67D4"/>
    <w:rsid w:val="504E005B"/>
    <w:rsid w:val="504F3DB3"/>
    <w:rsid w:val="50504C4B"/>
    <w:rsid w:val="50506DE0"/>
    <w:rsid w:val="50572CC9"/>
    <w:rsid w:val="50650510"/>
    <w:rsid w:val="50713BC3"/>
    <w:rsid w:val="507C629B"/>
    <w:rsid w:val="50811B94"/>
    <w:rsid w:val="508E6E8F"/>
    <w:rsid w:val="509C6E7C"/>
    <w:rsid w:val="509D7C75"/>
    <w:rsid w:val="50A11FE0"/>
    <w:rsid w:val="50B22EF2"/>
    <w:rsid w:val="50BA42F9"/>
    <w:rsid w:val="50BB2402"/>
    <w:rsid w:val="50C07885"/>
    <w:rsid w:val="50C54AC0"/>
    <w:rsid w:val="50CC7F92"/>
    <w:rsid w:val="50CE3319"/>
    <w:rsid w:val="50CF6F4B"/>
    <w:rsid w:val="50D52D64"/>
    <w:rsid w:val="50DD77D6"/>
    <w:rsid w:val="50E0030E"/>
    <w:rsid w:val="50EB1B6E"/>
    <w:rsid w:val="50EE057B"/>
    <w:rsid w:val="50F419E6"/>
    <w:rsid w:val="50FC2955"/>
    <w:rsid w:val="51096EC0"/>
    <w:rsid w:val="511107EA"/>
    <w:rsid w:val="511E3557"/>
    <w:rsid w:val="512609B0"/>
    <w:rsid w:val="512E0C10"/>
    <w:rsid w:val="51327BA7"/>
    <w:rsid w:val="51385D77"/>
    <w:rsid w:val="513F5760"/>
    <w:rsid w:val="51455CA2"/>
    <w:rsid w:val="515B28C0"/>
    <w:rsid w:val="515D37D0"/>
    <w:rsid w:val="515E5173"/>
    <w:rsid w:val="5162104E"/>
    <w:rsid w:val="516241D7"/>
    <w:rsid w:val="516C4B79"/>
    <w:rsid w:val="51826FC0"/>
    <w:rsid w:val="51846D98"/>
    <w:rsid w:val="51861FD1"/>
    <w:rsid w:val="51872F3B"/>
    <w:rsid w:val="51957246"/>
    <w:rsid w:val="51996B92"/>
    <w:rsid w:val="51A072F7"/>
    <w:rsid w:val="51A90A23"/>
    <w:rsid w:val="51AA70CA"/>
    <w:rsid w:val="51B15030"/>
    <w:rsid w:val="51B943FE"/>
    <w:rsid w:val="51C273F1"/>
    <w:rsid w:val="51D03302"/>
    <w:rsid w:val="51DB3D58"/>
    <w:rsid w:val="51DC5EA2"/>
    <w:rsid w:val="51E3071C"/>
    <w:rsid w:val="51EB7A8C"/>
    <w:rsid w:val="51F028E5"/>
    <w:rsid w:val="51F34A2B"/>
    <w:rsid w:val="51F6463B"/>
    <w:rsid w:val="51FD5492"/>
    <w:rsid w:val="521A36CE"/>
    <w:rsid w:val="521C4A5B"/>
    <w:rsid w:val="521E22A7"/>
    <w:rsid w:val="52202C4A"/>
    <w:rsid w:val="52217159"/>
    <w:rsid w:val="522A1582"/>
    <w:rsid w:val="522A5B54"/>
    <w:rsid w:val="52301536"/>
    <w:rsid w:val="52524917"/>
    <w:rsid w:val="525A11DE"/>
    <w:rsid w:val="525A1EF3"/>
    <w:rsid w:val="525B722C"/>
    <w:rsid w:val="525D15F6"/>
    <w:rsid w:val="5266011F"/>
    <w:rsid w:val="52726256"/>
    <w:rsid w:val="527C0596"/>
    <w:rsid w:val="52816249"/>
    <w:rsid w:val="52911BE2"/>
    <w:rsid w:val="52974E38"/>
    <w:rsid w:val="529E6DA7"/>
    <w:rsid w:val="52A029D3"/>
    <w:rsid w:val="52AE4E21"/>
    <w:rsid w:val="52C40B9C"/>
    <w:rsid w:val="52D11560"/>
    <w:rsid w:val="52D368D9"/>
    <w:rsid w:val="52E71802"/>
    <w:rsid w:val="52ED3AD0"/>
    <w:rsid w:val="52F4788F"/>
    <w:rsid w:val="52F517F8"/>
    <w:rsid w:val="530D01A6"/>
    <w:rsid w:val="531226E2"/>
    <w:rsid w:val="53176B7B"/>
    <w:rsid w:val="531D45F2"/>
    <w:rsid w:val="532653DF"/>
    <w:rsid w:val="533573F7"/>
    <w:rsid w:val="533B2F2A"/>
    <w:rsid w:val="533C051F"/>
    <w:rsid w:val="533C1422"/>
    <w:rsid w:val="5359222A"/>
    <w:rsid w:val="535A53CF"/>
    <w:rsid w:val="53672943"/>
    <w:rsid w:val="53681515"/>
    <w:rsid w:val="537A2677"/>
    <w:rsid w:val="53943823"/>
    <w:rsid w:val="539453CB"/>
    <w:rsid w:val="53965918"/>
    <w:rsid w:val="53966A2E"/>
    <w:rsid w:val="53A039CC"/>
    <w:rsid w:val="53A1505A"/>
    <w:rsid w:val="53AA4AB5"/>
    <w:rsid w:val="53CA4C80"/>
    <w:rsid w:val="53CC70CD"/>
    <w:rsid w:val="53D60E9C"/>
    <w:rsid w:val="53F07C12"/>
    <w:rsid w:val="53F35AE4"/>
    <w:rsid w:val="53FA779E"/>
    <w:rsid w:val="53FA7FD0"/>
    <w:rsid w:val="53FF5266"/>
    <w:rsid w:val="54033E27"/>
    <w:rsid w:val="540532AC"/>
    <w:rsid w:val="54063E08"/>
    <w:rsid w:val="54071A30"/>
    <w:rsid w:val="540947A2"/>
    <w:rsid w:val="540A0715"/>
    <w:rsid w:val="540D1D6E"/>
    <w:rsid w:val="540E4A5F"/>
    <w:rsid w:val="54133F7E"/>
    <w:rsid w:val="5415414D"/>
    <w:rsid w:val="541A0A23"/>
    <w:rsid w:val="542F5B63"/>
    <w:rsid w:val="54327BC1"/>
    <w:rsid w:val="54332825"/>
    <w:rsid w:val="543437E8"/>
    <w:rsid w:val="543616AA"/>
    <w:rsid w:val="544D2B2C"/>
    <w:rsid w:val="545C5FF1"/>
    <w:rsid w:val="546155E5"/>
    <w:rsid w:val="54660C23"/>
    <w:rsid w:val="547A32A7"/>
    <w:rsid w:val="547E474F"/>
    <w:rsid w:val="547F6B82"/>
    <w:rsid w:val="5482418D"/>
    <w:rsid w:val="548C359F"/>
    <w:rsid w:val="54904BFF"/>
    <w:rsid w:val="54A85C95"/>
    <w:rsid w:val="54AB636E"/>
    <w:rsid w:val="54AE6A55"/>
    <w:rsid w:val="54BA6AA3"/>
    <w:rsid w:val="54BF13A7"/>
    <w:rsid w:val="54D34B66"/>
    <w:rsid w:val="54EB413B"/>
    <w:rsid w:val="54F062E5"/>
    <w:rsid w:val="54F16423"/>
    <w:rsid w:val="54F73313"/>
    <w:rsid w:val="54F80955"/>
    <w:rsid w:val="54FB5EFB"/>
    <w:rsid w:val="550C4CAA"/>
    <w:rsid w:val="55172147"/>
    <w:rsid w:val="55177984"/>
    <w:rsid w:val="552705DC"/>
    <w:rsid w:val="55273003"/>
    <w:rsid w:val="553A7884"/>
    <w:rsid w:val="55426099"/>
    <w:rsid w:val="554A75F9"/>
    <w:rsid w:val="555170A7"/>
    <w:rsid w:val="55684751"/>
    <w:rsid w:val="556B5BF9"/>
    <w:rsid w:val="556B6F35"/>
    <w:rsid w:val="556C51EE"/>
    <w:rsid w:val="55700F76"/>
    <w:rsid w:val="557D1BD1"/>
    <w:rsid w:val="5587536D"/>
    <w:rsid w:val="55982FD6"/>
    <w:rsid w:val="55991CDF"/>
    <w:rsid w:val="559B0F0B"/>
    <w:rsid w:val="559B174B"/>
    <w:rsid w:val="559B395C"/>
    <w:rsid w:val="559E0172"/>
    <w:rsid w:val="55A713AC"/>
    <w:rsid w:val="55AA593B"/>
    <w:rsid w:val="55B0505F"/>
    <w:rsid w:val="55C41C6C"/>
    <w:rsid w:val="55C43F92"/>
    <w:rsid w:val="55CD4256"/>
    <w:rsid w:val="55CE0CF4"/>
    <w:rsid w:val="55CF1621"/>
    <w:rsid w:val="55D37F21"/>
    <w:rsid w:val="55DF5215"/>
    <w:rsid w:val="55EB1C75"/>
    <w:rsid w:val="55F2762C"/>
    <w:rsid w:val="56074D04"/>
    <w:rsid w:val="560B3A5A"/>
    <w:rsid w:val="561315FA"/>
    <w:rsid w:val="561932A7"/>
    <w:rsid w:val="561D378D"/>
    <w:rsid w:val="561E07AF"/>
    <w:rsid w:val="56336B0D"/>
    <w:rsid w:val="56342178"/>
    <w:rsid w:val="564077EB"/>
    <w:rsid w:val="56494582"/>
    <w:rsid w:val="564B6BA9"/>
    <w:rsid w:val="564D5CB6"/>
    <w:rsid w:val="565955BD"/>
    <w:rsid w:val="56596943"/>
    <w:rsid w:val="566C0D8C"/>
    <w:rsid w:val="567D0E91"/>
    <w:rsid w:val="567F1BE2"/>
    <w:rsid w:val="568060D3"/>
    <w:rsid w:val="56841CE2"/>
    <w:rsid w:val="5691102D"/>
    <w:rsid w:val="56913B93"/>
    <w:rsid w:val="5697788A"/>
    <w:rsid w:val="5698033E"/>
    <w:rsid w:val="569E5760"/>
    <w:rsid w:val="56B22A9C"/>
    <w:rsid w:val="56D91B13"/>
    <w:rsid w:val="56E81ACE"/>
    <w:rsid w:val="56F049FE"/>
    <w:rsid w:val="56F66ECE"/>
    <w:rsid w:val="56F91554"/>
    <w:rsid w:val="56FA1734"/>
    <w:rsid w:val="56FB3ACE"/>
    <w:rsid w:val="57023097"/>
    <w:rsid w:val="57027B23"/>
    <w:rsid w:val="57090A44"/>
    <w:rsid w:val="57216E31"/>
    <w:rsid w:val="572A2D70"/>
    <w:rsid w:val="573720C2"/>
    <w:rsid w:val="574A55AA"/>
    <w:rsid w:val="574B53FE"/>
    <w:rsid w:val="57530343"/>
    <w:rsid w:val="575612E0"/>
    <w:rsid w:val="575A6727"/>
    <w:rsid w:val="575B1B8A"/>
    <w:rsid w:val="5761737D"/>
    <w:rsid w:val="5769203D"/>
    <w:rsid w:val="57697A96"/>
    <w:rsid w:val="576D19D8"/>
    <w:rsid w:val="57741FE1"/>
    <w:rsid w:val="57766076"/>
    <w:rsid w:val="577B1985"/>
    <w:rsid w:val="578216E3"/>
    <w:rsid w:val="5784314A"/>
    <w:rsid w:val="57875362"/>
    <w:rsid w:val="578914E0"/>
    <w:rsid w:val="578F79D4"/>
    <w:rsid w:val="5790179A"/>
    <w:rsid w:val="5790539F"/>
    <w:rsid w:val="57922A3E"/>
    <w:rsid w:val="57A01ACB"/>
    <w:rsid w:val="57B02EBF"/>
    <w:rsid w:val="57B30B8C"/>
    <w:rsid w:val="57B72A76"/>
    <w:rsid w:val="57B861B7"/>
    <w:rsid w:val="57BA311F"/>
    <w:rsid w:val="57C3426C"/>
    <w:rsid w:val="57CE1F93"/>
    <w:rsid w:val="57D97B54"/>
    <w:rsid w:val="57DD4F82"/>
    <w:rsid w:val="57E226E8"/>
    <w:rsid w:val="57EE718F"/>
    <w:rsid w:val="57F158CB"/>
    <w:rsid w:val="57F8256C"/>
    <w:rsid w:val="57FB3080"/>
    <w:rsid w:val="580764A3"/>
    <w:rsid w:val="580C03E7"/>
    <w:rsid w:val="580C6F3F"/>
    <w:rsid w:val="581060A9"/>
    <w:rsid w:val="58165475"/>
    <w:rsid w:val="582013FA"/>
    <w:rsid w:val="582708F3"/>
    <w:rsid w:val="582A53CC"/>
    <w:rsid w:val="582C71EA"/>
    <w:rsid w:val="582F10FA"/>
    <w:rsid w:val="583059FA"/>
    <w:rsid w:val="58482ACC"/>
    <w:rsid w:val="5853709F"/>
    <w:rsid w:val="585434C1"/>
    <w:rsid w:val="58565559"/>
    <w:rsid w:val="58610B16"/>
    <w:rsid w:val="58694640"/>
    <w:rsid w:val="586E4BF2"/>
    <w:rsid w:val="58720112"/>
    <w:rsid w:val="5878114F"/>
    <w:rsid w:val="587873A1"/>
    <w:rsid w:val="587F4822"/>
    <w:rsid w:val="58855A0B"/>
    <w:rsid w:val="5886386C"/>
    <w:rsid w:val="588743D1"/>
    <w:rsid w:val="5887701A"/>
    <w:rsid w:val="588E7256"/>
    <w:rsid w:val="58902446"/>
    <w:rsid w:val="58AB2FCB"/>
    <w:rsid w:val="58D01D6B"/>
    <w:rsid w:val="58E2168B"/>
    <w:rsid w:val="58E64FF6"/>
    <w:rsid w:val="58F033DB"/>
    <w:rsid w:val="590437AD"/>
    <w:rsid w:val="59320C59"/>
    <w:rsid w:val="59332B4F"/>
    <w:rsid w:val="5945448F"/>
    <w:rsid w:val="594E4056"/>
    <w:rsid w:val="59510420"/>
    <w:rsid w:val="59526512"/>
    <w:rsid w:val="59575208"/>
    <w:rsid w:val="595C559A"/>
    <w:rsid w:val="59625135"/>
    <w:rsid w:val="59694B3F"/>
    <w:rsid w:val="59777132"/>
    <w:rsid w:val="59796F2C"/>
    <w:rsid w:val="597E4543"/>
    <w:rsid w:val="597F4F77"/>
    <w:rsid w:val="598E3749"/>
    <w:rsid w:val="59903A85"/>
    <w:rsid w:val="59926C6A"/>
    <w:rsid w:val="59A044B9"/>
    <w:rsid w:val="59A206EC"/>
    <w:rsid w:val="59A65848"/>
    <w:rsid w:val="59A955AA"/>
    <w:rsid w:val="59A97C9A"/>
    <w:rsid w:val="59AA1EA7"/>
    <w:rsid w:val="59C0439F"/>
    <w:rsid w:val="59C213DC"/>
    <w:rsid w:val="59C60680"/>
    <w:rsid w:val="59CC1752"/>
    <w:rsid w:val="59CD19A9"/>
    <w:rsid w:val="59D24833"/>
    <w:rsid w:val="59D26D22"/>
    <w:rsid w:val="59D2726A"/>
    <w:rsid w:val="59DD395F"/>
    <w:rsid w:val="59E02237"/>
    <w:rsid w:val="59E81874"/>
    <w:rsid w:val="59ED0ECA"/>
    <w:rsid w:val="59F22FFE"/>
    <w:rsid w:val="59F2732D"/>
    <w:rsid w:val="59F33E8B"/>
    <w:rsid w:val="59F37057"/>
    <w:rsid w:val="59F97674"/>
    <w:rsid w:val="5A114872"/>
    <w:rsid w:val="5A156464"/>
    <w:rsid w:val="5A193C64"/>
    <w:rsid w:val="5A1A760D"/>
    <w:rsid w:val="5A1A781B"/>
    <w:rsid w:val="5A1E47AC"/>
    <w:rsid w:val="5A2D4B8B"/>
    <w:rsid w:val="5A3C14C9"/>
    <w:rsid w:val="5A472ADB"/>
    <w:rsid w:val="5A4F21B7"/>
    <w:rsid w:val="5A540958"/>
    <w:rsid w:val="5A5B042F"/>
    <w:rsid w:val="5A5E31E8"/>
    <w:rsid w:val="5A5F0CEC"/>
    <w:rsid w:val="5A642479"/>
    <w:rsid w:val="5A6B55F4"/>
    <w:rsid w:val="5A6F35F1"/>
    <w:rsid w:val="5A703BFA"/>
    <w:rsid w:val="5A7106E7"/>
    <w:rsid w:val="5A762FF3"/>
    <w:rsid w:val="5A7A766A"/>
    <w:rsid w:val="5A7C73B9"/>
    <w:rsid w:val="5A865DA5"/>
    <w:rsid w:val="5A8808F4"/>
    <w:rsid w:val="5A8874DB"/>
    <w:rsid w:val="5A8F3415"/>
    <w:rsid w:val="5A975C1F"/>
    <w:rsid w:val="5AA12940"/>
    <w:rsid w:val="5AB6080C"/>
    <w:rsid w:val="5AB81BCA"/>
    <w:rsid w:val="5ABC17C7"/>
    <w:rsid w:val="5ABC1E88"/>
    <w:rsid w:val="5ABE2233"/>
    <w:rsid w:val="5AC8100F"/>
    <w:rsid w:val="5AD36B10"/>
    <w:rsid w:val="5ADD76F2"/>
    <w:rsid w:val="5ADE1B5E"/>
    <w:rsid w:val="5AE1515C"/>
    <w:rsid w:val="5AE332E4"/>
    <w:rsid w:val="5AFC00DF"/>
    <w:rsid w:val="5B117F79"/>
    <w:rsid w:val="5B21162A"/>
    <w:rsid w:val="5B2D591E"/>
    <w:rsid w:val="5B2E3D47"/>
    <w:rsid w:val="5B412CC6"/>
    <w:rsid w:val="5B470773"/>
    <w:rsid w:val="5B4D418D"/>
    <w:rsid w:val="5B536E52"/>
    <w:rsid w:val="5B5A5863"/>
    <w:rsid w:val="5B5F2E45"/>
    <w:rsid w:val="5B633E84"/>
    <w:rsid w:val="5B6354BC"/>
    <w:rsid w:val="5B644304"/>
    <w:rsid w:val="5B6539B6"/>
    <w:rsid w:val="5B686F42"/>
    <w:rsid w:val="5B6A19A8"/>
    <w:rsid w:val="5B6E70B8"/>
    <w:rsid w:val="5B7A171A"/>
    <w:rsid w:val="5B7B591A"/>
    <w:rsid w:val="5B856D3C"/>
    <w:rsid w:val="5B864E6A"/>
    <w:rsid w:val="5B8F59C8"/>
    <w:rsid w:val="5B922241"/>
    <w:rsid w:val="5B9820E7"/>
    <w:rsid w:val="5B9D0A64"/>
    <w:rsid w:val="5BA147F0"/>
    <w:rsid w:val="5BAA4C64"/>
    <w:rsid w:val="5BAB7436"/>
    <w:rsid w:val="5BAE4D6D"/>
    <w:rsid w:val="5BB034F0"/>
    <w:rsid w:val="5BB321C1"/>
    <w:rsid w:val="5BB4622A"/>
    <w:rsid w:val="5BD67DE8"/>
    <w:rsid w:val="5BDF5D95"/>
    <w:rsid w:val="5BF71FFA"/>
    <w:rsid w:val="5BFE7528"/>
    <w:rsid w:val="5C1B42CB"/>
    <w:rsid w:val="5C1D5E66"/>
    <w:rsid w:val="5C231508"/>
    <w:rsid w:val="5C281030"/>
    <w:rsid w:val="5C3647C7"/>
    <w:rsid w:val="5C3969D3"/>
    <w:rsid w:val="5C3E0D58"/>
    <w:rsid w:val="5C401D3B"/>
    <w:rsid w:val="5C4340B7"/>
    <w:rsid w:val="5C441543"/>
    <w:rsid w:val="5C5122FB"/>
    <w:rsid w:val="5C527388"/>
    <w:rsid w:val="5C5441E4"/>
    <w:rsid w:val="5C5542AD"/>
    <w:rsid w:val="5C5750E8"/>
    <w:rsid w:val="5C755DAD"/>
    <w:rsid w:val="5C8143F0"/>
    <w:rsid w:val="5C837352"/>
    <w:rsid w:val="5C891B7C"/>
    <w:rsid w:val="5C8E080D"/>
    <w:rsid w:val="5C916815"/>
    <w:rsid w:val="5C9305A6"/>
    <w:rsid w:val="5C954CC7"/>
    <w:rsid w:val="5C9C68F0"/>
    <w:rsid w:val="5CA23156"/>
    <w:rsid w:val="5CA80E05"/>
    <w:rsid w:val="5CA90F56"/>
    <w:rsid w:val="5CD0280F"/>
    <w:rsid w:val="5CD6186D"/>
    <w:rsid w:val="5CDE2BD0"/>
    <w:rsid w:val="5CDF05C4"/>
    <w:rsid w:val="5CDF2450"/>
    <w:rsid w:val="5CE17735"/>
    <w:rsid w:val="5CE3103D"/>
    <w:rsid w:val="5CE876C5"/>
    <w:rsid w:val="5CED0783"/>
    <w:rsid w:val="5CEF362F"/>
    <w:rsid w:val="5CEF39CE"/>
    <w:rsid w:val="5CF10E39"/>
    <w:rsid w:val="5D066D29"/>
    <w:rsid w:val="5D1C06B0"/>
    <w:rsid w:val="5D256235"/>
    <w:rsid w:val="5D29581A"/>
    <w:rsid w:val="5D2D2508"/>
    <w:rsid w:val="5D315B25"/>
    <w:rsid w:val="5D5F1D5C"/>
    <w:rsid w:val="5D677EDE"/>
    <w:rsid w:val="5D6839D3"/>
    <w:rsid w:val="5D7044FF"/>
    <w:rsid w:val="5D897143"/>
    <w:rsid w:val="5D923C61"/>
    <w:rsid w:val="5D9715E2"/>
    <w:rsid w:val="5D9F2CDA"/>
    <w:rsid w:val="5DA170E0"/>
    <w:rsid w:val="5DAF57F1"/>
    <w:rsid w:val="5DB846BA"/>
    <w:rsid w:val="5DBB6A13"/>
    <w:rsid w:val="5DCB0311"/>
    <w:rsid w:val="5DE31911"/>
    <w:rsid w:val="5DE91760"/>
    <w:rsid w:val="5E0D0B00"/>
    <w:rsid w:val="5E191C3C"/>
    <w:rsid w:val="5E1B05B2"/>
    <w:rsid w:val="5E2467F1"/>
    <w:rsid w:val="5E261D20"/>
    <w:rsid w:val="5E2E7B27"/>
    <w:rsid w:val="5E3176CE"/>
    <w:rsid w:val="5E395C5B"/>
    <w:rsid w:val="5E3F44DF"/>
    <w:rsid w:val="5E4D2B05"/>
    <w:rsid w:val="5E573CF6"/>
    <w:rsid w:val="5E5910FE"/>
    <w:rsid w:val="5E59228C"/>
    <w:rsid w:val="5E6B4290"/>
    <w:rsid w:val="5E757500"/>
    <w:rsid w:val="5E781B8A"/>
    <w:rsid w:val="5E782489"/>
    <w:rsid w:val="5E832008"/>
    <w:rsid w:val="5E855507"/>
    <w:rsid w:val="5E87100B"/>
    <w:rsid w:val="5E9009FA"/>
    <w:rsid w:val="5E983807"/>
    <w:rsid w:val="5EA266F7"/>
    <w:rsid w:val="5EA47E55"/>
    <w:rsid w:val="5EA67B3A"/>
    <w:rsid w:val="5EA70E8D"/>
    <w:rsid w:val="5EA8553C"/>
    <w:rsid w:val="5EAD1F9C"/>
    <w:rsid w:val="5EB11ABD"/>
    <w:rsid w:val="5EC81064"/>
    <w:rsid w:val="5ECC05F1"/>
    <w:rsid w:val="5ED20A46"/>
    <w:rsid w:val="5EE3728C"/>
    <w:rsid w:val="5F0B1F7E"/>
    <w:rsid w:val="5F0C3637"/>
    <w:rsid w:val="5F1A2B43"/>
    <w:rsid w:val="5F303C11"/>
    <w:rsid w:val="5F3C1C10"/>
    <w:rsid w:val="5F4500EE"/>
    <w:rsid w:val="5F63118D"/>
    <w:rsid w:val="5F6D2FAF"/>
    <w:rsid w:val="5F702E3E"/>
    <w:rsid w:val="5F793A31"/>
    <w:rsid w:val="5F8A6A2D"/>
    <w:rsid w:val="5F8E0A77"/>
    <w:rsid w:val="5FB837BB"/>
    <w:rsid w:val="5FC707DE"/>
    <w:rsid w:val="5FD45279"/>
    <w:rsid w:val="5FD57F26"/>
    <w:rsid w:val="5FDF535F"/>
    <w:rsid w:val="5FE47889"/>
    <w:rsid w:val="5FE50959"/>
    <w:rsid w:val="5FEA2932"/>
    <w:rsid w:val="5FF15293"/>
    <w:rsid w:val="5FF438BF"/>
    <w:rsid w:val="60076A6E"/>
    <w:rsid w:val="6014175D"/>
    <w:rsid w:val="60287163"/>
    <w:rsid w:val="60294D7C"/>
    <w:rsid w:val="602F7ED3"/>
    <w:rsid w:val="60330DDD"/>
    <w:rsid w:val="603F12DC"/>
    <w:rsid w:val="60410240"/>
    <w:rsid w:val="60437B9B"/>
    <w:rsid w:val="604E658F"/>
    <w:rsid w:val="604F6AC3"/>
    <w:rsid w:val="6058109D"/>
    <w:rsid w:val="605F0573"/>
    <w:rsid w:val="60867FEA"/>
    <w:rsid w:val="609E371C"/>
    <w:rsid w:val="60AC4106"/>
    <w:rsid w:val="60AF0819"/>
    <w:rsid w:val="60AF592A"/>
    <w:rsid w:val="60B31347"/>
    <w:rsid w:val="60C426D1"/>
    <w:rsid w:val="60CC405A"/>
    <w:rsid w:val="60DD2D53"/>
    <w:rsid w:val="60E70C20"/>
    <w:rsid w:val="60E93FBF"/>
    <w:rsid w:val="60F021CA"/>
    <w:rsid w:val="60F9276A"/>
    <w:rsid w:val="60FF41BB"/>
    <w:rsid w:val="61090E30"/>
    <w:rsid w:val="610B5695"/>
    <w:rsid w:val="610E4A82"/>
    <w:rsid w:val="61127308"/>
    <w:rsid w:val="61136EBA"/>
    <w:rsid w:val="61190980"/>
    <w:rsid w:val="611D59E9"/>
    <w:rsid w:val="611F066F"/>
    <w:rsid w:val="613E258C"/>
    <w:rsid w:val="6143643E"/>
    <w:rsid w:val="61522EC3"/>
    <w:rsid w:val="615E08F9"/>
    <w:rsid w:val="617D4CAD"/>
    <w:rsid w:val="617F354E"/>
    <w:rsid w:val="61815EAF"/>
    <w:rsid w:val="61820C44"/>
    <w:rsid w:val="61891CD7"/>
    <w:rsid w:val="61895AF1"/>
    <w:rsid w:val="619B4E92"/>
    <w:rsid w:val="61A30FEA"/>
    <w:rsid w:val="61B0629F"/>
    <w:rsid w:val="61CD4304"/>
    <w:rsid w:val="61D04633"/>
    <w:rsid w:val="61D14EAD"/>
    <w:rsid w:val="61D75D2F"/>
    <w:rsid w:val="61D8154E"/>
    <w:rsid w:val="61D84FBB"/>
    <w:rsid w:val="61DE4D7F"/>
    <w:rsid w:val="61E03F94"/>
    <w:rsid w:val="61E215D8"/>
    <w:rsid w:val="61FD29A5"/>
    <w:rsid w:val="62056952"/>
    <w:rsid w:val="62141EE8"/>
    <w:rsid w:val="62183433"/>
    <w:rsid w:val="621A1EFB"/>
    <w:rsid w:val="621B14CE"/>
    <w:rsid w:val="621B3775"/>
    <w:rsid w:val="62222EC4"/>
    <w:rsid w:val="622D2FAA"/>
    <w:rsid w:val="622F6F86"/>
    <w:rsid w:val="62315CCB"/>
    <w:rsid w:val="62364782"/>
    <w:rsid w:val="623A6210"/>
    <w:rsid w:val="623E1C2D"/>
    <w:rsid w:val="62451C0E"/>
    <w:rsid w:val="62475023"/>
    <w:rsid w:val="62511F68"/>
    <w:rsid w:val="62543163"/>
    <w:rsid w:val="625C04FC"/>
    <w:rsid w:val="62654BB5"/>
    <w:rsid w:val="626A7AEA"/>
    <w:rsid w:val="6282624A"/>
    <w:rsid w:val="628F54FA"/>
    <w:rsid w:val="62A50D92"/>
    <w:rsid w:val="62A85F07"/>
    <w:rsid w:val="62AC7970"/>
    <w:rsid w:val="62AE5E99"/>
    <w:rsid w:val="62B41C8F"/>
    <w:rsid w:val="62C5342A"/>
    <w:rsid w:val="62C65304"/>
    <w:rsid w:val="62C97DCC"/>
    <w:rsid w:val="62CD10D3"/>
    <w:rsid w:val="62D10C37"/>
    <w:rsid w:val="62D1559F"/>
    <w:rsid w:val="62D72113"/>
    <w:rsid w:val="62E132A1"/>
    <w:rsid w:val="62E6366D"/>
    <w:rsid w:val="62E73159"/>
    <w:rsid w:val="62EC317A"/>
    <w:rsid w:val="62F65DE0"/>
    <w:rsid w:val="62FB6F1C"/>
    <w:rsid w:val="63173A0E"/>
    <w:rsid w:val="631D6B7A"/>
    <w:rsid w:val="63207C93"/>
    <w:rsid w:val="63213F5F"/>
    <w:rsid w:val="63251D36"/>
    <w:rsid w:val="633555F4"/>
    <w:rsid w:val="63372D66"/>
    <w:rsid w:val="6340350C"/>
    <w:rsid w:val="63425093"/>
    <w:rsid w:val="634801C0"/>
    <w:rsid w:val="634A602E"/>
    <w:rsid w:val="634E30DD"/>
    <w:rsid w:val="63521FD6"/>
    <w:rsid w:val="6353259C"/>
    <w:rsid w:val="63696264"/>
    <w:rsid w:val="63742E9E"/>
    <w:rsid w:val="637C1DD7"/>
    <w:rsid w:val="637E3081"/>
    <w:rsid w:val="63801DEE"/>
    <w:rsid w:val="63884717"/>
    <w:rsid w:val="639032A4"/>
    <w:rsid w:val="6394356A"/>
    <w:rsid w:val="639D275F"/>
    <w:rsid w:val="63A22F50"/>
    <w:rsid w:val="63A44667"/>
    <w:rsid w:val="63A70A97"/>
    <w:rsid w:val="63AA2F6D"/>
    <w:rsid w:val="63AD1644"/>
    <w:rsid w:val="63C118F1"/>
    <w:rsid w:val="63C61B2C"/>
    <w:rsid w:val="63D21C76"/>
    <w:rsid w:val="63D40BE9"/>
    <w:rsid w:val="63D53602"/>
    <w:rsid w:val="63DD192B"/>
    <w:rsid w:val="63E02D14"/>
    <w:rsid w:val="63E5086C"/>
    <w:rsid w:val="63E5772A"/>
    <w:rsid w:val="63E62EE0"/>
    <w:rsid w:val="63E93172"/>
    <w:rsid w:val="63EE7149"/>
    <w:rsid w:val="63EF49BB"/>
    <w:rsid w:val="63F11E12"/>
    <w:rsid w:val="63F87366"/>
    <w:rsid w:val="63F97162"/>
    <w:rsid w:val="63FB2378"/>
    <w:rsid w:val="640C3B31"/>
    <w:rsid w:val="64102431"/>
    <w:rsid w:val="64236413"/>
    <w:rsid w:val="64276DCF"/>
    <w:rsid w:val="643B7181"/>
    <w:rsid w:val="643D3B62"/>
    <w:rsid w:val="644A54E0"/>
    <w:rsid w:val="64512EAA"/>
    <w:rsid w:val="645C1AAA"/>
    <w:rsid w:val="645C36D2"/>
    <w:rsid w:val="64677211"/>
    <w:rsid w:val="646B6D65"/>
    <w:rsid w:val="647A3F6A"/>
    <w:rsid w:val="64841D92"/>
    <w:rsid w:val="648D1ADE"/>
    <w:rsid w:val="648D5F82"/>
    <w:rsid w:val="649015CE"/>
    <w:rsid w:val="6493582E"/>
    <w:rsid w:val="649966D5"/>
    <w:rsid w:val="649F11B8"/>
    <w:rsid w:val="64A11DB3"/>
    <w:rsid w:val="64A47B5E"/>
    <w:rsid w:val="64A5243A"/>
    <w:rsid w:val="64A803C9"/>
    <w:rsid w:val="64AC5DA7"/>
    <w:rsid w:val="64AD7871"/>
    <w:rsid w:val="64AE41CC"/>
    <w:rsid w:val="64B644D5"/>
    <w:rsid w:val="64BB3D62"/>
    <w:rsid w:val="64BC141E"/>
    <w:rsid w:val="64C92001"/>
    <w:rsid w:val="64DD6380"/>
    <w:rsid w:val="64E508C1"/>
    <w:rsid w:val="64F531DE"/>
    <w:rsid w:val="64F84E36"/>
    <w:rsid w:val="650237B2"/>
    <w:rsid w:val="6514296F"/>
    <w:rsid w:val="6515681C"/>
    <w:rsid w:val="651E0A3C"/>
    <w:rsid w:val="65276A0B"/>
    <w:rsid w:val="652E19F5"/>
    <w:rsid w:val="65373578"/>
    <w:rsid w:val="653F2EC9"/>
    <w:rsid w:val="65427DCC"/>
    <w:rsid w:val="656734C3"/>
    <w:rsid w:val="656C1E0D"/>
    <w:rsid w:val="6570178C"/>
    <w:rsid w:val="65736319"/>
    <w:rsid w:val="657B7184"/>
    <w:rsid w:val="657C6E40"/>
    <w:rsid w:val="657D1BAB"/>
    <w:rsid w:val="65826222"/>
    <w:rsid w:val="659B47DA"/>
    <w:rsid w:val="659D3F38"/>
    <w:rsid w:val="659F35C9"/>
    <w:rsid w:val="65A370BE"/>
    <w:rsid w:val="65A46D8F"/>
    <w:rsid w:val="65A6302D"/>
    <w:rsid w:val="65AC713A"/>
    <w:rsid w:val="65BB720C"/>
    <w:rsid w:val="65C473E0"/>
    <w:rsid w:val="65CA7352"/>
    <w:rsid w:val="65CD0D2C"/>
    <w:rsid w:val="65CF1D82"/>
    <w:rsid w:val="65DD724F"/>
    <w:rsid w:val="65DF7AA7"/>
    <w:rsid w:val="65E07DA0"/>
    <w:rsid w:val="65E25E59"/>
    <w:rsid w:val="65EF1366"/>
    <w:rsid w:val="65F37B5A"/>
    <w:rsid w:val="66093801"/>
    <w:rsid w:val="661610C1"/>
    <w:rsid w:val="6621310D"/>
    <w:rsid w:val="662835B4"/>
    <w:rsid w:val="662E2666"/>
    <w:rsid w:val="663029BF"/>
    <w:rsid w:val="66384C50"/>
    <w:rsid w:val="664F5F9B"/>
    <w:rsid w:val="66824DE6"/>
    <w:rsid w:val="66863630"/>
    <w:rsid w:val="66914E30"/>
    <w:rsid w:val="66925AD1"/>
    <w:rsid w:val="66974B4C"/>
    <w:rsid w:val="669833C0"/>
    <w:rsid w:val="66B526DA"/>
    <w:rsid w:val="66BB66B1"/>
    <w:rsid w:val="66CC5A27"/>
    <w:rsid w:val="66CF4D4A"/>
    <w:rsid w:val="66DE080D"/>
    <w:rsid w:val="66E55997"/>
    <w:rsid w:val="66F52135"/>
    <w:rsid w:val="67010E4B"/>
    <w:rsid w:val="67017427"/>
    <w:rsid w:val="671D0AB7"/>
    <w:rsid w:val="671D25C5"/>
    <w:rsid w:val="671F124A"/>
    <w:rsid w:val="67217775"/>
    <w:rsid w:val="673F7CF4"/>
    <w:rsid w:val="67424E02"/>
    <w:rsid w:val="67431D3B"/>
    <w:rsid w:val="677A33C6"/>
    <w:rsid w:val="677D6780"/>
    <w:rsid w:val="67832DF5"/>
    <w:rsid w:val="67872BFA"/>
    <w:rsid w:val="67941473"/>
    <w:rsid w:val="67991348"/>
    <w:rsid w:val="67A2101C"/>
    <w:rsid w:val="67A37201"/>
    <w:rsid w:val="67A61834"/>
    <w:rsid w:val="67AD1220"/>
    <w:rsid w:val="67CC6C26"/>
    <w:rsid w:val="67D33A90"/>
    <w:rsid w:val="67E06487"/>
    <w:rsid w:val="67E46EA7"/>
    <w:rsid w:val="67E53504"/>
    <w:rsid w:val="67EE671C"/>
    <w:rsid w:val="67F01C4A"/>
    <w:rsid w:val="67FF48B0"/>
    <w:rsid w:val="68076E37"/>
    <w:rsid w:val="681F6961"/>
    <w:rsid w:val="68225153"/>
    <w:rsid w:val="683D6CB5"/>
    <w:rsid w:val="68451A8C"/>
    <w:rsid w:val="684626D0"/>
    <w:rsid w:val="68610A2F"/>
    <w:rsid w:val="686E4DE2"/>
    <w:rsid w:val="68707450"/>
    <w:rsid w:val="687F7978"/>
    <w:rsid w:val="68805514"/>
    <w:rsid w:val="688939CC"/>
    <w:rsid w:val="68937DC2"/>
    <w:rsid w:val="68946316"/>
    <w:rsid w:val="689D27FD"/>
    <w:rsid w:val="68A266FC"/>
    <w:rsid w:val="68AD7B95"/>
    <w:rsid w:val="68B15236"/>
    <w:rsid w:val="68B47E34"/>
    <w:rsid w:val="68BB7CCB"/>
    <w:rsid w:val="68CF4DBB"/>
    <w:rsid w:val="68D573F4"/>
    <w:rsid w:val="68D643E7"/>
    <w:rsid w:val="68D845D8"/>
    <w:rsid w:val="68FA3640"/>
    <w:rsid w:val="68FD36D6"/>
    <w:rsid w:val="69002839"/>
    <w:rsid w:val="6901341D"/>
    <w:rsid w:val="691B0BCB"/>
    <w:rsid w:val="69210E3D"/>
    <w:rsid w:val="692A039D"/>
    <w:rsid w:val="69316E2F"/>
    <w:rsid w:val="694036BC"/>
    <w:rsid w:val="69414E41"/>
    <w:rsid w:val="694806C9"/>
    <w:rsid w:val="694E2071"/>
    <w:rsid w:val="694F5CF7"/>
    <w:rsid w:val="69591B8C"/>
    <w:rsid w:val="696E7A95"/>
    <w:rsid w:val="69753D9D"/>
    <w:rsid w:val="69766163"/>
    <w:rsid w:val="697A3B33"/>
    <w:rsid w:val="69810713"/>
    <w:rsid w:val="698236F2"/>
    <w:rsid w:val="698B1EF6"/>
    <w:rsid w:val="698B4A35"/>
    <w:rsid w:val="698F5D46"/>
    <w:rsid w:val="6994390F"/>
    <w:rsid w:val="699D06A3"/>
    <w:rsid w:val="69AC0A83"/>
    <w:rsid w:val="69AC4035"/>
    <w:rsid w:val="69AF76DB"/>
    <w:rsid w:val="69B039CD"/>
    <w:rsid w:val="69B75073"/>
    <w:rsid w:val="69B76BA6"/>
    <w:rsid w:val="69C601FA"/>
    <w:rsid w:val="69D44760"/>
    <w:rsid w:val="69D837FB"/>
    <w:rsid w:val="69DF44BF"/>
    <w:rsid w:val="69E0474B"/>
    <w:rsid w:val="69E14DA6"/>
    <w:rsid w:val="69E81EFE"/>
    <w:rsid w:val="6A0F6791"/>
    <w:rsid w:val="6A1E00FA"/>
    <w:rsid w:val="6A266C5C"/>
    <w:rsid w:val="6A275C17"/>
    <w:rsid w:val="6A316D00"/>
    <w:rsid w:val="6A342BF5"/>
    <w:rsid w:val="6A3453C8"/>
    <w:rsid w:val="6A386B1D"/>
    <w:rsid w:val="6A411E84"/>
    <w:rsid w:val="6A462282"/>
    <w:rsid w:val="6A48066B"/>
    <w:rsid w:val="6A4B5FA8"/>
    <w:rsid w:val="6A4C776A"/>
    <w:rsid w:val="6A520EC7"/>
    <w:rsid w:val="6A53650D"/>
    <w:rsid w:val="6A560A22"/>
    <w:rsid w:val="6A591984"/>
    <w:rsid w:val="6A5A2747"/>
    <w:rsid w:val="6A7B2288"/>
    <w:rsid w:val="6A7C2905"/>
    <w:rsid w:val="6A8D4045"/>
    <w:rsid w:val="6A987B4F"/>
    <w:rsid w:val="6AA05AE6"/>
    <w:rsid w:val="6AA745B7"/>
    <w:rsid w:val="6AB5060F"/>
    <w:rsid w:val="6ABA028C"/>
    <w:rsid w:val="6AD14E1A"/>
    <w:rsid w:val="6AD42596"/>
    <w:rsid w:val="6AD978AB"/>
    <w:rsid w:val="6AE064B4"/>
    <w:rsid w:val="6AEE4391"/>
    <w:rsid w:val="6AF87E20"/>
    <w:rsid w:val="6B047B1F"/>
    <w:rsid w:val="6B0B18CE"/>
    <w:rsid w:val="6B221D59"/>
    <w:rsid w:val="6B273068"/>
    <w:rsid w:val="6B280A17"/>
    <w:rsid w:val="6B322639"/>
    <w:rsid w:val="6B363B24"/>
    <w:rsid w:val="6B3E7FD6"/>
    <w:rsid w:val="6B4B2E2D"/>
    <w:rsid w:val="6B4D1AEA"/>
    <w:rsid w:val="6B4D7CE0"/>
    <w:rsid w:val="6B511CDA"/>
    <w:rsid w:val="6B5243A0"/>
    <w:rsid w:val="6B530B87"/>
    <w:rsid w:val="6B582DB4"/>
    <w:rsid w:val="6B594E10"/>
    <w:rsid w:val="6B5C473B"/>
    <w:rsid w:val="6B6350FA"/>
    <w:rsid w:val="6B637029"/>
    <w:rsid w:val="6B6F5377"/>
    <w:rsid w:val="6B783D31"/>
    <w:rsid w:val="6B7E0A10"/>
    <w:rsid w:val="6B896A79"/>
    <w:rsid w:val="6B8E792C"/>
    <w:rsid w:val="6B955B06"/>
    <w:rsid w:val="6B9F6CC6"/>
    <w:rsid w:val="6BA612EE"/>
    <w:rsid w:val="6BAA4048"/>
    <w:rsid w:val="6BAE5FFF"/>
    <w:rsid w:val="6BC53DBA"/>
    <w:rsid w:val="6BCC0612"/>
    <w:rsid w:val="6BCD2867"/>
    <w:rsid w:val="6BCF5346"/>
    <w:rsid w:val="6BD115BD"/>
    <w:rsid w:val="6BD25A74"/>
    <w:rsid w:val="6BD70606"/>
    <w:rsid w:val="6BF1065F"/>
    <w:rsid w:val="6BF44326"/>
    <w:rsid w:val="6BFC563D"/>
    <w:rsid w:val="6BFD34C8"/>
    <w:rsid w:val="6C062A91"/>
    <w:rsid w:val="6C0F3B7D"/>
    <w:rsid w:val="6C1A0E11"/>
    <w:rsid w:val="6C1C0317"/>
    <w:rsid w:val="6C3106B0"/>
    <w:rsid w:val="6C337F2A"/>
    <w:rsid w:val="6C3C522D"/>
    <w:rsid w:val="6C4B6D7E"/>
    <w:rsid w:val="6C561280"/>
    <w:rsid w:val="6C5630FD"/>
    <w:rsid w:val="6C5E529B"/>
    <w:rsid w:val="6C636C38"/>
    <w:rsid w:val="6C696885"/>
    <w:rsid w:val="6C7A66FC"/>
    <w:rsid w:val="6C89538D"/>
    <w:rsid w:val="6C8D08A5"/>
    <w:rsid w:val="6C950778"/>
    <w:rsid w:val="6CA32FD4"/>
    <w:rsid w:val="6CA6138E"/>
    <w:rsid w:val="6CB7372A"/>
    <w:rsid w:val="6CB847EE"/>
    <w:rsid w:val="6CB8727F"/>
    <w:rsid w:val="6CB90E06"/>
    <w:rsid w:val="6CBC61F4"/>
    <w:rsid w:val="6CC11FF8"/>
    <w:rsid w:val="6CCF191A"/>
    <w:rsid w:val="6CD016EB"/>
    <w:rsid w:val="6CD10AD4"/>
    <w:rsid w:val="6CD211D8"/>
    <w:rsid w:val="6CD52386"/>
    <w:rsid w:val="6CD6342D"/>
    <w:rsid w:val="6CDA184F"/>
    <w:rsid w:val="6CEA2ADC"/>
    <w:rsid w:val="6CEB0790"/>
    <w:rsid w:val="6CEE0E50"/>
    <w:rsid w:val="6CF536F9"/>
    <w:rsid w:val="6CF66663"/>
    <w:rsid w:val="6CFA315E"/>
    <w:rsid w:val="6CFC0D94"/>
    <w:rsid w:val="6CFC2295"/>
    <w:rsid w:val="6D0929C5"/>
    <w:rsid w:val="6D1A0031"/>
    <w:rsid w:val="6D1F6BCB"/>
    <w:rsid w:val="6D216C60"/>
    <w:rsid w:val="6D2379A3"/>
    <w:rsid w:val="6D3723B5"/>
    <w:rsid w:val="6D4745CB"/>
    <w:rsid w:val="6D4D641A"/>
    <w:rsid w:val="6D57712D"/>
    <w:rsid w:val="6D7935F8"/>
    <w:rsid w:val="6D7C3DC9"/>
    <w:rsid w:val="6D80780F"/>
    <w:rsid w:val="6D9043CF"/>
    <w:rsid w:val="6D9A5E32"/>
    <w:rsid w:val="6DA75A12"/>
    <w:rsid w:val="6DA864B8"/>
    <w:rsid w:val="6DB34098"/>
    <w:rsid w:val="6DB545B6"/>
    <w:rsid w:val="6DC41C0E"/>
    <w:rsid w:val="6DC77E2C"/>
    <w:rsid w:val="6DD02941"/>
    <w:rsid w:val="6DD26436"/>
    <w:rsid w:val="6DD4077E"/>
    <w:rsid w:val="6DD929C1"/>
    <w:rsid w:val="6DDC6233"/>
    <w:rsid w:val="6DE02FB4"/>
    <w:rsid w:val="6DE36C13"/>
    <w:rsid w:val="6DF53812"/>
    <w:rsid w:val="6DF9715A"/>
    <w:rsid w:val="6DFE3016"/>
    <w:rsid w:val="6E004960"/>
    <w:rsid w:val="6E1A6089"/>
    <w:rsid w:val="6E1D42D4"/>
    <w:rsid w:val="6E1E008B"/>
    <w:rsid w:val="6E21538D"/>
    <w:rsid w:val="6E216C7D"/>
    <w:rsid w:val="6E221C8D"/>
    <w:rsid w:val="6E2427AF"/>
    <w:rsid w:val="6E310E40"/>
    <w:rsid w:val="6E333BE6"/>
    <w:rsid w:val="6E3F5274"/>
    <w:rsid w:val="6E4A5A76"/>
    <w:rsid w:val="6E4B57C5"/>
    <w:rsid w:val="6E514CED"/>
    <w:rsid w:val="6E533121"/>
    <w:rsid w:val="6E62539F"/>
    <w:rsid w:val="6E871DC8"/>
    <w:rsid w:val="6E882931"/>
    <w:rsid w:val="6E8D44E9"/>
    <w:rsid w:val="6E9313EA"/>
    <w:rsid w:val="6E9C6079"/>
    <w:rsid w:val="6EA85E2F"/>
    <w:rsid w:val="6EB0599B"/>
    <w:rsid w:val="6EB563D5"/>
    <w:rsid w:val="6EB74327"/>
    <w:rsid w:val="6EB761E1"/>
    <w:rsid w:val="6EB9122C"/>
    <w:rsid w:val="6EC868F6"/>
    <w:rsid w:val="6ECA2ACC"/>
    <w:rsid w:val="6ED92677"/>
    <w:rsid w:val="6EE669BA"/>
    <w:rsid w:val="6EFB6A6D"/>
    <w:rsid w:val="6EFE7162"/>
    <w:rsid w:val="6F0A54D7"/>
    <w:rsid w:val="6F181253"/>
    <w:rsid w:val="6F1D0C20"/>
    <w:rsid w:val="6F200AC5"/>
    <w:rsid w:val="6F225983"/>
    <w:rsid w:val="6F2867A3"/>
    <w:rsid w:val="6F2E4022"/>
    <w:rsid w:val="6F36145D"/>
    <w:rsid w:val="6F3F6503"/>
    <w:rsid w:val="6F4156A3"/>
    <w:rsid w:val="6F493EE0"/>
    <w:rsid w:val="6F5B0E98"/>
    <w:rsid w:val="6F6159C3"/>
    <w:rsid w:val="6F6454F4"/>
    <w:rsid w:val="6F6A1399"/>
    <w:rsid w:val="6F73777F"/>
    <w:rsid w:val="6F760303"/>
    <w:rsid w:val="6F8C724F"/>
    <w:rsid w:val="6F972FB4"/>
    <w:rsid w:val="6F987793"/>
    <w:rsid w:val="6F99029D"/>
    <w:rsid w:val="6FAE4F19"/>
    <w:rsid w:val="6FB04375"/>
    <w:rsid w:val="6FB24AEE"/>
    <w:rsid w:val="6FB52731"/>
    <w:rsid w:val="6FBC59BA"/>
    <w:rsid w:val="6FBC5C65"/>
    <w:rsid w:val="6FCA604F"/>
    <w:rsid w:val="6FD05F3F"/>
    <w:rsid w:val="6FD112AB"/>
    <w:rsid w:val="6FD22638"/>
    <w:rsid w:val="6FDA48BA"/>
    <w:rsid w:val="6FDE3323"/>
    <w:rsid w:val="6FDF5799"/>
    <w:rsid w:val="6FE703D1"/>
    <w:rsid w:val="6FEE6247"/>
    <w:rsid w:val="6FEF69ED"/>
    <w:rsid w:val="6FF808C2"/>
    <w:rsid w:val="6FFC5590"/>
    <w:rsid w:val="6FFE2E66"/>
    <w:rsid w:val="70020AE3"/>
    <w:rsid w:val="700D28C1"/>
    <w:rsid w:val="701840E9"/>
    <w:rsid w:val="70193300"/>
    <w:rsid w:val="70211BC9"/>
    <w:rsid w:val="702442AE"/>
    <w:rsid w:val="70302B20"/>
    <w:rsid w:val="70352925"/>
    <w:rsid w:val="70356A11"/>
    <w:rsid w:val="703B7EBA"/>
    <w:rsid w:val="70433998"/>
    <w:rsid w:val="70591EE7"/>
    <w:rsid w:val="70614A6E"/>
    <w:rsid w:val="706224EF"/>
    <w:rsid w:val="706A31E5"/>
    <w:rsid w:val="706D1DD0"/>
    <w:rsid w:val="70725F32"/>
    <w:rsid w:val="7073020B"/>
    <w:rsid w:val="70770D70"/>
    <w:rsid w:val="70856B87"/>
    <w:rsid w:val="708665CB"/>
    <w:rsid w:val="70976390"/>
    <w:rsid w:val="70995154"/>
    <w:rsid w:val="709C4BE4"/>
    <w:rsid w:val="70B4669B"/>
    <w:rsid w:val="70B54896"/>
    <w:rsid w:val="70B86DF5"/>
    <w:rsid w:val="70CF0443"/>
    <w:rsid w:val="70D527EE"/>
    <w:rsid w:val="70D540D7"/>
    <w:rsid w:val="70DC3482"/>
    <w:rsid w:val="70E23AD2"/>
    <w:rsid w:val="70EE4F34"/>
    <w:rsid w:val="70EF0FF1"/>
    <w:rsid w:val="70FB7D28"/>
    <w:rsid w:val="70FE1EF6"/>
    <w:rsid w:val="71060EEF"/>
    <w:rsid w:val="711B1537"/>
    <w:rsid w:val="711F7F62"/>
    <w:rsid w:val="712023FA"/>
    <w:rsid w:val="714305F2"/>
    <w:rsid w:val="714A7BA5"/>
    <w:rsid w:val="715B5300"/>
    <w:rsid w:val="715E1457"/>
    <w:rsid w:val="7175401C"/>
    <w:rsid w:val="717F697E"/>
    <w:rsid w:val="719455E7"/>
    <w:rsid w:val="71977765"/>
    <w:rsid w:val="71A83B37"/>
    <w:rsid w:val="71A83EA6"/>
    <w:rsid w:val="71B07F92"/>
    <w:rsid w:val="71B4102A"/>
    <w:rsid w:val="71B62BA7"/>
    <w:rsid w:val="71B70F4D"/>
    <w:rsid w:val="71BE4579"/>
    <w:rsid w:val="71C05268"/>
    <w:rsid w:val="71C116D1"/>
    <w:rsid w:val="71C34837"/>
    <w:rsid w:val="71CB0C69"/>
    <w:rsid w:val="71D23849"/>
    <w:rsid w:val="71D27F8A"/>
    <w:rsid w:val="71D43552"/>
    <w:rsid w:val="71EF202A"/>
    <w:rsid w:val="71F34F14"/>
    <w:rsid w:val="71FD2A9C"/>
    <w:rsid w:val="71FD530C"/>
    <w:rsid w:val="721C3AA3"/>
    <w:rsid w:val="721C43DE"/>
    <w:rsid w:val="72270D26"/>
    <w:rsid w:val="722B4D78"/>
    <w:rsid w:val="722B5D81"/>
    <w:rsid w:val="72316B97"/>
    <w:rsid w:val="72345E17"/>
    <w:rsid w:val="72496E64"/>
    <w:rsid w:val="72553024"/>
    <w:rsid w:val="72563C24"/>
    <w:rsid w:val="7261688F"/>
    <w:rsid w:val="726A4AC3"/>
    <w:rsid w:val="726A5081"/>
    <w:rsid w:val="726B0346"/>
    <w:rsid w:val="726C1945"/>
    <w:rsid w:val="72711934"/>
    <w:rsid w:val="727B0181"/>
    <w:rsid w:val="727F0828"/>
    <w:rsid w:val="7289740F"/>
    <w:rsid w:val="729B37E5"/>
    <w:rsid w:val="729C3F60"/>
    <w:rsid w:val="72A2709C"/>
    <w:rsid w:val="72A56F6A"/>
    <w:rsid w:val="72AC5157"/>
    <w:rsid w:val="72BE315C"/>
    <w:rsid w:val="72C5143E"/>
    <w:rsid w:val="72D246C2"/>
    <w:rsid w:val="72E57617"/>
    <w:rsid w:val="72EF0D48"/>
    <w:rsid w:val="73084E4C"/>
    <w:rsid w:val="73085D88"/>
    <w:rsid w:val="731131B6"/>
    <w:rsid w:val="73122968"/>
    <w:rsid w:val="73180363"/>
    <w:rsid w:val="731F5D5E"/>
    <w:rsid w:val="73232522"/>
    <w:rsid w:val="732B4922"/>
    <w:rsid w:val="732B7092"/>
    <w:rsid w:val="733C6D0F"/>
    <w:rsid w:val="733F2807"/>
    <w:rsid w:val="73423B28"/>
    <w:rsid w:val="73492E90"/>
    <w:rsid w:val="734D65D7"/>
    <w:rsid w:val="73632122"/>
    <w:rsid w:val="7365723B"/>
    <w:rsid w:val="73674D66"/>
    <w:rsid w:val="736762F1"/>
    <w:rsid w:val="736C17C0"/>
    <w:rsid w:val="736C5B7A"/>
    <w:rsid w:val="736D06A8"/>
    <w:rsid w:val="73715E7A"/>
    <w:rsid w:val="73845843"/>
    <w:rsid w:val="73972212"/>
    <w:rsid w:val="739B6209"/>
    <w:rsid w:val="73A43643"/>
    <w:rsid w:val="73AA3435"/>
    <w:rsid w:val="73B21CED"/>
    <w:rsid w:val="73C51AD5"/>
    <w:rsid w:val="73D90916"/>
    <w:rsid w:val="73DE1EB2"/>
    <w:rsid w:val="73E75EA6"/>
    <w:rsid w:val="73ED07EB"/>
    <w:rsid w:val="73F07902"/>
    <w:rsid w:val="73F56BFE"/>
    <w:rsid w:val="73FC3121"/>
    <w:rsid w:val="73FF670B"/>
    <w:rsid w:val="740F7567"/>
    <w:rsid w:val="74121E38"/>
    <w:rsid w:val="741C14E2"/>
    <w:rsid w:val="741D71F8"/>
    <w:rsid w:val="741E793C"/>
    <w:rsid w:val="74303963"/>
    <w:rsid w:val="7432716E"/>
    <w:rsid w:val="743C5C8B"/>
    <w:rsid w:val="74403619"/>
    <w:rsid w:val="744B2E6F"/>
    <w:rsid w:val="745148D6"/>
    <w:rsid w:val="74533E38"/>
    <w:rsid w:val="745E3944"/>
    <w:rsid w:val="7467234B"/>
    <w:rsid w:val="746E5488"/>
    <w:rsid w:val="74712703"/>
    <w:rsid w:val="747449C2"/>
    <w:rsid w:val="747607E0"/>
    <w:rsid w:val="74834F05"/>
    <w:rsid w:val="749D0953"/>
    <w:rsid w:val="74B54F52"/>
    <w:rsid w:val="74B67F0B"/>
    <w:rsid w:val="74BC5FF4"/>
    <w:rsid w:val="74BD3EE6"/>
    <w:rsid w:val="74BD79CA"/>
    <w:rsid w:val="74BF0599"/>
    <w:rsid w:val="74BF306B"/>
    <w:rsid w:val="74C77644"/>
    <w:rsid w:val="74D27FFD"/>
    <w:rsid w:val="74E7375F"/>
    <w:rsid w:val="74E81D55"/>
    <w:rsid w:val="74EB0BA7"/>
    <w:rsid w:val="74F003D8"/>
    <w:rsid w:val="74F36DE6"/>
    <w:rsid w:val="74F45DAF"/>
    <w:rsid w:val="74F63236"/>
    <w:rsid w:val="74FC6CC0"/>
    <w:rsid w:val="74FF1F80"/>
    <w:rsid w:val="75050557"/>
    <w:rsid w:val="75092023"/>
    <w:rsid w:val="75116A6C"/>
    <w:rsid w:val="7516789C"/>
    <w:rsid w:val="75177DE1"/>
    <w:rsid w:val="751E2D0D"/>
    <w:rsid w:val="752F12EB"/>
    <w:rsid w:val="753721D1"/>
    <w:rsid w:val="753B3187"/>
    <w:rsid w:val="753E542D"/>
    <w:rsid w:val="755B5800"/>
    <w:rsid w:val="7582022D"/>
    <w:rsid w:val="75832797"/>
    <w:rsid w:val="758F2CBA"/>
    <w:rsid w:val="75950C26"/>
    <w:rsid w:val="759C4277"/>
    <w:rsid w:val="75A14C78"/>
    <w:rsid w:val="75A2492C"/>
    <w:rsid w:val="75A502E1"/>
    <w:rsid w:val="75AC2D54"/>
    <w:rsid w:val="75AE20E9"/>
    <w:rsid w:val="75B36438"/>
    <w:rsid w:val="75B97B95"/>
    <w:rsid w:val="75BA6AC0"/>
    <w:rsid w:val="75C51F89"/>
    <w:rsid w:val="75CF01A8"/>
    <w:rsid w:val="75DD7904"/>
    <w:rsid w:val="760031A2"/>
    <w:rsid w:val="761565C9"/>
    <w:rsid w:val="76167904"/>
    <w:rsid w:val="7635099D"/>
    <w:rsid w:val="76382BA1"/>
    <w:rsid w:val="763B4B90"/>
    <w:rsid w:val="763B6BB8"/>
    <w:rsid w:val="76402E54"/>
    <w:rsid w:val="764118B7"/>
    <w:rsid w:val="76496EC6"/>
    <w:rsid w:val="76756F68"/>
    <w:rsid w:val="76761954"/>
    <w:rsid w:val="767A30AC"/>
    <w:rsid w:val="767F5A30"/>
    <w:rsid w:val="76856AB9"/>
    <w:rsid w:val="7686731E"/>
    <w:rsid w:val="769F0229"/>
    <w:rsid w:val="76A942AC"/>
    <w:rsid w:val="76B20790"/>
    <w:rsid w:val="76D928F7"/>
    <w:rsid w:val="76DD68F5"/>
    <w:rsid w:val="76E67427"/>
    <w:rsid w:val="76E94B4C"/>
    <w:rsid w:val="76EC203F"/>
    <w:rsid w:val="76ED1B46"/>
    <w:rsid w:val="76F66590"/>
    <w:rsid w:val="7700335D"/>
    <w:rsid w:val="77013176"/>
    <w:rsid w:val="770A0CBA"/>
    <w:rsid w:val="770D69FA"/>
    <w:rsid w:val="770E38E2"/>
    <w:rsid w:val="77114FBE"/>
    <w:rsid w:val="77366282"/>
    <w:rsid w:val="77441BB5"/>
    <w:rsid w:val="774E3887"/>
    <w:rsid w:val="774E6946"/>
    <w:rsid w:val="775C40CF"/>
    <w:rsid w:val="775F555C"/>
    <w:rsid w:val="77667500"/>
    <w:rsid w:val="776879A8"/>
    <w:rsid w:val="776A1798"/>
    <w:rsid w:val="776B7250"/>
    <w:rsid w:val="776E579F"/>
    <w:rsid w:val="776F4ADD"/>
    <w:rsid w:val="77753055"/>
    <w:rsid w:val="77762421"/>
    <w:rsid w:val="77770E7C"/>
    <w:rsid w:val="777B7FBE"/>
    <w:rsid w:val="7782659B"/>
    <w:rsid w:val="778411A0"/>
    <w:rsid w:val="77951F8B"/>
    <w:rsid w:val="77A265A6"/>
    <w:rsid w:val="77AC109E"/>
    <w:rsid w:val="77AD7E37"/>
    <w:rsid w:val="77B56B1F"/>
    <w:rsid w:val="77BA513A"/>
    <w:rsid w:val="77C03D2A"/>
    <w:rsid w:val="77C57028"/>
    <w:rsid w:val="77C7038B"/>
    <w:rsid w:val="77CA3CBD"/>
    <w:rsid w:val="77CE3DD4"/>
    <w:rsid w:val="77D323A7"/>
    <w:rsid w:val="77DE16F1"/>
    <w:rsid w:val="77E21183"/>
    <w:rsid w:val="77EC5E5E"/>
    <w:rsid w:val="77FA3DCA"/>
    <w:rsid w:val="78030FAE"/>
    <w:rsid w:val="78047EB1"/>
    <w:rsid w:val="780F09F4"/>
    <w:rsid w:val="781120AA"/>
    <w:rsid w:val="78216CB5"/>
    <w:rsid w:val="78340B9C"/>
    <w:rsid w:val="78362761"/>
    <w:rsid w:val="78482936"/>
    <w:rsid w:val="784833AC"/>
    <w:rsid w:val="784A7FBA"/>
    <w:rsid w:val="784B5920"/>
    <w:rsid w:val="785C24C2"/>
    <w:rsid w:val="788310D2"/>
    <w:rsid w:val="78865827"/>
    <w:rsid w:val="788C244F"/>
    <w:rsid w:val="789938A7"/>
    <w:rsid w:val="789C6107"/>
    <w:rsid w:val="78A90480"/>
    <w:rsid w:val="78AF2513"/>
    <w:rsid w:val="78BF79C0"/>
    <w:rsid w:val="78CC09CF"/>
    <w:rsid w:val="78CE223E"/>
    <w:rsid w:val="78DB0881"/>
    <w:rsid w:val="78DB50B6"/>
    <w:rsid w:val="78E57CE3"/>
    <w:rsid w:val="79135453"/>
    <w:rsid w:val="79147DBE"/>
    <w:rsid w:val="79166739"/>
    <w:rsid w:val="791F45C7"/>
    <w:rsid w:val="791F48C2"/>
    <w:rsid w:val="79473D01"/>
    <w:rsid w:val="797C58D6"/>
    <w:rsid w:val="79827BD3"/>
    <w:rsid w:val="798D19F7"/>
    <w:rsid w:val="79904A9A"/>
    <w:rsid w:val="79932434"/>
    <w:rsid w:val="7998605A"/>
    <w:rsid w:val="799F04CE"/>
    <w:rsid w:val="79A34675"/>
    <w:rsid w:val="79A67472"/>
    <w:rsid w:val="79AC6AC3"/>
    <w:rsid w:val="79B646C7"/>
    <w:rsid w:val="79BA3AAB"/>
    <w:rsid w:val="79C21DD2"/>
    <w:rsid w:val="79C7649A"/>
    <w:rsid w:val="79D36190"/>
    <w:rsid w:val="79DD5A4C"/>
    <w:rsid w:val="79E65289"/>
    <w:rsid w:val="79E838CA"/>
    <w:rsid w:val="79EE01D4"/>
    <w:rsid w:val="79EE107F"/>
    <w:rsid w:val="79F36547"/>
    <w:rsid w:val="7A0139D3"/>
    <w:rsid w:val="7A014E87"/>
    <w:rsid w:val="7A1E6A88"/>
    <w:rsid w:val="7A261D77"/>
    <w:rsid w:val="7A2912C6"/>
    <w:rsid w:val="7A364017"/>
    <w:rsid w:val="7A394CE6"/>
    <w:rsid w:val="7A4E18E5"/>
    <w:rsid w:val="7A4E62CB"/>
    <w:rsid w:val="7A5C3BB7"/>
    <w:rsid w:val="7A5F0ACD"/>
    <w:rsid w:val="7A601D17"/>
    <w:rsid w:val="7A6D20AD"/>
    <w:rsid w:val="7A726F30"/>
    <w:rsid w:val="7A7A7930"/>
    <w:rsid w:val="7A81488E"/>
    <w:rsid w:val="7A8265E1"/>
    <w:rsid w:val="7A826876"/>
    <w:rsid w:val="7A88371A"/>
    <w:rsid w:val="7A9244A9"/>
    <w:rsid w:val="7A97545B"/>
    <w:rsid w:val="7A9F2E01"/>
    <w:rsid w:val="7AA75347"/>
    <w:rsid w:val="7AAA4D40"/>
    <w:rsid w:val="7AC06408"/>
    <w:rsid w:val="7ACC0F5F"/>
    <w:rsid w:val="7AD30C47"/>
    <w:rsid w:val="7AE569E8"/>
    <w:rsid w:val="7AEF6BF7"/>
    <w:rsid w:val="7AF03942"/>
    <w:rsid w:val="7AF67F85"/>
    <w:rsid w:val="7AF71531"/>
    <w:rsid w:val="7AFA0925"/>
    <w:rsid w:val="7AFB68ED"/>
    <w:rsid w:val="7B0816F7"/>
    <w:rsid w:val="7B1559FC"/>
    <w:rsid w:val="7B22497A"/>
    <w:rsid w:val="7B322C04"/>
    <w:rsid w:val="7B400F8D"/>
    <w:rsid w:val="7B4C7861"/>
    <w:rsid w:val="7B5C2D88"/>
    <w:rsid w:val="7B6772A6"/>
    <w:rsid w:val="7B686D42"/>
    <w:rsid w:val="7B6969A9"/>
    <w:rsid w:val="7B6C3E50"/>
    <w:rsid w:val="7B722498"/>
    <w:rsid w:val="7B841746"/>
    <w:rsid w:val="7B965B7C"/>
    <w:rsid w:val="7BBE49F9"/>
    <w:rsid w:val="7BC75C3C"/>
    <w:rsid w:val="7BCD5A95"/>
    <w:rsid w:val="7BD51838"/>
    <w:rsid w:val="7BD82B32"/>
    <w:rsid w:val="7BE00602"/>
    <w:rsid w:val="7BE0679B"/>
    <w:rsid w:val="7BE45D60"/>
    <w:rsid w:val="7BED6964"/>
    <w:rsid w:val="7BFA00D0"/>
    <w:rsid w:val="7C0A31D7"/>
    <w:rsid w:val="7C0D71FB"/>
    <w:rsid w:val="7C174088"/>
    <w:rsid w:val="7C1771FB"/>
    <w:rsid w:val="7C1F15D7"/>
    <w:rsid w:val="7C2B18BE"/>
    <w:rsid w:val="7C301D4F"/>
    <w:rsid w:val="7C38637B"/>
    <w:rsid w:val="7C3F1D3C"/>
    <w:rsid w:val="7C466322"/>
    <w:rsid w:val="7C473F48"/>
    <w:rsid w:val="7C482875"/>
    <w:rsid w:val="7C541895"/>
    <w:rsid w:val="7C5D2A48"/>
    <w:rsid w:val="7C68418C"/>
    <w:rsid w:val="7C6C5AC7"/>
    <w:rsid w:val="7C6E6AD7"/>
    <w:rsid w:val="7C711034"/>
    <w:rsid w:val="7C71701B"/>
    <w:rsid w:val="7C736901"/>
    <w:rsid w:val="7C7833DC"/>
    <w:rsid w:val="7C7F6346"/>
    <w:rsid w:val="7C814F09"/>
    <w:rsid w:val="7C9E2063"/>
    <w:rsid w:val="7CA26617"/>
    <w:rsid w:val="7CB607EB"/>
    <w:rsid w:val="7CBA4FE2"/>
    <w:rsid w:val="7CC0084B"/>
    <w:rsid w:val="7CC6544B"/>
    <w:rsid w:val="7CCA7F60"/>
    <w:rsid w:val="7CD75BD2"/>
    <w:rsid w:val="7CDA7DA0"/>
    <w:rsid w:val="7CDB7433"/>
    <w:rsid w:val="7CDF4D92"/>
    <w:rsid w:val="7CE24DB2"/>
    <w:rsid w:val="7CE4503A"/>
    <w:rsid w:val="7CE56807"/>
    <w:rsid w:val="7CEC247B"/>
    <w:rsid w:val="7CEC561B"/>
    <w:rsid w:val="7CFA1468"/>
    <w:rsid w:val="7CFF15B5"/>
    <w:rsid w:val="7CFF750F"/>
    <w:rsid w:val="7D0239FF"/>
    <w:rsid w:val="7D0B3AEB"/>
    <w:rsid w:val="7D1B70CA"/>
    <w:rsid w:val="7D2569E0"/>
    <w:rsid w:val="7D2C4ACE"/>
    <w:rsid w:val="7D2D0A25"/>
    <w:rsid w:val="7D497E9A"/>
    <w:rsid w:val="7D59081B"/>
    <w:rsid w:val="7D5E40CD"/>
    <w:rsid w:val="7D7665D4"/>
    <w:rsid w:val="7D781125"/>
    <w:rsid w:val="7D8216AB"/>
    <w:rsid w:val="7D8260DB"/>
    <w:rsid w:val="7D8C3D05"/>
    <w:rsid w:val="7D8E26F7"/>
    <w:rsid w:val="7D9521E8"/>
    <w:rsid w:val="7D956C94"/>
    <w:rsid w:val="7D9C13C5"/>
    <w:rsid w:val="7D9F383E"/>
    <w:rsid w:val="7DA0569D"/>
    <w:rsid w:val="7DA213AD"/>
    <w:rsid w:val="7DA270F0"/>
    <w:rsid w:val="7DA47B5D"/>
    <w:rsid w:val="7DA55D2E"/>
    <w:rsid w:val="7DAB4AC2"/>
    <w:rsid w:val="7DB15856"/>
    <w:rsid w:val="7DB92A25"/>
    <w:rsid w:val="7DC9354E"/>
    <w:rsid w:val="7DCD56F2"/>
    <w:rsid w:val="7DD2237C"/>
    <w:rsid w:val="7DF71F14"/>
    <w:rsid w:val="7DFD071E"/>
    <w:rsid w:val="7E0029E5"/>
    <w:rsid w:val="7E1876A7"/>
    <w:rsid w:val="7E2272E3"/>
    <w:rsid w:val="7E4211A6"/>
    <w:rsid w:val="7E4239BC"/>
    <w:rsid w:val="7E5B3F3F"/>
    <w:rsid w:val="7E5D7D40"/>
    <w:rsid w:val="7E6416AA"/>
    <w:rsid w:val="7E665422"/>
    <w:rsid w:val="7E741B85"/>
    <w:rsid w:val="7E742CB6"/>
    <w:rsid w:val="7E743DF8"/>
    <w:rsid w:val="7E7C1D29"/>
    <w:rsid w:val="7E7E1F7E"/>
    <w:rsid w:val="7E7F70D2"/>
    <w:rsid w:val="7E853162"/>
    <w:rsid w:val="7E9F74B3"/>
    <w:rsid w:val="7EA0414A"/>
    <w:rsid w:val="7EA22D23"/>
    <w:rsid w:val="7EAA02C7"/>
    <w:rsid w:val="7EB315FF"/>
    <w:rsid w:val="7EB96DF7"/>
    <w:rsid w:val="7EBC7738"/>
    <w:rsid w:val="7EBD16F7"/>
    <w:rsid w:val="7EC0372F"/>
    <w:rsid w:val="7ED55D69"/>
    <w:rsid w:val="7EDB53EC"/>
    <w:rsid w:val="7EDD5B1E"/>
    <w:rsid w:val="7EDD6D7E"/>
    <w:rsid w:val="7EE4731A"/>
    <w:rsid w:val="7F001CE7"/>
    <w:rsid w:val="7F083D0D"/>
    <w:rsid w:val="7F0B1630"/>
    <w:rsid w:val="7F1E36C3"/>
    <w:rsid w:val="7F1F4518"/>
    <w:rsid w:val="7F237F1B"/>
    <w:rsid w:val="7F3124F4"/>
    <w:rsid w:val="7F3D7328"/>
    <w:rsid w:val="7F40700E"/>
    <w:rsid w:val="7F482AF6"/>
    <w:rsid w:val="7F5438E6"/>
    <w:rsid w:val="7F5524F8"/>
    <w:rsid w:val="7F587460"/>
    <w:rsid w:val="7F5A09D2"/>
    <w:rsid w:val="7F601E71"/>
    <w:rsid w:val="7F655B19"/>
    <w:rsid w:val="7F6C6974"/>
    <w:rsid w:val="7F6D6371"/>
    <w:rsid w:val="7F713C31"/>
    <w:rsid w:val="7F7C71F0"/>
    <w:rsid w:val="7F897B53"/>
    <w:rsid w:val="7F8A6C4A"/>
    <w:rsid w:val="7F8D2652"/>
    <w:rsid w:val="7F9164CE"/>
    <w:rsid w:val="7F922F1C"/>
    <w:rsid w:val="7F9709E3"/>
    <w:rsid w:val="7F9A24D6"/>
    <w:rsid w:val="7F9D45ED"/>
    <w:rsid w:val="7FA40CFB"/>
    <w:rsid w:val="7FA63224"/>
    <w:rsid w:val="7FA9002E"/>
    <w:rsid w:val="7FAD3227"/>
    <w:rsid w:val="7FB1014A"/>
    <w:rsid w:val="7FB52310"/>
    <w:rsid w:val="7FBA3857"/>
    <w:rsid w:val="7FBB354B"/>
    <w:rsid w:val="7FBF7B34"/>
    <w:rsid w:val="7FC81B4C"/>
    <w:rsid w:val="7FC91371"/>
    <w:rsid w:val="7FCB3CDD"/>
    <w:rsid w:val="7FCC68EB"/>
    <w:rsid w:val="7FCE1E18"/>
    <w:rsid w:val="7FE47E50"/>
    <w:rsid w:val="7FE61D04"/>
    <w:rsid w:val="7FEC0E95"/>
    <w:rsid w:val="7FF14818"/>
    <w:rsid w:val="7FFC7CC4"/>
    <w:rsid w:val="7FFD1970"/>
    <w:rsid w:val="7FFF05A2"/>
    <w:rsid w:val="CD6BBC4E"/>
    <w:rsid w:val="FFBDC8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qFormat="1" w:unhideWhenUsed="0" w:uiPriority="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name="Body Text Indent 2" w:locked="1"/>
    <w:lsdException w:unhideWhenUsed="0" w:uiPriority="0" w:semiHidden="0" w:name="Body Text Indent 3" w:locked="1"/>
    <w:lsdException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qFormat/>
    <w:locked/>
    <w:uiPriority w:val="0"/>
    <w:pPr>
      <w:keepNext/>
      <w:keepLines/>
      <w:spacing w:before="260" w:after="260" w:line="416" w:lineRule="auto"/>
      <w:outlineLvl w:val="1"/>
    </w:pPr>
    <w:rPr>
      <w:rFonts w:ascii="Arial" w:hAnsi="Arial" w:eastAsia="黑体"/>
      <w:b/>
      <w:bCs/>
      <w:sz w:val="32"/>
      <w:szCs w:val="32"/>
    </w:rPr>
  </w:style>
  <w:style w:type="character" w:default="1" w:styleId="25">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4">
    <w:name w:val="Normal Indent"/>
    <w:basedOn w:val="1"/>
    <w:qFormat/>
    <w:locked/>
    <w:uiPriority w:val="0"/>
  </w:style>
  <w:style w:type="paragraph" w:styleId="5">
    <w:name w:val="annotation text"/>
    <w:basedOn w:val="1"/>
    <w:link w:val="35"/>
    <w:semiHidden/>
    <w:qFormat/>
    <w:uiPriority w:val="0"/>
    <w:pPr>
      <w:jc w:val="left"/>
    </w:pPr>
    <w:rPr>
      <w:kern w:val="0"/>
      <w:sz w:val="24"/>
      <w:szCs w:val="20"/>
    </w:rPr>
  </w:style>
  <w:style w:type="paragraph" w:styleId="6">
    <w:name w:val="Body Text"/>
    <w:basedOn w:val="1"/>
    <w:link w:val="33"/>
    <w:qFormat/>
    <w:uiPriority w:val="0"/>
    <w:pPr>
      <w:widowControl/>
      <w:snapToGrid w:val="0"/>
      <w:spacing w:before="60" w:after="160" w:line="259" w:lineRule="auto"/>
      <w:ind w:right="113"/>
    </w:pPr>
    <w:rPr>
      <w:kern w:val="0"/>
      <w:sz w:val="18"/>
      <w:szCs w:val="20"/>
    </w:rPr>
  </w:style>
  <w:style w:type="paragraph" w:styleId="7">
    <w:name w:val="Body Text Indent"/>
    <w:basedOn w:val="1"/>
    <w:next w:val="1"/>
    <w:link w:val="32"/>
    <w:qFormat/>
    <w:uiPriority w:val="0"/>
    <w:pPr>
      <w:spacing w:after="120"/>
      <w:ind w:left="420" w:leftChars="200"/>
    </w:pPr>
    <w:rPr>
      <w:kern w:val="0"/>
      <w:sz w:val="24"/>
      <w:szCs w:val="20"/>
    </w:rPr>
  </w:style>
  <w:style w:type="paragraph" w:styleId="8">
    <w:name w:val="index 4"/>
    <w:basedOn w:val="1"/>
    <w:next w:val="1"/>
    <w:semiHidden/>
    <w:qFormat/>
    <w:locked/>
    <w:uiPriority w:val="0"/>
    <w:pPr>
      <w:ind w:left="600" w:leftChars="600"/>
    </w:pPr>
  </w:style>
  <w:style w:type="paragraph" w:styleId="9">
    <w:name w:val="Plain Text"/>
    <w:basedOn w:val="1"/>
    <w:next w:val="1"/>
    <w:qFormat/>
    <w:locked/>
    <w:uiPriority w:val="0"/>
    <w:rPr>
      <w:rFonts w:ascii="宋体" w:hAnsi="Courier New" w:cs="宋体"/>
      <w:szCs w:val="20"/>
    </w:rPr>
  </w:style>
  <w:style w:type="paragraph" w:styleId="10">
    <w:name w:val="Date"/>
    <w:basedOn w:val="1"/>
    <w:next w:val="1"/>
    <w:link w:val="36"/>
    <w:qFormat/>
    <w:uiPriority w:val="0"/>
    <w:pPr>
      <w:ind w:left="100" w:leftChars="2500"/>
    </w:pPr>
    <w:rPr>
      <w:kern w:val="0"/>
      <w:sz w:val="24"/>
      <w:szCs w:val="20"/>
    </w:rPr>
  </w:style>
  <w:style w:type="paragraph" w:styleId="11">
    <w:name w:val="Body Text Indent 2"/>
    <w:basedOn w:val="1"/>
    <w:semiHidden/>
    <w:qFormat/>
    <w:locked/>
    <w:uiPriority w:val="0"/>
    <w:pPr>
      <w:spacing w:after="120" w:line="480" w:lineRule="auto"/>
      <w:ind w:left="420" w:leftChars="200"/>
    </w:pPr>
  </w:style>
  <w:style w:type="paragraph" w:styleId="12">
    <w:name w:val="Balloon Text"/>
    <w:basedOn w:val="1"/>
    <w:link w:val="37"/>
    <w:semiHidden/>
    <w:qFormat/>
    <w:uiPriority w:val="0"/>
    <w:rPr>
      <w:kern w:val="0"/>
      <w:sz w:val="18"/>
      <w:szCs w:val="20"/>
    </w:rPr>
  </w:style>
  <w:style w:type="paragraph" w:styleId="13">
    <w:name w:val="footer"/>
    <w:basedOn w:val="1"/>
    <w:link w:val="38"/>
    <w:qFormat/>
    <w:uiPriority w:val="99"/>
    <w:pPr>
      <w:tabs>
        <w:tab w:val="center" w:pos="4153"/>
        <w:tab w:val="right" w:pos="8306"/>
      </w:tabs>
      <w:snapToGrid w:val="0"/>
      <w:jc w:val="left"/>
    </w:pPr>
    <w:rPr>
      <w:kern w:val="0"/>
      <w:sz w:val="18"/>
      <w:szCs w:val="20"/>
    </w:rPr>
  </w:style>
  <w:style w:type="paragraph" w:styleId="14">
    <w:name w:val="header"/>
    <w:basedOn w:val="1"/>
    <w:link w:val="39"/>
    <w:qFormat/>
    <w:uiPriority w:val="0"/>
    <w:pPr>
      <w:pBdr>
        <w:bottom w:val="single" w:color="auto" w:sz="6" w:space="1"/>
      </w:pBdr>
      <w:tabs>
        <w:tab w:val="center" w:pos="4153"/>
        <w:tab w:val="right" w:pos="8306"/>
      </w:tabs>
      <w:snapToGrid w:val="0"/>
      <w:jc w:val="center"/>
    </w:pPr>
    <w:rPr>
      <w:kern w:val="0"/>
      <w:sz w:val="18"/>
      <w:szCs w:val="20"/>
    </w:rPr>
  </w:style>
  <w:style w:type="paragraph" w:styleId="15">
    <w:name w:val="toc 1"/>
    <w:basedOn w:val="1"/>
    <w:next w:val="1"/>
    <w:semiHidden/>
    <w:qFormat/>
    <w:locked/>
    <w:uiPriority w:val="0"/>
  </w:style>
  <w:style w:type="paragraph" w:styleId="16">
    <w:name w:val="Subtitle"/>
    <w:basedOn w:val="1"/>
    <w:next w:val="1"/>
    <w:qFormat/>
    <w:locked/>
    <w:uiPriority w:val="0"/>
    <w:pPr>
      <w:spacing w:line="240" w:lineRule="auto"/>
      <w:ind w:firstLine="0" w:firstLineChars="0"/>
      <w:jc w:val="left"/>
    </w:pPr>
    <w:rPr>
      <w:rFonts w:cs="Times New Roman"/>
      <w:bCs/>
      <w:kern w:val="28"/>
      <w:sz w:val="21"/>
      <w:szCs w:val="32"/>
    </w:rPr>
  </w:style>
  <w:style w:type="paragraph" w:styleId="17">
    <w:name w:val="List"/>
    <w:basedOn w:val="1"/>
    <w:next w:val="1"/>
    <w:qFormat/>
    <w:locked/>
    <w:uiPriority w:val="0"/>
    <w:pPr>
      <w:keepLines/>
      <w:widowControl/>
      <w:tabs>
        <w:tab w:val="left" w:pos="-360"/>
      </w:tabs>
      <w:overflowPunct w:val="0"/>
      <w:autoSpaceDE w:val="0"/>
      <w:autoSpaceDN w:val="0"/>
      <w:adjustRightInd w:val="0"/>
      <w:spacing w:before="60" w:after="60"/>
      <w:ind w:left="-360" w:right="1080" w:hanging="360"/>
      <w:textAlignment w:val="baseline"/>
    </w:pPr>
    <w:rPr>
      <w:rFonts w:ascii="Arial" w:hAnsi="Arial"/>
      <w:kern w:val="0"/>
      <w:sz w:val="22"/>
      <w:szCs w:val="20"/>
    </w:rPr>
  </w:style>
  <w:style w:type="paragraph" w:styleId="18">
    <w:name w:val="table of figures"/>
    <w:basedOn w:val="1"/>
    <w:next w:val="1"/>
    <w:qFormat/>
    <w:locked/>
    <w:uiPriority w:val="0"/>
    <w:pPr>
      <w:ind w:leftChars="200" w:hanging="200" w:hangingChars="200"/>
    </w:pPr>
    <w:rPr>
      <w:rFonts w:ascii="Calibri" w:hAnsi="Calibri"/>
    </w:rPr>
  </w:style>
  <w:style w:type="paragraph" w:styleId="19">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0">
    <w:name w:val="annotation subject"/>
    <w:basedOn w:val="5"/>
    <w:next w:val="5"/>
    <w:link w:val="41"/>
    <w:semiHidden/>
    <w:qFormat/>
    <w:uiPriority w:val="0"/>
    <w:rPr>
      <w:b/>
      <w:kern w:val="2"/>
    </w:rPr>
  </w:style>
  <w:style w:type="paragraph" w:styleId="21">
    <w:name w:val="Body Text First Indent"/>
    <w:basedOn w:val="6"/>
    <w:qFormat/>
    <w:locked/>
    <w:uiPriority w:val="0"/>
    <w:pPr>
      <w:spacing w:after="120"/>
      <w:ind w:firstLine="420" w:firstLineChars="100"/>
      <w:jc w:val="both"/>
    </w:pPr>
    <w:rPr>
      <w:sz w:val="28"/>
    </w:rPr>
  </w:style>
  <w:style w:type="paragraph" w:styleId="22">
    <w:name w:val="Body Text First Indent 2"/>
    <w:basedOn w:val="7"/>
    <w:next w:val="1"/>
    <w:link w:val="34"/>
    <w:qFormat/>
    <w:locked/>
    <w:uiPriority w:val="0"/>
    <w:pPr>
      <w:ind w:firstLine="420" w:firstLineChars="200"/>
    </w:pPr>
    <w:rPr>
      <w:kern w:val="2"/>
      <w:sz w:val="21"/>
      <w:szCs w:val="24"/>
    </w:rPr>
  </w:style>
  <w:style w:type="table" w:styleId="24">
    <w:name w:val="Table Grid"/>
    <w:basedOn w:val="23"/>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Strong"/>
    <w:basedOn w:val="25"/>
    <w:qFormat/>
    <w:locked/>
    <w:uiPriority w:val="0"/>
    <w:rPr>
      <w:b/>
    </w:rPr>
  </w:style>
  <w:style w:type="character" w:styleId="27">
    <w:name w:val="page number"/>
    <w:qFormat/>
    <w:locked/>
    <w:uiPriority w:val="0"/>
  </w:style>
  <w:style w:type="character" w:styleId="28">
    <w:name w:val="Hyperlink"/>
    <w:qFormat/>
    <w:locked/>
    <w:uiPriority w:val="0"/>
    <w:rPr>
      <w:color w:val="0000FF"/>
      <w:u w:val="single"/>
    </w:rPr>
  </w:style>
  <w:style w:type="character" w:styleId="29">
    <w:name w:val="annotation reference"/>
    <w:semiHidden/>
    <w:qFormat/>
    <w:uiPriority w:val="0"/>
    <w:rPr>
      <w:sz w:val="21"/>
    </w:rPr>
  </w:style>
  <w:style w:type="paragraph" w:customStyle="1" w:styleId="30">
    <w:name w:val="xl27"/>
    <w:basedOn w:val="1"/>
    <w:qFormat/>
    <w:uiPriority w:val="0"/>
    <w:pPr>
      <w:widowControl/>
      <w:pBdr>
        <w:bottom w:val="single" w:color="auto" w:sz="4" w:space="0"/>
        <w:right w:val="single" w:color="auto" w:sz="4" w:space="0"/>
      </w:pBdr>
      <w:spacing w:before="100" w:beforeAutospacing="1" w:after="100" w:afterAutospacing="1"/>
      <w:jc w:val="center"/>
    </w:pPr>
    <w:rPr>
      <w:kern w:val="0"/>
      <w:szCs w:val="21"/>
    </w:rPr>
  </w:style>
  <w:style w:type="paragraph" w:customStyle="1" w:styleId="31">
    <w:name w:val="阿威表格"/>
    <w:basedOn w:val="1"/>
    <w:link w:val="75"/>
    <w:qFormat/>
    <w:uiPriority w:val="0"/>
    <w:pPr>
      <w:widowControl/>
      <w:jc w:val="center"/>
    </w:pPr>
    <w:rPr>
      <w:rFonts w:ascii="Times New Roman" w:hAnsi="Times New Roman" w:eastAsia="宋体" w:cs="Times New Roman"/>
    </w:rPr>
  </w:style>
  <w:style w:type="character" w:customStyle="1" w:styleId="32">
    <w:name w:val="正文文本缩进 字符"/>
    <w:link w:val="7"/>
    <w:semiHidden/>
    <w:qFormat/>
    <w:locked/>
    <w:uiPriority w:val="0"/>
    <w:rPr>
      <w:rFonts w:ascii="Times New Roman" w:hAnsi="Times New Roman" w:eastAsia="宋体"/>
      <w:sz w:val="24"/>
    </w:rPr>
  </w:style>
  <w:style w:type="character" w:customStyle="1" w:styleId="33">
    <w:name w:val="正文文本 字符"/>
    <w:link w:val="6"/>
    <w:qFormat/>
    <w:locked/>
    <w:uiPriority w:val="0"/>
    <w:rPr>
      <w:sz w:val="18"/>
    </w:rPr>
  </w:style>
  <w:style w:type="character" w:customStyle="1" w:styleId="34">
    <w:name w:val="正文文本首行缩进 2 字符"/>
    <w:link w:val="22"/>
    <w:qFormat/>
    <w:uiPriority w:val="0"/>
    <w:rPr>
      <w:rFonts w:eastAsia="宋体"/>
      <w:kern w:val="2"/>
      <w:sz w:val="21"/>
      <w:szCs w:val="24"/>
      <w:lang w:bidi="ar-SA"/>
    </w:rPr>
  </w:style>
  <w:style w:type="character" w:customStyle="1" w:styleId="35">
    <w:name w:val="批注文字 字符"/>
    <w:link w:val="5"/>
    <w:qFormat/>
    <w:locked/>
    <w:uiPriority w:val="0"/>
    <w:rPr>
      <w:rFonts w:ascii="Times New Roman" w:hAnsi="Times New Roman" w:eastAsia="宋体"/>
      <w:sz w:val="24"/>
    </w:rPr>
  </w:style>
  <w:style w:type="character" w:customStyle="1" w:styleId="36">
    <w:name w:val="日期 字符1"/>
    <w:link w:val="10"/>
    <w:qFormat/>
    <w:locked/>
    <w:uiPriority w:val="0"/>
    <w:rPr>
      <w:rFonts w:ascii="Times New Roman" w:hAnsi="Times New Roman" w:eastAsia="宋体"/>
      <w:sz w:val="24"/>
    </w:rPr>
  </w:style>
  <w:style w:type="character" w:customStyle="1" w:styleId="37">
    <w:name w:val="批注框文本 字符"/>
    <w:link w:val="12"/>
    <w:semiHidden/>
    <w:qFormat/>
    <w:locked/>
    <w:uiPriority w:val="0"/>
    <w:rPr>
      <w:rFonts w:ascii="Times New Roman" w:hAnsi="Times New Roman" w:eastAsia="宋体"/>
      <w:sz w:val="18"/>
    </w:rPr>
  </w:style>
  <w:style w:type="character" w:customStyle="1" w:styleId="38">
    <w:name w:val="页脚 字符1"/>
    <w:link w:val="13"/>
    <w:qFormat/>
    <w:locked/>
    <w:uiPriority w:val="99"/>
    <w:rPr>
      <w:sz w:val="18"/>
    </w:rPr>
  </w:style>
  <w:style w:type="character" w:customStyle="1" w:styleId="39">
    <w:name w:val="页眉 字符"/>
    <w:link w:val="14"/>
    <w:qFormat/>
    <w:locked/>
    <w:uiPriority w:val="0"/>
    <w:rPr>
      <w:sz w:val="18"/>
    </w:rPr>
  </w:style>
  <w:style w:type="character" w:customStyle="1" w:styleId="40">
    <w:name w:val="普通(网站) 字符"/>
    <w:link w:val="19"/>
    <w:qFormat/>
    <w:locked/>
    <w:uiPriority w:val="0"/>
    <w:rPr>
      <w:rFonts w:ascii="宋体" w:hAnsi="宋体" w:eastAsia="宋体"/>
      <w:sz w:val="24"/>
    </w:rPr>
  </w:style>
  <w:style w:type="character" w:customStyle="1" w:styleId="41">
    <w:name w:val="批注主题 字符"/>
    <w:link w:val="20"/>
    <w:semiHidden/>
    <w:qFormat/>
    <w:locked/>
    <w:uiPriority w:val="0"/>
    <w:rPr>
      <w:rFonts w:ascii="Times New Roman" w:hAnsi="Times New Roman" w:eastAsia="宋体"/>
      <w:b/>
      <w:kern w:val="2"/>
      <w:sz w:val="24"/>
    </w:rPr>
  </w:style>
  <w:style w:type="character" w:customStyle="1" w:styleId="42">
    <w:name w:val="表格 Char"/>
    <w:link w:val="43"/>
    <w:qFormat/>
    <w:locked/>
    <w:uiPriority w:val="0"/>
    <w:rPr>
      <w:rFonts w:ascii="宋体"/>
      <w:sz w:val="21"/>
    </w:rPr>
  </w:style>
  <w:style w:type="paragraph" w:customStyle="1" w:styleId="43">
    <w:name w:val="表格"/>
    <w:basedOn w:val="1"/>
    <w:next w:val="1"/>
    <w:link w:val="42"/>
    <w:qFormat/>
    <w:uiPriority w:val="0"/>
    <w:pPr>
      <w:adjustRightInd w:val="0"/>
      <w:snapToGrid w:val="0"/>
      <w:spacing w:beforeLines="10" w:afterLines="10" w:line="259" w:lineRule="auto"/>
      <w:jc w:val="center"/>
    </w:pPr>
    <w:rPr>
      <w:rFonts w:ascii="宋体"/>
      <w:kern w:val="0"/>
      <w:szCs w:val="20"/>
    </w:rPr>
  </w:style>
  <w:style w:type="character" w:customStyle="1" w:styleId="44">
    <w:name w:val="【表中文字】 Char"/>
    <w:link w:val="45"/>
    <w:qFormat/>
    <w:uiPriority w:val="0"/>
    <w:rPr>
      <w:kern w:val="2"/>
      <w:sz w:val="21"/>
      <w:lang w:bidi="ar-SA"/>
    </w:rPr>
  </w:style>
  <w:style w:type="paragraph" w:customStyle="1" w:styleId="45">
    <w:name w:val="【表中文字】"/>
    <w:basedOn w:val="1"/>
    <w:next w:val="1"/>
    <w:link w:val="44"/>
    <w:qFormat/>
    <w:uiPriority w:val="0"/>
    <w:pPr>
      <w:jc w:val="center"/>
    </w:pPr>
    <w:rPr>
      <w:szCs w:val="20"/>
    </w:rPr>
  </w:style>
  <w:style w:type="character" w:customStyle="1" w:styleId="46">
    <w:name w:val="fontstyle01"/>
    <w:qFormat/>
    <w:uiPriority w:val="0"/>
    <w:rPr>
      <w:rFonts w:hint="eastAsia" w:ascii="宋体" w:hAnsi="宋体" w:eastAsia="宋体"/>
      <w:color w:val="000000"/>
      <w:sz w:val="24"/>
      <w:szCs w:val="24"/>
    </w:rPr>
  </w:style>
  <w:style w:type="character" w:customStyle="1" w:styleId="47">
    <w:name w:val="17"/>
    <w:qFormat/>
    <w:uiPriority w:val="0"/>
    <w:rPr>
      <w:rFonts w:hint="eastAsia" w:ascii="宋体" w:hAnsi="宋体" w:eastAsia="宋体"/>
      <w:color w:val="000000"/>
      <w:sz w:val="24"/>
      <w:szCs w:val="24"/>
    </w:rPr>
  </w:style>
  <w:style w:type="character" w:customStyle="1" w:styleId="48">
    <w:name w:val="批注文字 字符1"/>
    <w:semiHidden/>
    <w:qFormat/>
    <w:uiPriority w:val="0"/>
    <w:rPr>
      <w:rFonts w:ascii="Times New Roman" w:hAnsi="Times New Roman" w:eastAsia="宋体"/>
      <w:sz w:val="24"/>
    </w:rPr>
  </w:style>
  <w:style w:type="character" w:customStyle="1" w:styleId="49">
    <w:name w:val="正文文本 字符1"/>
    <w:semiHidden/>
    <w:qFormat/>
    <w:uiPriority w:val="0"/>
    <w:rPr>
      <w:rFonts w:ascii="Times New Roman" w:hAnsi="Times New Roman" w:eastAsia="宋体"/>
      <w:sz w:val="24"/>
    </w:rPr>
  </w:style>
  <w:style w:type="character" w:customStyle="1" w:styleId="50">
    <w:name w:val="NormalCharacter"/>
    <w:qFormat/>
    <w:uiPriority w:val="0"/>
    <w:rPr>
      <w:rFonts w:ascii="宋体" w:hAnsi="宋体"/>
      <w:sz w:val="24"/>
    </w:rPr>
  </w:style>
  <w:style w:type="character" w:customStyle="1" w:styleId="51">
    <w:name w:val="日期 字符"/>
    <w:semiHidden/>
    <w:qFormat/>
    <w:uiPriority w:val="0"/>
    <w:rPr>
      <w:rFonts w:ascii="Times New Roman" w:hAnsi="Times New Roman" w:eastAsia="宋体"/>
      <w:sz w:val="24"/>
    </w:rPr>
  </w:style>
  <w:style w:type="character" w:customStyle="1" w:styleId="52">
    <w:name w:val="页脚 字符"/>
    <w:qFormat/>
    <w:uiPriority w:val="99"/>
  </w:style>
  <w:style w:type="paragraph" w:customStyle="1" w:styleId="53">
    <w:name w:val="表格内容"/>
    <w:basedOn w:val="1"/>
    <w:qFormat/>
    <w:uiPriority w:val="0"/>
    <w:pPr>
      <w:tabs>
        <w:tab w:val="left" w:pos="2340"/>
      </w:tabs>
      <w:spacing w:line="240" w:lineRule="auto"/>
      <w:ind w:firstLine="0" w:firstLineChars="0"/>
      <w:jc w:val="center"/>
    </w:pPr>
    <w:rPr>
      <w:sz w:val="21"/>
      <w:szCs w:val="21"/>
    </w:rPr>
  </w:style>
  <w:style w:type="paragraph" w:customStyle="1" w:styleId="54">
    <w:name w:val="表 内容"/>
    <w:basedOn w:val="1"/>
    <w:qFormat/>
    <w:uiPriority w:val="0"/>
    <w:pPr>
      <w:adjustRightInd w:val="0"/>
      <w:snapToGrid w:val="0"/>
      <w:spacing w:beforeLines="15" w:afterLines="15"/>
      <w:jc w:val="center"/>
    </w:pPr>
    <w:rPr>
      <w:rFonts w:ascii="Calibri" w:hAnsi="Calibri"/>
      <w:b/>
      <w:sz w:val="24"/>
      <w:szCs w:val="21"/>
    </w:rPr>
  </w:style>
  <w:style w:type="paragraph" w:customStyle="1" w:styleId="55">
    <w:name w:val="ZN表"/>
    <w:basedOn w:val="1"/>
    <w:qFormat/>
    <w:uiPriority w:val="0"/>
    <w:pPr>
      <w:jc w:val="center"/>
    </w:pPr>
    <w:rPr>
      <w:rFonts w:ascii="Calibri" w:hAnsi="Calibri" w:eastAsia="宋体" w:cs="Times New Roman"/>
      <w:szCs w:val="21"/>
    </w:rPr>
  </w:style>
  <w:style w:type="paragraph" w:customStyle="1" w:styleId="56">
    <w:name w:val="p0"/>
    <w:basedOn w:val="1"/>
    <w:qFormat/>
    <w:uiPriority w:val="99"/>
    <w:pPr>
      <w:widowControl/>
    </w:pPr>
    <w:rPr>
      <w:kern w:val="0"/>
    </w:rPr>
  </w:style>
  <w:style w:type="paragraph" w:customStyle="1" w:styleId="57">
    <w:name w:val="流程图文字"/>
    <w:basedOn w:val="1"/>
    <w:qFormat/>
    <w:uiPriority w:val="0"/>
    <w:pPr>
      <w:spacing w:before="100" w:beforeAutospacing="1" w:after="40"/>
      <w:jc w:val="center"/>
    </w:pPr>
    <w:rPr>
      <w:szCs w:val="21"/>
    </w:rPr>
  </w:style>
  <w:style w:type="paragraph" w:customStyle="1" w:styleId="58">
    <w:name w:val="0正文"/>
    <w:basedOn w:val="1"/>
    <w:qFormat/>
    <w:uiPriority w:val="0"/>
    <w:pPr>
      <w:spacing w:line="360" w:lineRule="auto"/>
      <w:ind w:firstLine="200" w:firstLineChars="200"/>
    </w:pPr>
    <w:rPr>
      <w:kern w:val="0"/>
      <w:sz w:val="24"/>
    </w:rPr>
  </w:style>
  <w:style w:type="paragraph" w:customStyle="1" w:styleId="59">
    <w:name w:val="ZN表头"/>
    <w:basedOn w:val="1"/>
    <w:qFormat/>
    <w:uiPriority w:val="0"/>
    <w:pPr>
      <w:spacing w:beforeLines="30"/>
      <w:jc w:val="center"/>
    </w:pPr>
    <w:rPr>
      <w:rFonts w:ascii="Calibri" w:hAnsi="Calibri" w:eastAsia="宋体" w:cs="Times New Roman"/>
      <w:b/>
      <w:sz w:val="24"/>
      <w:szCs w:val="22"/>
    </w:rPr>
  </w:style>
  <w:style w:type="paragraph" w:customStyle="1" w:styleId="60">
    <w:name w:val="title of table"/>
    <w:basedOn w:val="1"/>
    <w:qFormat/>
    <w:uiPriority w:val="0"/>
    <w:pPr>
      <w:adjustRightInd w:val="0"/>
      <w:snapToGrid w:val="0"/>
      <w:spacing w:line="360" w:lineRule="auto"/>
      <w:jc w:val="center"/>
    </w:pPr>
    <w:rPr>
      <w:rFonts w:ascii="宋体" w:hAnsi="宋体"/>
      <w:b/>
      <w:bCs/>
      <w:color w:val="000000"/>
      <w:sz w:val="24"/>
      <w:szCs w:val="28"/>
    </w:rPr>
  </w:style>
  <w:style w:type="paragraph" w:customStyle="1" w:styleId="61">
    <w:name w:val="WPSOffice手动目录 1"/>
    <w:qFormat/>
    <w:uiPriority w:val="0"/>
    <w:rPr>
      <w:rFonts w:ascii="Times New Roman" w:hAnsi="Times New Roman" w:eastAsia="宋体" w:cs="Times New Roman"/>
      <w:lang w:val="en-US" w:eastAsia="zh-CN" w:bidi="ar-SA"/>
    </w:rPr>
  </w:style>
  <w:style w:type="paragraph" w:customStyle="1" w:styleId="62">
    <w:name w:val="2"/>
    <w:basedOn w:val="1"/>
    <w:unhideWhenUsed/>
    <w:qFormat/>
    <w:uiPriority w:val="0"/>
    <w:pPr>
      <w:spacing w:line="560" w:lineRule="exact"/>
      <w:ind w:firstLine="200" w:firstLineChars="200"/>
    </w:pPr>
    <w:rPr>
      <w:rFonts w:hint="eastAsia" w:ascii="宋体" w:hAnsi="宋体"/>
      <w:sz w:val="28"/>
      <w:szCs w:val="20"/>
    </w:rPr>
  </w:style>
  <w:style w:type="paragraph" w:customStyle="1" w:styleId="63">
    <w:name w:val="正文 二院"/>
    <w:basedOn w:val="1"/>
    <w:qFormat/>
    <w:uiPriority w:val="0"/>
    <w:pPr>
      <w:spacing w:line="360" w:lineRule="auto"/>
      <w:ind w:firstLine="200" w:firstLineChars="200"/>
    </w:pPr>
    <w:rPr>
      <w:color w:val="000000"/>
      <w:sz w:val="24"/>
      <w:szCs w:val="22"/>
    </w:rPr>
  </w:style>
  <w:style w:type="paragraph" w:customStyle="1" w:styleId="64">
    <w:name w:val="我正文"/>
    <w:basedOn w:val="1"/>
    <w:qFormat/>
    <w:uiPriority w:val="0"/>
    <w:pPr>
      <w:spacing w:line="360" w:lineRule="auto"/>
      <w:ind w:firstLine="480" w:firstLineChars="200"/>
    </w:pPr>
    <w:rPr>
      <w:rFonts w:ascii="Calibri" w:hAnsi="Calibri" w:eastAsia="微软雅黑"/>
      <w:sz w:val="24"/>
      <w:szCs w:val="20"/>
    </w:rPr>
  </w:style>
  <w:style w:type="paragraph" w:customStyle="1" w:styleId="65">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Table Paragraph"/>
    <w:basedOn w:val="1"/>
    <w:qFormat/>
    <w:uiPriority w:val="0"/>
    <w:pPr>
      <w:autoSpaceDE w:val="0"/>
      <w:autoSpaceDN w:val="0"/>
      <w:jc w:val="center"/>
    </w:pPr>
    <w:rPr>
      <w:rFonts w:ascii="Calibri" w:hAnsi="Calibri" w:eastAsia="Times New Roman" w:cs="宋体"/>
      <w:kern w:val="0"/>
      <w:sz w:val="22"/>
      <w:lang w:eastAsia="en-US"/>
    </w:rPr>
  </w:style>
  <w:style w:type="paragraph" w:customStyle="1" w:styleId="68">
    <w:name w:val="Normal"/>
    <w:qFormat/>
    <w:uiPriority w:val="0"/>
    <w:pPr>
      <w:jc w:val="both"/>
    </w:pPr>
    <w:rPr>
      <w:rFonts w:ascii="Times New Roman" w:hAnsi="Times New Roman" w:eastAsia="宋体" w:cs="Times New Roman"/>
      <w:kern w:val="2"/>
      <w:sz w:val="21"/>
      <w:szCs w:val="21"/>
      <w:lang w:val="en-US" w:eastAsia="zh-CN" w:bidi="ar-SA"/>
    </w:rPr>
  </w:style>
  <w:style w:type="paragraph" w:customStyle="1" w:styleId="69">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0">
    <w:name w:val="4正文"/>
    <w:basedOn w:val="1"/>
    <w:qFormat/>
    <w:uiPriority w:val="0"/>
    <w:pPr>
      <w:ind w:firstLine="480"/>
    </w:pPr>
    <w:rPr>
      <w:rFonts w:ascii="Calibri" w:hAnsi="Calibri" w:cs="宋体"/>
    </w:rPr>
  </w:style>
  <w:style w:type="paragraph" w:customStyle="1" w:styleId="71">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72">
    <w:name w:val="正文 New"/>
    <w:qFormat/>
    <w:uiPriority w:val="0"/>
    <w:pPr>
      <w:widowControl w:val="0"/>
      <w:spacing w:line="360" w:lineRule="auto"/>
      <w:ind w:firstLine="200" w:firstLineChars="200"/>
      <w:jc w:val="both"/>
    </w:pPr>
    <w:rPr>
      <w:rFonts w:ascii="Calibri" w:hAnsi="Calibri" w:eastAsia="宋体" w:cs="Times New Roman"/>
      <w:kern w:val="2"/>
      <w:sz w:val="28"/>
      <w:szCs w:val="24"/>
      <w:lang w:val="en-US" w:eastAsia="zh-CN" w:bidi="ar-SA"/>
    </w:rPr>
  </w:style>
  <w:style w:type="paragraph" w:customStyle="1" w:styleId="73">
    <w:name w:val="正文缩进1"/>
    <w:basedOn w:val="1"/>
    <w:next w:val="1"/>
    <w:qFormat/>
    <w:uiPriority w:val="0"/>
    <w:pPr>
      <w:spacing w:line="240" w:lineRule="auto"/>
      <w:ind w:firstLine="420"/>
    </w:pPr>
    <w:rPr>
      <w:rFonts w:ascii="宋体"/>
      <w:sz w:val="28"/>
    </w:rPr>
  </w:style>
  <w:style w:type="paragraph" w:customStyle="1" w:styleId="74">
    <w:name w:val="正文首行缩进2"/>
    <w:basedOn w:val="11"/>
    <w:next w:val="1"/>
    <w:qFormat/>
    <w:uiPriority w:val="0"/>
    <w:pPr>
      <w:widowControl/>
      <w:spacing w:after="0" w:line="360" w:lineRule="auto"/>
      <w:ind w:left="0" w:leftChars="0"/>
      <w:jc w:val="center"/>
    </w:pPr>
    <w:rPr>
      <w:rFonts w:ascii="宋体" w:hAnsi="宋体"/>
      <w:color w:val="000000"/>
      <w:kern w:val="0"/>
      <w:sz w:val="24"/>
      <w:lang w:bidi="en-US"/>
    </w:rPr>
  </w:style>
  <w:style w:type="character" w:customStyle="1" w:styleId="75">
    <w:name w:val="阿威表格 Char"/>
    <w:link w:val="31"/>
    <w:qFormat/>
    <w:uiPriority w:val="0"/>
    <w:rPr>
      <w:rFonts w:ascii="Times New Roman" w:hAnsi="Times New Roman" w:eastAsia="宋体" w:cs="Times New Roman"/>
    </w:rPr>
  </w:style>
  <w:style w:type="paragraph" w:customStyle="1" w:styleId="76">
    <w:name w:val="阿威表格1"/>
    <w:basedOn w:val="1"/>
    <w:link w:val="77"/>
    <w:autoRedefine/>
    <w:qFormat/>
    <w:uiPriority w:val="0"/>
    <w:pPr>
      <w:spacing w:line="240" w:lineRule="auto"/>
      <w:ind w:firstLine="0" w:firstLineChars="0"/>
      <w:jc w:val="center"/>
      <w:textAlignment w:val="center"/>
    </w:pPr>
    <w:rPr>
      <w:rFonts w:ascii="Times New Roman" w:hAnsi="Times New Roman" w:eastAsia="宋体" w:cs="Times New Roman"/>
      <w:snapToGrid w:val="0"/>
      <w:color w:val="000000"/>
      <w:kern w:val="0"/>
      <w:sz w:val="21"/>
      <w:szCs w:val="21"/>
      <w:lang w:eastAsia="en-US"/>
    </w:rPr>
  </w:style>
  <w:style w:type="character" w:customStyle="1" w:styleId="77">
    <w:name w:val="阿威表格1 Char"/>
    <w:link w:val="76"/>
    <w:autoRedefine/>
    <w:qFormat/>
    <w:uiPriority w:val="0"/>
    <w:rPr>
      <w:rFonts w:ascii="Times New Roman" w:hAnsi="Times New Roman" w:eastAsia="宋体" w:cs="Times New Roman"/>
      <w:snapToGrid w:val="0"/>
      <w:color w:val="000000"/>
      <w:kern w:val="0"/>
      <w:sz w:val="21"/>
      <w:szCs w:val="21"/>
      <w:lang w:eastAsia="en-US"/>
    </w:rPr>
  </w:style>
  <w:style w:type="character" w:customStyle="1" w:styleId="78">
    <w:name w:val="font21"/>
    <w:basedOn w:val="25"/>
    <w:qFormat/>
    <w:uiPriority w:val="0"/>
    <w:rPr>
      <w:rFonts w:hint="default" w:ascii="Times New Roman" w:hAnsi="Times New Roman" w:cs="Times New Roman"/>
      <w:color w:val="000000"/>
      <w:sz w:val="21"/>
      <w:szCs w:val="21"/>
      <w:u w:val="none"/>
    </w:rPr>
  </w:style>
  <w:style w:type="character" w:customStyle="1" w:styleId="79">
    <w:name w:val="font11"/>
    <w:basedOn w:val="25"/>
    <w:qFormat/>
    <w:uiPriority w:val="0"/>
    <w:rPr>
      <w:rFonts w:hint="eastAsia" w:ascii="宋体" w:hAnsi="宋体" w:eastAsia="宋体" w:cs="宋体"/>
      <w:color w:val="000000"/>
      <w:sz w:val="21"/>
      <w:szCs w:val="21"/>
      <w:u w:val="none"/>
    </w:rPr>
  </w:style>
  <w:style w:type="character" w:customStyle="1" w:styleId="80">
    <w:name w:val="font41"/>
    <w:basedOn w:val="25"/>
    <w:qFormat/>
    <w:uiPriority w:val="0"/>
    <w:rPr>
      <w:rFonts w:hint="default" w:ascii="Times New Roman" w:hAnsi="Times New Roman" w:cs="Times New Roman"/>
      <w:b/>
      <w:bCs/>
      <w:color w:val="000000"/>
      <w:sz w:val="21"/>
      <w:szCs w:val="21"/>
      <w:u w:val="none"/>
    </w:rPr>
  </w:style>
  <w:style w:type="table" w:customStyle="1" w:styleId="81">
    <w:name w:val="Table Normal"/>
    <w:unhideWhenUsed/>
    <w:qFormat/>
    <w:uiPriority w:val="0"/>
    <w:tblPr>
      <w:tblCellMar>
        <w:top w:w="0" w:type="dxa"/>
        <w:left w:w="0" w:type="dxa"/>
        <w:bottom w:w="0" w:type="dxa"/>
        <w:right w:w="0" w:type="dxa"/>
      </w:tblCellMar>
    </w:tblPr>
  </w:style>
  <w:style w:type="paragraph" w:styleId="82">
    <w:name w:val="No Spacing"/>
    <w:qFormat/>
    <w:uiPriority w:val="1"/>
    <w:pPr>
      <w:widowControl w:val="0"/>
      <w:adjustRightInd w:val="0"/>
      <w:snapToGrid w:val="0"/>
      <w:jc w:val="center"/>
    </w:pPr>
    <w:rPr>
      <w:rFonts w:ascii="Calibri" w:hAnsi="Calibri" w:eastAsia="宋体" w:cs="Times New Roman"/>
      <w:kern w:val="2"/>
      <w:sz w:val="21"/>
      <w:szCs w:val="24"/>
      <w:lang w:val="en-US" w:eastAsia="zh-CN" w:bidi="ar-SA"/>
    </w:rPr>
  </w:style>
  <w:style w:type="paragraph" w:customStyle="1" w:styleId="83">
    <w:name w:val="表头"/>
    <w:basedOn w:val="6"/>
    <w:next w:val="1"/>
    <w:qFormat/>
    <w:uiPriority w:val="0"/>
    <w:pPr>
      <w:widowControl w:val="0"/>
      <w:snapToGrid/>
      <w:spacing w:before="100" w:beforeAutospacing="1" w:after="0" w:line="240" w:lineRule="auto"/>
      <w:ind w:right="0"/>
      <w:jc w:val="center"/>
    </w:pPr>
    <w:rPr>
      <w:b/>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iqiaomei\Library\Containers\com.kingsoft.wpsoffice.mac\Data\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contractReview xmlns="http://schemas.wps.cn/vas-ai-hub/contract-review">
  <reviewItems>
    <reviewItem>
      <errorID>90b06558-9ca2-4f3e-b5fb-674c80158087</errorID>
      <errorWord>交有</errorWord>
      <group>L1_Word</group>
      <groupName>字词问题</groupName>
      <ability>L2_Typo</ability>
      <abilityName>字词错误</abilityName>
      <candidateList>
        <item>交由</item>
      </candidateList>
      <explain/>
      <paraID>11ED44A4</paraID>
      <start>299</start>
      <end>301</end>
      <status>ignored</status>
      <modifiedWord/>
      <trackRevisions>false</trackRevisions>
    </reviewItem>
    <reviewItem>
      <errorID>cdb08fff-d886-41fa-af09-b1c0432cd922</errorID>
      <errorWord>局</errorWord>
      <group>L1_Word</group>
      <groupName>字词问题</groupName>
      <ability>L2_Typo</ability>
      <abilityName>字词错误</abilityName>
      <candidateList>
        <item>局之</item>
      </candidateList>
      <explain/>
      <paraID> 1B628A3</paraID>
      <start>52</start>
      <end>53</end>
      <status>ignored</status>
      <modifiedWord/>
      <trackRevisions>false</trackRevisions>
    </reviewItem>
    <reviewItem>
      <errorID>be912c95-c30f-4120-bc7d-bcce4b1c3c62</errorID>
      <errorWord>环保基础设施建设</errorWord>
      <group>L1_Political</group>
      <groupName>政治性问题</groupName>
      <ability>L2_Keyword</ability>
      <abilityName>固定表述</abilityName>
      <candidateList>
        <item>环境基础设施建设</item>
      </candidateList>
      <explain>词汇“环境基础设施建设”在特定场景下为固定表述形式，请确认此处的“环保基础设施建设”是否存在不当。</explain>
      <paraID>690EF3A2</paraID>
      <start>186</start>
      <end>194</end>
      <status>ignored</status>
      <modifiedWord/>
      <trackRevisions>false</trackRevisions>
    </reviewItem>
    <reviewItem>
      <errorID>1ba8cab6-3ae5-47aa-9deb-c348c7ccf0d7</errorID>
      <errorWord>改用其它</errorWord>
      <group>L1_Word</group>
      <groupName>字词问题</groupName>
      <ability>L2_Alias</ability>
      <abilityName>也作/曾用词</abilityName>
      <candidateList>
        <item>改用其他</item>
      </candidateList>
      <explain>词汇[改用其它]为不规范表述或旧称，其规范书面表述为[改用其他]。</explain>
      <paraID>34D30E7D</paraID>
      <start>265</start>
      <end>269</end>
      <status>ignored</status>
      <modifiedWord/>
      <trackRevisions>false</trackRevisions>
    </reviewItem>
    <reviewItem>
      <errorID>8429f7ce-b505-430c-ba28-b63d880be015</errorID>
      <errorWord>露</errorWord>
      <group>L1_Other</group>
      <groupName>其他问题</groupName>
      <ability>L2_UserTypo</ability>
      <abilityName>自定义错误</abilityName>
      <candidateList>
        <item>漏</item>
      </candidateList>
      <explain>来自自定义错词库。</explain>
      <paraID>34D30E7D</paraID>
      <start>329</start>
      <end>330</end>
      <status>ignored</status>
      <modifiedWord/>
      <trackRevisions>false</trackRevisions>
    </reviewItem>
    <reviewItem>
      <errorID>a19c5f77-1e4b-4576-89ab-ed3d41bc171f</errorID>
      <errorWord>粘稠</errorWord>
      <group>L1_Word</group>
      <groupName>字词问题</groupName>
      <ability>L2_Typo</ability>
      <abilityName>字词错误</abilityName>
      <candidateList>
        <item>黏稠</item>
      </candidateList>
      <explain>存在发音相同字词的误用。</explain>
      <paraID>6232D427</paraID>
      <start>13</start>
      <end>15</end>
      <status>ignored</status>
      <modifiedWord/>
      <trackRevisions>false</trackRevisions>
    </reviewItem>
    <reviewItem>
      <errorID>abe79813-2561-4bea-bb98-33b7678bfe2a</errorID>
      <errorWord>粘稠</errorWord>
      <group>L1_Word</group>
      <groupName>字词问题</groupName>
      <ability>L2_Typo</ability>
      <abilityName>字词错误</abilityName>
      <candidateList>
        <item>黏稠</item>
      </candidateList>
      <explain>存在发音相同字词的误用。</explain>
      <paraID>771D5997</paraID>
      <start>15</start>
      <end>17</end>
      <status>ignored</status>
      <modifiedWord/>
      <trackRevisions>false</trackRevisions>
    </reviewItem>
    <reviewItem>
      <errorID>7309f33e-0c1c-450a-9b63-923ca14d022f</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14C7F01D</paraID>
      <start>0</start>
      <end>1</end>
      <status>ignored</status>
      <modifiedWord/>
      <trackRevisions>false</trackRevisions>
    </reviewItem>
    <reviewItem>
      <errorID>fd930a94-4230-4f22-bee4-01ec89a8aefb</errorID>
      <errorWord>露</errorWord>
      <group>L1_Other</group>
      <groupName>其他问题</groupName>
      <ability>L2_UserTypo</ability>
      <abilityName>自定义错误</abilityName>
      <candidateList>
        <item>漏</item>
      </candidateList>
      <explain>来自自定义错词库。</explain>
      <paraID>135B8D83</paraID>
      <start>24</start>
      <end>25</end>
      <status>ignored</status>
      <modifiedWord/>
      <trackRevisions>false</trackRevisions>
    </reviewItem>
    <reviewItem>
      <errorID>bedeeae5-b581-4732-a992-e3bcae0c6db1</errorID>
      <errorWord>（</errorWord>
      <group>L1_Punc</group>
      <groupName>标点问题</groupName>
      <ability>L2_Punc</ability>
      <abilityName>标点符号检查</abilityName>
      <candidateList/>
      <explain>同一形式括号套用。</explain>
      <paraID>18272235</paraID>
      <start>13</start>
      <end>14</end>
      <status>ignored</status>
      <modifiedWord/>
      <trackRevisions>false</trackRevisions>
    </reviewItem>
    <reviewItem>
      <errorID>5d063244-6276-4d86-a837-0e29e4e1b9ec</errorID>
      <errorWord>）</errorWord>
      <group>L1_Punc</group>
      <groupName>标点问题</groupName>
      <ability>L2_Punc</ability>
      <abilityName>标点符号检查</abilityName>
      <candidateList/>
      <explain>同一形式括号套用。</explain>
      <paraID>18272235</paraID>
      <start>15</start>
      <end>16</end>
      <status>ignored</status>
      <modifiedWord/>
      <trackRevisions>false</trackRevisions>
    </reviewItem>
    <reviewItem>
      <errorID>af0bb3ab-cb29-499d-b40e-c3189fec9fb6</errorID>
      <errorWord>（</errorWord>
      <group>L1_Format</group>
      <groupName>格式问题</groupName>
      <ability>L2_HalfPunc</ability>
      <abilityName>全半角检查</abilityName>
      <candidateList>
        <item>(</item>
      </candidateList>
      <explain>文本全半角错误。</explain>
      <paraID>7951576A</paraID>
      <start>11</start>
      <end>12</end>
      <status>modified</status>
      <modifiedWord>(</modifiedWord>
      <trackRevisions>false</trackRevisions>
    </reviewItem>
    <reviewItem>
      <errorID>eaf58777-a11f-4ded-8cbd-f4db1867a540</errorID>
      <errorWord>）</errorWord>
      <group>L1_Format</group>
      <groupName>格式问题</groupName>
      <ability>L2_HalfPunc</ability>
      <abilityName>全半角检查</abilityName>
      <candidateList>
        <item>)</item>
      </candidateList>
      <explain>文本全半角错误。</explain>
      <paraID>7951576A</paraID>
      <start>22</start>
      <end>23</end>
      <status>modified</status>
      <modifiedWord>)</modifiedWord>
      <trackRevisions>false</trackRevisions>
    </reviewItem>
    <reviewItem>
      <errorID>d945e5fa-5811-425e-8b93-4bd581f61897</errorID>
      <errorWord>北</errorWord>
      <group>L1_Word</group>
      <groupName>字词问题</groupName>
      <ability>L2_Typo</ability>
      <abilityName>字词错误</abilityName>
      <candidateList>
        <item>被</item>
      </candidateList>
      <explain>❶〈介〉用于被动句，引进动作的施事，前面的主语是动作的受事（施动者放在被字后，但有时省略）：解放军到处～（人）尊敬｜那棵树～（大风）刮倒了｜这套书～人借走了一本｜他～选为代表。❷〈助〉用在动词前表示被动的动作：～压迫民族｜～剥削阶级。</explain>
      <paraID>3FE6F7C1</paraID>
      <start>0</start>
      <end>1</end>
      <status>ignored</status>
      <modifiedWord/>
      <trackRevisions>false</trackRevisions>
    </reviewItem>
    <reviewItem>
      <errorID>a962a4f3-7f70-40e8-825e-79b280315b3b</errorID>
      <errorWord>环保</errorWord>
      <group>L1_Word</group>
      <groupName>字词问题</groupName>
      <ability>L2_Typo</ability>
      <abilityName>字词错误</abilityName>
      <candidateList>
        <item>环境</item>
      </candidateList>
      <explain>〈名〉❶周围的地方：～优美｜～卫生。❷周围的情况和条件：客观～｜工作～。</explain>
      <paraID> 3DDA27B</paraID>
      <start>34</start>
      <end>36</end>
      <status>modified</status>
      <modifiedWord>环境</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0fc4110-e346-4391-9256-8e53c21c851d}">
  <ds:schemaRefs/>
</ds:datastoreItem>
</file>

<file path=docProps/app.xml><?xml version="1.0" encoding="utf-8"?>
<Properties xmlns="http://schemas.openxmlformats.org/officeDocument/2006/extended-properties" xmlns:vt="http://schemas.openxmlformats.org/officeDocument/2006/docPropsVTypes">
  <Template>c:\dsoa\wdzx97.dot</Template>
  <Company>微软中国</Company>
  <Pages>40</Pages>
  <Words>10215</Words>
  <Characters>10662</Characters>
  <Lines>230</Lines>
  <Paragraphs>64</Paragraphs>
  <TotalTime>15</TotalTime>
  <ScaleCrop>false</ScaleCrop>
  <LinksUpToDate>false</LinksUpToDate>
  <CharactersWithSpaces>10768</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2021-07-23T03:00:00Z</dcterms:created>
  <dc:creator>lhj</dc:creator>
  <cp:lastModifiedBy>宝妈</cp:lastModifiedBy>
  <cp:lastPrinted>2023-11-02T02:35:00Z</cp:lastPrinted>
  <dcterms:modified xsi:type="dcterms:W3CDTF">2026-05-06T01:00:35Z</dcterms:modified>
  <dc:title>附件2</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E06D1F801F8038E05335FC640FFCF432</vt:lpwstr>
  </property>
  <property fmtid="{D5CDD505-2E9C-101B-9397-08002B2CF9AE}" pid="4" name="KSOTemplateDocerSaveRecord">
    <vt:lpwstr>eyJoZGlkIjoiZTI3YTQ0N2EyOTQ0NWQ4OTRjOGYzYmQ1NTJjMWY1OGUiLCJ1c2VySWQiOiI0MzUxOTk5NDUifQ==</vt:lpwstr>
  </property>
</Properties>
</file>