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007980">
      <w:pPr>
        <w:rPr>
          <w:rFonts w:hint="default" w:ascii="Times New Roman" w:hAnsi="Times New Roman" w:eastAsia="仿宋_GB2312" w:cs="Times New Roman"/>
          <w:color w:val="auto"/>
          <w:sz w:val="36"/>
          <w:szCs w:val="36"/>
        </w:rPr>
      </w:pPr>
    </w:p>
    <w:p w14:paraId="45BADB0C">
      <w:pPr>
        <w:rPr>
          <w:rFonts w:hint="default" w:ascii="Times New Roman" w:hAnsi="Times New Roman" w:eastAsia="仿宋_GB2312" w:cs="Times New Roman"/>
          <w:color w:val="auto"/>
          <w:sz w:val="36"/>
          <w:szCs w:val="36"/>
        </w:rPr>
      </w:pPr>
    </w:p>
    <w:p w14:paraId="5946B1A7">
      <w:pPr>
        <w:rPr>
          <w:rFonts w:hint="default" w:ascii="Times New Roman" w:hAnsi="Times New Roman" w:eastAsia="仿宋_GB2312" w:cs="Times New Roman"/>
          <w:color w:val="auto"/>
          <w:sz w:val="36"/>
          <w:szCs w:val="36"/>
        </w:rPr>
      </w:pPr>
    </w:p>
    <w:p w14:paraId="0B9B659E">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14:paraId="259C5D96">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7992CF3A">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p>
    <w:p w14:paraId="4F4A9AC6">
      <w:pPr>
        <w:jc w:val="center"/>
        <w:rPr>
          <w:rFonts w:hint="default" w:ascii="Times New Roman" w:hAnsi="Times New Roman" w:eastAsia="仿宋" w:cs="Times New Roman"/>
          <w:color w:val="auto"/>
          <w:sz w:val="52"/>
          <w:szCs w:val="52"/>
        </w:rPr>
      </w:pPr>
    </w:p>
    <w:p w14:paraId="28857A79">
      <w:pPr>
        <w:ind w:firstLine="1040"/>
        <w:rPr>
          <w:rFonts w:hint="default" w:ascii="Times New Roman" w:hAnsi="Times New Roman" w:eastAsia="仿宋" w:cs="Times New Roman"/>
          <w:color w:val="auto"/>
          <w:sz w:val="44"/>
          <w:szCs w:val="44"/>
        </w:rPr>
      </w:pPr>
    </w:p>
    <w:p w14:paraId="7742BF4F">
      <w:pPr>
        <w:ind w:firstLine="1040"/>
        <w:rPr>
          <w:rFonts w:hint="default" w:ascii="Times New Roman" w:hAnsi="Times New Roman" w:eastAsia="仿宋" w:cs="Times New Roman"/>
          <w:color w:val="auto"/>
          <w:sz w:val="44"/>
          <w:szCs w:val="44"/>
        </w:rPr>
      </w:pPr>
    </w:p>
    <w:p w14:paraId="16F73A1A">
      <w:pPr>
        <w:ind w:firstLine="1040"/>
        <w:rPr>
          <w:rFonts w:hint="default" w:ascii="Times New Roman" w:hAnsi="Times New Roman" w:eastAsia="仿宋" w:cs="Times New Roman"/>
          <w:color w:val="auto"/>
          <w:sz w:val="44"/>
          <w:szCs w:val="44"/>
        </w:rPr>
      </w:pPr>
    </w:p>
    <w:p w14:paraId="25EE3CB0">
      <w:pPr>
        <w:ind w:firstLine="1040"/>
        <w:rPr>
          <w:rFonts w:hint="default" w:ascii="Times New Roman" w:hAnsi="Times New Roman" w:eastAsia="仿宋" w:cs="Times New Roman"/>
          <w:color w:val="auto"/>
          <w:sz w:val="44"/>
          <w:szCs w:val="44"/>
        </w:rPr>
      </w:pPr>
    </w:p>
    <w:p w14:paraId="2BBD2C4D">
      <w:pPr>
        <w:pStyle w:val="24"/>
        <w:rPr>
          <w:rFonts w:hint="default" w:ascii="Times New Roman" w:hAnsi="Times New Roman" w:eastAsia="仿宋" w:cs="Times New Roman"/>
          <w:color w:val="auto"/>
          <w:sz w:val="44"/>
          <w:szCs w:val="44"/>
        </w:rPr>
      </w:pPr>
    </w:p>
    <w:p w14:paraId="71028531">
      <w:pPr>
        <w:rPr>
          <w:rFonts w:hint="default" w:ascii="Times New Roman" w:hAnsi="Times New Roman" w:eastAsia="仿宋" w:cs="Times New Roman"/>
          <w:color w:val="auto"/>
          <w:sz w:val="44"/>
          <w:szCs w:val="44"/>
        </w:rPr>
      </w:pPr>
    </w:p>
    <w:p w14:paraId="22EA18C3">
      <w:pPr>
        <w:pStyle w:val="24"/>
        <w:rPr>
          <w:rFonts w:hint="default" w:ascii="Times New Roman" w:hAnsi="Times New Roman" w:cs="Times New Roman"/>
        </w:rPr>
      </w:pPr>
    </w:p>
    <w:p w14:paraId="5980DAAC">
      <w:pPr>
        <w:adjustRightInd w:val="0"/>
        <w:snapToGrid w:val="0"/>
        <w:spacing w:line="360" w:lineRule="auto"/>
        <w:ind w:firstLine="640" w:firstLineChars="200"/>
        <w:rPr>
          <w:rFonts w:hint="default" w:ascii="Times New Roman" w:hAnsi="Times New Roman" w:eastAsia="仿宋_GB2312" w:cs="Times New Roman"/>
          <w:color w:val="auto"/>
          <w:sz w:val="32"/>
          <w:szCs w:val="32"/>
          <w:u w:val="single"/>
          <w:lang w:val="en-US"/>
        </w:rPr>
      </w:pPr>
      <w:r>
        <w:rPr>
          <w:rFonts w:hint="default" w:ascii="Times New Roman" w:hAnsi="Times New Roman" w:eastAsia="仿宋_GB2312" w:cs="Times New Roman"/>
          <w:color w:val="auto"/>
          <w:sz w:val="32"/>
          <w:szCs w:val="32"/>
        </w:rPr>
        <w:t>项目名称：</w:t>
      </w:r>
      <w:r>
        <w:rPr>
          <w:rFonts w:hint="default" w:ascii="Times New Roman" w:hAnsi="Times New Roman" w:eastAsia="仿宋_GB2312" w:cs="Times New Roman"/>
          <w:color w:val="auto"/>
          <w:sz w:val="32"/>
          <w:szCs w:val="32"/>
          <w:u w:val="single"/>
          <w:lang w:val="en-US" w:eastAsia="zh-CN"/>
        </w:rPr>
        <w:t xml:space="preserve"> 宝鸡鑫和鸿利电气机床防护罩加工喷塑项目  </w:t>
      </w:r>
    </w:p>
    <w:p w14:paraId="68DFCFB6">
      <w:pPr>
        <w:adjustRightInd w:val="0"/>
        <w:snapToGrid w:val="0"/>
        <w:spacing w:line="360" w:lineRule="auto"/>
        <w:ind w:firstLine="640" w:firstLineChars="200"/>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rPr>
        <w:t>建设单位：</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lang w:val="en-US" w:eastAsia="zh-CN"/>
        </w:rPr>
        <w:t xml:space="preserve">  宝鸡鑫和鸿利电气有限公司</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 xml:space="preserve">     </w:t>
      </w:r>
    </w:p>
    <w:p w14:paraId="056C7CA7">
      <w:pPr>
        <w:adjustRightInd w:val="0"/>
        <w:snapToGrid w:val="0"/>
        <w:spacing w:line="360" w:lineRule="auto"/>
        <w:ind w:firstLine="640" w:firstLineChars="200"/>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color w:val="auto"/>
          <w:sz w:val="32"/>
          <w:szCs w:val="32"/>
        </w:rPr>
        <w:t>编制日期：</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 xml:space="preserve"> 202</w:t>
      </w:r>
      <w:r>
        <w:rPr>
          <w:rFonts w:hint="default" w:ascii="Times New Roman" w:hAnsi="Times New Roman" w:eastAsia="仿宋_GB2312" w:cs="Times New Roman"/>
          <w:color w:val="auto"/>
          <w:sz w:val="32"/>
          <w:szCs w:val="32"/>
          <w:u w:val="single"/>
          <w:lang w:val="en-US" w:eastAsia="zh-CN"/>
        </w:rPr>
        <w:t>6</w:t>
      </w:r>
      <w:r>
        <w:rPr>
          <w:rFonts w:hint="default" w:ascii="Times New Roman" w:hAnsi="Times New Roman" w:eastAsia="仿宋_GB2312" w:cs="Times New Roman"/>
          <w:color w:val="auto"/>
          <w:sz w:val="32"/>
          <w:szCs w:val="32"/>
          <w:u w:val="single"/>
        </w:rPr>
        <w:t>年</w:t>
      </w:r>
      <w:r>
        <w:rPr>
          <w:rFonts w:hint="default" w:ascii="Times New Roman" w:hAnsi="Times New Roman" w:eastAsia="仿宋_GB2312" w:cs="Times New Roman"/>
          <w:color w:val="auto"/>
          <w:sz w:val="32"/>
          <w:szCs w:val="32"/>
          <w:u w:val="single"/>
          <w:lang w:val="en-US" w:eastAsia="zh-CN"/>
        </w:rPr>
        <w:t>4</w:t>
      </w:r>
      <w:r>
        <w:rPr>
          <w:rFonts w:hint="default" w:ascii="Times New Roman" w:hAnsi="Times New Roman" w:eastAsia="仿宋_GB2312" w:cs="Times New Roman"/>
          <w:color w:val="auto"/>
          <w:sz w:val="32"/>
          <w:szCs w:val="32"/>
          <w:u w:val="single"/>
        </w:rPr>
        <w:t xml:space="preserve">月        </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 xml:space="preserve">   </w:t>
      </w:r>
    </w:p>
    <w:p w14:paraId="6ADF926E">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0" w:name="_Hlk57884087"/>
    </w:p>
    <w:bookmarkEnd w:id="0"/>
    <w:p w14:paraId="1F98E616">
      <w:pPr>
        <w:adjustRightInd w:val="0"/>
        <w:snapToGrid w:val="0"/>
        <w:spacing w:line="288" w:lineRule="auto"/>
        <w:jc w:val="both"/>
        <w:rPr>
          <w:rFonts w:hint="default" w:ascii="Times New Roman" w:hAnsi="Times New Roman" w:eastAsia="楷体_GB2312" w:cs="Times New Roman"/>
          <w:color w:val="auto"/>
          <w:sz w:val="36"/>
          <w:szCs w:val="36"/>
        </w:rPr>
      </w:pPr>
    </w:p>
    <w:p w14:paraId="60FF6325">
      <w:pPr>
        <w:adjustRightInd w:val="0"/>
        <w:snapToGrid w:val="0"/>
        <w:spacing w:line="288" w:lineRule="auto"/>
        <w:jc w:val="both"/>
        <w:rPr>
          <w:rFonts w:hint="default" w:ascii="Times New Roman" w:hAnsi="Times New Roman" w:eastAsia="楷体_GB2312" w:cs="Times New Roman"/>
          <w:color w:val="auto"/>
          <w:sz w:val="36"/>
          <w:szCs w:val="36"/>
        </w:rPr>
      </w:pPr>
    </w:p>
    <w:p w14:paraId="6C919C9D">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7B7B8E8A">
      <w:pPr>
        <w:adjustRightInd w:val="0"/>
        <w:snapToGrid w:val="0"/>
        <w:spacing w:line="288" w:lineRule="auto"/>
        <w:ind w:firstLine="1040"/>
        <w:jc w:val="center"/>
        <w:rPr>
          <w:rFonts w:hint="default" w:ascii="Times New Roman" w:hAnsi="Times New Roman" w:eastAsia="仿宋_GB2312"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4482D7D0">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32"/>
        <w:tblW w:w="93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85"/>
        <w:gridCol w:w="785"/>
        <w:gridCol w:w="2449"/>
        <w:gridCol w:w="2212"/>
        <w:gridCol w:w="3075"/>
      </w:tblGrid>
      <w:tr w14:paraId="43B66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0" w:type="dxa"/>
            <w:gridSpan w:val="2"/>
            <w:noWrap w:val="0"/>
            <w:tcMar>
              <w:top w:w="16" w:type="dxa"/>
              <w:left w:w="16" w:type="dxa"/>
              <w:right w:w="16" w:type="dxa"/>
            </w:tcMar>
            <w:vAlign w:val="center"/>
          </w:tcPr>
          <w:p w14:paraId="313FC46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7736" w:type="dxa"/>
            <w:gridSpan w:val="3"/>
            <w:noWrap w:val="0"/>
            <w:vAlign w:val="center"/>
          </w:tcPr>
          <w:p w14:paraId="1757E10F">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宝鸡鑫和鸿利电气机床防护罩加工喷塑项目</w:t>
            </w:r>
          </w:p>
        </w:tc>
      </w:tr>
      <w:tr w14:paraId="2D458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0" w:type="dxa"/>
            <w:gridSpan w:val="2"/>
            <w:noWrap w:val="0"/>
            <w:tcMar>
              <w:top w:w="16" w:type="dxa"/>
              <w:left w:w="16" w:type="dxa"/>
              <w:right w:w="16" w:type="dxa"/>
            </w:tcMar>
            <w:vAlign w:val="center"/>
          </w:tcPr>
          <w:p w14:paraId="3A77C8E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7736" w:type="dxa"/>
            <w:gridSpan w:val="3"/>
            <w:noWrap w:val="0"/>
            <w:vAlign w:val="center"/>
          </w:tcPr>
          <w:p w14:paraId="75E0A22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2603-610304-04-05-464030</w:t>
            </w:r>
          </w:p>
        </w:tc>
      </w:tr>
      <w:tr w14:paraId="1D89C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1570" w:type="dxa"/>
            <w:gridSpan w:val="2"/>
            <w:noWrap w:val="0"/>
            <w:tcMar>
              <w:top w:w="16" w:type="dxa"/>
              <w:left w:w="16" w:type="dxa"/>
              <w:right w:w="16" w:type="dxa"/>
            </w:tcMar>
            <w:vAlign w:val="center"/>
          </w:tcPr>
          <w:p w14:paraId="02C6DC2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建设单位联系人</w:t>
            </w:r>
          </w:p>
        </w:tc>
        <w:tc>
          <w:tcPr>
            <w:tcW w:w="2449" w:type="dxa"/>
            <w:noWrap w:val="0"/>
            <w:vAlign w:val="center"/>
          </w:tcPr>
          <w:p w14:paraId="02F6A7B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eastAsia="zh-CN"/>
              </w:rPr>
            </w:pPr>
          </w:p>
        </w:tc>
        <w:tc>
          <w:tcPr>
            <w:tcW w:w="2212" w:type="dxa"/>
            <w:noWrap w:val="0"/>
            <w:vAlign w:val="center"/>
          </w:tcPr>
          <w:p w14:paraId="1BB569D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联系方式</w:t>
            </w:r>
          </w:p>
        </w:tc>
        <w:tc>
          <w:tcPr>
            <w:tcW w:w="3075" w:type="dxa"/>
            <w:noWrap w:val="0"/>
            <w:vAlign w:val="center"/>
          </w:tcPr>
          <w:p w14:paraId="1F0BD1B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p>
        </w:tc>
      </w:tr>
      <w:tr w14:paraId="3221D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0" w:type="dxa"/>
            <w:gridSpan w:val="2"/>
            <w:noWrap w:val="0"/>
            <w:tcMar>
              <w:top w:w="16" w:type="dxa"/>
              <w:left w:w="16" w:type="dxa"/>
              <w:right w:w="16" w:type="dxa"/>
            </w:tcMar>
            <w:vAlign w:val="center"/>
          </w:tcPr>
          <w:p w14:paraId="346DA53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7736" w:type="dxa"/>
            <w:gridSpan w:val="3"/>
            <w:noWrap w:val="0"/>
            <w:vAlign w:val="center"/>
          </w:tcPr>
          <w:p w14:paraId="4D15AFF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u w:val="single"/>
              </w:rPr>
              <w:t>陕西</w:t>
            </w:r>
            <w:r>
              <w:rPr>
                <w:rFonts w:hint="default" w:ascii="Times New Roman" w:hAnsi="Times New Roman" w:cs="Times New Roman"/>
                <w:color w:val="auto"/>
                <w:szCs w:val="21"/>
              </w:rPr>
              <w:t>省（自治区）</w:t>
            </w:r>
            <w:r>
              <w:rPr>
                <w:rFonts w:hint="default" w:ascii="Times New Roman" w:hAnsi="Times New Roman" w:cs="Times New Roman"/>
                <w:color w:val="auto"/>
                <w:szCs w:val="21"/>
                <w:u w:val="single"/>
              </w:rPr>
              <w:t>宝鸡</w:t>
            </w:r>
            <w:r>
              <w:rPr>
                <w:rFonts w:hint="default" w:ascii="Times New Roman" w:hAnsi="Times New Roman" w:cs="Times New Roman"/>
                <w:color w:val="auto"/>
                <w:szCs w:val="21"/>
              </w:rPr>
              <w:t>市</w:t>
            </w:r>
            <w:r>
              <w:rPr>
                <w:rFonts w:hint="default" w:ascii="Times New Roman" w:hAnsi="Times New Roman" w:cs="Times New Roman"/>
                <w:color w:val="auto"/>
                <w:szCs w:val="21"/>
                <w:u w:val="single"/>
                <w:lang w:eastAsia="zh-CN"/>
              </w:rPr>
              <w:t>陈仓</w:t>
            </w:r>
            <w:r>
              <w:rPr>
                <w:rFonts w:hint="default" w:ascii="Times New Roman" w:hAnsi="Times New Roman" w:cs="Times New Roman"/>
                <w:color w:val="auto"/>
                <w:szCs w:val="21"/>
              </w:rPr>
              <w:t>区</w:t>
            </w:r>
            <w:r>
              <w:rPr>
                <w:rFonts w:hint="default" w:ascii="Times New Roman" w:hAnsi="Times New Roman" w:cs="Times New Roman"/>
                <w:color w:val="auto"/>
                <w:szCs w:val="21"/>
                <w:u w:val="single"/>
                <w:lang w:val="en-US" w:eastAsia="zh-CN"/>
              </w:rPr>
              <w:t>陈仓大道千河桥西新大唐金属市场院内</w:t>
            </w:r>
            <w:r>
              <w:rPr>
                <w:rFonts w:hint="default" w:ascii="Times New Roman" w:hAnsi="Times New Roman" w:cs="Times New Roman"/>
                <w:color w:val="auto"/>
                <w:szCs w:val="21"/>
                <w:u w:val="single"/>
              </w:rPr>
              <w:t xml:space="preserve"> </w:t>
            </w:r>
          </w:p>
        </w:tc>
      </w:tr>
      <w:tr w14:paraId="38E9F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0" w:type="dxa"/>
            <w:gridSpan w:val="2"/>
            <w:noWrap w:val="0"/>
            <w:tcMar>
              <w:top w:w="16" w:type="dxa"/>
              <w:left w:w="16" w:type="dxa"/>
              <w:right w:w="16" w:type="dxa"/>
            </w:tcMar>
            <w:vAlign w:val="center"/>
          </w:tcPr>
          <w:p w14:paraId="446E927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7736" w:type="dxa"/>
            <w:gridSpan w:val="3"/>
            <w:noWrap w:val="0"/>
            <w:vAlign w:val="center"/>
          </w:tcPr>
          <w:p w14:paraId="487CFD72">
            <w:pPr>
              <w:keepNext w:val="0"/>
              <w:keepLines w:val="0"/>
              <w:pageBreakBefore w:val="0"/>
              <w:widowControl w:val="0"/>
              <w:kinsoku/>
              <w:wordWrap/>
              <w:overflowPunct/>
              <w:topLinePunct w:val="0"/>
              <w:bidi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u w:val="single"/>
              </w:rPr>
              <w:t>107</w:t>
            </w:r>
            <w:r>
              <w:rPr>
                <w:rFonts w:hint="default" w:ascii="Times New Roman" w:hAnsi="Times New Roman" w:cs="Times New Roman"/>
                <w:color w:val="auto"/>
                <w:szCs w:val="21"/>
              </w:rPr>
              <w:t>度</w:t>
            </w:r>
            <w:r>
              <w:rPr>
                <w:rFonts w:hint="default" w:ascii="Times New Roman" w:hAnsi="Times New Roman" w:cs="Times New Roman"/>
                <w:color w:val="auto"/>
                <w:szCs w:val="21"/>
                <w:u w:val="single"/>
                <w:lang w:val="en-US" w:eastAsia="zh-CN"/>
              </w:rPr>
              <w:t>18</w:t>
            </w:r>
            <w:r>
              <w:rPr>
                <w:rFonts w:hint="default" w:ascii="Times New Roman" w:hAnsi="Times New Roman" w:cs="Times New Roman"/>
                <w:color w:val="auto"/>
                <w:szCs w:val="21"/>
              </w:rPr>
              <w:t>分</w:t>
            </w:r>
            <w:r>
              <w:rPr>
                <w:rFonts w:hint="default" w:ascii="Times New Roman" w:hAnsi="Times New Roman" w:cs="Times New Roman"/>
                <w:color w:val="auto"/>
                <w:szCs w:val="21"/>
                <w:u w:val="single"/>
                <w:lang w:val="en-US" w:eastAsia="zh-CN"/>
              </w:rPr>
              <w:t>1.587</w:t>
            </w:r>
            <w:r>
              <w:rPr>
                <w:rFonts w:hint="default" w:ascii="Times New Roman" w:hAnsi="Times New Roman" w:cs="Times New Roman"/>
                <w:color w:val="auto"/>
                <w:szCs w:val="21"/>
              </w:rPr>
              <w:t>秒，</w:t>
            </w:r>
            <w:r>
              <w:rPr>
                <w:rFonts w:hint="default" w:ascii="Times New Roman" w:hAnsi="Times New Roman" w:cs="Times New Roman"/>
                <w:color w:val="auto"/>
                <w:szCs w:val="21"/>
                <w:u w:val="single"/>
              </w:rPr>
              <w:t>34</w:t>
            </w:r>
            <w:r>
              <w:rPr>
                <w:rFonts w:hint="default" w:ascii="Times New Roman" w:hAnsi="Times New Roman" w:cs="Times New Roman"/>
                <w:color w:val="auto"/>
                <w:szCs w:val="21"/>
              </w:rPr>
              <w:t>度</w:t>
            </w:r>
            <w:r>
              <w:rPr>
                <w:rFonts w:hint="default" w:ascii="Times New Roman" w:hAnsi="Times New Roman" w:cs="Times New Roman"/>
                <w:color w:val="auto"/>
                <w:szCs w:val="21"/>
                <w:u w:val="single"/>
                <w:lang w:val="en-US" w:eastAsia="zh-CN"/>
              </w:rPr>
              <w:t>22</w:t>
            </w:r>
            <w:r>
              <w:rPr>
                <w:rFonts w:hint="default" w:ascii="Times New Roman" w:hAnsi="Times New Roman" w:cs="Times New Roman"/>
                <w:color w:val="auto"/>
                <w:szCs w:val="21"/>
              </w:rPr>
              <w:t>分</w:t>
            </w:r>
            <w:r>
              <w:rPr>
                <w:rFonts w:hint="default" w:ascii="Times New Roman" w:hAnsi="Times New Roman" w:cs="Times New Roman"/>
                <w:color w:val="auto"/>
                <w:szCs w:val="21"/>
                <w:u w:val="single"/>
                <w:lang w:val="en-US" w:eastAsia="zh-CN"/>
              </w:rPr>
              <w:t>9.404</w:t>
            </w:r>
            <w:r>
              <w:rPr>
                <w:rFonts w:hint="default" w:ascii="Times New Roman" w:hAnsi="Times New Roman" w:cs="Times New Roman"/>
                <w:color w:val="auto"/>
                <w:szCs w:val="21"/>
              </w:rPr>
              <w:t>秒）</w:t>
            </w:r>
          </w:p>
        </w:tc>
      </w:tr>
      <w:tr w14:paraId="0AC25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70" w:type="dxa"/>
            <w:gridSpan w:val="2"/>
            <w:noWrap w:val="0"/>
            <w:tcMar>
              <w:top w:w="16" w:type="dxa"/>
              <w:left w:w="16" w:type="dxa"/>
              <w:right w:w="16" w:type="dxa"/>
            </w:tcMar>
            <w:vAlign w:val="center"/>
          </w:tcPr>
          <w:p w14:paraId="024CF86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国民经济</w:t>
            </w:r>
          </w:p>
          <w:p w14:paraId="53951933">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2449" w:type="dxa"/>
            <w:noWrap w:val="0"/>
            <w:vAlign w:val="center"/>
          </w:tcPr>
          <w:p w14:paraId="4C2FA70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C3360 金属表面处理及热处理加工</w:t>
            </w:r>
          </w:p>
        </w:tc>
        <w:tc>
          <w:tcPr>
            <w:tcW w:w="2212" w:type="dxa"/>
            <w:noWrap w:val="0"/>
            <w:vAlign w:val="center"/>
          </w:tcPr>
          <w:p w14:paraId="6A85D74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bookmarkStart w:id="1" w:name="_Hlk49843745"/>
            <w:r>
              <w:rPr>
                <w:rFonts w:hint="default" w:ascii="Times New Roman" w:hAnsi="Times New Roman" w:cs="Times New Roman"/>
                <w:color w:val="auto"/>
                <w:szCs w:val="21"/>
              </w:rPr>
              <w:t>建设项目</w:t>
            </w:r>
          </w:p>
          <w:p w14:paraId="11C2CAE7">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行业类别</w:t>
            </w:r>
            <w:bookmarkEnd w:id="1"/>
          </w:p>
        </w:tc>
        <w:tc>
          <w:tcPr>
            <w:tcW w:w="3075" w:type="dxa"/>
            <w:noWrap w:val="0"/>
            <w:vAlign w:val="center"/>
          </w:tcPr>
          <w:p w14:paraId="4B6ECBC4">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000000" w:themeColor="text1"/>
                <w:szCs w:val="21"/>
                <w:lang w:val="en-US" w:eastAsia="zh-CN"/>
                <w14:textFill>
                  <w14:solidFill>
                    <w14:schemeClr w14:val="tx1"/>
                  </w14:solidFill>
                </w14:textFill>
              </w:rPr>
              <w:t>三十、金属制品业 67金属表面处理及热处理加工  其他（年用非溶剂型低VOCs含量涂料10吨以下的除外）</w:t>
            </w:r>
          </w:p>
        </w:tc>
      </w:tr>
      <w:tr w14:paraId="16F9B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70" w:type="dxa"/>
            <w:gridSpan w:val="2"/>
            <w:noWrap w:val="0"/>
            <w:tcMar>
              <w:top w:w="16" w:type="dxa"/>
              <w:left w:w="16" w:type="dxa"/>
              <w:right w:w="16" w:type="dxa"/>
            </w:tcMar>
            <w:vAlign w:val="center"/>
          </w:tcPr>
          <w:p w14:paraId="483004E7">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2449" w:type="dxa"/>
            <w:noWrap w:val="0"/>
            <w:vAlign w:val="center"/>
          </w:tcPr>
          <w:p w14:paraId="5C038003">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新建（迁建）</w:t>
            </w:r>
          </w:p>
          <w:p w14:paraId="6BE76E7C">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改建</w:t>
            </w:r>
          </w:p>
          <w:p w14:paraId="77B58A26">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扩建</w:t>
            </w:r>
          </w:p>
          <w:p w14:paraId="4CE067FF">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技术改造</w:t>
            </w:r>
          </w:p>
        </w:tc>
        <w:tc>
          <w:tcPr>
            <w:tcW w:w="2212" w:type="dxa"/>
            <w:noWrap w:val="0"/>
            <w:vAlign w:val="center"/>
          </w:tcPr>
          <w:p w14:paraId="55B236F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14:paraId="12277A00">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3075" w:type="dxa"/>
            <w:noWrap w:val="0"/>
            <w:vAlign w:val="center"/>
          </w:tcPr>
          <w:p w14:paraId="78EFFE98">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 xml:space="preserve">首次申报项目             </w:t>
            </w:r>
          </w:p>
          <w:p w14:paraId="19C0DEE6">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不予批准后再次申报项目</w:t>
            </w:r>
          </w:p>
          <w:p w14:paraId="152C41DC">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 xml:space="preserve">超五年重新审核项目     </w:t>
            </w:r>
          </w:p>
          <w:p w14:paraId="2ABC07EC">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重大变动重新报批项目</w:t>
            </w:r>
          </w:p>
        </w:tc>
      </w:tr>
      <w:tr w14:paraId="55100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70" w:type="dxa"/>
            <w:gridSpan w:val="2"/>
            <w:noWrap w:val="0"/>
            <w:tcMar>
              <w:top w:w="16" w:type="dxa"/>
              <w:left w:w="16" w:type="dxa"/>
              <w:right w:w="16" w:type="dxa"/>
            </w:tcMar>
            <w:vAlign w:val="center"/>
          </w:tcPr>
          <w:p w14:paraId="5FB17D2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项目备案部门</w:t>
            </w:r>
          </w:p>
        </w:tc>
        <w:tc>
          <w:tcPr>
            <w:tcW w:w="2449" w:type="dxa"/>
            <w:noWrap w:val="0"/>
            <w:vAlign w:val="center"/>
          </w:tcPr>
          <w:p w14:paraId="5724752E">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宝鸡市陈仓区发展和改革局</w:t>
            </w:r>
          </w:p>
        </w:tc>
        <w:tc>
          <w:tcPr>
            <w:tcW w:w="2212" w:type="dxa"/>
            <w:noWrap w:val="0"/>
            <w:vAlign w:val="center"/>
          </w:tcPr>
          <w:p w14:paraId="5D637D2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项目审批（核准/备案）文号（选填）</w:t>
            </w:r>
          </w:p>
        </w:tc>
        <w:tc>
          <w:tcPr>
            <w:tcW w:w="3075" w:type="dxa"/>
            <w:noWrap w:val="0"/>
            <w:vAlign w:val="center"/>
          </w:tcPr>
          <w:p w14:paraId="208160E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2F84B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0" w:type="dxa"/>
            <w:gridSpan w:val="2"/>
            <w:noWrap w:val="0"/>
            <w:tcMar>
              <w:top w:w="16" w:type="dxa"/>
              <w:left w:w="16" w:type="dxa"/>
              <w:right w:w="16" w:type="dxa"/>
            </w:tcMar>
            <w:vAlign w:val="center"/>
          </w:tcPr>
          <w:p w14:paraId="4976C22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总投资</w:t>
            </w:r>
          </w:p>
          <w:p w14:paraId="5F0BBCB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（万元）</w:t>
            </w:r>
          </w:p>
        </w:tc>
        <w:tc>
          <w:tcPr>
            <w:tcW w:w="2449" w:type="dxa"/>
            <w:noWrap w:val="0"/>
            <w:vAlign w:val="center"/>
          </w:tcPr>
          <w:p w14:paraId="34CD1FE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400</w:t>
            </w:r>
          </w:p>
        </w:tc>
        <w:tc>
          <w:tcPr>
            <w:tcW w:w="2212" w:type="dxa"/>
            <w:noWrap w:val="0"/>
            <w:tcMar>
              <w:top w:w="16" w:type="dxa"/>
              <w:left w:w="16" w:type="dxa"/>
              <w:right w:w="16" w:type="dxa"/>
            </w:tcMar>
            <w:vAlign w:val="center"/>
          </w:tcPr>
          <w:p w14:paraId="2596778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3075" w:type="dxa"/>
            <w:noWrap w:val="0"/>
            <w:vAlign w:val="center"/>
          </w:tcPr>
          <w:p w14:paraId="00BE1F8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27</w:t>
            </w:r>
          </w:p>
        </w:tc>
      </w:tr>
      <w:tr w14:paraId="1C44E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70" w:type="dxa"/>
            <w:gridSpan w:val="2"/>
            <w:noWrap w:val="0"/>
            <w:tcMar>
              <w:top w:w="16" w:type="dxa"/>
              <w:left w:w="16" w:type="dxa"/>
              <w:right w:w="16" w:type="dxa"/>
            </w:tcMar>
            <w:vAlign w:val="center"/>
          </w:tcPr>
          <w:p w14:paraId="6229E31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2449" w:type="dxa"/>
            <w:noWrap w:val="0"/>
            <w:vAlign w:val="center"/>
          </w:tcPr>
          <w:p w14:paraId="39DD7BE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6.75</w:t>
            </w:r>
          </w:p>
        </w:tc>
        <w:tc>
          <w:tcPr>
            <w:tcW w:w="2212" w:type="dxa"/>
            <w:noWrap w:val="0"/>
            <w:tcMar>
              <w:top w:w="16" w:type="dxa"/>
              <w:left w:w="16" w:type="dxa"/>
              <w:right w:w="16" w:type="dxa"/>
            </w:tcMar>
            <w:vAlign w:val="center"/>
          </w:tcPr>
          <w:p w14:paraId="3ED5B59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3075" w:type="dxa"/>
            <w:noWrap w:val="0"/>
            <w:vAlign w:val="center"/>
          </w:tcPr>
          <w:p w14:paraId="629AD46B">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个月</w:t>
            </w:r>
          </w:p>
        </w:tc>
      </w:tr>
      <w:tr w14:paraId="254BA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0" w:type="dxa"/>
            <w:gridSpan w:val="2"/>
            <w:noWrap w:val="0"/>
            <w:tcMar>
              <w:top w:w="16" w:type="dxa"/>
              <w:left w:w="16" w:type="dxa"/>
              <w:right w:w="16" w:type="dxa"/>
            </w:tcMar>
            <w:vAlign w:val="center"/>
          </w:tcPr>
          <w:p w14:paraId="3274FDF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2449" w:type="dxa"/>
            <w:noWrap w:val="0"/>
            <w:vAlign w:val="center"/>
          </w:tcPr>
          <w:p w14:paraId="037869A8">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否</w:t>
            </w:r>
          </w:p>
          <w:p w14:paraId="1CFD8825">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是：</w:t>
            </w:r>
            <w:r>
              <w:rPr>
                <w:rFonts w:hint="default" w:ascii="Times New Roman" w:hAnsi="Times New Roman" w:cs="Times New Roman"/>
                <w:color w:val="auto"/>
                <w:szCs w:val="21"/>
                <w:u w:val="single"/>
                <w:lang w:val="en-US" w:eastAsia="zh-CN"/>
              </w:rPr>
              <w:t xml:space="preserve">        </w:t>
            </w:r>
            <w:r>
              <w:rPr>
                <w:rFonts w:hint="default" w:ascii="Times New Roman" w:hAnsi="Times New Roman" w:cs="Times New Roman"/>
                <w:color w:val="auto"/>
                <w:szCs w:val="21"/>
                <w:u w:val="single"/>
              </w:rPr>
              <w:t xml:space="preserve">             </w:t>
            </w:r>
          </w:p>
        </w:tc>
        <w:tc>
          <w:tcPr>
            <w:tcW w:w="2212" w:type="dxa"/>
            <w:noWrap w:val="0"/>
            <w:tcMar>
              <w:top w:w="16" w:type="dxa"/>
              <w:left w:w="16" w:type="dxa"/>
              <w:right w:w="16" w:type="dxa"/>
            </w:tcMar>
            <w:vAlign w:val="center"/>
          </w:tcPr>
          <w:p w14:paraId="0AEADCB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用地（用海）</w:t>
            </w:r>
          </w:p>
          <w:p w14:paraId="165DB1A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面积（m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c>
          <w:tcPr>
            <w:tcW w:w="3075" w:type="dxa"/>
            <w:noWrap w:val="0"/>
            <w:vAlign w:val="center"/>
          </w:tcPr>
          <w:p w14:paraId="384CA3A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2400</w:t>
            </w:r>
          </w:p>
        </w:tc>
      </w:tr>
      <w:tr w14:paraId="35C8DF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570" w:type="dxa"/>
            <w:gridSpan w:val="2"/>
            <w:noWrap w:val="0"/>
            <w:vAlign w:val="center"/>
          </w:tcPr>
          <w:p w14:paraId="7BEF460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7736" w:type="dxa"/>
            <w:gridSpan w:val="3"/>
            <w:noWrap w:val="0"/>
            <w:vAlign w:val="center"/>
          </w:tcPr>
          <w:p w14:paraId="4A42421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tc>
      </w:tr>
      <w:tr w14:paraId="18505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70" w:type="dxa"/>
            <w:gridSpan w:val="2"/>
            <w:noWrap w:val="0"/>
            <w:vAlign w:val="center"/>
          </w:tcPr>
          <w:p w14:paraId="390BD14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规划情况</w:t>
            </w:r>
          </w:p>
        </w:tc>
        <w:tc>
          <w:tcPr>
            <w:tcW w:w="7736" w:type="dxa"/>
            <w:gridSpan w:val="3"/>
            <w:noWrap w:val="0"/>
            <w:vAlign w:val="center"/>
          </w:tcPr>
          <w:p w14:paraId="3F181E1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无</w:t>
            </w:r>
          </w:p>
        </w:tc>
      </w:tr>
      <w:tr w14:paraId="2FE83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570" w:type="dxa"/>
            <w:gridSpan w:val="2"/>
            <w:noWrap w:val="0"/>
            <w:vAlign w:val="center"/>
          </w:tcPr>
          <w:p w14:paraId="141170B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规划环境影响</w:t>
            </w:r>
          </w:p>
          <w:p w14:paraId="4E05483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评价情况</w:t>
            </w:r>
          </w:p>
        </w:tc>
        <w:tc>
          <w:tcPr>
            <w:tcW w:w="7736" w:type="dxa"/>
            <w:gridSpan w:val="3"/>
            <w:noWrap w:val="0"/>
            <w:vAlign w:val="center"/>
          </w:tcPr>
          <w:p w14:paraId="3B2B005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tc>
      </w:tr>
      <w:tr w14:paraId="7CAA88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1570" w:type="dxa"/>
            <w:gridSpan w:val="2"/>
            <w:noWrap w:val="0"/>
            <w:vAlign w:val="center"/>
          </w:tcPr>
          <w:p w14:paraId="62A2506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规划及规划环境影响评价符合性分析</w:t>
            </w:r>
          </w:p>
        </w:tc>
        <w:tc>
          <w:tcPr>
            <w:tcW w:w="7736" w:type="dxa"/>
            <w:gridSpan w:val="3"/>
            <w:noWrap w:val="0"/>
            <w:vAlign w:val="center"/>
          </w:tcPr>
          <w:p w14:paraId="7BC743E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lang w:eastAsia="zh-CN"/>
              </w:rPr>
            </w:pPr>
            <w:r>
              <w:rPr>
                <w:rFonts w:hint="default" w:ascii="Times New Roman" w:hAnsi="Times New Roman" w:cs="Times New Roman"/>
                <w:color w:val="auto"/>
                <w:kern w:val="0"/>
                <w:szCs w:val="21"/>
              </w:rPr>
              <w:t>无</w:t>
            </w:r>
          </w:p>
        </w:tc>
      </w:tr>
      <w:tr w14:paraId="62379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5" w:type="dxa"/>
            <w:noWrap w:val="0"/>
            <w:vAlign w:val="center"/>
          </w:tcPr>
          <w:p w14:paraId="358E55A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8521" w:type="dxa"/>
            <w:gridSpan w:val="4"/>
            <w:noWrap w:val="0"/>
            <w:vAlign w:val="center"/>
          </w:tcPr>
          <w:p w14:paraId="60E85A3A">
            <w:pPr>
              <w:spacing w:line="360" w:lineRule="auto"/>
              <w:ind w:firstLine="482" w:firstLineChars="200"/>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1.项目与</w:t>
            </w:r>
            <w:r>
              <w:rPr>
                <w:rFonts w:hint="default" w:ascii="Times New Roman" w:hAnsi="Times New Roman" w:cs="Times New Roman"/>
                <w:b/>
                <w:bCs w:val="0"/>
                <w:color w:val="auto"/>
                <w:sz w:val="24"/>
                <w:szCs w:val="24"/>
                <w:lang w:eastAsia="zh-CN"/>
              </w:rPr>
              <w:t>“</w:t>
            </w:r>
            <w:r>
              <w:rPr>
                <w:rFonts w:hint="default" w:ascii="Times New Roman" w:hAnsi="Times New Roman" w:cs="Times New Roman"/>
                <w:b/>
                <w:bCs w:val="0"/>
                <w:color w:val="auto"/>
                <w:sz w:val="24"/>
                <w:szCs w:val="24"/>
              </w:rPr>
              <w:t>三线一单</w:t>
            </w:r>
            <w:r>
              <w:rPr>
                <w:rFonts w:hint="default" w:ascii="Times New Roman" w:hAnsi="Times New Roman" w:cs="Times New Roman"/>
                <w:b/>
                <w:bCs w:val="0"/>
                <w:color w:val="auto"/>
                <w:sz w:val="24"/>
                <w:szCs w:val="24"/>
                <w:lang w:eastAsia="zh-CN"/>
              </w:rPr>
              <w:t>”</w:t>
            </w:r>
            <w:r>
              <w:rPr>
                <w:rFonts w:hint="default" w:ascii="Times New Roman" w:hAnsi="Times New Roman" w:cs="Times New Roman"/>
                <w:b/>
                <w:bCs w:val="0"/>
                <w:color w:val="auto"/>
                <w:sz w:val="24"/>
                <w:szCs w:val="24"/>
              </w:rPr>
              <w:t>相符性分析</w:t>
            </w:r>
          </w:p>
          <w:p w14:paraId="055D31DA">
            <w:pPr>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根据《陕西省“三线一单”生态环境分区管理应用技术指南》进行建设项目与“三线一单”生态环境分区管控符合性分析，采用“一图、一表、一说明”的形式表达（详见附件）。</w:t>
            </w:r>
          </w:p>
          <w:p w14:paraId="7E73A1CC">
            <w:pPr>
              <w:autoSpaceDE w:val="0"/>
              <w:autoSpaceDN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sz w:val="24"/>
                <w:szCs w:val="24"/>
                <w:lang w:val="en-US" w:eastAsia="zh-CN"/>
              </w:rPr>
            </w:pPr>
            <w:r>
              <w:rPr>
                <w:rFonts w:hint="default" w:ascii="Times New Roman" w:hAnsi="Times New Roman" w:cs="Times New Roman"/>
                <w:caps w:val="0"/>
                <w:smallCaps w:val="0"/>
                <w:color w:val="auto"/>
                <w:spacing w:val="0"/>
                <w:w w:val="100"/>
                <w:sz w:val="24"/>
                <w:szCs w:val="24"/>
                <w:lang w:val="en-US" w:eastAsia="zh-CN"/>
              </w:rPr>
              <w:t>（1）“一图”</w:t>
            </w:r>
          </w:p>
          <w:p w14:paraId="01C174DE">
            <w:pPr>
              <w:autoSpaceDE w:val="0"/>
              <w:autoSpaceDN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sz w:val="21"/>
                <w:szCs w:val="21"/>
                <w:lang w:val="en-US" w:eastAsia="zh-CN"/>
              </w:rPr>
            </w:pPr>
            <w:r>
              <w:rPr>
                <w:rFonts w:hint="default" w:ascii="Times New Roman" w:hAnsi="Times New Roman" w:cs="Times New Roman"/>
                <w:caps w:val="0"/>
                <w:smallCaps w:val="0"/>
                <w:color w:val="auto"/>
                <w:spacing w:val="0"/>
                <w:w w:val="100"/>
                <w:sz w:val="24"/>
                <w:szCs w:val="24"/>
                <w:lang w:val="en-US" w:eastAsia="zh-CN"/>
              </w:rPr>
              <w:t>根据陕西省“三线一单”数据应用管理平台，形成对照分析示意图，图中所示本项目位于重点管控单元，管控单元对照分析示意图见下图：</w:t>
            </w:r>
          </w:p>
          <w:p w14:paraId="0EAF5F51">
            <w:pPr>
              <w:autoSpaceDE w:val="0"/>
              <w:autoSpaceDN w:val="0"/>
              <w:adjustRightInd w:val="0"/>
              <w:snapToGrid w:val="0"/>
              <w:spacing w:line="36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rPr>
              <mc:AlternateContent>
                <mc:Choice Requires="wps">
                  <w:drawing>
                    <wp:anchor distT="0" distB="0" distL="114300" distR="114300" simplePos="0" relativeHeight="251663360" behindDoc="0" locked="0" layoutInCell="1" allowOverlap="1">
                      <wp:simplePos x="0" y="0"/>
                      <wp:positionH relativeFrom="column">
                        <wp:posOffset>1348105</wp:posOffset>
                      </wp:positionH>
                      <wp:positionV relativeFrom="paragraph">
                        <wp:posOffset>1904365</wp:posOffset>
                      </wp:positionV>
                      <wp:extent cx="799465" cy="304165"/>
                      <wp:effectExtent l="5080" t="4445" r="452755" b="15240"/>
                      <wp:wrapNone/>
                      <wp:docPr id="120" name="圆角矩形标注 120"/>
                      <wp:cNvGraphicFramePr/>
                      <a:graphic xmlns:a="http://schemas.openxmlformats.org/drawingml/2006/main">
                        <a:graphicData uri="http://schemas.microsoft.com/office/word/2010/wordprocessingShape">
                          <wps:wsp>
                            <wps:cNvSpPr/>
                            <wps:spPr>
                              <a:xfrm>
                                <a:off x="4975225" y="1579880"/>
                                <a:ext cx="799465" cy="304165"/>
                              </a:xfrm>
                              <a:prstGeom prst="wedgeRoundRectCallout">
                                <a:avLst>
                                  <a:gd name="adj1" fmla="val 105440"/>
                                  <a:gd name="adj2" fmla="val -43945"/>
                                  <a:gd name="adj3" fmla="val 16667"/>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D3969C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6.15pt;margin-top:149.95pt;height:23.95pt;width:62.95pt;z-index:251663360;v-text-anchor:middle;mso-width-relative:page;mso-height-relative:page;" fillcolor="#FFFFFF [3212]" filled="t" stroked="t" coordsize="21600,21600" o:gfxdata="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DJohDba&#10;AAAACwEAAA8AAAAAAAAAAQAgAAAAIgAAAGRycy9kb3ducmV2LnhtbFBLAQIUABQAAAAIAIdO4kDN&#10;jVjTyQIAAIoFAAAOAAAAAAAAAAEAIAAAACkBAABkcnMvZTJvRG9jLnhtbFBLBQYAAAAABgAGAFkB&#10;AABkBgAAAAA=&#10;" adj="33575,1308,14400">
                      <v:fill on="t" focussize="0,0"/>
                      <v:stroke weight="0.5pt" color="#000000 [3213]" joinstyle="round"/>
                      <v:imagedata o:title=""/>
                      <o:lock v:ext="edit" aspectratio="f"/>
                      <v:textbox>
                        <w:txbxContent>
                          <w:p w14:paraId="4D3969C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v:textbox>
                    </v:shape>
                  </w:pict>
                </mc:Fallback>
              </mc:AlternateContent>
            </w:r>
            <w:r>
              <w:rPr>
                <w:rFonts w:hint="default" w:ascii="Times New Roman" w:hAnsi="Times New Roman" w:cs="Times New Roman"/>
                <w:sz w:val="21"/>
              </w:rPr>
              <mc:AlternateContent>
                <mc:Choice Requires="wpg">
                  <w:drawing>
                    <wp:anchor distT="0" distB="0" distL="114300" distR="114300" simplePos="0" relativeHeight="251664384" behindDoc="0" locked="0" layoutInCell="1" allowOverlap="1">
                      <wp:simplePos x="0" y="0"/>
                      <wp:positionH relativeFrom="column">
                        <wp:posOffset>4033520</wp:posOffset>
                      </wp:positionH>
                      <wp:positionV relativeFrom="paragraph">
                        <wp:posOffset>20320</wp:posOffset>
                      </wp:positionV>
                      <wp:extent cx="933450" cy="3503295"/>
                      <wp:effectExtent l="0" t="0" r="0" b="1905"/>
                      <wp:wrapNone/>
                      <wp:docPr id="2" name="组合 2"/>
                      <wp:cNvGraphicFramePr/>
                      <a:graphic xmlns:a="http://schemas.openxmlformats.org/drawingml/2006/main">
                        <a:graphicData uri="http://schemas.microsoft.com/office/word/2010/wordprocessingGroup">
                          <wpg:wgp>
                            <wpg:cNvGrpSpPr/>
                            <wpg:grpSpPr>
                              <a:xfrm>
                                <a:off x="0" y="0"/>
                                <a:ext cx="933450" cy="3503295"/>
                                <a:chOff x="8878" y="38602"/>
                                <a:chExt cx="1470" cy="5517"/>
                              </a:xfrm>
                            </wpg:grpSpPr>
                            <pic:pic xmlns:pic="http://schemas.openxmlformats.org/drawingml/2006/picture">
                              <pic:nvPicPr>
                                <pic:cNvPr id="27" name="图片 3" descr="517c7c2a-57f2-4b7c-95d4-2952c27297e4"/>
                                <pic:cNvPicPr>
                                  <a:picLocks noChangeAspect="1"/>
                                </pic:cNvPicPr>
                              </pic:nvPicPr>
                              <pic:blipFill>
                                <a:blip r:embed="rId9"/>
                                <a:stretch>
                                  <a:fillRect/>
                                </a:stretch>
                              </pic:blipFill>
                              <pic:spPr>
                                <a:xfrm>
                                  <a:off x="9402" y="38602"/>
                                  <a:ext cx="746" cy="758"/>
                                </a:xfrm>
                                <a:prstGeom prst="rect">
                                  <a:avLst/>
                                </a:prstGeom>
                                <a:noFill/>
                                <a:ln>
                                  <a:noFill/>
                                </a:ln>
                              </pic:spPr>
                            </pic:pic>
                            <pic:pic xmlns:pic="http://schemas.openxmlformats.org/drawingml/2006/picture">
                              <pic:nvPicPr>
                                <pic:cNvPr id="1" name="图片 3"/>
                                <pic:cNvPicPr>
                                  <a:picLocks noChangeAspect="1"/>
                                </pic:cNvPicPr>
                              </pic:nvPicPr>
                              <pic:blipFill>
                                <a:blip r:embed="rId10"/>
                                <a:stretch>
                                  <a:fillRect/>
                                </a:stretch>
                              </pic:blipFill>
                              <pic:spPr>
                                <a:xfrm>
                                  <a:off x="8878" y="43205"/>
                                  <a:ext cx="1470" cy="915"/>
                                </a:xfrm>
                                <a:prstGeom prst="rect">
                                  <a:avLst/>
                                </a:prstGeom>
                                <a:noFill/>
                                <a:ln>
                                  <a:noFill/>
                                </a:ln>
                              </pic:spPr>
                            </pic:pic>
                          </wpg:wgp>
                        </a:graphicData>
                      </a:graphic>
                    </wp:anchor>
                  </w:drawing>
                </mc:Choice>
                <mc:Fallback>
                  <w:pict>
                    <v:group id="_x0000_s1026" o:spid="_x0000_s1026" o:spt="203" style="position:absolute;left:0pt;margin-left:317.6pt;margin-top:1.6pt;height:275.85pt;width:73.5pt;z-index:251664384;mso-width-relative:page;mso-height-relative:page;" coordorigin="8878,38602" coordsize="1470,5517" o:gfxdata="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">
                      <o:lock v:ext="edit" aspectratio="f"/>
                      <v:shape id="图片 3" o:spid="_x0000_s1026" o:spt="75" alt="517c7c2a-57f2-4b7c-95d4-2952c27297e4" type="#_x0000_t75" style="position:absolute;left:9402;top:38602;height:758;width:746;" filled="f" o:preferrelative="t" stroked="f" coordsize="21600,21600" o:gfxdata="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UY9F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图片 3" o:spid="_x0000_s1026" o:spt="75" type="#_x0000_t75" style="position:absolute;left:8878;top:43205;height:915;width:1470;" filled="f" o:preferrelative="t" stroked="f" coordsize="21600,21600" o:gfxdata="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1KrgAAADaAAAA&#10;DwAAAAAAAAABACAAAAAiAAAAZHJzL2Rvd25yZXYueG1sUEsBAhQAFAAAAAgAh07iQDMvBZ47AAAA&#10;OQAAABAAAAAAAAAAAQAgAAAABwEAAGRycy9zaGFwZXhtbC54bWxQSwUGAAAAAAYABgBbAQAAsQMA&#10;AAAA&#10;">
                        <v:fill on="f" focussize="0,0"/>
                        <v:stroke on="f"/>
                        <v:imagedata r:id="rId10" o:title=""/>
                        <o:lock v:ext="edit" aspectratio="t"/>
                      </v:shape>
                    </v:group>
                  </w:pict>
                </mc:Fallback>
              </mc:AlternateContent>
            </w:r>
            <w:r>
              <w:rPr>
                <w:rFonts w:hint="default" w:ascii="Times New Roman" w:hAnsi="Times New Roman" w:cs="Times New Roman"/>
              </w:rPr>
              <w:drawing>
                <wp:inline distT="0" distB="0" distL="114300" distR="114300">
                  <wp:extent cx="4754245" cy="3536950"/>
                  <wp:effectExtent l="12700" t="12700" r="14605" b="1270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1"/>
                          <a:stretch>
                            <a:fillRect/>
                          </a:stretch>
                        </pic:blipFill>
                        <pic:spPr>
                          <a:xfrm>
                            <a:off x="0" y="0"/>
                            <a:ext cx="4754245" cy="3536950"/>
                          </a:xfrm>
                          <a:prstGeom prst="rect">
                            <a:avLst/>
                          </a:prstGeom>
                          <a:noFill/>
                          <a:ln w="12700">
                            <a:solidFill>
                              <a:schemeClr val="tx1"/>
                            </a:solidFill>
                          </a:ln>
                        </pic:spPr>
                      </pic:pic>
                    </a:graphicData>
                  </a:graphic>
                </wp:inline>
              </w:drawing>
            </w:r>
          </w:p>
          <w:p w14:paraId="476D44B1">
            <w:pPr>
              <w:pStyle w:val="178"/>
              <w:bidi w:val="0"/>
              <w:spacing w:line="36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图1-1  本项目与环境管控单元对照分析示意图</w:t>
            </w:r>
          </w:p>
          <w:p w14:paraId="4B397BE5">
            <w:pPr>
              <w:autoSpaceDE w:val="0"/>
              <w:autoSpaceDN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sz w:val="24"/>
                <w:szCs w:val="24"/>
                <w:lang w:val="en-US" w:eastAsia="zh-CN"/>
              </w:rPr>
            </w:pPr>
            <w:r>
              <w:rPr>
                <w:rFonts w:hint="default" w:ascii="Times New Roman" w:hAnsi="Times New Roman" w:cs="Times New Roman"/>
                <w:color w:val="auto"/>
                <w:sz w:val="24"/>
                <w:szCs w:val="24"/>
                <w:lang w:val="en-US" w:eastAsia="zh-CN"/>
              </w:rPr>
              <w:t>（2）“一表”</w:t>
            </w:r>
          </w:p>
          <w:p w14:paraId="35E7A75D">
            <w:pPr>
              <w:autoSpaceDE w:val="0"/>
              <w:autoSpaceDN w:val="0"/>
              <w:adjustRightInd w:val="0"/>
              <w:snapToGrid w:val="0"/>
              <w:spacing w:line="360" w:lineRule="auto"/>
              <w:ind w:firstLine="480" w:firstLineChars="200"/>
              <w:jc w:val="both"/>
              <w:rPr>
                <w:rFonts w:hint="default" w:ascii="Times New Roman" w:hAnsi="Times New Roman" w:cs="Times New Roman"/>
                <w:caps w:val="0"/>
                <w:smallCaps w:val="0"/>
                <w:color w:val="auto"/>
                <w:spacing w:val="0"/>
                <w:w w:val="100"/>
                <w:sz w:val="24"/>
                <w:szCs w:val="24"/>
                <w:lang w:val="en-US" w:eastAsia="zh-CN"/>
              </w:rPr>
            </w:pPr>
            <w:r>
              <w:rPr>
                <w:rFonts w:hint="default" w:ascii="Times New Roman" w:hAnsi="Times New Roman" w:eastAsia="宋体" w:cs="Times New Roman"/>
                <w:caps w:val="0"/>
                <w:smallCaps w:val="0"/>
                <w:color w:val="auto"/>
                <w:spacing w:val="0"/>
                <w:w w:val="100"/>
                <w:sz w:val="24"/>
                <w:szCs w:val="24"/>
                <w:lang w:val="en-US" w:eastAsia="zh-CN"/>
              </w:rPr>
              <w:t>经查阅陕西省</w:t>
            </w:r>
            <w:r>
              <w:rPr>
                <w:rFonts w:hint="default" w:ascii="Times New Roman" w:hAnsi="Times New Roman" w:cs="Times New Roman"/>
                <w:caps w:val="0"/>
                <w:smallCaps w:val="0"/>
                <w:color w:val="auto"/>
                <w:spacing w:val="0"/>
                <w:w w:val="100"/>
                <w:sz w:val="24"/>
                <w:szCs w:val="24"/>
                <w:lang w:val="en-US" w:eastAsia="zh-CN"/>
              </w:rPr>
              <w:t>“</w:t>
            </w:r>
            <w:r>
              <w:rPr>
                <w:rFonts w:hint="default" w:ascii="Times New Roman" w:hAnsi="Times New Roman" w:eastAsia="宋体" w:cs="Times New Roman"/>
                <w:caps w:val="0"/>
                <w:smallCaps w:val="0"/>
                <w:color w:val="auto"/>
                <w:spacing w:val="0"/>
                <w:w w:val="100"/>
                <w:sz w:val="24"/>
                <w:szCs w:val="24"/>
                <w:lang w:val="en-US" w:eastAsia="zh-CN"/>
              </w:rPr>
              <w:t>三线一单</w:t>
            </w:r>
            <w:r>
              <w:rPr>
                <w:rFonts w:hint="default" w:ascii="Times New Roman" w:hAnsi="Times New Roman" w:cs="Times New Roman"/>
                <w:caps w:val="0"/>
                <w:smallCaps w:val="0"/>
                <w:color w:val="auto"/>
                <w:spacing w:val="0"/>
                <w:w w:val="100"/>
                <w:sz w:val="24"/>
                <w:szCs w:val="24"/>
                <w:lang w:val="en-US" w:eastAsia="zh-CN"/>
              </w:rPr>
              <w:t>”</w:t>
            </w:r>
            <w:r>
              <w:rPr>
                <w:rFonts w:hint="default" w:ascii="Times New Roman" w:hAnsi="Times New Roman" w:eastAsia="宋体" w:cs="Times New Roman"/>
                <w:caps w:val="0"/>
                <w:smallCaps w:val="0"/>
                <w:color w:val="auto"/>
                <w:spacing w:val="0"/>
                <w:w w:val="100"/>
                <w:sz w:val="24"/>
                <w:szCs w:val="24"/>
                <w:lang w:val="en-US" w:eastAsia="zh-CN"/>
              </w:rPr>
              <w:t>数据应用系统（V1.0），</w:t>
            </w:r>
            <w:r>
              <w:rPr>
                <w:rFonts w:hint="default" w:ascii="Times New Roman" w:hAnsi="Times New Roman" w:cs="Times New Roman"/>
                <w:caps w:val="0"/>
                <w:smallCaps w:val="0"/>
                <w:color w:val="auto"/>
                <w:spacing w:val="0"/>
                <w:w w:val="100"/>
                <w:sz w:val="24"/>
                <w:szCs w:val="24"/>
                <w:lang w:eastAsia="zh-CN"/>
              </w:rPr>
              <w:t>本项目不涉及优先保护单元</w:t>
            </w:r>
            <w:r>
              <w:rPr>
                <w:rFonts w:hint="default" w:ascii="Times New Roman" w:hAnsi="Times New Roman" w:cs="Times New Roman"/>
                <w:caps w:val="0"/>
                <w:smallCaps w:val="0"/>
                <w:color w:val="auto"/>
                <w:spacing w:val="0"/>
                <w:w w:val="100"/>
                <w:sz w:val="24"/>
                <w:szCs w:val="24"/>
                <w:lang w:val="en-US" w:eastAsia="zh-CN"/>
              </w:rPr>
              <w:t>，不涉及一般管控单元</w:t>
            </w:r>
            <w:r>
              <w:rPr>
                <w:rFonts w:hint="default" w:ascii="Times New Roman" w:hAnsi="Times New Roman" w:cs="Times New Roman"/>
                <w:caps w:val="0"/>
                <w:smallCaps w:val="0"/>
                <w:color w:val="auto"/>
                <w:spacing w:val="0"/>
                <w:w w:val="100"/>
                <w:sz w:val="24"/>
                <w:szCs w:val="24"/>
                <w:lang w:eastAsia="zh-CN"/>
              </w:rPr>
              <w:t>，</w:t>
            </w:r>
            <w:r>
              <w:rPr>
                <w:rFonts w:hint="default" w:ascii="Times New Roman" w:hAnsi="Times New Roman" w:eastAsia="宋体" w:cs="Times New Roman"/>
                <w:caps w:val="0"/>
                <w:smallCaps w:val="0"/>
                <w:color w:val="auto"/>
                <w:spacing w:val="0"/>
                <w:w w:val="100"/>
                <w:sz w:val="24"/>
                <w:szCs w:val="24"/>
                <w:lang w:val="en-US" w:eastAsia="zh-CN"/>
              </w:rPr>
              <w:t>项目范围涉及的生态环境</w:t>
            </w:r>
            <w:r>
              <w:rPr>
                <w:rFonts w:hint="default" w:ascii="Times New Roman" w:hAnsi="Times New Roman" w:eastAsia="宋体" w:cs="Times New Roman"/>
                <w:b w:val="0"/>
                <w:bCs w:val="0"/>
                <w:color w:val="auto"/>
                <w:sz w:val="24"/>
                <w:szCs w:val="24"/>
                <w:lang w:val="en-US" w:eastAsia="zh-CN"/>
              </w:rPr>
              <w:t>管控</w:t>
            </w:r>
            <w:r>
              <w:rPr>
                <w:rFonts w:hint="default" w:ascii="Times New Roman" w:hAnsi="Times New Roman" w:eastAsia="宋体" w:cs="Times New Roman"/>
                <w:caps w:val="0"/>
                <w:smallCaps w:val="0"/>
                <w:color w:val="auto"/>
                <w:spacing w:val="0"/>
                <w:w w:val="100"/>
                <w:sz w:val="24"/>
                <w:szCs w:val="24"/>
                <w:lang w:val="en-US" w:eastAsia="zh-CN"/>
              </w:rPr>
              <w:t>单元准入清单及符合性说明详见下表</w:t>
            </w:r>
            <w:r>
              <w:rPr>
                <w:rFonts w:hint="default" w:ascii="Times New Roman" w:hAnsi="Times New Roman" w:cs="Times New Roman"/>
                <w:caps w:val="0"/>
                <w:smallCaps w:val="0"/>
                <w:color w:val="auto"/>
                <w:spacing w:val="0"/>
                <w:w w:val="100"/>
                <w:sz w:val="24"/>
                <w:szCs w:val="24"/>
                <w:lang w:val="en-US" w:eastAsia="zh-CN"/>
              </w:rPr>
              <w:t>：</w:t>
            </w:r>
          </w:p>
          <w:p w14:paraId="71A0C135">
            <w:pPr>
              <w:autoSpaceDE w:val="0"/>
              <w:autoSpaceDN w:val="0"/>
              <w:adjustRightInd w:val="0"/>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表</w:t>
            </w:r>
            <w:r>
              <w:rPr>
                <w:rFonts w:hint="default" w:ascii="Times New Roman" w:hAnsi="Times New Roman" w:cs="Times New Roman"/>
                <w:b/>
                <w:bCs w:val="0"/>
                <w:color w:val="auto"/>
                <w:sz w:val="21"/>
                <w:szCs w:val="21"/>
                <w:lang w:val="en-US" w:eastAsia="zh-CN"/>
              </w:rPr>
              <w:t>1-2</w:t>
            </w:r>
            <w:r>
              <w:rPr>
                <w:rFonts w:hint="default" w:ascii="Times New Roman" w:hAnsi="Times New Roman" w:cs="Times New Roman"/>
                <w:b/>
                <w:bCs w:val="0"/>
                <w:color w:val="auto"/>
                <w:sz w:val="21"/>
                <w:szCs w:val="21"/>
              </w:rPr>
              <w:t xml:space="preserve">  </w:t>
            </w:r>
            <w:r>
              <w:rPr>
                <w:rFonts w:hint="default" w:ascii="Times New Roman" w:hAnsi="Times New Roman" w:cs="Times New Roman"/>
                <w:b/>
                <w:bCs w:val="0"/>
                <w:color w:val="auto"/>
                <w:sz w:val="21"/>
                <w:szCs w:val="21"/>
                <w:lang w:val="en-US" w:eastAsia="zh-CN"/>
              </w:rPr>
              <w:t>项目与环境管控单元涉及情况</w:t>
            </w:r>
          </w:p>
          <w:tbl>
            <w:tblPr>
              <w:tblStyle w:val="32"/>
              <w:tblW w:w="4998"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0"/>
              <w:gridCol w:w="793"/>
              <w:gridCol w:w="1081"/>
              <w:gridCol w:w="3196"/>
              <w:gridCol w:w="2433"/>
            </w:tblGrid>
            <w:tr w14:paraId="1B213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5" w:type="pct"/>
                  <w:tcBorders>
                    <w:tl2br w:val="nil"/>
                    <w:tr2bl w:val="nil"/>
                  </w:tcBorders>
                  <w:noWrap w:val="0"/>
                  <w:vAlign w:val="center"/>
                </w:tcPr>
                <w:p w14:paraId="693E4800">
                  <w:pPr>
                    <w:tabs>
                      <w:tab w:val="left" w:pos="1393"/>
                    </w:tabs>
                    <w:adjustRightInd w:val="0"/>
                    <w:snapToGrid w:val="0"/>
                    <w:jc w:val="both"/>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环境管控单元名称</w:t>
                  </w:r>
                </w:p>
              </w:tc>
              <w:tc>
                <w:tcPr>
                  <w:tcW w:w="479" w:type="pct"/>
                  <w:tcBorders>
                    <w:tl2br w:val="nil"/>
                    <w:tr2bl w:val="nil"/>
                  </w:tcBorders>
                  <w:noWrap w:val="0"/>
                  <w:vAlign w:val="center"/>
                </w:tcPr>
                <w:p w14:paraId="32420A75">
                  <w:pPr>
                    <w:tabs>
                      <w:tab w:val="left" w:pos="1393"/>
                    </w:tabs>
                    <w:adjustRightInd w:val="0"/>
                    <w:snapToGrid w:val="0"/>
                    <w:jc w:val="both"/>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单元要素属性</w:t>
                  </w:r>
                </w:p>
              </w:tc>
              <w:tc>
                <w:tcPr>
                  <w:tcW w:w="653" w:type="pct"/>
                  <w:tcBorders>
                    <w:tl2br w:val="nil"/>
                    <w:tr2bl w:val="nil"/>
                  </w:tcBorders>
                  <w:noWrap w:val="0"/>
                  <w:vAlign w:val="center"/>
                </w:tcPr>
                <w:p w14:paraId="10B5F925">
                  <w:pPr>
                    <w:autoSpaceDE w:val="0"/>
                    <w:autoSpaceDN w:val="0"/>
                    <w:adjustRightInd w:val="0"/>
                    <w:snapToGrid w:val="0"/>
                    <w:jc w:val="both"/>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管控要求分类</w:t>
                  </w:r>
                </w:p>
              </w:tc>
              <w:tc>
                <w:tcPr>
                  <w:tcW w:w="1931" w:type="pct"/>
                  <w:tcBorders>
                    <w:tl2br w:val="nil"/>
                    <w:tr2bl w:val="nil"/>
                  </w:tcBorders>
                  <w:noWrap w:val="0"/>
                  <w:vAlign w:val="center"/>
                </w:tcPr>
                <w:p w14:paraId="7551F930">
                  <w:pPr>
                    <w:autoSpaceDE w:val="0"/>
                    <w:autoSpaceDN w:val="0"/>
                    <w:adjustRightInd w:val="0"/>
                    <w:snapToGrid w:val="0"/>
                    <w:jc w:val="both"/>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管控要求</w:t>
                  </w:r>
                </w:p>
              </w:tc>
              <w:tc>
                <w:tcPr>
                  <w:tcW w:w="1470" w:type="pct"/>
                  <w:tcBorders>
                    <w:tl2br w:val="nil"/>
                    <w:tr2bl w:val="nil"/>
                  </w:tcBorders>
                  <w:noWrap w:val="0"/>
                  <w:vAlign w:val="center"/>
                </w:tcPr>
                <w:p w14:paraId="3B937F23">
                  <w:pPr>
                    <w:autoSpaceDE w:val="0"/>
                    <w:autoSpaceDN w:val="0"/>
                    <w:adjustRightInd w:val="0"/>
                    <w:snapToGrid w:val="0"/>
                    <w:jc w:val="both"/>
                    <w:rPr>
                      <w:rFonts w:hint="default" w:ascii="Times New Roman" w:hAnsi="Times New Roman"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与本项目符合性</w:t>
                  </w:r>
                </w:p>
              </w:tc>
            </w:tr>
            <w:tr w14:paraId="6605F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5" w:type="pct"/>
                  <w:vMerge w:val="restart"/>
                  <w:tcBorders>
                    <w:tl2br w:val="nil"/>
                    <w:tr2bl w:val="nil"/>
                  </w:tcBorders>
                  <w:noWrap w:val="0"/>
                  <w:vAlign w:val="center"/>
                </w:tcPr>
                <w:p w14:paraId="7887DA29">
                  <w:pPr>
                    <w:widowControl/>
                    <w:adjustRightInd w:val="0"/>
                    <w:snapToGrid w:val="0"/>
                    <w:jc w:val="both"/>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陕西省宝鸡市陈仓区重点管控单元9</w:t>
                  </w:r>
                </w:p>
              </w:tc>
              <w:tc>
                <w:tcPr>
                  <w:tcW w:w="479" w:type="pct"/>
                  <w:vMerge w:val="restart"/>
                  <w:tcBorders>
                    <w:tl2br w:val="nil"/>
                    <w:tr2bl w:val="nil"/>
                  </w:tcBorders>
                  <w:noWrap w:val="0"/>
                  <w:vAlign w:val="center"/>
                </w:tcPr>
                <w:p w14:paraId="53D59525">
                  <w:pPr>
                    <w:widowControl/>
                    <w:adjustRightInd w:val="0"/>
                    <w:snapToGrid w:val="0"/>
                    <w:jc w:val="both"/>
                    <w:rPr>
                      <w:rFonts w:hint="default" w:ascii="Times New Roman" w:hAnsi="Times New Roman" w:cs="Times New Roman"/>
                      <w:color w:val="auto"/>
                      <w:sz w:val="21"/>
                      <w:szCs w:val="21"/>
                      <w:shd w:val="clear" w:color="auto" w:fill="auto"/>
                      <w:lang w:val="en-US"/>
                    </w:rPr>
                  </w:pPr>
                  <w:r>
                    <w:rPr>
                      <w:rFonts w:hint="default" w:ascii="Times New Roman" w:hAnsi="Times New Roman" w:cs="Times New Roman"/>
                      <w:bCs/>
                      <w:color w:val="auto"/>
                      <w:sz w:val="21"/>
                      <w:szCs w:val="21"/>
                      <w:shd w:val="clear" w:color="auto" w:fill="auto"/>
                      <w:lang w:val="en-US" w:eastAsia="zh-CN"/>
                    </w:rPr>
                    <w:t>大气环境受体敏感重点管控区、水环境城镇生活污染重点管控区、生态用水补给区管控区、土地资源重点管控区、高污染燃料禁燃区、陈仓科技工业园</w:t>
                  </w:r>
                </w:p>
              </w:tc>
              <w:tc>
                <w:tcPr>
                  <w:tcW w:w="653" w:type="pct"/>
                  <w:tcBorders>
                    <w:tl2br w:val="nil"/>
                    <w:tr2bl w:val="nil"/>
                  </w:tcBorders>
                  <w:noWrap w:val="0"/>
                  <w:vAlign w:val="center"/>
                </w:tcPr>
                <w:p w14:paraId="57DB8527">
                  <w:pPr>
                    <w:autoSpaceDE w:val="0"/>
                    <w:autoSpaceDN w:val="0"/>
                    <w:adjustRightInd w:val="0"/>
                    <w:snapToGrid w:val="0"/>
                    <w:jc w:val="both"/>
                    <w:rPr>
                      <w:rFonts w:hint="default" w:ascii="Times New Roman" w:hAnsi="Times New Roman" w:eastAsia="宋体" w:cs="Times New Roman"/>
                      <w:bCs/>
                      <w:color w:val="auto"/>
                      <w:kern w:val="2"/>
                      <w:sz w:val="21"/>
                      <w:szCs w:val="21"/>
                      <w:shd w:val="clear" w:color="auto" w:fill="auto"/>
                      <w:lang w:val="en-US" w:eastAsia="zh-CN" w:bidi="ar-SA"/>
                    </w:rPr>
                  </w:pPr>
                  <w:r>
                    <w:rPr>
                      <w:rFonts w:hint="default" w:ascii="Times New Roman" w:hAnsi="Times New Roman" w:cs="Times New Roman"/>
                      <w:bCs/>
                      <w:color w:val="auto"/>
                      <w:sz w:val="21"/>
                      <w:szCs w:val="21"/>
                      <w:shd w:val="clear" w:color="auto" w:fill="auto"/>
                      <w:lang w:val="en-US" w:eastAsia="zh-CN"/>
                    </w:rPr>
                    <w:t>空间布局约束</w:t>
                  </w:r>
                </w:p>
              </w:tc>
              <w:tc>
                <w:tcPr>
                  <w:tcW w:w="1931" w:type="pct"/>
                  <w:tcBorders>
                    <w:tl2br w:val="nil"/>
                    <w:tr2bl w:val="nil"/>
                  </w:tcBorders>
                  <w:noWrap w:val="0"/>
                  <w:vAlign w:val="center"/>
                </w:tcPr>
                <w:p w14:paraId="0EA0F0CE">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r>
                    <w:rPr>
                      <w:rFonts w:hint="default" w:ascii="Times New Roman" w:hAnsi="Times New Roman" w:eastAsia="宋体" w:cs="Times New Roman"/>
                      <w:color w:val="auto"/>
                      <w:kern w:val="0"/>
                      <w:sz w:val="21"/>
                      <w:szCs w:val="21"/>
                      <w:lang w:val="en-US" w:eastAsia="zh-CN" w:bidi="ar"/>
                    </w:rPr>
                    <w:t>1.严格控制新增《陕西省</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项目管理暂行目录》行业项目（民生等项目除外，后续对</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范围国家如有新规定的，从其规定）。</w:t>
                  </w:r>
                </w:p>
                <w:p w14:paraId="66BF73E9">
                  <w:pPr>
                    <w:keepNext w:val="0"/>
                    <w:keepLines w:val="0"/>
                    <w:widowControl/>
                    <w:numPr>
                      <w:ilvl w:val="0"/>
                      <w:numId w:val="2"/>
                    </w:numPr>
                    <w:suppressLineNumbers w:val="0"/>
                    <w:jc w:val="both"/>
                    <w:rPr>
                      <w:rFonts w:hint="default" w:ascii="Times New Roman" w:hAnsi="Times New Roman" w:cs="Times New Roman"/>
                      <w:color w:val="auto"/>
                      <w:lang w:val="en-US" w:eastAsia="zh-CN"/>
                    </w:rPr>
                  </w:pPr>
                  <w:r>
                    <w:rPr>
                      <w:rFonts w:hint="default" w:ascii="Times New Roman" w:hAnsi="Times New Roman" w:eastAsia="宋体" w:cs="Times New Roman"/>
                      <w:color w:val="auto"/>
                      <w:kern w:val="0"/>
                      <w:sz w:val="21"/>
                      <w:szCs w:val="21"/>
                      <w:lang w:val="en-US" w:eastAsia="zh-CN" w:bidi="ar"/>
                    </w:rPr>
                    <w:t>严禁新增钢铁、焦化、水泥熟料、平板玻璃、电解铝、氧化铝、煤化工产能。3.推动重污染企业搬迁入园或依法关闭，实施工业企业退城搬迁改造。</w:t>
                  </w:r>
                </w:p>
                <w:p w14:paraId="2277CBB8">
                  <w:pPr>
                    <w:keepNext w:val="0"/>
                    <w:keepLines w:val="0"/>
                    <w:widowControl/>
                    <w:suppressLineNumbers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kern w:val="0"/>
                      <w:sz w:val="21"/>
                      <w:szCs w:val="21"/>
                      <w:lang w:val="en-US" w:eastAsia="zh-CN" w:bidi="ar"/>
                    </w:rPr>
                    <w:t>水环境工业污染重点管控区：</w:t>
                  </w:r>
                  <w:r>
                    <w:rPr>
                      <w:rFonts w:hint="default" w:ascii="Times New Roman" w:hAnsi="Times New Roman" w:cs="Times New Roman"/>
                      <w:b w:val="0"/>
                      <w:bCs w:val="0"/>
                      <w:color w:val="auto"/>
                      <w:kern w:val="0"/>
                      <w:sz w:val="21"/>
                      <w:szCs w:val="21"/>
                      <w:lang w:val="en-US" w:eastAsia="zh-CN" w:bidi="ar"/>
                    </w:rPr>
                    <w:t>1.持续推进城中村、老旧城区、城乡接合部污水截流、收集和城市雨污管道新建、改建。到2025年底，基本实现城市和县城建成区内生活污水全收集。</w:t>
                  </w:r>
                </w:p>
              </w:tc>
              <w:tc>
                <w:tcPr>
                  <w:tcW w:w="1470" w:type="pct"/>
                  <w:tcBorders>
                    <w:tl2br w:val="nil"/>
                    <w:tr2bl w:val="nil"/>
                  </w:tcBorders>
                  <w:noWrap w:val="0"/>
                  <w:vAlign w:val="center"/>
                </w:tcPr>
                <w:p w14:paraId="539D4615">
                  <w:pPr>
                    <w:numPr>
                      <w:ilvl w:val="0"/>
                      <w:numId w:val="0"/>
                    </w:numPr>
                    <w:autoSpaceDE w:val="0"/>
                    <w:autoSpaceDN w:val="0"/>
                    <w:adjustRightInd w:val="0"/>
                    <w:snapToGrid w:val="0"/>
                    <w:jc w:val="both"/>
                    <w:rPr>
                      <w:rFonts w:hint="default" w:ascii="Times New Roman" w:hAnsi="Times New Roman" w:cs="Times New Roman"/>
                      <w:bCs/>
                      <w:color w:val="auto"/>
                      <w:sz w:val="21"/>
                      <w:szCs w:val="21"/>
                      <w:shd w:val="clear" w:color="auto" w:fill="auto"/>
                      <w:lang w:val="en-US" w:eastAsia="zh-CN"/>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4F405F1D">
                  <w:pPr>
                    <w:numPr>
                      <w:ilvl w:val="0"/>
                      <w:numId w:val="0"/>
                    </w:numPr>
                    <w:autoSpaceDE w:val="0"/>
                    <w:autoSpaceDN w:val="0"/>
                    <w:adjustRightInd w:val="0"/>
                    <w:snapToGrid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bCs/>
                      <w:color w:val="auto"/>
                      <w:sz w:val="21"/>
                      <w:szCs w:val="21"/>
                      <w:shd w:val="clear" w:color="auto" w:fill="auto"/>
                      <w:lang w:val="en-US" w:eastAsia="zh-CN"/>
                    </w:rPr>
                    <w:t>本项目金属表面处理</w:t>
                  </w:r>
                  <w:r>
                    <w:rPr>
                      <w:rFonts w:hint="default" w:ascii="Times New Roman" w:hAnsi="Times New Roman" w:cs="Times New Roman"/>
                      <w:color w:val="auto"/>
                      <w:sz w:val="21"/>
                      <w:szCs w:val="21"/>
                      <w:lang w:val="en-US" w:eastAsia="zh-CN"/>
                    </w:rPr>
                    <w:t>，</w:t>
                  </w:r>
                  <w:r>
                    <w:rPr>
                      <w:rFonts w:hint="default" w:ascii="Times New Roman" w:hAnsi="Times New Roman" w:cs="Times New Roman"/>
                      <w:bCs/>
                      <w:color w:val="auto"/>
                      <w:sz w:val="21"/>
                      <w:szCs w:val="21"/>
                      <w:shd w:val="clear" w:color="auto" w:fill="auto"/>
                      <w:lang w:val="en-US" w:eastAsia="zh-CN"/>
                    </w:rPr>
                    <w:t>经查阅《陕西省“两高”项目管理暂行目录》（2022年版）</w:t>
                  </w:r>
                  <w:r>
                    <w:rPr>
                      <w:rFonts w:hint="default" w:ascii="Times New Roman" w:hAnsi="Times New Roman" w:eastAsia="宋体" w:cs="Times New Roman"/>
                      <w:color w:val="auto"/>
                      <w:kern w:val="0"/>
                      <w:sz w:val="21"/>
                      <w:szCs w:val="21"/>
                      <w:lang w:val="en-US" w:eastAsia="zh-CN" w:bidi="ar"/>
                    </w:rPr>
                    <w:t>，本项目不属于</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行业项目。</w:t>
                  </w:r>
                </w:p>
                <w:p w14:paraId="539A24B6">
                  <w:pPr>
                    <w:numPr>
                      <w:ilvl w:val="0"/>
                      <w:numId w:val="0"/>
                    </w:numPr>
                    <w:autoSpaceDE w:val="0"/>
                    <w:autoSpaceDN w:val="0"/>
                    <w:adjustRightInd w:val="0"/>
                    <w:snapToGrid w:val="0"/>
                    <w:jc w:val="both"/>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val="0"/>
                      <w:bCs w:val="0"/>
                      <w:color w:val="auto"/>
                      <w:kern w:val="0"/>
                      <w:sz w:val="21"/>
                      <w:szCs w:val="21"/>
                      <w:lang w:val="en-US" w:eastAsia="zh-CN" w:bidi="ar"/>
                    </w:rPr>
                    <w:t>不涉及商住楼及油烟。</w:t>
                  </w:r>
                </w:p>
                <w:p w14:paraId="6FF07587">
                  <w:pPr>
                    <w:numPr>
                      <w:ilvl w:val="0"/>
                      <w:numId w:val="0"/>
                    </w:numPr>
                    <w:autoSpaceDE w:val="0"/>
                    <w:autoSpaceDN w:val="0"/>
                    <w:adjustRightInd w:val="0"/>
                    <w:snapToGrid w:val="0"/>
                    <w:jc w:val="both"/>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cs="Times New Roman"/>
                      <w:b/>
                      <w:bCs/>
                      <w:color w:val="auto"/>
                      <w:kern w:val="0"/>
                      <w:sz w:val="21"/>
                      <w:szCs w:val="21"/>
                      <w:lang w:val="en-US" w:eastAsia="zh-CN" w:bidi="ar"/>
                    </w:rPr>
                    <w:t>水环境工业污染重点管控区：</w:t>
                  </w:r>
                  <w:r>
                    <w:rPr>
                      <w:rFonts w:hint="default" w:ascii="Times New Roman" w:hAnsi="Times New Roman" w:cs="Times New Roman"/>
                      <w:b w:val="0"/>
                      <w:bCs w:val="0"/>
                      <w:color w:val="auto"/>
                      <w:kern w:val="0"/>
                      <w:sz w:val="21"/>
                      <w:szCs w:val="21"/>
                      <w:lang w:val="en-US" w:eastAsia="zh-CN" w:bidi="ar"/>
                    </w:rPr>
                    <w:t>本项目生活污水经化粪池处理后拉运处理；项目无生产废水产生。</w:t>
                  </w:r>
                </w:p>
              </w:tc>
            </w:tr>
            <w:tr w14:paraId="5D1D35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9" w:hRule="atLeast"/>
              </w:trPr>
              <w:tc>
                <w:tcPr>
                  <w:tcW w:w="465" w:type="pct"/>
                  <w:vMerge w:val="continue"/>
                  <w:tcBorders>
                    <w:tl2br w:val="nil"/>
                    <w:tr2bl w:val="nil"/>
                  </w:tcBorders>
                  <w:noWrap w:val="0"/>
                  <w:vAlign w:val="center"/>
                </w:tcPr>
                <w:p w14:paraId="3B21AA93">
                  <w:pPr>
                    <w:widowControl/>
                    <w:adjustRightInd w:val="0"/>
                    <w:snapToGrid w:val="0"/>
                    <w:jc w:val="both"/>
                    <w:rPr>
                      <w:rFonts w:hint="default" w:ascii="Times New Roman" w:hAnsi="Times New Roman" w:cs="Times New Roman"/>
                      <w:color w:val="auto"/>
                      <w:sz w:val="21"/>
                      <w:szCs w:val="21"/>
                      <w:shd w:val="clear" w:color="auto" w:fill="auto"/>
                    </w:rPr>
                  </w:pPr>
                </w:p>
              </w:tc>
              <w:tc>
                <w:tcPr>
                  <w:tcW w:w="479" w:type="pct"/>
                  <w:vMerge w:val="continue"/>
                  <w:tcBorders>
                    <w:tl2br w:val="nil"/>
                    <w:tr2bl w:val="nil"/>
                  </w:tcBorders>
                  <w:noWrap w:val="0"/>
                  <w:vAlign w:val="center"/>
                </w:tcPr>
                <w:p w14:paraId="47674EC0">
                  <w:pPr>
                    <w:widowControl/>
                    <w:adjustRightInd w:val="0"/>
                    <w:snapToGrid w:val="0"/>
                    <w:jc w:val="both"/>
                    <w:rPr>
                      <w:rFonts w:hint="default" w:ascii="Times New Roman" w:hAnsi="Times New Roman" w:cs="Times New Roman"/>
                      <w:color w:val="auto"/>
                      <w:sz w:val="21"/>
                      <w:szCs w:val="21"/>
                      <w:shd w:val="clear" w:color="auto" w:fill="auto"/>
                    </w:rPr>
                  </w:pPr>
                </w:p>
              </w:tc>
              <w:tc>
                <w:tcPr>
                  <w:tcW w:w="653" w:type="pct"/>
                  <w:tcBorders>
                    <w:tl2br w:val="nil"/>
                    <w:tr2bl w:val="nil"/>
                  </w:tcBorders>
                  <w:noWrap w:val="0"/>
                  <w:vAlign w:val="center"/>
                </w:tcPr>
                <w:p w14:paraId="6BF6146E">
                  <w:pPr>
                    <w:autoSpaceDE w:val="0"/>
                    <w:autoSpaceDN w:val="0"/>
                    <w:adjustRightInd w:val="0"/>
                    <w:snapToGrid w:val="0"/>
                    <w:jc w:val="both"/>
                    <w:rPr>
                      <w:rFonts w:hint="default" w:ascii="Times New Roman" w:hAnsi="Times New Roman" w:eastAsia="宋体" w:cs="Times New Roman"/>
                      <w:bCs/>
                      <w:color w:val="auto"/>
                      <w:kern w:val="2"/>
                      <w:sz w:val="21"/>
                      <w:szCs w:val="21"/>
                      <w:shd w:val="clear" w:color="auto" w:fill="auto"/>
                      <w:lang w:val="en-US" w:eastAsia="zh-CN" w:bidi="ar-SA"/>
                    </w:rPr>
                  </w:pPr>
                  <w:r>
                    <w:rPr>
                      <w:rFonts w:hint="default" w:ascii="Times New Roman" w:hAnsi="Times New Roman" w:cs="Times New Roman"/>
                      <w:bCs/>
                      <w:color w:val="auto"/>
                      <w:sz w:val="21"/>
                      <w:szCs w:val="21"/>
                      <w:shd w:val="clear" w:color="auto" w:fill="auto"/>
                    </w:rPr>
                    <w:t>污染物排放管控</w:t>
                  </w:r>
                </w:p>
              </w:tc>
              <w:tc>
                <w:tcPr>
                  <w:tcW w:w="1931" w:type="pct"/>
                  <w:tcBorders>
                    <w:tl2br w:val="nil"/>
                    <w:tr2bl w:val="nil"/>
                  </w:tcBorders>
                  <w:noWrap w:val="0"/>
                  <w:vAlign w:val="center"/>
                </w:tcPr>
                <w:p w14:paraId="558145FF">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11563D82">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5.市辖区及开发区新、改、扩建涉气重点行业企业应达到环保绩效A级、绩效引领性水平。</w:t>
                  </w:r>
                </w:p>
                <w:p w14:paraId="4A12CD13">
                  <w:pPr>
                    <w:keepNext w:val="0"/>
                    <w:keepLines w:val="0"/>
                    <w:widowControl/>
                    <w:suppressLineNumbers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kern w:val="0"/>
                      <w:sz w:val="21"/>
                      <w:szCs w:val="21"/>
                      <w:lang w:val="en-US" w:eastAsia="zh-CN" w:bidi="ar"/>
                    </w:rPr>
                    <w:t>水环境工业污染重点管控区：</w:t>
                  </w:r>
                  <w:r>
                    <w:rPr>
                      <w:rFonts w:hint="default" w:ascii="Times New Roman" w:hAnsi="Times New Roman" w:cs="Times New Roman"/>
                      <w:b w:val="0"/>
                      <w:bCs w:val="0"/>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加强城镇污水收集处理设施建设与提标改造。全省黄河流域城镇生活污水处理达到《陕西省黄河流域污水综合排放标准》（DB61/224-2018）加强城镇生活污水处理，提高对生活污水的处理能力，排放限值要求。2.城镇新区管网建设及老旧城区管网升级改造中实行雨污分流，鼓励推进初期雨水收集、处理和资源化利用，建设人工湿地水质净化工程，对处理达标后的尾水进一步净化。3.污水处理厂出水用于绿化、农灌等用途的，合理确定管控要求，确保达到相应污水再生利用标准。</w:t>
                  </w:r>
                </w:p>
              </w:tc>
              <w:tc>
                <w:tcPr>
                  <w:tcW w:w="1470" w:type="pct"/>
                  <w:tcBorders>
                    <w:tl2br w:val="nil"/>
                    <w:tr2bl w:val="nil"/>
                  </w:tcBorders>
                  <w:noWrap w:val="0"/>
                  <w:vAlign w:val="center"/>
                </w:tcPr>
                <w:p w14:paraId="6CC97BCF">
                  <w:pPr>
                    <w:autoSpaceDE w:val="0"/>
                    <w:autoSpaceDN w:val="0"/>
                    <w:adjustRightInd w:val="0"/>
                    <w:snapToGrid w:val="0"/>
                    <w:jc w:val="both"/>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3659F22B">
                  <w:pPr>
                    <w:autoSpaceDE w:val="0"/>
                    <w:autoSpaceDN w:val="0"/>
                    <w:adjustRightInd w:val="0"/>
                    <w:snapToGrid w:val="0"/>
                    <w:jc w:val="both"/>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snapToGrid w:val="0"/>
                      <w:color w:val="auto"/>
                      <w:sz w:val="21"/>
                      <w:szCs w:val="21"/>
                      <w:lang w:val="en-US" w:eastAsia="zh-CN"/>
                    </w:rPr>
                    <w:t>经查阅《重污染天气重点行业应急减排措施制定技术指南（2020年修订版）》，本项目虽不属于指南中三十九个涉气重点行业企业，但生产工序中涉及喷涂，因此需满足环保绩效A级</w:t>
                  </w:r>
                  <w:r>
                    <w:rPr>
                      <w:rFonts w:hint="default" w:ascii="Times New Roman" w:hAnsi="Times New Roman" w:cs="Times New Roman"/>
                      <w:color w:val="auto"/>
                      <w:kern w:val="0"/>
                      <w:sz w:val="21"/>
                      <w:szCs w:val="21"/>
                      <w:lang w:val="en-US" w:eastAsia="zh-CN" w:bidi="ar"/>
                    </w:rPr>
                    <w:t>。具体详见绩效分析；</w:t>
                  </w:r>
                </w:p>
                <w:p w14:paraId="3A232A6A">
                  <w:pPr>
                    <w:autoSpaceDE w:val="0"/>
                    <w:autoSpaceDN w:val="0"/>
                    <w:adjustRightInd w:val="0"/>
                    <w:snapToGrid w:val="0"/>
                    <w:jc w:val="both"/>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水环境工业污染重点管控区：</w:t>
                  </w:r>
                  <w:r>
                    <w:rPr>
                      <w:rFonts w:hint="default" w:ascii="Times New Roman" w:hAnsi="Times New Roman" w:cs="Times New Roman"/>
                      <w:b w:val="0"/>
                      <w:bCs w:val="0"/>
                      <w:color w:val="auto"/>
                      <w:kern w:val="0"/>
                      <w:sz w:val="21"/>
                      <w:szCs w:val="21"/>
                      <w:lang w:val="en-US" w:eastAsia="zh-CN" w:bidi="ar"/>
                    </w:rPr>
                    <w:t>1.本项目生活污水经化粪池处理后拉运处理；项目无生产废水产生，不涉及其他。</w:t>
                  </w:r>
                </w:p>
                <w:p w14:paraId="76BE8DAD">
                  <w:pPr>
                    <w:autoSpaceDE w:val="0"/>
                    <w:autoSpaceDN w:val="0"/>
                    <w:adjustRightInd w:val="0"/>
                    <w:snapToGrid w:val="0"/>
                    <w:jc w:val="both"/>
                    <w:rPr>
                      <w:rFonts w:hint="default" w:ascii="Times New Roman" w:hAnsi="Times New Roman" w:eastAsia="宋体" w:cs="Times New Roman"/>
                      <w:bCs/>
                      <w:color w:val="auto"/>
                      <w:sz w:val="21"/>
                      <w:szCs w:val="21"/>
                      <w:shd w:val="clear" w:color="auto" w:fill="auto"/>
                      <w:lang w:val="en-US" w:eastAsia="zh-CN"/>
                    </w:rPr>
                  </w:pPr>
                </w:p>
              </w:tc>
            </w:tr>
            <w:tr w14:paraId="3273A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5" w:type="pct"/>
                  <w:vMerge w:val="continue"/>
                  <w:tcBorders>
                    <w:tl2br w:val="nil"/>
                    <w:tr2bl w:val="nil"/>
                  </w:tcBorders>
                  <w:noWrap w:val="0"/>
                  <w:vAlign w:val="center"/>
                </w:tcPr>
                <w:p w14:paraId="7EC5E7FE">
                  <w:pPr>
                    <w:widowControl/>
                    <w:adjustRightInd w:val="0"/>
                    <w:snapToGrid w:val="0"/>
                    <w:jc w:val="both"/>
                    <w:rPr>
                      <w:rFonts w:hint="default" w:ascii="Times New Roman" w:hAnsi="Times New Roman" w:cs="Times New Roman"/>
                      <w:color w:val="auto"/>
                      <w:sz w:val="21"/>
                      <w:szCs w:val="21"/>
                      <w:shd w:val="clear" w:color="auto" w:fill="auto"/>
                    </w:rPr>
                  </w:pPr>
                </w:p>
              </w:tc>
              <w:tc>
                <w:tcPr>
                  <w:tcW w:w="479" w:type="pct"/>
                  <w:vMerge w:val="continue"/>
                  <w:tcBorders>
                    <w:tl2br w:val="nil"/>
                    <w:tr2bl w:val="nil"/>
                  </w:tcBorders>
                  <w:noWrap w:val="0"/>
                  <w:vAlign w:val="center"/>
                </w:tcPr>
                <w:p w14:paraId="11C1D607">
                  <w:pPr>
                    <w:widowControl/>
                    <w:adjustRightInd w:val="0"/>
                    <w:snapToGrid w:val="0"/>
                    <w:jc w:val="both"/>
                    <w:rPr>
                      <w:rFonts w:hint="default" w:ascii="Times New Roman" w:hAnsi="Times New Roman" w:cs="Times New Roman"/>
                      <w:color w:val="auto"/>
                      <w:sz w:val="21"/>
                      <w:szCs w:val="21"/>
                      <w:shd w:val="clear" w:color="auto" w:fill="auto"/>
                    </w:rPr>
                  </w:pPr>
                </w:p>
              </w:tc>
              <w:tc>
                <w:tcPr>
                  <w:tcW w:w="653" w:type="pct"/>
                  <w:tcBorders>
                    <w:tl2br w:val="nil"/>
                    <w:tr2bl w:val="nil"/>
                  </w:tcBorders>
                  <w:noWrap w:val="0"/>
                  <w:vAlign w:val="center"/>
                </w:tcPr>
                <w:p w14:paraId="70B16FBE">
                  <w:pPr>
                    <w:autoSpaceDE w:val="0"/>
                    <w:autoSpaceDN w:val="0"/>
                    <w:adjustRightInd w:val="0"/>
                    <w:snapToGrid w:val="0"/>
                    <w:jc w:val="both"/>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环境风险防控环境风险防控</w:t>
                  </w:r>
                </w:p>
              </w:tc>
              <w:tc>
                <w:tcPr>
                  <w:tcW w:w="1931" w:type="pct"/>
                  <w:tcBorders>
                    <w:tl2br w:val="nil"/>
                    <w:tr2bl w:val="nil"/>
                  </w:tcBorders>
                  <w:noWrap w:val="0"/>
                  <w:vAlign w:val="center"/>
                </w:tcPr>
                <w:p w14:paraId="29623F65">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w:t>
                  </w:r>
                </w:p>
              </w:tc>
              <w:tc>
                <w:tcPr>
                  <w:tcW w:w="1470" w:type="pct"/>
                  <w:tcBorders>
                    <w:tl2br w:val="nil"/>
                    <w:tr2bl w:val="nil"/>
                  </w:tcBorders>
                  <w:noWrap w:val="0"/>
                  <w:vAlign w:val="center"/>
                </w:tcPr>
                <w:p w14:paraId="19023430">
                  <w:pPr>
                    <w:autoSpaceDE w:val="0"/>
                    <w:autoSpaceDN w:val="0"/>
                    <w:adjustRightInd w:val="0"/>
                    <w:snapToGrid w:val="0"/>
                    <w:jc w:val="both"/>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p>
              </w:tc>
            </w:tr>
            <w:tr w14:paraId="2D2C3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465" w:type="pct"/>
                  <w:vMerge w:val="continue"/>
                  <w:tcBorders>
                    <w:tl2br w:val="nil"/>
                    <w:tr2bl w:val="nil"/>
                  </w:tcBorders>
                  <w:noWrap w:val="0"/>
                  <w:vAlign w:val="center"/>
                </w:tcPr>
                <w:p w14:paraId="7D4C6FA2">
                  <w:pPr>
                    <w:widowControl/>
                    <w:adjustRightInd w:val="0"/>
                    <w:snapToGrid w:val="0"/>
                    <w:jc w:val="both"/>
                    <w:rPr>
                      <w:rFonts w:hint="default" w:ascii="Times New Roman" w:hAnsi="Times New Roman" w:cs="Times New Roman"/>
                      <w:color w:val="auto"/>
                      <w:sz w:val="21"/>
                      <w:szCs w:val="21"/>
                      <w:shd w:val="clear" w:color="auto" w:fill="auto"/>
                    </w:rPr>
                  </w:pPr>
                </w:p>
              </w:tc>
              <w:tc>
                <w:tcPr>
                  <w:tcW w:w="479" w:type="pct"/>
                  <w:vMerge w:val="continue"/>
                  <w:tcBorders>
                    <w:tl2br w:val="nil"/>
                    <w:tr2bl w:val="nil"/>
                  </w:tcBorders>
                  <w:noWrap w:val="0"/>
                  <w:vAlign w:val="center"/>
                </w:tcPr>
                <w:p w14:paraId="0FCED00A">
                  <w:pPr>
                    <w:widowControl/>
                    <w:adjustRightInd w:val="0"/>
                    <w:snapToGrid w:val="0"/>
                    <w:jc w:val="both"/>
                    <w:rPr>
                      <w:rFonts w:hint="default" w:ascii="Times New Roman" w:hAnsi="Times New Roman" w:cs="Times New Roman"/>
                      <w:color w:val="auto"/>
                      <w:sz w:val="21"/>
                      <w:szCs w:val="21"/>
                      <w:shd w:val="clear" w:color="auto" w:fill="auto"/>
                    </w:rPr>
                  </w:pPr>
                </w:p>
              </w:tc>
              <w:tc>
                <w:tcPr>
                  <w:tcW w:w="653" w:type="pct"/>
                  <w:tcBorders>
                    <w:tl2br w:val="nil"/>
                    <w:tr2bl w:val="nil"/>
                  </w:tcBorders>
                  <w:noWrap w:val="0"/>
                  <w:vAlign w:val="center"/>
                </w:tcPr>
                <w:p w14:paraId="38F9A870">
                  <w:pPr>
                    <w:autoSpaceDE w:val="0"/>
                    <w:autoSpaceDN w:val="0"/>
                    <w:adjustRightInd w:val="0"/>
                    <w:snapToGrid w:val="0"/>
                    <w:jc w:val="both"/>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资源开发效率要求</w:t>
                  </w:r>
                </w:p>
              </w:tc>
              <w:tc>
                <w:tcPr>
                  <w:tcW w:w="1931" w:type="pct"/>
                  <w:tcBorders>
                    <w:tl2br w:val="nil"/>
                    <w:tr2bl w:val="nil"/>
                  </w:tcBorders>
                  <w:noWrap w:val="0"/>
                  <w:vAlign w:val="center"/>
                </w:tcPr>
                <w:p w14:paraId="317AAC13">
                  <w:pPr>
                    <w:keepNext w:val="0"/>
                    <w:keepLines w:val="0"/>
                    <w:widowControl/>
                    <w:suppressLineNumbers w:val="0"/>
                    <w:jc w:val="both"/>
                    <w:rPr>
                      <w:rFonts w:hint="default" w:ascii="Times New Roman" w:hAnsi="Times New Roman" w:cs="Times New Roman"/>
                      <w:b/>
                      <w:bCs/>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高污染燃料禁燃区：</w:t>
                  </w:r>
                  <w:r>
                    <w:rPr>
                      <w:rFonts w:hint="default" w:ascii="Times New Roman" w:hAnsi="Times New Roman" w:cs="Times New Roman"/>
                      <w:b w:val="0"/>
                      <w:bCs w:val="0"/>
                      <w:color w:val="auto"/>
                      <w:kern w:val="0"/>
                      <w:sz w:val="21"/>
                      <w:szCs w:val="21"/>
                      <w:lang w:val="en-US" w:eastAsia="zh-CN" w:bidi="ar"/>
                    </w:rPr>
                    <w:t>1.禁止销售、燃用高污染燃料（35蒸吨及以上锅炉、火力发电企业机组除外）。3.禁止新建、扩建燃用高污染燃料的锅炉、窑炉、炉灶等设施，不得将其他燃料燃用设施改造为高污染燃料燃用设施。</w:t>
                  </w:r>
                </w:p>
              </w:tc>
              <w:tc>
                <w:tcPr>
                  <w:tcW w:w="1470" w:type="pct"/>
                  <w:tcBorders>
                    <w:tl2br w:val="nil"/>
                    <w:tr2bl w:val="nil"/>
                  </w:tcBorders>
                  <w:noWrap w:val="0"/>
                  <w:vAlign w:val="center"/>
                </w:tcPr>
                <w:p w14:paraId="35A45DD0">
                  <w:pPr>
                    <w:autoSpaceDE w:val="0"/>
                    <w:autoSpaceDN w:val="0"/>
                    <w:adjustRightInd w:val="0"/>
                    <w:snapToGrid w:val="0"/>
                    <w:jc w:val="both"/>
                    <w:rPr>
                      <w:rFonts w:hint="default" w:ascii="Times New Roman" w:hAnsi="Times New Roman" w:eastAsia="宋体" w:cs="Times New Roman"/>
                      <w:snapToGrid w:val="0"/>
                      <w:color w:val="auto"/>
                      <w:sz w:val="21"/>
                      <w:szCs w:val="21"/>
                      <w:lang w:val="en-US" w:eastAsia="zh-CN"/>
                    </w:rPr>
                  </w:pPr>
                  <w:r>
                    <w:rPr>
                      <w:rFonts w:hint="default" w:ascii="Times New Roman" w:hAnsi="Times New Roman" w:cs="Times New Roman"/>
                      <w:b/>
                      <w:bCs/>
                      <w:color w:val="auto"/>
                      <w:kern w:val="0"/>
                      <w:sz w:val="21"/>
                      <w:szCs w:val="21"/>
                      <w:lang w:val="en-US" w:eastAsia="zh-CN" w:bidi="ar"/>
                    </w:rPr>
                    <w:t>高污染燃料禁燃区：</w:t>
                  </w:r>
                  <w:r>
                    <w:rPr>
                      <w:rFonts w:hint="default" w:ascii="Times New Roman" w:hAnsi="Times New Roman" w:cs="Times New Roman"/>
                      <w:b w:val="0"/>
                      <w:bCs w:val="0"/>
                      <w:color w:val="auto"/>
                      <w:kern w:val="0"/>
                      <w:sz w:val="21"/>
                      <w:szCs w:val="21"/>
                      <w:lang w:val="en-US" w:eastAsia="zh-CN" w:bidi="ar"/>
                    </w:rPr>
                    <w:t>1.本项目烘干炉和固化炉不属于禁止类炉窑。2.使用的燃料是液化天然气（LNG），不属于高污染燃料。</w:t>
                  </w:r>
                </w:p>
              </w:tc>
            </w:tr>
          </w:tbl>
          <w:p w14:paraId="39ECA7AE">
            <w:pPr>
              <w:spacing w:line="360" w:lineRule="auto"/>
              <w:ind w:firstLine="480" w:firstLineChars="200"/>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cs="Times New Roman"/>
                <w:b w:val="0"/>
                <w:bCs/>
                <w:color w:val="auto"/>
                <w:sz w:val="24"/>
                <w:szCs w:val="24"/>
                <w:highlight w:val="none"/>
                <w:lang w:eastAsia="zh-CN"/>
              </w:rPr>
              <w:t>（3）“</w:t>
            </w:r>
            <w:r>
              <w:rPr>
                <w:rFonts w:hint="default" w:ascii="Times New Roman" w:hAnsi="Times New Roman" w:cs="Times New Roman"/>
                <w:b w:val="0"/>
                <w:bCs/>
                <w:color w:val="auto"/>
                <w:sz w:val="24"/>
                <w:szCs w:val="24"/>
                <w:highlight w:val="none"/>
                <w:lang w:val="en-US" w:eastAsia="zh-CN"/>
              </w:rPr>
              <w:t>一说明</w:t>
            </w:r>
            <w:r>
              <w:rPr>
                <w:rFonts w:hint="default" w:ascii="Times New Roman" w:hAnsi="Times New Roman" w:cs="Times New Roman"/>
                <w:b w:val="0"/>
                <w:bCs/>
                <w:color w:val="auto"/>
                <w:sz w:val="24"/>
                <w:szCs w:val="24"/>
                <w:highlight w:val="none"/>
                <w:lang w:eastAsia="zh-CN"/>
              </w:rPr>
              <w:t>”</w:t>
            </w:r>
          </w:p>
          <w:p w14:paraId="7BCA9878">
            <w:pPr>
              <w:spacing w:line="360" w:lineRule="auto"/>
              <w:ind w:firstLine="480"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根据上文分析，项目位于环境管控重点管控单元，项目所在地不涉及生态红线，重点管控单元以优化空间布局、提升资源利用效率、加强污染物减排治理和环境风险防控为重点，解决突出生态环境问题。本项目运营期采取环评报告提出的相应环保治理措施后，各污染物可以做到达标排放，符合方案要求。综上，建设项目符合陕西省“三线一单”管控要求。</w:t>
            </w:r>
          </w:p>
          <w:p w14:paraId="39164FCE">
            <w:pPr>
              <w:spacing w:line="360" w:lineRule="auto"/>
              <w:ind w:firstLine="482" w:firstLineChars="20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rPr>
              <w:t>项目</w:t>
            </w:r>
            <w:r>
              <w:rPr>
                <w:rFonts w:hint="default" w:ascii="Times New Roman" w:hAnsi="Times New Roman" w:eastAsia="宋体" w:cs="Times New Roman"/>
                <w:b/>
                <w:bCs w:val="0"/>
                <w:color w:val="auto"/>
                <w:sz w:val="24"/>
                <w:szCs w:val="24"/>
                <w:lang w:eastAsia="zh-CN"/>
              </w:rPr>
              <w:t>与相关生态环境保护法律法规和政策、生态环境保护规划的符合性分析</w:t>
            </w:r>
            <w:r>
              <w:rPr>
                <w:rFonts w:hint="default" w:ascii="Times New Roman" w:hAnsi="Times New Roman" w:eastAsia="宋体" w:cs="Times New Roman"/>
                <w:b/>
                <w:bCs w:val="0"/>
                <w:color w:val="auto"/>
                <w:sz w:val="24"/>
                <w:szCs w:val="24"/>
              </w:rPr>
              <w:t>：</w:t>
            </w:r>
          </w:p>
          <w:p w14:paraId="549B8AE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表1-3 项目与生态环境保护法律法规政策、生态</w:t>
            </w:r>
            <w:r>
              <w:rPr>
                <w:rFonts w:hint="default" w:ascii="Times New Roman" w:hAnsi="Times New Roman" w:cs="Times New Roman"/>
                <w:b/>
                <w:bCs/>
                <w:color w:val="auto"/>
                <w:sz w:val="21"/>
                <w:szCs w:val="21"/>
                <w:lang w:val="en-US" w:eastAsia="zh-CN"/>
              </w:rPr>
              <w:t>环境</w:t>
            </w:r>
            <w:r>
              <w:rPr>
                <w:rFonts w:hint="default" w:ascii="Times New Roman" w:hAnsi="Times New Roman" w:eastAsia="宋体" w:cs="Times New Roman"/>
                <w:b/>
                <w:bCs/>
                <w:color w:val="auto"/>
                <w:sz w:val="21"/>
                <w:szCs w:val="21"/>
                <w:lang w:val="en-US" w:eastAsia="zh-CN"/>
              </w:rPr>
              <w:t>环保规划符合性分析一览表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3387"/>
              <w:gridCol w:w="2662"/>
              <w:gridCol w:w="945"/>
            </w:tblGrid>
            <w:tr w14:paraId="44EE4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72" w:type="pct"/>
                  <w:tcBorders>
                    <w:tl2br w:val="nil"/>
                    <w:tr2bl w:val="nil"/>
                  </w:tcBorders>
                  <w:noWrap w:val="0"/>
                  <w:vAlign w:val="center"/>
                </w:tcPr>
                <w:p w14:paraId="5CFF940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2047" w:type="pct"/>
                  <w:tcBorders>
                    <w:tl2br w:val="nil"/>
                    <w:tr2bl w:val="nil"/>
                  </w:tcBorders>
                  <w:noWrap w:val="0"/>
                  <w:vAlign w:val="center"/>
                </w:tcPr>
                <w:p w14:paraId="7F21C65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规划内容</w:t>
                  </w:r>
                </w:p>
              </w:tc>
              <w:tc>
                <w:tcPr>
                  <w:tcW w:w="1608" w:type="pct"/>
                  <w:tcBorders>
                    <w:tl2br w:val="nil"/>
                    <w:tr2bl w:val="nil"/>
                  </w:tcBorders>
                  <w:noWrap w:val="0"/>
                  <w:vAlign w:val="center"/>
                </w:tcPr>
                <w:p w14:paraId="420C515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本项目情况</w:t>
                  </w:r>
                </w:p>
              </w:tc>
              <w:tc>
                <w:tcPr>
                  <w:tcW w:w="571" w:type="pct"/>
                  <w:tcBorders>
                    <w:tl2br w:val="nil"/>
                    <w:tr2bl w:val="nil"/>
                  </w:tcBorders>
                  <w:noWrap w:val="0"/>
                  <w:vAlign w:val="center"/>
                </w:tcPr>
                <w:p w14:paraId="4E6869F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符合性</w:t>
                  </w:r>
                </w:p>
              </w:tc>
            </w:tr>
            <w:tr w14:paraId="4AE81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pct"/>
                  <w:tcBorders>
                    <w:tl2br w:val="nil"/>
                    <w:tr2bl w:val="nil"/>
                  </w:tcBorders>
                  <w:noWrap w:val="0"/>
                  <w:vAlign w:val="center"/>
                </w:tcPr>
                <w:p w14:paraId="4E3EA6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rPr>
                    <w:t>《陕西省“十</w:t>
                  </w:r>
                  <w:r>
                    <w:rPr>
                      <w:rFonts w:hint="default" w:ascii="Times New Roman" w:hAnsi="Times New Roman" w:eastAsia="宋体" w:cs="Times New Roman"/>
                      <w:color w:val="auto"/>
                      <w:lang w:eastAsia="zh-CN"/>
                    </w:rPr>
                    <w:t>四</w:t>
                  </w:r>
                  <w:r>
                    <w:rPr>
                      <w:rFonts w:hint="default" w:ascii="Times New Roman" w:hAnsi="Times New Roman" w:eastAsia="宋体" w:cs="Times New Roman"/>
                      <w:color w:val="auto"/>
                    </w:rPr>
                    <w:t>五”</w:t>
                  </w:r>
                  <w:r>
                    <w:rPr>
                      <w:rFonts w:hint="default" w:ascii="Times New Roman" w:hAnsi="Times New Roman" w:eastAsia="宋体" w:cs="Times New Roman"/>
                      <w:color w:val="auto"/>
                      <w:lang w:eastAsia="zh-CN"/>
                    </w:rPr>
                    <w:t>生态</w:t>
                  </w:r>
                  <w:r>
                    <w:rPr>
                      <w:rFonts w:hint="default" w:ascii="Times New Roman" w:hAnsi="Times New Roman" w:eastAsia="宋体" w:cs="Times New Roman"/>
                      <w:color w:val="auto"/>
                    </w:rPr>
                    <w:t>环境保护规划》</w:t>
                  </w:r>
                </w:p>
              </w:tc>
              <w:tc>
                <w:tcPr>
                  <w:tcW w:w="2047" w:type="pct"/>
                  <w:tcBorders>
                    <w:tl2br w:val="nil"/>
                    <w:tr2bl w:val="nil"/>
                  </w:tcBorders>
                  <w:noWrap w:val="0"/>
                  <w:vAlign w:val="center"/>
                </w:tcPr>
                <w:p w14:paraId="64292D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eastAsia="zh-CN"/>
                    </w:rPr>
                    <w:t>促进产业结构转型升级。严格能耗、环保、质量、安全、技术等综合标准，以钢铁、煤炭、水泥、电解铝、平板玻璃等行业为重点，依法依规淘汰落后产能。</w:t>
                  </w:r>
                  <w:r>
                    <w:rPr>
                      <w:rFonts w:hint="default" w:ascii="Times New Roman" w:hAnsi="Times New Roman" w:eastAsia="宋体" w:cs="Times New Roman"/>
                      <w:color w:val="auto"/>
                    </w:rPr>
                    <w:t>以钢铁、焦化、建材、有色、石化、化工、工业涂装、包装印刷、石油开采、农副食品加工等行业为重点，开展全流程清洁化、循环化、低碳化改造，促进传统产业绿色转型升级。</w:t>
                  </w:r>
                </w:p>
              </w:tc>
              <w:tc>
                <w:tcPr>
                  <w:tcW w:w="1608" w:type="pct"/>
                  <w:tcBorders>
                    <w:tl2br w:val="nil"/>
                    <w:tr2bl w:val="nil"/>
                  </w:tcBorders>
                  <w:noWrap w:val="0"/>
                  <w:vAlign w:val="center"/>
                </w:tcPr>
                <w:p w14:paraId="414C92DF">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lang w:val="en-US" w:eastAsia="zh-CN"/>
                    </w:rPr>
                    <w:t>本项目属于金属表面处理，</w:t>
                  </w:r>
                  <w:r>
                    <w:rPr>
                      <w:rFonts w:hint="default" w:ascii="Times New Roman" w:hAnsi="Times New Roman" w:cs="Times New Roman"/>
                      <w:color w:val="auto"/>
                      <w:szCs w:val="21"/>
                      <w:lang w:eastAsia="zh-CN"/>
                    </w:rPr>
                    <w:t>不属于规划内的重点排污行业，</w:t>
                  </w:r>
                  <w:r>
                    <w:rPr>
                      <w:rFonts w:hint="default" w:ascii="Times New Roman" w:hAnsi="Times New Roman" w:eastAsia="宋体" w:cs="Times New Roman"/>
                      <w:color w:val="auto"/>
                      <w:lang w:eastAsia="zh-CN"/>
                    </w:rPr>
                    <w:t>生产过程主要消耗水、电能</w:t>
                  </w:r>
                  <w:r>
                    <w:rPr>
                      <w:rFonts w:hint="default" w:ascii="Times New Roman" w:hAnsi="Times New Roman" w:eastAsia="宋体" w:cs="Times New Roman"/>
                      <w:color w:val="auto"/>
                      <w:lang w:val="en-US" w:eastAsia="zh-CN"/>
                    </w:rPr>
                    <w:t>和</w:t>
                  </w:r>
                  <w:r>
                    <w:rPr>
                      <w:rFonts w:hint="default" w:ascii="Times New Roman" w:hAnsi="Times New Roman" w:cs="Times New Roman"/>
                      <w:color w:val="auto"/>
                      <w:lang w:val="en-US" w:eastAsia="zh-CN"/>
                    </w:rPr>
                    <w:t>液化天然气（LNG）</w:t>
                  </w:r>
                  <w:r>
                    <w:rPr>
                      <w:rFonts w:hint="default" w:ascii="Times New Roman" w:hAnsi="Times New Roman" w:eastAsia="宋体" w:cs="Times New Roman"/>
                      <w:color w:val="auto"/>
                      <w:lang w:eastAsia="zh-CN"/>
                    </w:rPr>
                    <w:t>，无外排</w:t>
                  </w:r>
                  <w:r>
                    <w:rPr>
                      <w:rFonts w:hint="default" w:ascii="Times New Roman" w:hAnsi="Times New Roman" w:eastAsia="宋体" w:cs="Times New Roman"/>
                      <w:color w:val="auto"/>
                      <w:lang w:val="en-US" w:eastAsia="zh-CN"/>
                    </w:rPr>
                    <w:t>生产</w:t>
                  </w:r>
                  <w:r>
                    <w:rPr>
                      <w:rFonts w:hint="default" w:ascii="Times New Roman" w:hAnsi="Times New Roman" w:eastAsia="宋体" w:cs="Times New Roman"/>
                      <w:color w:val="auto"/>
                      <w:lang w:eastAsia="zh-CN"/>
                    </w:rPr>
                    <w:t>废水，满足清洁化、循环化、低碳化，能够达到强制性能耗限额标准先进值和污染排放标准。</w:t>
                  </w:r>
                </w:p>
              </w:tc>
              <w:tc>
                <w:tcPr>
                  <w:tcW w:w="571" w:type="pct"/>
                  <w:tcBorders>
                    <w:tl2br w:val="nil"/>
                    <w:tr2bl w:val="nil"/>
                  </w:tcBorders>
                  <w:noWrap w:val="0"/>
                  <w:vAlign w:val="center"/>
                </w:tcPr>
                <w:p w14:paraId="4C4A497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符合</w:t>
                  </w:r>
                </w:p>
              </w:tc>
            </w:tr>
            <w:tr w14:paraId="6186B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772" w:type="pct"/>
                  <w:vMerge w:val="restart"/>
                  <w:tcBorders>
                    <w:tl2br w:val="nil"/>
                    <w:tr2bl w:val="nil"/>
                  </w:tcBorders>
                  <w:noWrap w:val="0"/>
                  <w:vAlign w:val="center"/>
                </w:tcPr>
                <w:p w14:paraId="465CDF5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rPr>
                    <w:t>《宝鸡市“十</w:t>
                  </w:r>
                  <w:r>
                    <w:rPr>
                      <w:rFonts w:hint="default" w:ascii="Times New Roman" w:hAnsi="Times New Roman" w:eastAsia="宋体" w:cs="Times New Roman"/>
                      <w:color w:val="auto"/>
                      <w:lang w:eastAsia="zh-CN"/>
                    </w:rPr>
                    <w:t>四</w:t>
                  </w:r>
                  <w:r>
                    <w:rPr>
                      <w:rFonts w:hint="default" w:ascii="Times New Roman" w:hAnsi="Times New Roman" w:eastAsia="宋体" w:cs="Times New Roman"/>
                      <w:color w:val="auto"/>
                    </w:rPr>
                    <w:t>五”生态环境保护规划》</w:t>
                  </w:r>
                </w:p>
              </w:tc>
              <w:tc>
                <w:tcPr>
                  <w:tcW w:w="2047" w:type="pct"/>
                  <w:tcBorders>
                    <w:tl2br w:val="nil"/>
                    <w:tr2bl w:val="nil"/>
                  </w:tcBorders>
                  <w:noWrap w:val="0"/>
                  <w:vAlign w:val="center"/>
                </w:tcPr>
                <w:p w14:paraId="367DC0AE">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val="en-US" w:eastAsia="zh-CN"/>
                    </w:rPr>
                    <w:t>降低电力、水泥、玻璃、石油、化工、有色金属、纺织印染、建材等行业大气污染排放。</w:t>
                  </w:r>
                  <w:r>
                    <w:rPr>
                      <w:rFonts w:hint="default" w:ascii="Times New Roman" w:hAnsi="Times New Roman" w:eastAsia="宋体" w:cs="Times New Roman"/>
                      <w:color w:val="auto"/>
                      <w:lang w:eastAsia="zh-CN"/>
                    </w:rPr>
                    <w:t>严格执行重点行业主要大气污染物排放标准，倒逼相关企业对烟粉尘、二氧化硫、氮氧化物等主要污染物治理设施进行提标改造。</w:t>
                  </w:r>
                </w:p>
              </w:tc>
              <w:tc>
                <w:tcPr>
                  <w:tcW w:w="1608" w:type="pct"/>
                  <w:tcBorders>
                    <w:tl2br w:val="nil"/>
                    <w:tr2bl w:val="nil"/>
                  </w:tcBorders>
                  <w:noWrap w:val="0"/>
                  <w:vAlign w:val="center"/>
                </w:tcPr>
                <w:p w14:paraId="58E74A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切割、焊接、抛丸工序的废气经收集后进入滤筒除尘器处理后由15米排气筒（DA001）排放；喷漆废气经干式纸盒吸附后与固化废气一同经二级活性炭吸附处理；液化天然气（LNG）燃烧采用低氮燃烧器，固化及燃烧废气处理后经同一根15米排气筒（DA002）排放；喷粉工序在密闭喷粉室内进行静电喷涂，产生的废气收集后经滤筒除尘器处理后经一根15米排气筒（DA003）排放。</w:t>
                  </w:r>
                </w:p>
              </w:tc>
              <w:tc>
                <w:tcPr>
                  <w:tcW w:w="571" w:type="pct"/>
                  <w:tcBorders>
                    <w:tl2br w:val="nil"/>
                    <w:tr2bl w:val="nil"/>
                  </w:tcBorders>
                  <w:noWrap w:val="0"/>
                  <w:vAlign w:val="center"/>
                </w:tcPr>
                <w:p w14:paraId="381540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符合</w:t>
                  </w:r>
                </w:p>
              </w:tc>
            </w:tr>
            <w:tr w14:paraId="1273A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72" w:type="pct"/>
                  <w:vMerge w:val="continue"/>
                  <w:tcBorders>
                    <w:tl2br w:val="nil"/>
                    <w:tr2bl w:val="nil"/>
                  </w:tcBorders>
                  <w:noWrap w:val="0"/>
                  <w:vAlign w:val="center"/>
                </w:tcPr>
                <w:p w14:paraId="5A0BBC6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rPr>
                  </w:pPr>
                </w:p>
              </w:tc>
              <w:tc>
                <w:tcPr>
                  <w:tcW w:w="2047" w:type="pct"/>
                  <w:tcBorders>
                    <w:tl2br w:val="nil"/>
                    <w:tr2bl w:val="nil"/>
                  </w:tcBorders>
                  <w:noWrap w:val="0"/>
                  <w:vAlign w:val="center"/>
                </w:tcPr>
                <w:p w14:paraId="67EF56A3">
                  <w:pPr>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强化涉固体废物建设项目的环境准入管理，从源头杜绝工业固体废物产生量大且综合利用率低，难以实现经济效益、环境效益和社会效益相协调的项目落地。</w:t>
                  </w:r>
                </w:p>
              </w:tc>
              <w:tc>
                <w:tcPr>
                  <w:tcW w:w="1608" w:type="pct"/>
                  <w:tcBorders>
                    <w:tl2br w:val="nil"/>
                    <w:tr2bl w:val="nil"/>
                  </w:tcBorders>
                  <w:noWrap w:val="0"/>
                  <w:vAlign w:val="center"/>
                </w:tcPr>
                <w:p w14:paraId="303B9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lang w:eastAsia="zh-CN"/>
                    </w:rPr>
                  </w:pPr>
                  <w:r>
                    <w:rPr>
                      <w:rFonts w:hint="default" w:ascii="Times New Roman" w:hAnsi="Times New Roman" w:eastAsia="宋体" w:cs="Times New Roman"/>
                      <w:color w:val="auto"/>
                      <w:lang w:eastAsia="zh-CN"/>
                    </w:rPr>
                    <w:t>本项目一般固废均收集至一般固废暂存区后外售利用，危险废物收集至危废暂存间后交由资质单位清运处置</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实现一般固废“资源化”利用，严格落实本评价提出的措施后，固体废物处置率达</w:t>
                  </w:r>
                  <w:r>
                    <w:rPr>
                      <w:rFonts w:hint="default" w:ascii="Times New Roman" w:hAnsi="Times New Roman" w:eastAsia="宋体" w:cs="Times New Roman"/>
                      <w:color w:val="auto"/>
                      <w:lang w:val="en-US" w:eastAsia="zh-CN"/>
                    </w:rPr>
                    <w:t>100%。</w:t>
                  </w:r>
                </w:p>
              </w:tc>
              <w:tc>
                <w:tcPr>
                  <w:tcW w:w="571" w:type="pct"/>
                  <w:tcBorders>
                    <w:tl2br w:val="nil"/>
                    <w:tr2bl w:val="nil"/>
                  </w:tcBorders>
                  <w:noWrap w:val="0"/>
                  <w:vAlign w:val="center"/>
                </w:tcPr>
                <w:p w14:paraId="2BC24E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6C3F8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72" w:type="pct"/>
                  <w:tcBorders>
                    <w:tl2br w:val="nil"/>
                    <w:tr2bl w:val="nil"/>
                  </w:tcBorders>
                  <w:noWrap w:val="0"/>
                  <w:vAlign w:val="center"/>
                </w:tcPr>
                <w:p w14:paraId="63F342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cs="Times New Roman"/>
                      <w:snapToGrid w:val="0"/>
                      <w:color w:val="auto"/>
                      <w:szCs w:val="21"/>
                    </w:rPr>
                    <w:t>《宝鸡市大气污染防治条例》</w:t>
                  </w:r>
                </w:p>
              </w:tc>
              <w:tc>
                <w:tcPr>
                  <w:tcW w:w="2047" w:type="pct"/>
                  <w:tcBorders>
                    <w:tl2br w:val="nil"/>
                    <w:tr2bl w:val="nil"/>
                  </w:tcBorders>
                  <w:noWrap w:val="0"/>
                  <w:vAlign w:val="center"/>
                </w:tcPr>
                <w:p w14:paraId="36419A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钢铁、建材、有色金属、石油、化工、制药、矿产开采等企业，应当加强精细化管理，采取集中收集处理等措施，严格控制粉尘和气态污染物的排放。</w:t>
                  </w:r>
                </w:p>
              </w:tc>
              <w:tc>
                <w:tcPr>
                  <w:tcW w:w="1608" w:type="pct"/>
                  <w:tcBorders>
                    <w:tl2br w:val="nil"/>
                    <w:tr2bl w:val="nil"/>
                  </w:tcBorders>
                  <w:noWrap w:val="0"/>
                  <w:vAlign w:val="center"/>
                </w:tcPr>
                <w:p w14:paraId="73AE13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szCs w:val="21"/>
                      <w:lang w:val="en-US" w:eastAsia="zh-CN"/>
                    </w:rPr>
                    <w:t>本项目切割、焊接、抛丸工序的废气经收集后进入滤筒除尘器处理后由15米排气筒（DA001）排放；喷漆废气经干式纸盒吸附后与固化废气一同经二级活性炭吸附处理；液化天然气（LNG）燃烧采用低氮燃烧器，固化及燃烧废气处理后经同一根15米排气筒（DA002）排放；喷粉工序在密闭喷粉室内进行静电喷涂，产生的废气收集后经滤筒除尘器处理后经一根15米排气筒（DA003）排放。</w:t>
                  </w:r>
                </w:p>
              </w:tc>
              <w:tc>
                <w:tcPr>
                  <w:tcW w:w="571" w:type="pct"/>
                  <w:tcBorders>
                    <w:tl2br w:val="nil"/>
                    <w:tr2bl w:val="nil"/>
                  </w:tcBorders>
                  <w:noWrap w:val="0"/>
                  <w:vAlign w:val="center"/>
                </w:tcPr>
                <w:p w14:paraId="49F4C8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符合</w:t>
                  </w:r>
                </w:p>
              </w:tc>
            </w:tr>
            <w:tr w14:paraId="4216D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72" w:type="pct"/>
                  <w:vMerge w:val="restart"/>
                  <w:tcBorders>
                    <w:tl2br w:val="nil"/>
                    <w:tr2bl w:val="nil"/>
                  </w:tcBorders>
                  <w:noWrap w:val="0"/>
                  <w:vAlign w:val="center"/>
                </w:tcPr>
                <w:p w14:paraId="1C61AC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Cs w:val="21"/>
                      <w:lang w:eastAsia="zh-CN"/>
                    </w:rPr>
                  </w:pPr>
                  <w:r>
                    <w:rPr>
                      <w:rFonts w:hint="default" w:ascii="Times New Roman" w:hAnsi="Times New Roman" w:cs="Times New Roman"/>
                      <w:snapToGrid w:val="0"/>
                      <w:color w:val="auto"/>
                      <w:szCs w:val="21"/>
                      <w:lang w:eastAsia="zh-CN"/>
                    </w:rPr>
                    <w:t>《</w:t>
                  </w:r>
                  <w:r>
                    <w:rPr>
                      <w:rFonts w:hint="default" w:ascii="Times New Roman" w:hAnsi="Times New Roman" w:cs="Times New Roman"/>
                      <w:snapToGrid w:val="0"/>
                      <w:color w:val="auto"/>
                      <w:szCs w:val="21"/>
                      <w:lang w:val="en-US" w:eastAsia="zh-CN"/>
                    </w:rPr>
                    <w:t>宝鸡市大气污染专项行动方案</w:t>
                  </w:r>
                  <w:r>
                    <w:rPr>
                      <w:rFonts w:hint="default" w:ascii="Times New Roman" w:hAnsi="Times New Roman" w:cs="Times New Roman"/>
                      <w:snapToGrid w:val="0"/>
                      <w:color w:val="auto"/>
                      <w:szCs w:val="21"/>
                      <w:lang w:eastAsia="zh-CN"/>
                    </w:rPr>
                    <w:t>》（</w:t>
                  </w:r>
                  <w:r>
                    <w:rPr>
                      <w:rFonts w:hint="default" w:ascii="Times New Roman" w:hAnsi="Times New Roman" w:cs="Times New Roman"/>
                      <w:snapToGrid w:val="0"/>
                      <w:color w:val="auto"/>
                      <w:szCs w:val="21"/>
                      <w:lang w:val="en-US" w:eastAsia="zh-CN"/>
                    </w:rPr>
                    <w:t>2023-2027</w:t>
                  </w:r>
                  <w:r>
                    <w:rPr>
                      <w:rFonts w:hint="default" w:ascii="Times New Roman" w:hAnsi="Times New Roman" w:cs="Times New Roman"/>
                      <w:snapToGrid w:val="0"/>
                      <w:color w:val="auto"/>
                      <w:szCs w:val="21"/>
                      <w:lang w:eastAsia="zh-CN"/>
                    </w:rPr>
                    <w:t>）</w:t>
                  </w:r>
                </w:p>
              </w:tc>
              <w:tc>
                <w:tcPr>
                  <w:tcW w:w="2047" w:type="pct"/>
                  <w:tcBorders>
                    <w:tl2br w:val="nil"/>
                    <w:tr2bl w:val="nil"/>
                  </w:tcBorders>
                  <w:noWrap w:val="0"/>
                  <w:vAlign w:val="center"/>
                </w:tcPr>
                <w:p w14:paraId="351528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深化工业污染治理。动态巩固固定污染源排污许可管理全覆盖，强化排污许可“一证式”监管，持续推进重点涉气固定污染源治理。</w:t>
                  </w:r>
                </w:p>
              </w:tc>
              <w:tc>
                <w:tcPr>
                  <w:tcW w:w="1608" w:type="pct"/>
                  <w:tcBorders>
                    <w:tl2br w:val="nil"/>
                    <w:tr2bl w:val="nil"/>
                  </w:tcBorders>
                  <w:noWrap w:val="0"/>
                  <w:vAlign w:val="center"/>
                </w:tcPr>
                <w:p w14:paraId="0BCC39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本项目产生的废气均配有治理设施进行处理后排放。严格落实排污许可相关要求。</w:t>
                  </w:r>
                </w:p>
              </w:tc>
              <w:tc>
                <w:tcPr>
                  <w:tcW w:w="571" w:type="pct"/>
                  <w:tcBorders>
                    <w:tl2br w:val="nil"/>
                    <w:tr2bl w:val="nil"/>
                  </w:tcBorders>
                  <w:noWrap w:val="0"/>
                  <w:vAlign w:val="center"/>
                </w:tcPr>
                <w:p w14:paraId="5DDB13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符合</w:t>
                  </w:r>
                </w:p>
              </w:tc>
            </w:tr>
            <w:tr w14:paraId="3692E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pct"/>
                  <w:vMerge w:val="continue"/>
                  <w:tcBorders>
                    <w:tl2br w:val="nil"/>
                    <w:tr2bl w:val="nil"/>
                  </w:tcBorders>
                  <w:noWrap w:val="0"/>
                  <w:vAlign w:val="center"/>
                </w:tcPr>
                <w:p w14:paraId="3E141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Cs w:val="21"/>
                      <w:lang w:eastAsia="zh-CN"/>
                    </w:rPr>
                  </w:pPr>
                </w:p>
              </w:tc>
              <w:tc>
                <w:tcPr>
                  <w:tcW w:w="2047" w:type="pct"/>
                  <w:tcBorders>
                    <w:tl2br w:val="nil"/>
                    <w:tr2bl w:val="nil"/>
                  </w:tcBorders>
                  <w:noWrap w:val="0"/>
                  <w:vAlign w:val="center"/>
                </w:tcPr>
                <w:p w14:paraId="4CD542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Cs w:val="21"/>
                      <w:highlight w:val="none"/>
                      <w:lang w:val="en-US" w:eastAsia="zh-CN"/>
                    </w:rPr>
                    <w:t>市辖区及开发区新、改、扩建涉及重点行业企业应达到环保绩效A级、绩效引领性水平。</w:t>
                  </w:r>
                </w:p>
              </w:tc>
              <w:tc>
                <w:tcPr>
                  <w:tcW w:w="1608" w:type="pct"/>
                  <w:tcBorders>
                    <w:tl2br w:val="nil"/>
                    <w:tr2bl w:val="nil"/>
                  </w:tcBorders>
                  <w:noWrap w:val="0"/>
                  <w:vAlign w:val="center"/>
                </w:tcPr>
                <w:p w14:paraId="5BC6E4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lang w:val="en-US" w:eastAsia="zh-CN"/>
                    </w:rPr>
                    <w:t>本项目生产工序涉及喷涂，故需按</w:t>
                  </w:r>
                  <w:r>
                    <w:rPr>
                      <w:rFonts w:hint="default" w:ascii="Times New Roman" w:hAnsi="Times New Roman" w:cs="Times New Roman"/>
                      <w:color w:val="auto"/>
                      <w:szCs w:val="21"/>
                      <w:lang w:val="en-US" w:eastAsia="zh-CN"/>
                    </w:rPr>
                    <w:t>照环保绩效A级进行建设并执行相关限值要求。</w:t>
                  </w:r>
                </w:p>
              </w:tc>
              <w:tc>
                <w:tcPr>
                  <w:tcW w:w="571" w:type="pct"/>
                  <w:tcBorders>
                    <w:tl2br w:val="nil"/>
                    <w:tr2bl w:val="nil"/>
                  </w:tcBorders>
                  <w:noWrap w:val="0"/>
                  <w:vAlign w:val="center"/>
                </w:tcPr>
                <w:p w14:paraId="116FBD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符合</w:t>
                  </w:r>
                </w:p>
              </w:tc>
            </w:tr>
            <w:tr w14:paraId="212E9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9" w:hRule="atLeast"/>
                <w:jc w:val="center"/>
              </w:trPr>
              <w:tc>
                <w:tcPr>
                  <w:tcW w:w="772" w:type="pct"/>
                  <w:tcBorders>
                    <w:tl2br w:val="nil"/>
                    <w:tr2bl w:val="nil"/>
                  </w:tcBorders>
                  <w:noWrap w:val="0"/>
                  <w:vAlign w:val="center"/>
                </w:tcPr>
                <w:p w14:paraId="12F4A2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关于印发《2020年挥发性有机物治理攻坚方案》的通知 （环大气〔2020〕33号）</w:t>
                  </w:r>
                </w:p>
              </w:tc>
              <w:tc>
                <w:tcPr>
                  <w:tcW w:w="2047" w:type="pct"/>
                  <w:tcBorders>
                    <w:tl2br w:val="nil"/>
                    <w:tr2bl w:val="nil"/>
                  </w:tcBorders>
                  <w:noWrap w:val="0"/>
                  <w:vAlign w:val="center"/>
                </w:tcPr>
                <w:p w14:paraId="4672C8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大力推进低（无）VOC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lang w:val="en-US" w:eastAsia="zh-CN"/>
                    </w:rPr>
                    <w:t>含量原辅材料替代。采用符合国家有关低VOC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lang w:val="en-US" w:eastAsia="zh-CN"/>
                    </w:rPr>
                    <w:t>含量产品规定的涂料、油墨、胶黏剂等，排放浓度稳定达标且排放速率满足相关规定的，相应生产工序可不要求建设末端治理设施；使用的原辅材料VOC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lang w:val="en-US" w:eastAsia="zh-CN"/>
                    </w:rPr>
                    <w:t>含量（质量比）均低于10%的工序，可不要求采取无组织排放收集和处理措施。</w:t>
                  </w:r>
                </w:p>
              </w:tc>
              <w:tc>
                <w:tcPr>
                  <w:tcW w:w="1608" w:type="pct"/>
                  <w:tcBorders>
                    <w:tl2br w:val="nil"/>
                    <w:tr2bl w:val="nil"/>
                  </w:tcBorders>
                  <w:noWrap w:val="0"/>
                  <w:vAlign w:val="center"/>
                </w:tcPr>
                <w:p w14:paraId="18E016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本项目使用的涂料为热固性塑粉涂料和水性漆料，经塑粉涂料检测报告检测结果可知，该塑粉涂料所含VOC</w:t>
                  </w:r>
                  <w:r>
                    <w:rPr>
                      <w:rFonts w:hint="default" w:ascii="Times New Roman" w:hAnsi="Times New Roman" w:cs="Times New Roman"/>
                      <w:color w:val="auto"/>
                      <w:szCs w:val="21"/>
                      <w:vertAlign w:val="subscript"/>
                      <w:lang w:val="en-US" w:eastAsia="zh-CN"/>
                    </w:rPr>
                    <w:t>S</w:t>
                  </w:r>
                  <w:r>
                    <w:rPr>
                      <w:rFonts w:hint="default" w:ascii="Times New Roman" w:hAnsi="Times New Roman" w:cs="Times New Roman"/>
                      <w:color w:val="auto"/>
                      <w:szCs w:val="21"/>
                      <w:lang w:val="en-US" w:eastAsia="zh-CN"/>
                    </w:rPr>
                    <w:t>未检出，符合相关要求；水性漆料水性涂料，VOC</w:t>
                  </w:r>
                  <w:r>
                    <w:rPr>
                      <w:rFonts w:hint="default" w:ascii="Times New Roman" w:hAnsi="Times New Roman" w:cs="Times New Roman"/>
                      <w:color w:val="auto"/>
                      <w:szCs w:val="21"/>
                      <w:vertAlign w:val="subscript"/>
                      <w:lang w:val="en-US" w:eastAsia="zh-CN"/>
                    </w:rPr>
                    <w:t>S</w:t>
                  </w:r>
                  <w:r>
                    <w:rPr>
                      <w:rFonts w:hint="default" w:ascii="Times New Roman" w:hAnsi="Times New Roman" w:cs="Times New Roman"/>
                      <w:color w:val="0000FF"/>
                      <w:szCs w:val="21"/>
                      <w:lang w:val="en-US" w:eastAsia="zh-CN"/>
                    </w:rPr>
                    <w:t>含量117g/L</w:t>
                  </w:r>
                  <w:r>
                    <w:rPr>
                      <w:rFonts w:hint="default" w:ascii="Times New Roman" w:hAnsi="Times New Roman" w:cs="Times New Roman"/>
                      <w:color w:val="0000FF"/>
                      <w:lang w:val="en-US" w:eastAsia="zh-CN"/>
                    </w:rPr>
                    <w:t>-186g/L</w:t>
                  </w:r>
                  <w:r>
                    <w:rPr>
                      <w:rFonts w:hint="default" w:ascii="Times New Roman" w:hAnsi="Times New Roman" w:cs="Times New Roman"/>
                      <w:color w:val="0000FF"/>
                      <w:szCs w:val="21"/>
                      <w:lang w:val="en-US" w:eastAsia="zh-CN"/>
                    </w:rPr>
                    <w:t>，</w:t>
                  </w:r>
                  <w:r>
                    <w:rPr>
                      <w:rFonts w:hint="default" w:ascii="Times New Roman" w:hAnsi="Times New Roman" w:cs="Times New Roman"/>
                      <w:color w:val="auto"/>
                      <w:szCs w:val="21"/>
                      <w:lang w:val="en-US" w:eastAsia="zh-CN"/>
                    </w:rPr>
                    <w:t>符合《低挥发性有机化合物含量涂料产品技术要求》表1中“工业防护涂料限值250g/L”要求；但为符合当地环保政策，本项目将挥发性有机废气收集后经二级活性炭吸附处理后由15米排气筒排放。</w:t>
                  </w:r>
                </w:p>
              </w:tc>
              <w:tc>
                <w:tcPr>
                  <w:tcW w:w="571" w:type="pct"/>
                  <w:tcBorders>
                    <w:tl2br w:val="nil"/>
                    <w:tr2bl w:val="nil"/>
                  </w:tcBorders>
                  <w:noWrap w:val="0"/>
                  <w:vAlign w:val="center"/>
                </w:tcPr>
                <w:p w14:paraId="652898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符合</w:t>
                  </w:r>
                </w:p>
              </w:tc>
            </w:tr>
            <w:tr w14:paraId="19B047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72" w:type="pct"/>
                  <w:vMerge w:val="restart"/>
                  <w:tcBorders>
                    <w:tl2br w:val="nil"/>
                    <w:tr2bl w:val="nil"/>
                  </w:tcBorders>
                  <w:noWrap w:val="0"/>
                  <w:vAlign w:val="center"/>
                </w:tcPr>
                <w:p w14:paraId="0581B7E2">
                  <w:pPr>
                    <w:widowControl/>
                    <w:jc w:val="left"/>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工业炉窑大气污染综合治理方案》环大气〔2019〕56号</w:t>
                  </w:r>
                </w:p>
                <w:p w14:paraId="157DF1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Cs w:val="21"/>
                      <w:lang w:val="en-US" w:eastAsia="zh-CN"/>
                    </w:rPr>
                  </w:pPr>
                </w:p>
              </w:tc>
              <w:tc>
                <w:tcPr>
                  <w:tcW w:w="2047" w:type="pct"/>
                  <w:tcBorders>
                    <w:tl2br w:val="nil"/>
                    <w:tr2bl w:val="nil"/>
                  </w:tcBorders>
                  <w:noWrap w:val="0"/>
                  <w:vAlign w:val="center"/>
                </w:tcPr>
                <w:p w14:paraId="2464513A">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Cs w:val="21"/>
                      <w:highlight w:val="none"/>
                      <w:lang w:val="en-US" w:eastAsia="zh-CN"/>
                    </w:rPr>
                    <w:t>加快燃料清洁低碳化替代。对以煤、渣油、重油等为燃料的工业炉窑，加快使用清洁低碳能源以及利用工厂余热、电厂热力等进行替代。</w:t>
                  </w:r>
                  <w:r>
                    <w:rPr>
                      <w:rFonts w:hint="default" w:ascii="Times New Roman" w:hAnsi="Times New Roman" w:eastAsia="宋体" w:cs="Times New Roman"/>
                      <w:i w:val="0"/>
                      <w:iCs w:val="0"/>
                      <w:color w:val="auto"/>
                      <w:kern w:val="0"/>
                      <w:sz w:val="21"/>
                      <w:szCs w:val="21"/>
                      <w:highlight w:val="none"/>
                      <w:u w:val="none"/>
                      <w:lang w:val="en-US" w:eastAsia="zh-CN" w:bidi="ar"/>
                    </w:rPr>
                    <w:t>加大产业结构调整力度。严格建设项目环境准入。新建涉工业炉窑的建设项目，原则上要入园区，配套建设高效环保治理设施。重点区域严格控制</w:t>
                  </w:r>
                </w:p>
                <w:p w14:paraId="0D851389">
                  <w:pPr>
                    <w:adjustRightInd w:val="0"/>
                    <w:snapToGrid w:val="0"/>
                    <w:jc w:val="center"/>
                    <w:rPr>
                      <w:rFonts w:hint="default" w:ascii="Times New Roman" w:hAnsi="Times New Roman" w:cs="Times New Roman"/>
                      <w:color w:val="auto"/>
                      <w:kern w:val="2"/>
                      <w:sz w:val="21"/>
                      <w:szCs w:val="21"/>
                      <w:highlight w:val="none"/>
                      <w:lang w:val="en-US" w:eastAsia="zh-CN" w:bidi="ar-SA"/>
                    </w:rPr>
                  </w:pPr>
                </w:p>
              </w:tc>
              <w:tc>
                <w:tcPr>
                  <w:tcW w:w="1608" w:type="pct"/>
                  <w:tcBorders>
                    <w:tl2br w:val="nil"/>
                    <w:tr2bl w:val="nil"/>
                  </w:tcBorders>
                  <w:noWrap w:val="0"/>
                  <w:vAlign w:val="center"/>
                </w:tcPr>
                <w:p w14:paraId="4F0A7E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本项目固化工序采用液化天然气（LNG）为燃料，属于清洁能源，符合相关要求。本项目位于千河镇，属于工业集中区，项目固化过程中产生的废气配套二级活性炭吸附处理设施，可以有效地处理废气排放，实现低浓度排放。本项目为喷塑项目不属于严禁新增行业。</w:t>
                  </w:r>
                </w:p>
              </w:tc>
              <w:tc>
                <w:tcPr>
                  <w:tcW w:w="571" w:type="pct"/>
                  <w:tcBorders>
                    <w:tl2br w:val="nil"/>
                    <w:tr2bl w:val="nil"/>
                  </w:tcBorders>
                  <w:noWrap w:val="0"/>
                  <w:vAlign w:val="center"/>
                </w:tcPr>
                <w:p w14:paraId="6FB4FC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符合</w:t>
                  </w:r>
                </w:p>
              </w:tc>
            </w:tr>
            <w:tr w14:paraId="3D4BD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72" w:type="pct"/>
                  <w:vMerge w:val="continue"/>
                  <w:tcBorders>
                    <w:tl2br w:val="nil"/>
                    <w:tr2bl w:val="nil"/>
                  </w:tcBorders>
                  <w:noWrap w:val="0"/>
                  <w:vAlign w:val="center"/>
                </w:tcPr>
                <w:p w14:paraId="4D17EE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szCs w:val="21"/>
                      <w:lang w:val="en-US" w:eastAsia="zh-CN"/>
                    </w:rPr>
                  </w:pPr>
                </w:p>
              </w:tc>
              <w:tc>
                <w:tcPr>
                  <w:tcW w:w="2047" w:type="pct"/>
                  <w:tcBorders>
                    <w:tl2br w:val="nil"/>
                    <w:tr2bl w:val="nil"/>
                  </w:tcBorders>
                  <w:noWrap w:val="0"/>
                  <w:vAlign w:val="center"/>
                </w:tcPr>
                <w:p w14:paraId="216127F3">
                  <w:pPr>
                    <w:adjustRightInd w:val="0"/>
                    <w:snapToGrid w:val="0"/>
                    <w:jc w:val="both"/>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加强排污许可证管理。按照排污许可管理名录规定按期完成涉工业炉窑行业排污许可证核发。</w:t>
                  </w:r>
                </w:p>
              </w:tc>
              <w:tc>
                <w:tcPr>
                  <w:tcW w:w="1608" w:type="pct"/>
                  <w:tcBorders>
                    <w:tl2br w:val="nil"/>
                    <w:tr2bl w:val="nil"/>
                  </w:tcBorders>
                  <w:noWrap w:val="0"/>
                  <w:vAlign w:val="center"/>
                </w:tcPr>
                <w:p w14:paraId="19D8D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szCs w:val="21"/>
                      <w:highlight w:val="none"/>
                      <w:lang w:val="en-US" w:eastAsia="zh-CN"/>
                    </w:rPr>
                    <w:t>要求建设单位在项目批准后按时申报排污许可证。</w:t>
                  </w:r>
                </w:p>
              </w:tc>
              <w:tc>
                <w:tcPr>
                  <w:tcW w:w="571" w:type="pct"/>
                  <w:tcBorders>
                    <w:tl2br w:val="nil"/>
                    <w:tr2bl w:val="nil"/>
                  </w:tcBorders>
                  <w:noWrap w:val="0"/>
                  <w:vAlign w:val="center"/>
                </w:tcPr>
                <w:p w14:paraId="1BD573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符合</w:t>
                  </w:r>
                </w:p>
              </w:tc>
            </w:tr>
            <w:tr w14:paraId="64434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72" w:type="pct"/>
                  <w:vMerge w:val="restart"/>
                  <w:tcBorders>
                    <w:tl2br w:val="nil"/>
                    <w:tr2bl w:val="nil"/>
                  </w:tcBorders>
                  <w:noWrap w:val="0"/>
                  <w:vAlign w:val="center"/>
                </w:tcPr>
                <w:p w14:paraId="12D82C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eastAsia="zh-CN"/>
                    </w:rPr>
                    <w:t>《环境噪声与振动控制工程技术导则》</w:t>
                  </w:r>
                </w:p>
              </w:tc>
              <w:tc>
                <w:tcPr>
                  <w:tcW w:w="2047" w:type="pct"/>
                  <w:tcBorders>
                    <w:tl2br w:val="nil"/>
                    <w:tr2bl w:val="nil"/>
                  </w:tcBorders>
                  <w:noWrap w:val="0"/>
                  <w:vAlign w:val="center"/>
                </w:tcPr>
                <w:p w14:paraId="3EEB60B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eastAsia="zh-CN"/>
                    </w:rPr>
                    <w:t>风机和空调机组与风管的隔振连接，宜采用防火帆布接头或弹性橡胶软管；并采用弹性支架进行隔振安装。</w:t>
                  </w:r>
                </w:p>
              </w:tc>
              <w:tc>
                <w:tcPr>
                  <w:tcW w:w="1608" w:type="pct"/>
                  <w:tcBorders>
                    <w:tl2br w:val="nil"/>
                    <w:tr2bl w:val="nil"/>
                  </w:tcBorders>
                  <w:noWrap w:val="0"/>
                  <w:vAlign w:val="center"/>
                </w:tcPr>
                <w:p w14:paraId="763083B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eastAsia="zh-CN"/>
                    </w:rPr>
                    <w:t>本项目设</w:t>
                  </w:r>
                  <w:r>
                    <w:rPr>
                      <w:rFonts w:hint="default" w:ascii="Times New Roman" w:hAnsi="Times New Roman" w:eastAsia="宋体" w:cs="Times New Roman"/>
                      <w:color w:val="auto"/>
                      <w:lang w:val="en-US" w:eastAsia="zh-CN"/>
                    </w:rPr>
                    <w:t>备</w:t>
                  </w:r>
                  <w:r>
                    <w:rPr>
                      <w:rFonts w:hint="default" w:ascii="Times New Roman" w:hAnsi="Times New Roman" w:eastAsia="宋体" w:cs="Times New Roman"/>
                      <w:color w:val="auto"/>
                      <w:lang w:eastAsia="zh-CN"/>
                    </w:rPr>
                    <w:t>接口处均采用橡胶管和软接头连接。</w:t>
                  </w:r>
                </w:p>
              </w:tc>
              <w:tc>
                <w:tcPr>
                  <w:tcW w:w="571" w:type="pct"/>
                  <w:tcBorders>
                    <w:tl2br w:val="nil"/>
                    <w:tr2bl w:val="nil"/>
                  </w:tcBorders>
                  <w:noWrap w:val="0"/>
                  <w:vAlign w:val="center"/>
                </w:tcPr>
                <w:p w14:paraId="1B4FEB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06AB1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72" w:type="pct"/>
                  <w:vMerge w:val="continue"/>
                  <w:tcBorders>
                    <w:tl2br w:val="nil"/>
                    <w:tr2bl w:val="nil"/>
                  </w:tcBorders>
                  <w:noWrap w:val="0"/>
                  <w:vAlign w:val="center"/>
                </w:tcPr>
                <w:p w14:paraId="4BEFE8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c>
                <w:tcPr>
                  <w:tcW w:w="2047" w:type="pct"/>
                  <w:tcBorders>
                    <w:tl2br w:val="nil"/>
                    <w:tr2bl w:val="nil"/>
                  </w:tcBorders>
                  <w:noWrap w:val="0"/>
                  <w:vAlign w:val="center"/>
                </w:tcPr>
                <w:p w14:paraId="7871F18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rPr>
                  </w:pPr>
                  <w:r>
                    <w:rPr>
                      <w:rFonts w:hint="default" w:ascii="Times New Roman" w:hAnsi="Times New Roman" w:eastAsia="宋体" w:cs="Times New Roman"/>
                      <w:color w:val="auto"/>
                      <w:lang w:eastAsia="zh-CN"/>
                    </w:rPr>
                    <w:t>对噪声传播途径进行隔声处理时，可采用具有一定高度的</w:t>
                  </w:r>
                  <w:r>
                    <w:rPr>
                      <w:rFonts w:hint="default" w:ascii="Times New Roman" w:hAnsi="Times New Roman" w:eastAsia="宋体" w:cs="Times New Roman"/>
                      <w:color w:val="auto"/>
                      <w:lang w:val="en-US" w:eastAsia="zh-CN"/>
                    </w:rPr>
                    <w:t>隔墙或</w:t>
                  </w:r>
                  <w:r>
                    <w:rPr>
                      <w:rFonts w:hint="default" w:ascii="Times New Roman" w:hAnsi="Times New Roman" w:eastAsia="宋体" w:cs="Times New Roman"/>
                      <w:color w:val="auto"/>
                      <w:lang w:eastAsia="zh-CN"/>
                    </w:rPr>
                    <w:t>隔声屏障（如利用路堑、土堤、房屋建筑等）；必要时应同时用上述几种结构相结合的形式。</w:t>
                  </w:r>
                </w:p>
              </w:tc>
              <w:tc>
                <w:tcPr>
                  <w:tcW w:w="1608" w:type="pct"/>
                  <w:tcBorders>
                    <w:tl2br w:val="nil"/>
                    <w:tr2bl w:val="nil"/>
                  </w:tcBorders>
                  <w:noWrap w:val="0"/>
                  <w:vAlign w:val="center"/>
                </w:tcPr>
                <w:p w14:paraId="2CCBC0B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Cs w:val="21"/>
                      <w:lang w:val="en-US"/>
                    </w:rPr>
                  </w:pPr>
                  <w:r>
                    <w:rPr>
                      <w:rFonts w:hint="default" w:ascii="Times New Roman" w:hAnsi="Times New Roman" w:eastAsia="宋体" w:cs="Times New Roman"/>
                      <w:color w:val="auto"/>
                      <w:lang w:eastAsia="zh-CN"/>
                    </w:rPr>
                    <w:t>本项目为</w:t>
                  </w:r>
                  <w:r>
                    <w:rPr>
                      <w:rFonts w:hint="default" w:ascii="Times New Roman" w:hAnsi="Times New Roman" w:eastAsia="宋体" w:cs="Times New Roman"/>
                      <w:color w:val="auto"/>
                      <w:lang w:val="en-US" w:eastAsia="zh-CN"/>
                    </w:rPr>
                    <w:t>砖混结构，房屋建筑对噪声传播途径进行隔声处理，可满足项目区域噪声排放标准限值要求。</w:t>
                  </w:r>
                </w:p>
              </w:tc>
              <w:tc>
                <w:tcPr>
                  <w:tcW w:w="571" w:type="pct"/>
                  <w:tcBorders>
                    <w:tl2br w:val="nil"/>
                    <w:tr2bl w:val="nil"/>
                  </w:tcBorders>
                  <w:noWrap w:val="0"/>
                  <w:vAlign w:val="center"/>
                </w:tcPr>
                <w:p w14:paraId="07D511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55DEF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72" w:type="pct"/>
                  <w:vMerge w:val="restart"/>
                  <w:tcBorders>
                    <w:tl2br w:val="nil"/>
                    <w:tr2bl w:val="nil"/>
                  </w:tcBorders>
                  <w:noWrap w:val="0"/>
                  <w:vAlign w:val="center"/>
                </w:tcPr>
                <w:p w14:paraId="6F64BAE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《陕西省噪声污染防治行动计划（2023—2025年）》</w:t>
                  </w:r>
                </w:p>
              </w:tc>
              <w:tc>
                <w:tcPr>
                  <w:tcW w:w="2047" w:type="pct"/>
                  <w:tcBorders>
                    <w:tl2br w:val="nil"/>
                    <w:tr2bl w:val="nil"/>
                  </w:tcBorders>
                  <w:noWrap w:val="0"/>
                  <w:vAlign w:val="center"/>
                </w:tcPr>
                <w:p w14:paraId="35E3369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严格落实噪声污染防治要求。切实加强规划环评工作，充分考虑区域开发等规划内容产生的噪声对声环境质量的影响。可能产生噪声污染的新改扩建项目应当依法开展环评，符合相关规划环评管控要求。建设项目的噪声污染防治设施应当与主体工程同时设计、同时施工、同时投产使用。</w:t>
                  </w:r>
                </w:p>
              </w:tc>
              <w:tc>
                <w:tcPr>
                  <w:tcW w:w="1608" w:type="pct"/>
                  <w:tcBorders>
                    <w:tl2br w:val="nil"/>
                    <w:tr2bl w:val="nil"/>
                  </w:tcBorders>
                  <w:noWrap w:val="0"/>
                  <w:vAlign w:val="center"/>
                </w:tcPr>
                <w:p w14:paraId="43D3367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本项目环评正在办理中，项目噪声防治措施拟与主体工程同时设计、同时施工、同时投产使用。</w:t>
                  </w:r>
                </w:p>
              </w:tc>
              <w:tc>
                <w:tcPr>
                  <w:tcW w:w="571" w:type="pct"/>
                  <w:tcBorders>
                    <w:tl2br w:val="nil"/>
                    <w:tr2bl w:val="nil"/>
                  </w:tcBorders>
                  <w:noWrap w:val="0"/>
                  <w:vAlign w:val="center"/>
                </w:tcPr>
                <w:p w14:paraId="294F82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5293D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72" w:type="pct"/>
                  <w:vMerge w:val="continue"/>
                  <w:tcBorders>
                    <w:tl2br w:val="nil"/>
                    <w:tr2bl w:val="nil"/>
                  </w:tcBorders>
                  <w:noWrap w:val="0"/>
                  <w:vAlign w:val="center"/>
                </w:tcPr>
                <w:p w14:paraId="761742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c>
                <w:tcPr>
                  <w:tcW w:w="2047" w:type="pct"/>
                  <w:tcBorders>
                    <w:tl2br w:val="nil"/>
                    <w:tr2bl w:val="nil"/>
                  </w:tcBorders>
                  <w:noWrap w:val="0"/>
                  <w:vAlign w:val="center"/>
                </w:tcPr>
                <w:p w14:paraId="7CC0865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落实工业噪声过程控制。噪声排放工业企业切实落实噪声污染防治措施，加强厂区内固定设备、运输工具、货物装卸等声源噪声管理，避免突发噪声扰民。</w:t>
                  </w:r>
                </w:p>
              </w:tc>
              <w:tc>
                <w:tcPr>
                  <w:tcW w:w="1608" w:type="pct"/>
                  <w:tcBorders>
                    <w:tl2br w:val="nil"/>
                    <w:tr2bl w:val="nil"/>
                  </w:tcBorders>
                  <w:noWrap w:val="0"/>
                  <w:vAlign w:val="center"/>
                </w:tcPr>
                <w:p w14:paraId="7DC43E9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项目运营后的噪声主要来源于设备噪声，经采取基础减振、厂房隔声、距离衰减等措施后可达标排放。</w:t>
                  </w:r>
                </w:p>
              </w:tc>
              <w:tc>
                <w:tcPr>
                  <w:tcW w:w="571" w:type="pct"/>
                  <w:tcBorders>
                    <w:tl2br w:val="nil"/>
                    <w:tr2bl w:val="nil"/>
                  </w:tcBorders>
                  <w:noWrap w:val="0"/>
                  <w:vAlign w:val="center"/>
                </w:tcPr>
                <w:p w14:paraId="10BFD9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符合</w:t>
                  </w:r>
                </w:p>
              </w:tc>
            </w:tr>
            <w:tr w14:paraId="4A9B8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772" w:type="pct"/>
                  <w:tcBorders>
                    <w:tl2br w:val="nil"/>
                    <w:tr2bl w:val="nil"/>
                  </w:tcBorders>
                  <w:noWrap w:val="0"/>
                  <w:vAlign w:val="center"/>
                </w:tcPr>
                <w:p w14:paraId="17E9929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陕西省生态环境厅关于进一步加强关中地区涉气重点行业项目环评管理的通知（陕环环评函〔2023〕76号</w:t>
                  </w:r>
                  <w:r>
                    <w:rPr>
                      <w:rFonts w:hint="default" w:ascii="Times New Roman" w:hAnsi="Times New Roman" w:cs="Times New Roman"/>
                      <w:color w:val="auto"/>
                      <w:lang w:val="en-US" w:eastAsia="zh-CN"/>
                    </w:rPr>
                    <w:t>）</w:t>
                  </w:r>
                </w:p>
              </w:tc>
              <w:tc>
                <w:tcPr>
                  <w:tcW w:w="2047" w:type="pct"/>
                  <w:tcBorders>
                    <w:tl2br w:val="nil"/>
                    <w:tr2bl w:val="nil"/>
                  </w:tcBorders>
                  <w:noWrap w:val="0"/>
                  <w:vAlign w:val="center"/>
                </w:tcPr>
                <w:p w14:paraId="229FD4A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关中地区涉气重点行业项目范围为生态环境部确定的39个重点行业的新改扩建项目，涉及关中各市（区）辖区及开发区范围内的应达到环保绩效A级、绩效引领性水平要求，西安市、安康市、渭南市的其他区域应达到环保绩效B级及以上要求。</w:t>
                  </w:r>
                </w:p>
              </w:tc>
              <w:tc>
                <w:tcPr>
                  <w:tcW w:w="1608" w:type="pct"/>
                  <w:tcBorders>
                    <w:tl2br w:val="nil"/>
                    <w:tr2bl w:val="nil"/>
                  </w:tcBorders>
                  <w:noWrap w:val="0"/>
                  <w:vAlign w:val="center"/>
                </w:tcPr>
                <w:p w14:paraId="3823EB0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本项目位于宝鸡市陈仓区，生产工序涉及喷涂，故需按</w:t>
                  </w:r>
                  <w:r>
                    <w:rPr>
                      <w:rFonts w:hint="default" w:ascii="Times New Roman" w:hAnsi="Times New Roman" w:cs="Times New Roman"/>
                      <w:color w:val="auto"/>
                      <w:szCs w:val="21"/>
                      <w:lang w:val="en-US" w:eastAsia="zh-CN"/>
                    </w:rPr>
                    <w:t>照环保绩效A级进行建设并执行相关限值要求。</w:t>
                  </w:r>
                </w:p>
              </w:tc>
              <w:tc>
                <w:tcPr>
                  <w:tcW w:w="571" w:type="pct"/>
                  <w:tcBorders>
                    <w:tl2br w:val="nil"/>
                    <w:tr2bl w:val="nil"/>
                  </w:tcBorders>
                  <w:noWrap w:val="0"/>
                  <w:vAlign w:val="center"/>
                </w:tcPr>
                <w:p w14:paraId="01FC17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bl>
          <w:p w14:paraId="1BA5F8D9">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经与《</w:t>
            </w:r>
            <w:r>
              <w:rPr>
                <w:rFonts w:hint="default" w:ascii="Times New Roman" w:hAnsi="Times New Roman" w:eastAsia="宋体" w:cs="Times New Roman"/>
                <w:color w:val="auto"/>
                <w:sz w:val="24"/>
              </w:rPr>
              <w:t>陕西省“十四五”生态环境保护规划</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宝鸡市“十四五”生态环境保护规划</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宝鸡市大气污染防治条例</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工业炉窑大气污染综合治理方案</w:t>
            </w:r>
            <w:r>
              <w:rPr>
                <w:rFonts w:hint="default" w:ascii="Times New Roman" w:hAnsi="Times New Roman" w:eastAsia="宋体" w:cs="Times New Roman"/>
                <w:color w:val="auto"/>
                <w:sz w:val="24"/>
                <w:lang w:eastAsia="zh-CN"/>
              </w:rPr>
              <w:t>》《环境噪声与振动控制工程技术导则》</w:t>
            </w:r>
            <w:r>
              <w:rPr>
                <w:rFonts w:hint="default" w:ascii="Times New Roman" w:hAnsi="Times New Roman" w:eastAsia="宋体" w:cs="Times New Roman"/>
                <w:color w:val="auto"/>
                <w:sz w:val="24"/>
              </w:rPr>
              <w:t>等相关政策和环保政策进行符合性分析，项目建设内容和污染防治措施与以</w:t>
            </w:r>
            <w:r>
              <w:rPr>
                <w:rFonts w:hint="default" w:ascii="Times New Roman" w:hAnsi="Times New Roman" w:cs="Times New Roman"/>
                <w:color w:val="auto"/>
                <w:sz w:val="24"/>
              </w:rPr>
              <w:t>上规划、相关政策相符。</w:t>
            </w:r>
          </w:p>
          <w:p w14:paraId="24CBA95A">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3.项目环保绩效管理分析</w:t>
            </w:r>
          </w:p>
          <w:p w14:paraId="16FF6AA4">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本项目位于陈仓区陈仓大道千河桥西新大唐金属市场院内，本项目使用树脂粉末进行喷涂，根据陕西省生态环境厅文件陕环环评函〔2023〕76号文件，《关于进一步加强关中地区涉气重点行业环评管理的通知》及</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中共宝鸡市委宝鸡市人民政府《关于印发宝鸡市大气污染治理专项行动方案（2023年</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2027年）的通知》</w:t>
            </w:r>
            <w:r>
              <w:rPr>
                <w:rFonts w:hint="default" w:ascii="Times New Roman" w:hAnsi="Times New Roman" w:eastAsia="宋体" w:cs="Times New Roman"/>
                <w:b w:val="0"/>
                <w:bCs w:val="0"/>
                <w:color w:val="auto"/>
                <w:kern w:val="2"/>
                <w:sz w:val="24"/>
                <w:szCs w:val="24"/>
                <w:lang w:val="en-US" w:eastAsia="zh-CN" w:bidi="ar-SA"/>
              </w:rPr>
              <w:t>的有关要求：</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市辖区及开发区新、改、扩建涉气重点行业企业应达到环保绩效A级绩效引领性水平。本项目为金属表面处理及热处理加工，主要涉及“工业涂装”工序，</w:t>
            </w:r>
            <w:r>
              <w:rPr>
                <w:rFonts w:hint="default" w:ascii="Times New Roman" w:hAnsi="Times New Roman" w:eastAsia="宋体" w:cs="Times New Roman"/>
                <w:b w:val="0"/>
                <w:bCs w:val="0"/>
                <w:color w:val="auto"/>
                <w:kern w:val="2"/>
                <w:sz w:val="24"/>
                <w:szCs w:val="24"/>
                <w:lang w:val="en-US" w:eastAsia="zh-CN" w:bidi="ar-SA"/>
              </w:rPr>
              <w:t>故按照《重污染天气重点行业应急减排措施制定技术指南》中表39-1 工业涂装绩效分级指标中A级企业提出相应要求，具体分析如下：</w:t>
            </w:r>
          </w:p>
          <w:p w14:paraId="040BC67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default"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项目环保绩效管理篇章分析表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1"/>
              <w:gridCol w:w="4281"/>
              <w:gridCol w:w="3293"/>
            </w:tblGrid>
            <w:tr w14:paraId="1E600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23" w:type="pct"/>
                  <w:tcBorders>
                    <w:tl2br w:val="nil"/>
                    <w:tr2bl w:val="nil"/>
                  </w:tcBorders>
                  <w:noWrap w:val="0"/>
                  <w:vAlign w:val="center"/>
                </w:tcPr>
                <w:p w14:paraId="0E21C635">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指标要求</w:t>
                  </w:r>
                </w:p>
              </w:tc>
              <w:tc>
                <w:tcPr>
                  <w:tcW w:w="2586" w:type="pct"/>
                  <w:tcBorders>
                    <w:tl2br w:val="nil"/>
                    <w:tr2bl w:val="nil"/>
                  </w:tcBorders>
                  <w:noWrap w:val="0"/>
                  <w:vAlign w:val="center"/>
                </w:tcPr>
                <w:p w14:paraId="036E32D9">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A级企业</w:t>
                  </w:r>
                </w:p>
              </w:tc>
              <w:tc>
                <w:tcPr>
                  <w:tcW w:w="1989" w:type="pct"/>
                  <w:tcBorders>
                    <w:tl2br w:val="nil"/>
                    <w:tr2bl w:val="nil"/>
                  </w:tcBorders>
                  <w:noWrap w:val="0"/>
                  <w:vAlign w:val="center"/>
                </w:tcPr>
                <w:p w14:paraId="7BEE00EF">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本项目建设情况</w:t>
                  </w:r>
                </w:p>
              </w:tc>
            </w:tr>
            <w:tr w14:paraId="76777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423" w:type="pct"/>
                  <w:vMerge w:val="restart"/>
                  <w:tcBorders>
                    <w:tl2br w:val="nil"/>
                    <w:tr2bl w:val="nil"/>
                  </w:tcBorders>
                  <w:noWrap w:val="0"/>
                  <w:vAlign w:val="center"/>
                </w:tcPr>
                <w:p w14:paraId="579B9CAF">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原辅材料</w:t>
                  </w:r>
                </w:p>
              </w:tc>
              <w:tc>
                <w:tcPr>
                  <w:tcW w:w="2586" w:type="pct"/>
                  <w:tcBorders>
                    <w:tl2br w:val="nil"/>
                    <w:tr2bl w:val="nil"/>
                  </w:tcBorders>
                  <w:noWrap w:val="0"/>
                  <w:vAlign w:val="center"/>
                </w:tcPr>
                <w:p w14:paraId="3AA1EE1E">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1.使用粉末涂料；</w:t>
                  </w:r>
                </w:p>
                <w:p w14:paraId="78CF33D9">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2.使用符合《低挥发性有机化合物含量涂料产品技术要求》（GB/T38597-2020规定的低VOC</w:t>
                  </w:r>
                  <w:r>
                    <w:rPr>
                      <w:rFonts w:hint="default" w:ascii="Times New Roman" w:hAnsi="Times New Roman" w:eastAsia="宋体" w:cs="Times New Roman"/>
                      <w:b w:val="0"/>
                      <w:bCs w:val="0"/>
                      <w:color w:val="auto"/>
                      <w:kern w:val="2"/>
                      <w:sz w:val="21"/>
                      <w:szCs w:val="21"/>
                      <w:highlight w:val="none"/>
                      <w:vertAlign w:val="subscript"/>
                      <w:lang w:val="en-US" w:eastAsia="zh-CN" w:bidi="ar-SA"/>
                    </w:rPr>
                    <w:t>S</w:t>
                  </w:r>
                  <w:r>
                    <w:rPr>
                      <w:rFonts w:hint="default" w:ascii="Times New Roman" w:hAnsi="Times New Roman" w:eastAsia="宋体" w:cs="Times New Roman"/>
                      <w:b w:val="0"/>
                      <w:bCs w:val="0"/>
                      <w:color w:val="auto"/>
                      <w:kern w:val="2"/>
                      <w:sz w:val="21"/>
                      <w:szCs w:val="21"/>
                      <w:highlight w:val="none"/>
                      <w:vertAlign w:val="baseline"/>
                      <w:lang w:val="en-US" w:eastAsia="zh-CN" w:bidi="ar-SA"/>
                    </w:rPr>
                    <w:t>含量涂料产品）</w:t>
                  </w:r>
                </w:p>
              </w:tc>
              <w:tc>
                <w:tcPr>
                  <w:tcW w:w="1989" w:type="pct"/>
                  <w:vMerge w:val="restart"/>
                  <w:tcBorders>
                    <w:tl2br w:val="nil"/>
                    <w:tr2bl w:val="nil"/>
                  </w:tcBorders>
                  <w:noWrap w:val="0"/>
                  <w:vAlign w:val="center"/>
                </w:tcPr>
                <w:p w14:paraId="76F00D0D">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1.本项目使用的涂料为粉末涂料和水性漆；</w:t>
                  </w:r>
                </w:p>
                <w:p w14:paraId="3FA266F9">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2.本项目使用的涂料经检测报告可知，VOC检测结果为未检出；水性漆料经检测报告可知，VOC</w:t>
                  </w:r>
                  <w:r>
                    <w:rPr>
                      <w:rFonts w:hint="default" w:ascii="Times New Roman" w:hAnsi="Times New Roman" w:eastAsia="宋体" w:cs="Times New Roman"/>
                      <w:b w:val="0"/>
                      <w:bCs w:val="0"/>
                      <w:color w:val="auto"/>
                      <w:kern w:val="2"/>
                      <w:sz w:val="21"/>
                      <w:szCs w:val="21"/>
                      <w:highlight w:val="none"/>
                      <w:vertAlign w:val="subscript"/>
                      <w:lang w:val="en-US" w:eastAsia="zh-CN" w:bidi="ar-SA"/>
                    </w:rPr>
                    <w:t>S</w:t>
                  </w:r>
                  <w:r>
                    <w:rPr>
                      <w:rFonts w:hint="default" w:ascii="Times New Roman" w:hAnsi="Times New Roman" w:eastAsia="宋体" w:cs="Times New Roman"/>
                      <w:b w:val="0"/>
                      <w:bCs w:val="0"/>
                      <w:color w:val="auto"/>
                      <w:kern w:val="2"/>
                      <w:sz w:val="21"/>
                      <w:szCs w:val="21"/>
                      <w:highlight w:val="none"/>
                      <w:vertAlign w:val="baseline"/>
                      <w:lang w:val="en-US" w:eastAsia="zh-CN" w:bidi="ar-SA"/>
                    </w:rPr>
                    <w:t>检测结果为VOC含量117g/L、186g/L，符合GB/T38597-2020规定的低VOC</w:t>
                  </w:r>
                  <w:r>
                    <w:rPr>
                      <w:rFonts w:hint="default" w:ascii="Times New Roman" w:hAnsi="Times New Roman" w:eastAsia="宋体" w:cs="Times New Roman"/>
                      <w:b w:val="0"/>
                      <w:bCs w:val="0"/>
                      <w:color w:val="auto"/>
                      <w:kern w:val="2"/>
                      <w:sz w:val="21"/>
                      <w:szCs w:val="21"/>
                      <w:highlight w:val="none"/>
                      <w:vertAlign w:val="subscript"/>
                      <w:lang w:val="en-US" w:eastAsia="zh-CN" w:bidi="ar-SA"/>
                    </w:rPr>
                    <w:t>S</w:t>
                  </w:r>
                  <w:r>
                    <w:rPr>
                      <w:rFonts w:hint="default" w:ascii="Times New Roman" w:hAnsi="Times New Roman" w:eastAsia="宋体" w:cs="Times New Roman"/>
                      <w:b w:val="0"/>
                      <w:bCs w:val="0"/>
                      <w:color w:val="auto"/>
                      <w:kern w:val="2"/>
                      <w:sz w:val="21"/>
                      <w:szCs w:val="21"/>
                      <w:highlight w:val="none"/>
                      <w:vertAlign w:val="baseline"/>
                      <w:lang w:val="en-US" w:eastAsia="zh-CN" w:bidi="ar-SA"/>
                    </w:rPr>
                    <w:t>含量涂料产品；具体见附件。并且企业生产后若更换喷涂漆料，同样必须满足《工业防护涂料中有害物质限量》（GB30981-2020）及《低挥发性有机化合物含量涂料产品技术要求》（GB/T38597-2020）中相应VOC含量限量要求。</w:t>
                  </w:r>
                </w:p>
              </w:tc>
            </w:tr>
            <w:tr w14:paraId="0D7F3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423" w:type="pct"/>
                  <w:vMerge w:val="continue"/>
                  <w:tcBorders>
                    <w:tl2br w:val="nil"/>
                    <w:tr2bl w:val="nil"/>
                  </w:tcBorders>
                  <w:noWrap w:val="0"/>
                  <w:vAlign w:val="center"/>
                </w:tcPr>
                <w:p w14:paraId="50467781">
                  <w:pPr>
                    <w:pStyle w:val="6"/>
                    <w:keepNext/>
                    <w:keepLines w:val="0"/>
                    <w:pageBreakBefore w:val="0"/>
                    <w:widowControl w:val="0"/>
                    <w:kinsoku/>
                    <w:wordWrap/>
                    <w:overflowPunct/>
                    <w:topLinePunct w:val="0"/>
                    <w:autoSpaceDE/>
                    <w:autoSpaceDN/>
                    <w:bidi w:val="0"/>
                    <w:adjustRightInd/>
                    <w:snapToGrid/>
                    <w:spacing w:before="0" w:after="0" w:line="240" w:lineRule="auto"/>
                    <w:jc w:val="both"/>
                    <w:textAlignment w:val="auto"/>
                    <w:rPr>
                      <w:rFonts w:hint="default" w:ascii="Times New Roman" w:hAnsi="Times New Roman" w:cs="Times New Roman"/>
                    </w:rPr>
                  </w:pPr>
                </w:p>
              </w:tc>
              <w:tc>
                <w:tcPr>
                  <w:tcW w:w="2586" w:type="pct"/>
                  <w:tcBorders>
                    <w:tl2br w:val="nil"/>
                    <w:tr2bl w:val="nil"/>
                  </w:tcBorders>
                  <w:noWrap w:val="0"/>
                  <w:vAlign w:val="center"/>
                </w:tcPr>
                <w:p w14:paraId="5997EDB1">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备注：对于申报A、B级的企业，若某一工序使用的涂料无低VOC</w:t>
                  </w:r>
                  <w:r>
                    <w:rPr>
                      <w:rFonts w:hint="default" w:ascii="Times New Roman" w:hAnsi="Times New Roman" w:eastAsia="宋体" w:cs="Times New Roman"/>
                      <w:b w:val="0"/>
                      <w:bCs w:val="0"/>
                      <w:color w:val="auto"/>
                      <w:kern w:val="2"/>
                      <w:sz w:val="21"/>
                      <w:szCs w:val="21"/>
                      <w:highlight w:val="none"/>
                      <w:vertAlign w:val="subscript"/>
                      <w:lang w:val="en-US" w:eastAsia="zh-CN" w:bidi="ar-SA"/>
                    </w:rPr>
                    <w:t>S</w:t>
                  </w:r>
                  <w:r>
                    <w:rPr>
                      <w:rFonts w:hint="default" w:ascii="Times New Roman" w:hAnsi="Times New Roman" w:eastAsia="宋体" w:cs="Times New Roman"/>
                      <w:b w:val="0"/>
                      <w:bCs w:val="0"/>
                      <w:color w:val="auto"/>
                      <w:kern w:val="2"/>
                      <w:sz w:val="21"/>
                      <w:szCs w:val="21"/>
                      <w:highlight w:val="none"/>
                      <w:vertAlign w:val="baseline"/>
                      <w:lang w:val="en-US" w:eastAsia="zh-CN" w:bidi="ar-SA"/>
                    </w:rPr>
                    <w:t>含量涂料产品替代方案，其VOC</w:t>
                  </w:r>
                  <w:r>
                    <w:rPr>
                      <w:rFonts w:hint="default" w:ascii="Times New Roman" w:hAnsi="Times New Roman" w:eastAsia="宋体" w:cs="Times New Roman"/>
                      <w:b w:val="0"/>
                      <w:bCs w:val="0"/>
                      <w:color w:val="auto"/>
                      <w:kern w:val="2"/>
                      <w:sz w:val="21"/>
                      <w:szCs w:val="21"/>
                      <w:highlight w:val="none"/>
                      <w:vertAlign w:val="subscript"/>
                      <w:lang w:val="en-US" w:eastAsia="zh-CN" w:bidi="ar-SA"/>
                    </w:rPr>
                    <w:t>S</w:t>
                  </w:r>
                  <w:r>
                    <w:rPr>
                      <w:rFonts w:hint="default" w:ascii="Times New Roman" w:hAnsi="Times New Roman" w:eastAsia="宋体" w:cs="Times New Roman"/>
                      <w:b w:val="0"/>
                      <w:bCs w:val="0"/>
                      <w:color w:val="auto"/>
                      <w:kern w:val="2"/>
                      <w:sz w:val="21"/>
                      <w:szCs w:val="21"/>
                      <w:highlight w:val="none"/>
                      <w:vertAlign w:val="baseline"/>
                      <w:lang w:val="en-US" w:eastAsia="zh-CN" w:bidi="ar-SA"/>
                    </w:rPr>
                    <w:t>含量应满足《船舶涂料中有害物质限量》（GB 38469-2019）、《木器涂料中有害物质限量》（GB18581-2020）、《车辆涂料中有害物质限量》（GB24409-2020）、《工业防护涂料中有害物质限量》（GB30981-2020）等标准的要求</w:t>
                  </w:r>
                </w:p>
              </w:tc>
              <w:tc>
                <w:tcPr>
                  <w:tcW w:w="1989" w:type="pct"/>
                  <w:vMerge w:val="continue"/>
                  <w:tcBorders>
                    <w:tl2br w:val="nil"/>
                    <w:tr2bl w:val="nil"/>
                  </w:tcBorders>
                  <w:noWrap w:val="0"/>
                  <w:vAlign w:val="center"/>
                </w:tcPr>
                <w:p w14:paraId="04FC17EA">
                  <w:pPr>
                    <w:pStyle w:val="6"/>
                    <w:keepNext/>
                    <w:keepLines w:val="0"/>
                    <w:pageBreakBefore w:val="0"/>
                    <w:widowControl w:val="0"/>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r>
            <w:tr w14:paraId="58FD0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3" w:type="pct"/>
                  <w:tcBorders>
                    <w:tl2br w:val="nil"/>
                    <w:tr2bl w:val="nil"/>
                  </w:tcBorders>
                  <w:noWrap w:val="0"/>
                  <w:vAlign w:val="center"/>
                </w:tcPr>
                <w:p w14:paraId="55DDBF6B">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无组织排放</w:t>
                  </w:r>
                </w:p>
              </w:tc>
              <w:tc>
                <w:tcPr>
                  <w:tcW w:w="2586" w:type="pct"/>
                  <w:tcBorders>
                    <w:tl2br w:val="nil"/>
                    <w:tr2bl w:val="nil"/>
                  </w:tcBorders>
                  <w:noWrap w:val="0"/>
                  <w:vAlign w:val="center"/>
                </w:tcPr>
                <w:p w14:paraId="1FFACF8A">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1.满足《挥发性有机物无组织排放控制标准》（GB37822-2019）特别控制要求；</w:t>
                  </w:r>
                </w:p>
                <w:p w14:paraId="67918942">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2.VOC</w:t>
                  </w:r>
                  <w:r>
                    <w:rPr>
                      <w:rFonts w:hint="default" w:ascii="Times New Roman" w:hAnsi="Times New Roman" w:eastAsia="宋体" w:cs="Times New Roman"/>
                      <w:b w:val="0"/>
                      <w:bCs w:val="0"/>
                      <w:color w:val="auto"/>
                      <w:kern w:val="2"/>
                      <w:sz w:val="21"/>
                      <w:szCs w:val="21"/>
                      <w:highlight w:val="none"/>
                      <w:vertAlign w:val="subscript"/>
                      <w:lang w:val="en-US" w:eastAsia="zh-CN" w:bidi="ar-SA"/>
                    </w:rPr>
                    <w:t>S</w:t>
                  </w:r>
                  <w:r>
                    <w:rPr>
                      <w:rFonts w:hint="default" w:ascii="Times New Roman" w:hAnsi="Times New Roman" w:eastAsia="宋体" w:cs="Times New Roman"/>
                      <w:b w:val="0"/>
                      <w:bCs w:val="0"/>
                      <w:color w:val="auto"/>
                      <w:kern w:val="2"/>
                      <w:sz w:val="21"/>
                      <w:szCs w:val="21"/>
                      <w:highlight w:val="none"/>
                      <w:vertAlign w:val="baseline"/>
                      <w:lang w:val="en-US" w:eastAsia="zh-CN" w:bidi="ar-SA"/>
                    </w:rPr>
                    <w:t>物料存储于密闭容器或包装袋中，盛装VOC</w:t>
                  </w:r>
                  <w:r>
                    <w:rPr>
                      <w:rFonts w:hint="default" w:ascii="Times New Roman" w:hAnsi="Times New Roman" w:eastAsia="宋体" w:cs="Times New Roman"/>
                      <w:b w:val="0"/>
                      <w:bCs w:val="0"/>
                      <w:color w:val="auto"/>
                      <w:kern w:val="2"/>
                      <w:sz w:val="21"/>
                      <w:szCs w:val="21"/>
                      <w:highlight w:val="none"/>
                      <w:vertAlign w:val="subscript"/>
                      <w:lang w:val="en-US" w:eastAsia="zh-CN" w:bidi="ar-SA"/>
                    </w:rPr>
                    <w:t>S</w:t>
                  </w:r>
                  <w:r>
                    <w:rPr>
                      <w:rFonts w:hint="default" w:ascii="Times New Roman" w:hAnsi="Times New Roman" w:eastAsia="宋体" w:cs="Times New Roman"/>
                      <w:b w:val="0"/>
                      <w:bCs w:val="0"/>
                      <w:color w:val="auto"/>
                      <w:kern w:val="2"/>
                      <w:sz w:val="21"/>
                      <w:szCs w:val="21"/>
                      <w:highlight w:val="none"/>
                      <w:vertAlign w:val="baseline"/>
                      <w:lang w:val="en-US" w:eastAsia="zh-CN" w:bidi="ar-SA"/>
                    </w:rPr>
                    <w:t>物料的容器或包装袋存放于密闭负压的储库、料仓内；</w:t>
                  </w:r>
                </w:p>
                <w:p w14:paraId="4F7AD93E">
                  <w:pPr>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kern w:val="2"/>
                      <w:sz w:val="21"/>
                      <w:szCs w:val="21"/>
                      <w:highlight w:val="none"/>
                      <w:vertAlign w:val="baseline"/>
                      <w:lang w:val="en-US" w:eastAsia="zh-CN" w:bidi="ar-SA"/>
                    </w:rPr>
                    <w:t>3.</w:t>
                  </w:r>
                  <w:r>
                    <w:rPr>
                      <w:rFonts w:hint="default" w:ascii="Times New Roman" w:hAnsi="Times New Roman" w:eastAsia="宋体" w:cs="Times New Roman"/>
                      <w:b w:val="0"/>
                      <w:bCs w:val="0"/>
                      <w:color w:val="auto"/>
                      <w:kern w:val="2"/>
                      <w:sz w:val="21"/>
                      <w:szCs w:val="21"/>
                      <w:highlight w:val="none"/>
                      <w:vertAlign w:val="baseline"/>
                      <w:lang w:val="en-US" w:eastAsia="zh-CN" w:bidi="ar-SA"/>
                    </w:rPr>
                    <w:t>除大型工件特殊作业（例如，船舶制造行业的分段总组、船台、船坞、造船码头等涂装工序）外，调漆、喷漆、流平、烘干、清洗等工序在密闭设备或密闭负压空间内操作；</w:t>
                  </w:r>
                </w:p>
                <w:p w14:paraId="7E6FD3BB">
                  <w:pPr>
                    <w:pStyle w:val="31"/>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4.密闭回收废清洗剂；</w:t>
                  </w:r>
                </w:p>
                <w:p w14:paraId="254D2501">
                  <w:pPr>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5.建设干式喷漆房；使用湿式喷漆房时，循环水泵间和刮渣间应密闭，安装废气收集设施；</w:t>
                  </w:r>
                </w:p>
                <w:p w14:paraId="247EADEA">
                  <w:pPr>
                    <w:pStyle w:val="31"/>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6.采用静电喷涂、自动喷涂、高压无气喷涂或高流低压（HVLP）喷枪等高效涂装技术，不可使用手动空气喷涂技术。</w:t>
                  </w:r>
                </w:p>
              </w:tc>
              <w:tc>
                <w:tcPr>
                  <w:tcW w:w="1989" w:type="pct"/>
                  <w:tcBorders>
                    <w:tl2br w:val="nil"/>
                    <w:tr2bl w:val="nil"/>
                  </w:tcBorders>
                  <w:noWrap w:val="0"/>
                  <w:vAlign w:val="center"/>
                </w:tcPr>
                <w:p w14:paraId="58F9A5CD">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1.本项目挥发性有机废气无组织排放需满足《挥发性有机物无组织排放控制标准》（GB37822-2019）中相应标准限值要求。</w:t>
                  </w:r>
                </w:p>
                <w:p w14:paraId="19431851">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2.本项目使用喷涂的粉末储存于密闭包装袋中并存放于密闭负压的储库内；</w:t>
                  </w:r>
                </w:p>
                <w:p w14:paraId="66A84228">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3.本项目不涉及调漆、喷漆、烘干、清洗等工序，故固化流平均在密闭设备内进行。</w:t>
                  </w:r>
                </w:p>
                <w:p w14:paraId="1E07D72A">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4.本项目不涉及清洗剂产生。</w:t>
                  </w:r>
                </w:p>
                <w:p w14:paraId="5ECD4391">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5.本项目喷漆为干式密闭喷漆房，产生废气采用“上送风、侧吸风负压收集”收集方式收集。</w:t>
                  </w:r>
                </w:p>
                <w:p w14:paraId="3775E9A4">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6.本项目采取高压无气喷枪、静电喷涂，符合技术要求。</w:t>
                  </w:r>
                </w:p>
              </w:tc>
            </w:tr>
            <w:tr w14:paraId="111DA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3" w:type="pct"/>
                  <w:vMerge w:val="restart"/>
                  <w:tcBorders>
                    <w:tl2br w:val="nil"/>
                    <w:tr2bl w:val="nil"/>
                  </w:tcBorders>
                  <w:noWrap w:val="0"/>
                  <w:vAlign w:val="center"/>
                </w:tcPr>
                <w:p w14:paraId="0A310224">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VOCS治理设施</w:t>
                  </w:r>
                </w:p>
              </w:tc>
              <w:tc>
                <w:tcPr>
                  <w:tcW w:w="2586" w:type="pct"/>
                  <w:tcBorders>
                    <w:tl2br w:val="nil"/>
                    <w:tr2bl w:val="nil"/>
                  </w:tcBorders>
                  <w:noWrap w:val="0"/>
                  <w:vAlign w:val="center"/>
                </w:tcPr>
                <w:p w14:paraId="374B2E11">
                  <w:pPr>
                    <w:pStyle w:val="31"/>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1.喷涂废气设置干式的石灰石、纸盒等高效漆雾处理装置；</w:t>
                  </w:r>
                </w:p>
                <w:p w14:paraId="3CEC121C">
                  <w:pPr>
                    <w:pStyle w:val="31"/>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2.使用溶剂型涂料时，调漆、喷漆、流平、烘干、清洗等工序含VOC</w:t>
                  </w:r>
                  <w:r>
                    <w:rPr>
                      <w:rFonts w:hint="default" w:ascii="Times New Roman" w:hAnsi="Times New Roman" w:cs="Times New Roman"/>
                      <w:color w:val="auto"/>
                      <w:sz w:val="21"/>
                      <w:szCs w:val="21"/>
                      <w:vertAlign w:val="subscript"/>
                      <w:lang w:val="en-US" w:eastAsia="zh-CN"/>
                    </w:rPr>
                    <w:t>S</w:t>
                  </w:r>
                  <w:r>
                    <w:rPr>
                      <w:rFonts w:hint="default" w:ascii="Times New Roman" w:hAnsi="Times New Roman" w:cs="Times New Roman"/>
                      <w:color w:val="auto"/>
                      <w:sz w:val="21"/>
                      <w:szCs w:val="21"/>
                      <w:lang w:val="en-US" w:eastAsia="zh-CN"/>
                    </w:rPr>
                    <w:t>废气采用吸附浓缩+燃烧、燃烧等治理技术，处理效率≥95%；</w:t>
                  </w:r>
                </w:p>
                <w:p w14:paraId="549C7353">
                  <w:pPr>
                    <w:pStyle w:val="31"/>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3.使用水性涂料（含水性UV）时，当车间或生产设施排气中非甲烷总烃（NMHC）初始排放速率≥2kg/h时，建设末端治理设施。</w:t>
                  </w:r>
                </w:p>
                <w:p w14:paraId="6158E0A3">
                  <w:pPr>
                    <w:pStyle w:val="31"/>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Times New Roman" w:hAnsi="Times New Roman" w:cs="Times New Roman"/>
                      <w:color w:val="auto"/>
                      <w:sz w:val="21"/>
                      <w:szCs w:val="21"/>
                      <w:lang w:val="en-US" w:eastAsia="zh-CN"/>
                    </w:rPr>
                  </w:pPr>
                </w:p>
              </w:tc>
              <w:tc>
                <w:tcPr>
                  <w:tcW w:w="1989" w:type="pct"/>
                  <w:tcBorders>
                    <w:tl2br w:val="nil"/>
                    <w:tr2bl w:val="nil"/>
                  </w:tcBorders>
                  <w:noWrap w:val="0"/>
                  <w:vAlign w:val="center"/>
                </w:tcPr>
                <w:p w14:paraId="67951059">
                  <w:pPr>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1.本项目水性漆喷涂废气设置一体化干式纸盒+过滤棉漆雾处理装置。</w:t>
                  </w:r>
                </w:p>
                <w:p w14:paraId="32E578A4">
                  <w:pPr>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2.本项目使用涂料为</w:t>
                  </w:r>
                  <w:r>
                    <w:rPr>
                      <w:rFonts w:hint="default" w:ascii="Times New Roman" w:hAnsi="Times New Roman" w:eastAsia="宋体" w:cs="Times New Roman"/>
                      <w:color w:val="auto"/>
                      <w:szCs w:val="21"/>
                      <w:highlight w:val="none"/>
                      <w:lang w:val="en-US" w:eastAsia="zh-CN"/>
                    </w:rPr>
                    <w:t>成品水性涂料和</w:t>
                  </w:r>
                  <w:r>
                    <w:rPr>
                      <w:rFonts w:hint="default" w:ascii="Times New Roman" w:hAnsi="Times New Roman" w:cs="Times New Roman"/>
                      <w:color w:val="auto"/>
                      <w:sz w:val="21"/>
                      <w:szCs w:val="21"/>
                      <w:lang w:val="en-US" w:eastAsia="zh-CN"/>
                    </w:rPr>
                    <w:t>热固性塑粉涂料，不涉及溶剂型涂料。</w:t>
                  </w:r>
                </w:p>
                <w:p w14:paraId="25D90C2D">
                  <w:pPr>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3.本项目使用的水性漆和热固性塑粉涂料，经源强核算废气（非甲烷总烃）初始排放速率小于2kg/h，建设单位对产生的废气配套设置了治理设施，做到达标排放。</w:t>
                  </w:r>
                </w:p>
              </w:tc>
            </w:tr>
            <w:tr w14:paraId="2CB6A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423" w:type="pct"/>
                  <w:vMerge w:val="continue"/>
                  <w:tcBorders>
                    <w:tl2br w:val="nil"/>
                    <w:tr2bl w:val="nil"/>
                  </w:tcBorders>
                  <w:noWrap w:val="0"/>
                  <w:vAlign w:val="center"/>
                </w:tcPr>
                <w:p w14:paraId="1536F08C">
                  <w:pPr>
                    <w:pStyle w:val="31"/>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cs="Times New Roman"/>
                    </w:rPr>
                  </w:pPr>
                </w:p>
              </w:tc>
              <w:tc>
                <w:tcPr>
                  <w:tcW w:w="2586" w:type="pct"/>
                  <w:tcBorders>
                    <w:tl2br w:val="nil"/>
                    <w:tr2bl w:val="nil"/>
                  </w:tcBorders>
                  <w:noWrap w:val="0"/>
                  <w:vAlign w:val="center"/>
                </w:tcPr>
                <w:p w14:paraId="7A5A09D6">
                  <w:pPr>
                    <w:pStyle w:val="31"/>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备注：</w:t>
                  </w:r>
                  <w:r>
                    <w:rPr>
                      <w:rFonts w:hint="default" w:ascii="Times New Roman" w:hAnsi="Times New Roman" w:cs="Times New Roman"/>
                      <w:color w:val="auto"/>
                      <w:sz w:val="21"/>
                      <w:szCs w:val="21"/>
                      <w:lang w:val="en-US" w:eastAsia="zh-CN"/>
                    </w:rPr>
                    <w:t>采用粉末涂料或VOC</w:t>
                  </w:r>
                  <w:r>
                    <w:rPr>
                      <w:rFonts w:hint="default" w:ascii="Times New Roman" w:hAnsi="Times New Roman" w:cs="Times New Roman"/>
                      <w:color w:val="auto"/>
                      <w:sz w:val="21"/>
                      <w:szCs w:val="21"/>
                      <w:vertAlign w:val="subscript"/>
                      <w:lang w:val="en-US" w:eastAsia="zh-CN"/>
                    </w:rPr>
                    <w:t>S</w:t>
                  </w:r>
                  <w:r>
                    <w:rPr>
                      <w:rFonts w:hint="default" w:ascii="Times New Roman" w:hAnsi="Times New Roman" w:cs="Times New Roman"/>
                      <w:color w:val="auto"/>
                      <w:sz w:val="21"/>
                      <w:szCs w:val="21"/>
                      <w:lang w:val="en-US" w:eastAsia="zh-CN"/>
                    </w:rPr>
                    <w:t>含量≤60g/L的无溶剂涂料时，排放浓度稳定达标且排放速率、排放绩效等满足相关规定的，相应生产工序可不要求建设末端治理设施。</w:t>
                  </w:r>
                </w:p>
              </w:tc>
              <w:tc>
                <w:tcPr>
                  <w:tcW w:w="1989" w:type="pct"/>
                  <w:tcBorders>
                    <w:tl2br w:val="nil"/>
                    <w:tr2bl w:val="nil"/>
                  </w:tcBorders>
                  <w:noWrap w:val="0"/>
                  <w:vAlign w:val="center"/>
                </w:tcPr>
                <w:p w14:paraId="75DA6FEA">
                  <w:pPr>
                    <w:pStyle w:val="31"/>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color w:val="auto"/>
                      <w:szCs w:val="21"/>
                      <w:highlight w:val="none"/>
                      <w:lang w:val="en-US" w:eastAsia="zh-CN"/>
                    </w:rPr>
                    <w:t>/</w:t>
                  </w:r>
                </w:p>
              </w:tc>
            </w:tr>
            <w:tr w14:paraId="6F7BE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3" w:type="pct"/>
                  <w:vMerge w:val="restart"/>
                  <w:tcBorders>
                    <w:tl2br w:val="nil"/>
                    <w:tr2bl w:val="nil"/>
                  </w:tcBorders>
                  <w:noWrap w:val="0"/>
                  <w:vAlign w:val="center"/>
                </w:tcPr>
                <w:p w14:paraId="77B3901D">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排放限值</w:t>
                  </w:r>
                </w:p>
              </w:tc>
              <w:tc>
                <w:tcPr>
                  <w:tcW w:w="2586" w:type="pct"/>
                  <w:tcBorders>
                    <w:tl2br w:val="nil"/>
                    <w:tr2bl w:val="nil"/>
                  </w:tcBorders>
                  <w:noWrap w:val="0"/>
                  <w:vAlign w:val="center"/>
                </w:tcPr>
                <w:p w14:paraId="1F86B480">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1.在连续一年的监测数据中，车间或生产设施排气筒排放的NMHC为20mg/m³~30mg/m³、TVOC为40mg/m³~50mg/m³；</w:t>
                  </w:r>
                </w:p>
                <w:p w14:paraId="0527057B">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2.厂区内无组织排放监控点NMHC的小时平均浓度值不超过6mg/m³、任意一次浓度值不超过20mg/m³；</w:t>
                  </w:r>
                </w:p>
                <w:p w14:paraId="3B695D8A">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3.其他各项污染物稳定达到现行排放控制要求，并从严地方要求。</w:t>
                  </w:r>
                </w:p>
              </w:tc>
              <w:tc>
                <w:tcPr>
                  <w:tcW w:w="1989" w:type="pct"/>
                  <w:tcBorders>
                    <w:tl2br w:val="nil"/>
                    <w:tr2bl w:val="nil"/>
                  </w:tcBorders>
                  <w:noWrap w:val="0"/>
                  <w:vAlign w:val="center"/>
                </w:tcPr>
                <w:p w14:paraId="5D7B0A28">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lef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1.本项目建成后在后续自行监测中排气筒排放废气浓度需满足NMHC为20mg/m³~30mg/m³、TVOC为40mg/m³~50mg/m³；</w:t>
                  </w:r>
                </w:p>
                <w:p w14:paraId="3E6D1277">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lef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2.厂区内无组织排放监控点NMHC的小时平均浓度值不超过6mg/m³、任意一次浓度值不超过20mg/m³；</w:t>
                  </w:r>
                </w:p>
                <w:p w14:paraId="56ADAF6E">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left"/>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3.严格按照本地相关政策要求建设并执行。</w:t>
                  </w:r>
                </w:p>
              </w:tc>
            </w:tr>
            <w:tr w14:paraId="6AC22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3" w:type="pct"/>
                  <w:vMerge w:val="continue"/>
                  <w:tcBorders>
                    <w:tl2br w:val="nil"/>
                    <w:tr2bl w:val="nil"/>
                  </w:tcBorders>
                  <w:noWrap w:val="0"/>
                  <w:vAlign w:val="center"/>
                </w:tcPr>
                <w:p w14:paraId="119ABB6D">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2586" w:type="pct"/>
                  <w:tcBorders>
                    <w:tl2br w:val="nil"/>
                    <w:tr2bl w:val="nil"/>
                  </w:tcBorders>
                  <w:noWrap w:val="0"/>
                  <w:vAlign w:val="center"/>
                </w:tcPr>
                <w:p w14:paraId="54E161D7">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备注：车间或生产设施排气筒排放的TVOC浓度限值要求待相应的监测标准发布后执行</w:t>
                  </w:r>
                </w:p>
              </w:tc>
              <w:tc>
                <w:tcPr>
                  <w:tcW w:w="1989" w:type="pct"/>
                  <w:tcBorders>
                    <w:tl2br w:val="nil"/>
                    <w:tr2bl w:val="nil"/>
                  </w:tcBorders>
                  <w:noWrap w:val="0"/>
                  <w:vAlign w:val="center"/>
                </w:tcPr>
                <w:p w14:paraId="7E2E2026">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w:t>
                  </w:r>
                </w:p>
              </w:tc>
            </w:tr>
            <w:tr w14:paraId="1A0DF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3" w:type="pct"/>
                  <w:tcBorders>
                    <w:tl2br w:val="nil"/>
                    <w:tr2bl w:val="nil"/>
                  </w:tcBorders>
                  <w:noWrap w:val="0"/>
                  <w:vAlign w:val="center"/>
                </w:tcPr>
                <w:p w14:paraId="20C71304">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监测监控水平</w:t>
                  </w:r>
                </w:p>
              </w:tc>
              <w:tc>
                <w:tcPr>
                  <w:tcW w:w="2586" w:type="pct"/>
                  <w:tcBorders>
                    <w:tl2br w:val="nil"/>
                    <w:tr2bl w:val="nil"/>
                  </w:tcBorders>
                  <w:noWrap w:val="0"/>
                  <w:vAlign w:val="center"/>
                </w:tcPr>
                <w:p w14:paraId="42DBF0C1">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1.严格执行《排污许可证申请与核发技术规范 总则》（HJ942-2018）以及相关行业排污许可证申请与核发技术规范规定的自行监测管理要求；</w:t>
                  </w:r>
                </w:p>
                <w:p w14:paraId="08FFF49F">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2.重点排污企业风量大于10000m³/h的主要排放口，有机废气排放口安装NMHC在线监测设施（FID检测器），自动监控数据保存一年以上；</w:t>
                  </w:r>
                </w:p>
                <w:p w14:paraId="3EA3294D">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安装DCS系统、仪器仪表等装置，连续测量并记录治理设施控制指标温度、压力（压差）、时间和频率值。再生式活性炭连续自动测量并记录温度、再生时间和更换周期；更换式活性炭记录温度、更换周期及更换量；数据保存一年以上。</w:t>
                  </w:r>
                </w:p>
              </w:tc>
              <w:tc>
                <w:tcPr>
                  <w:tcW w:w="1989" w:type="pct"/>
                  <w:tcBorders>
                    <w:tl2br w:val="nil"/>
                    <w:tr2bl w:val="nil"/>
                  </w:tcBorders>
                  <w:noWrap w:val="0"/>
                  <w:vAlign w:val="center"/>
                </w:tcPr>
                <w:p w14:paraId="495B0179">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1.严格按照相关核发技术规范要求进行自行监测；</w:t>
                  </w:r>
                </w:p>
                <w:p w14:paraId="6B48C005">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2.本项目不涉及重点排污企业及主要排放口；</w:t>
                  </w:r>
                </w:p>
                <w:p w14:paraId="487F1034">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3.本项目不涉及安装DCS系统、仪器仪表等装置，故无需进行相关要求。</w:t>
                  </w:r>
                </w:p>
              </w:tc>
            </w:tr>
            <w:tr w14:paraId="4D329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3" w:type="pct"/>
                  <w:vMerge w:val="restart"/>
                  <w:tcBorders>
                    <w:tl2br w:val="nil"/>
                    <w:tr2bl w:val="nil"/>
                  </w:tcBorders>
                  <w:noWrap w:val="0"/>
                  <w:vAlign w:val="center"/>
                </w:tcPr>
                <w:p w14:paraId="3D2435A9">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环境管理水平</w:t>
                  </w:r>
                </w:p>
              </w:tc>
              <w:tc>
                <w:tcPr>
                  <w:tcW w:w="2586" w:type="pct"/>
                  <w:tcBorders>
                    <w:tl2br w:val="nil"/>
                    <w:tr2bl w:val="nil"/>
                  </w:tcBorders>
                  <w:noWrap w:val="0"/>
                  <w:vAlign w:val="center"/>
                </w:tcPr>
                <w:p w14:paraId="3C6846EB">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环保档案齐全：1.环评批复文件；2.排污许可证及季度、年度执行报告；3.竣工验收文件；4.废气治理设施运行管理规程；5.一年内废气监测报告</w:t>
                  </w:r>
                </w:p>
              </w:tc>
              <w:tc>
                <w:tcPr>
                  <w:tcW w:w="1989" w:type="pct"/>
                  <w:tcBorders>
                    <w:tl2br w:val="nil"/>
                    <w:tr2bl w:val="nil"/>
                  </w:tcBorders>
                  <w:noWrap w:val="0"/>
                  <w:vAlign w:val="center"/>
                </w:tcPr>
                <w:p w14:paraId="3B842E9D">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本项目建成后需整理归档环保档案资料，包括环评批复文件、排污许可证年度执行报告、验收竣工文件、废气治理设施管理规程、废气监测报告</w:t>
                  </w:r>
                </w:p>
              </w:tc>
            </w:tr>
            <w:tr w14:paraId="327636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3" w:type="pct"/>
                  <w:vMerge w:val="continue"/>
                  <w:tcBorders>
                    <w:tl2br w:val="nil"/>
                    <w:tr2bl w:val="nil"/>
                  </w:tcBorders>
                  <w:noWrap w:val="0"/>
                  <w:vAlign w:val="center"/>
                </w:tcPr>
                <w:p w14:paraId="64E1DD9A">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2586" w:type="pct"/>
                  <w:tcBorders>
                    <w:tl2br w:val="nil"/>
                    <w:tr2bl w:val="nil"/>
                  </w:tcBorders>
                  <w:noWrap w:val="0"/>
                  <w:vAlign w:val="center"/>
                </w:tcPr>
                <w:p w14:paraId="69C15B82">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台账记录：1.生产设施运行管理信息（生产时间、运行负荷、产品产量等，必须具备近一年及以上所用涂料的密度、扣水后VOCS含量、含水量（水性涂料）等信息的检测报告）；</w:t>
                  </w:r>
                </w:p>
                <w:p w14:paraId="54662E31">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2.废气污染治理设施运行管理信息（燃烧室温度、冷凝温度、过滤材料更换频次、吸附剂更换频次、催化剂更换频次）；</w:t>
                  </w:r>
                </w:p>
                <w:p w14:paraId="25F918AE">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3.监测记录信息（主要污染排放口废气排放记录（手工监测或在线监测）等）；</w:t>
                  </w:r>
                </w:p>
                <w:p w14:paraId="41A7C870">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4.主要原辅材料消耗记录；</w:t>
                  </w:r>
                </w:p>
                <w:p w14:paraId="79829798">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5.燃料（天然气）消耗记录</w:t>
                  </w:r>
                </w:p>
              </w:tc>
              <w:tc>
                <w:tcPr>
                  <w:tcW w:w="1989" w:type="pct"/>
                  <w:tcBorders>
                    <w:tl2br w:val="nil"/>
                    <w:tr2bl w:val="nil"/>
                  </w:tcBorders>
                  <w:noWrap w:val="0"/>
                  <w:vAlign w:val="center"/>
                </w:tcPr>
                <w:p w14:paraId="59197436">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本项目建成投产运行后，需记录台账，按照要求记录生产设施运行管理台账、大气污染治理设施运行台账、监测记录信息台账、主要原辅料消耗台账、液化天然气（LNG）消耗台账</w:t>
                  </w:r>
                </w:p>
              </w:tc>
            </w:tr>
            <w:tr w14:paraId="38E87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3" w:type="pct"/>
                  <w:vMerge w:val="continue"/>
                  <w:tcBorders>
                    <w:tl2br w:val="nil"/>
                    <w:tr2bl w:val="nil"/>
                  </w:tcBorders>
                  <w:noWrap w:val="0"/>
                  <w:vAlign w:val="center"/>
                </w:tcPr>
                <w:p w14:paraId="2071D70D">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2586" w:type="pct"/>
                  <w:tcBorders>
                    <w:tl2br w:val="nil"/>
                    <w:tr2bl w:val="nil"/>
                  </w:tcBorders>
                  <w:noWrap w:val="0"/>
                  <w:vAlign w:val="center"/>
                </w:tcPr>
                <w:p w14:paraId="5088BAA8">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人员配置：设置环保部门，配备专职环保人员，并具备相应的环境管理能力</w:t>
                  </w:r>
                </w:p>
              </w:tc>
              <w:tc>
                <w:tcPr>
                  <w:tcW w:w="1989" w:type="pct"/>
                  <w:tcBorders>
                    <w:tl2br w:val="nil"/>
                    <w:tr2bl w:val="nil"/>
                  </w:tcBorders>
                  <w:noWrap w:val="0"/>
                  <w:vAlign w:val="center"/>
                </w:tcPr>
                <w:p w14:paraId="36973D7B">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本项目建成投产运行后，需按要求设置环保部门，配备专职环保人员</w:t>
                  </w:r>
                </w:p>
              </w:tc>
            </w:tr>
            <w:tr w14:paraId="4B1D5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3" w:type="pct"/>
                  <w:tcBorders>
                    <w:tl2br w:val="nil"/>
                    <w:tr2bl w:val="nil"/>
                  </w:tcBorders>
                  <w:noWrap w:val="0"/>
                  <w:vAlign w:val="center"/>
                </w:tcPr>
                <w:p w14:paraId="2C669B5B">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运输方式</w:t>
                  </w:r>
                </w:p>
              </w:tc>
              <w:tc>
                <w:tcPr>
                  <w:tcW w:w="2586" w:type="pct"/>
                  <w:tcBorders>
                    <w:tl2br w:val="nil"/>
                    <w:tr2bl w:val="nil"/>
                  </w:tcBorders>
                  <w:noWrap w:val="0"/>
                  <w:vAlign w:val="center"/>
                </w:tcPr>
                <w:p w14:paraId="13CFF97B">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1.物料公路运输全部使用达到国五及以上排放标准重型载货车辆（含燃气）或新能源车辆；</w:t>
                  </w:r>
                </w:p>
                <w:p w14:paraId="2FB33FA6">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2.厂内 运输车辆全部达到国五及以上排放标准（含燃气）或使用新能源车辆；</w:t>
                  </w:r>
                </w:p>
                <w:p w14:paraId="4B3EEEA3">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3.厂内非道路移动机械全部达到国三及以上排放标准或使用新能源机械</w:t>
                  </w:r>
                </w:p>
              </w:tc>
              <w:tc>
                <w:tcPr>
                  <w:tcW w:w="1989" w:type="pct"/>
                  <w:tcBorders>
                    <w:tl2br w:val="nil"/>
                    <w:tr2bl w:val="nil"/>
                  </w:tcBorders>
                  <w:noWrap w:val="0"/>
                  <w:vAlign w:val="center"/>
                </w:tcPr>
                <w:p w14:paraId="4C6F6157">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本项目建成投产运行后，运输车辆均需满足相关要求。厂内不涉及使用非道路移动机械，符合要求。</w:t>
                  </w:r>
                </w:p>
              </w:tc>
            </w:tr>
            <w:tr w14:paraId="12F10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3" w:type="pct"/>
                  <w:tcBorders>
                    <w:tl2br w:val="nil"/>
                    <w:tr2bl w:val="nil"/>
                  </w:tcBorders>
                  <w:noWrap w:val="0"/>
                  <w:vAlign w:val="center"/>
                </w:tcPr>
                <w:p w14:paraId="601602A9">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运输监管</w:t>
                  </w:r>
                </w:p>
              </w:tc>
              <w:tc>
                <w:tcPr>
                  <w:tcW w:w="2586" w:type="pct"/>
                  <w:tcBorders>
                    <w:tl2br w:val="nil"/>
                    <w:tr2bl w:val="nil"/>
                  </w:tcBorders>
                  <w:noWrap w:val="0"/>
                  <w:vAlign w:val="center"/>
                </w:tcPr>
                <w:p w14:paraId="4CE5A5C4">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参照《重污染天气重点行业移动源应急管理技术指南》建立门禁系统和电子台账</w:t>
                  </w:r>
                </w:p>
              </w:tc>
              <w:tc>
                <w:tcPr>
                  <w:tcW w:w="1989" w:type="pct"/>
                  <w:tcBorders>
                    <w:tl2br w:val="nil"/>
                    <w:tr2bl w:val="nil"/>
                  </w:tcBorders>
                  <w:noWrap w:val="0"/>
                  <w:vAlign w:val="center"/>
                </w:tcPr>
                <w:p w14:paraId="61E4767E">
                  <w:pPr>
                    <w:pStyle w:val="6"/>
                    <w:keepNext/>
                    <w:keepLines w:val="0"/>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本项目建成投产运行后，要求企业参照《重污染天气重点行业移动源应急管理技术指南》建立门禁系统和运输车辆电子台账。门禁系统建成后门禁、视频监控设施运行稳定，监控数据、图像、视频准确清晰，视频监控数据保存三个月以上，门禁具备自动识别车牌、自动抬杆、实时记录车牌信息并保存的功能。</w:t>
                  </w:r>
                </w:p>
              </w:tc>
            </w:tr>
          </w:tbl>
          <w:p w14:paraId="258FC2C9">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经上文分析，本项目从“39 工业涂装”A级企业要求中“原辅材料、无组织排放、VOCs治理设施、排放限值”等四个方面，均能满足工业涂装中A级企业要求；同时，要求企业在后期建设及运营管理中，严格按照“监测监控水平、环境管理水平、运输方式、运输监管”等要求进行建设、运营，最终完成A级绩效评定。</w:t>
            </w:r>
          </w:p>
          <w:p w14:paraId="7FF75E72">
            <w:pPr>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4.项目选址合理性分析：</w:t>
            </w:r>
          </w:p>
          <w:p w14:paraId="6D6EDA6B">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本项目位于陈仓区陈仓大道千河桥西新大唐金属市场院内</w:t>
            </w:r>
            <w:r>
              <w:rPr>
                <w:rFonts w:hint="default" w:ascii="Times New Roman" w:hAnsi="Times New Roman" w:eastAsia="宋体" w:cs="Times New Roman"/>
                <w:bCs/>
                <w:color w:val="auto"/>
                <w:sz w:val="24"/>
                <w:lang w:val="en-US" w:eastAsia="zh-CN"/>
              </w:rPr>
              <w:t>，</w:t>
            </w:r>
            <w:r>
              <w:rPr>
                <w:rFonts w:hint="default" w:ascii="Times New Roman" w:hAnsi="Times New Roman" w:cs="Times New Roman"/>
                <w:bCs/>
                <w:color w:val="auto"/>
                <w:sz w:val="24"/>
                <w:lang w:val="en-US" w:eastAsia="zh-CN"/>
              </w:rPr>
              <w:t>租赁一座3跨空置厂房，</w:t>
            </w:r>
            <w:r>
              <w:rPr>
                <w:rFonts w:hint="default" w:ascii="Times New Roman" w:hAnsi="Times New Roman" w:eastAsia="宋体" w:cs="Times New Roman"/>
                <w:bCs/>
                <w:color w:val="auto"/>
                <w:sz w:val="24"/>
                <w:lang w:val="en-US" w:eastAsia="zh-CN"/>
              </w:rPr>
              <w:t>根据“宝高新地规定点2012（21）号”文件以及千河底店村村委会出具的证明，</w:t>
            </w:r>
            <w:r>
              <w:rPr>
                <w:rFonts w:hint="default" w:ascii="Times New Roman" w:hAnsi="Times New Roman" w:eastAsia="宋体" w:cs="Times New Roman"/>
                <w:bCs/>
                <w:color w:val="0000FF"/>
                <w:sz w:val="24"/>
                <w:lang w:val="en-US" w:eastAsia="zh-CN"/>
              </w:rPr>
              <w:t>项目所在地土地性质为三产用地</w:t>
            </w:r>
            <w:r>
              <w:rPr>
                <w:rFonts w:hint="default" w:ascii="Times New Roman" w:hAnsi="Times New Roman" w:cs="Times New Roman"/>
                <w:bCs/>
                <w:color w:val="0000FF"/>
                <w:sz w:val="24"/>
                <w:lang w:val="en-US" w:eastAsia="zh-CN"/>
              </w:rPr>
              <w:t>及底店村村集体建设</w:t>
            </w:r>
            <w:r>
              <w:rPr>
                <w:rFonts w:hint="default" w:ascii="Times New Roman" w:hAnsi="Times New Roman" w:eastAsia="宋体" w:cs="Times New Roman"/>
                <w:bCs/>
                <w:color w:val="0000FF"/>
                <w:sz w:val="24"/>
                <w:lang w:val="en-US" w:eastAsia="zh-CN"/>
              </w:rPr>
              <w:t>用地</w:t>
            </w:r>
            <w:r>
              <w:rPr>
                <w:rFonts w:hint="default" w:ascii="Times New Roman" w:hAnsi="Times New Roman" w:eastAsia="宋体" w:cs="Times New Roman"/>
                <w:bCs/>
                <w:color w:val="auto"/>
                <w:sz w:val="24"/>
                <w:lang w:val="en-US" w:eastAsia="zh-CN"/>
              </w:rPr>
              <w:t>（详见附件3）。</w:t>
            </w:r>
          </w:p>
          <w:p w14:paraId="3ABA10F0">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经现场调查，项目东北侧为空地及G85银昆高速、西南侧G85银昆高速、西侧为内部道路和宝鸡华鲁石材厂、西北侧为福建家兴石材，路网完善、交通便利。</w:t>
            </w:r>
          </w:p>
          <w:p w14:paraId="539BE73E">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bCs/>
                <w:color w:val="auto"/>
                <w:sz w:val="24"/>
                <w:lang w:val="en-US" w:eastAsia="zh-CN"/>
              </w:rPr>
            </w:pPr>
            <w:r>
              <w:rPr>
                <w:rFonts w:hint="default" w:ascii="Times New Roman" w:hAnsi="Times New Roman" w:eastAsia="宋体" w:cs="Times New Roman"/>
                <w:color w:val="auto"/>
                <w:sz w:val="24"/>
                <w:szCs w:val="24"/>
                <w:shd w:val="clear" w:color="auto" w:fill="auto"/>
                <w:lang w:eastAsia="zh-CN"/>
              </w:rPr>
              <w:t>项目</w:t>
            </w:r>
            <w:r>
              <w:rPr>
                <w:rFonts w:hint="default" w:ascii="Times New Roman" w:hAnsi="Times New Roman" w:eastAsia="宋体" w:cs="Times New Roman"/>
                <w:color w:val="auto"/>
                <w:sz w:val="24"/>
                <w:szCs w:val="24"/>
                <w:shd w:val="clear" w:color="auto" w:fill="auto"/>
              </w:rPr>
              <w:t>选址周围无需要特殊保护的野生动植物分布，无与建设项目性质不相符的其他建设项目，项目</w:t>
            </w:r>
            <w:r>
              <w:rPr>
                <w:rFonts w:hint="default" w:ascii="Times New Roman" w:hAnsi="Times New Roman" w:eastAsia="宋体" w:cs="Times New Roman"/>
                <w:color w:val="auto"/>
                <w:sz w:val="24"/>
                <w:szCs w:val="24"/>
                <w:shd w:val="clear" w:color="auto" w:fill="auto"/>
                <w:lang w:val="zh-CN"/>
              </w:rPr>
              <w:t>所在区域不属于自然保护区、森林公园、风景名胜区等禁止开发的生态红线区、重点保护生态红线区以及脆弱生态保护红线区内，项目建设不会占用</w:t>
            </w:r>
            <w:r>
              <w:rPr>
                <w:rFonts w:hint="default" w:ascii="Times New Roman" w:hAnsi="Times New Roman" w:cs="Times New Roman"/>
                <w:color w:val="auto"/>
                <w:sz w:val="24"/>
                <w:szCs w:val="24"/>
                <w:shd w:val="clear" w:color="auto" w:fill="auto"/>
                <w:lang w:val="zh-CN"/>
              </w:rPr>
              <w:t>生态功能保护区</w:t>
            </w:r>
            <w:r>
              <w:rPr>
                <w:rFonts w:hint="default" w:ascii="Times New Roman" w:hAnsi="Times New Roman" w:eastAsia="宋体" w:cs="Times New Roman"/>
                <w:color w:val="auto"/>
                <w:sz w:val="24"/>
                <w:szCs w:val="24"/>
                <w:shd w:val="clear" w:color="auto" w:fill="auto"/>
                <w:lang w:val="zh-CN"/>
              </w:rPr>
              <w:t>。</w:t>
            </w:r>
            <w:r>
              <w:rPr>
                <w:rFonts w:hint="default" w:ascii="Times New Roman" w:hAnsi="Times New Roman" w:eastAsia="宋体" w:cs="Times New Roman"/>
                <w:bCs/>
                <w:color w:val="auto"/>
                <w:sz w:val="24"/>
                <w:lang w:val="en-US" w:eastAsia="zh-CN"/>
              </w:rPr>
              <w:t>距离项目最近敏感点为厂界西侧约</w:t>
            </w:r>
            <w:r>
              <w:rPr>
                <w:rFonts w:hint="default" w:ascii="Times New Roman" w:hAnsi="Times New Roman" w:cs="Times New Roman"/>
                <w:bCs/>
                <w:color w:val="auto"/>
                <w:sz w:val="24"/>
                <w:lang w:val="en-US" w:eastAsia="zh-CN"/>
              </w:rPr>
              <w:t>333</w:t>
            </w:r>
            <w:r>
              <w:rPr>
                <w:rFonts w:hint="default" w:ascii="Times New Roman" w:hAnsi="Times New Roman" w:eastAsia="宋体" w:cs="Times New Roman"/>
                <w:bCs/>
                <w:color w:val="auto"/>
                <w:sz w:val="24"/>
                <w:lang w:val="en-US" w:eastAsia="zh-CN"/>
              </w:rPr>
              <w:t>m处的</w:t>
            </w:r>
            <w:r>
              <w:rPr>
                <w:rFonts w:hint="default" w:ascii="Times New Roman" w:hAnsi="Times New Roman" w:cs="Times New Roman"/>
                <w:bCs/>
                <w:color w:val="auto"/>
                <w:sz w:val="24"/>
                <w:lang w:val="en-US" w:eastAsia="zh-CN"/>
              </w:rPr>
              <w:t>底店村</w:t>
            </w:r>
            <w:r>
              <w:rPr>
                <w:rFonts w:hint="default" w:ascii="Times New Roman" w:hAnsi="Times New Roman" w:eastAsia="宋体" w:cs="Times New Roman"/>
                <w:bCs/>
                <w:color w:val="auto"/>
                <w:sz w:val="24"/>
                <w:lang w:val="en-US" w:eastAsia="zh-CN"/>
              </w:rPr>
              <w:t>村民</w:t>
            </w:r>
            <w:r>
              <w:rPr>
                <w:rFonts w:hint="default" w:ascii="Times New Roman" w:hAnsi="Times New Roman" w:cs="Times New Roman"/>
                <w:bCs/>
                <w:color w:val="auto"/>
                <w:sz w:val="24"/>
                <w:lang w:val="en-US" w:eastAsia="zh-CN"/>
              </w:rPr>
              <w:t>。</w:t>
            </w:r>
          </w:p>
          <w:p w14:paraId="294AC59E">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bCs/>
                <w:color w:val="auto"/>
                <w:sz w:val="24"/>
                <w:lang w:val="en-US" w:eastAsia="zh-CN"/>
              </w:rPr>
            </w:pPr>
            <w:r>
              <w:rPr>
                <w:rFonts w:hint="default" w:ascii="Times New Roman" w:hAnsi="Times New Roman" w:eastAsia="宋体" w:cs="Times New Roman"/>
                <w:bCs/>
                <w:color w:val="auto"/>
                <w:sz w:val="24"/>
                <w:lang w:val="en-US" w:eastAsia="zh-CN"/>
              </w:rPr>
              <w:t>本项目产生废气主要为颗粒物、二氧化硫、氮氧化物、非甲烷总烃等，产生废气均经收集处理后能够达标排放，设备均</w:t>
            </w:r>
            <w:r>
              <w:rPr>
                <w:rFonts w:hint="default" w:ascii="Times New Roman" w:hAnsi="Times New Roman" w:cs="Times New Roman"/>
                <w:bCs/>
                <w:color w:val="auto"/>
                <w:sz w:val="24"/>
                <w:lang w:val="en-US" w:eastAsia="zh-CN"/>
              </w:rPr>
              <w:t>分散</w:t>
            </w:r>
            <w:r>
              <w:rPr>
                <w:rFonts w:hint="default" w:ascii="Times New Roman" w:hAnsi="Times New Roman" w:eastAsia="宋体" w:cs="Times New Roman"/>
                <w:bCs/>
                <w:color w:val="auto"/>
                <w:sz w:val="24"/>
                <w:lang w:val="en-US" w:eastAsia="zh-CN"/>
              </w:rPr>
              <w:t>设</w:t>
            </w:r>
            <w:r>
              <w:rPr>
                <w:rFonts w:hint="default" w:ascii="Times New Roman" w:hAnsi="Times New Roman" w:cs="Times New Roman"/>
                <w:bCs/>
                <w:color w:val="auto"/>
                <w:sz w:val="24"/>
                <w:lang w:val="en-US" w:eastAsia="zh-CN"/>
              </w:rPr>
              <w:t>置在</w:t>
            </w:r>
            <w:r>
              <w:rPr>
                <w:rFonts w:hint="default" w:ascii="Times New Roman" w:hAnsi="Times New Roman" w:eastAsia="宋体" w:cs="Times New Roman"/>
                <w:bCs/>
                <w:color w:val="auto"/>
                <w:sz w:val="24"/>
                <w:lang w:val="en-US" w:eastAsia="zh-CN"/>
              </w:rPr>
              <w:t>厂房内，</w:t>
            </w:r>
            <w:r>
              <w:rPr>
                <w:rFonts w:hint="default" w:ascii="Times New Roman" w:hAnsi="Times New Roman" w:cs="Times New Roman"/>
                <w:bCs/>
                <w:color w:val="auto"/>
                <w:sz w:val="24"/>
                <w:lang w:val="en-US" w:eastAsia="zh-CN"/>
              </w:rPr>
              <w:t>有效合理布局可降低设备噪声对厂界四周环境影响；</w:t>
            </w:r>
            <w:r>
              <w:rPr>
                <w:rFonts w:hint="default" w:ascii="Times New Roman" w:hAnsi="Times New Roman" w:eastAsia="宋体" w:cs="Times New Roman"/>
                <w:color w:val="auto"/>
                <w:kern w:val="0"/>
                <w:sz w:val="24"/>
                <w:szCs w:val="24"/>
                <w:lang w:val="en-US" w:eastAsia="zh-CN"/>
              </w:rPr>
              <w:t>运行期固废采取妥善处置，不会造成二次污染。</w:t>
            </w:r>
            <w:r>
              <w:rPr>
                <w:rFonts w:hint="default" w:ascii="Times New Roman" w:hAnsi="Times New Roman" w:cs="Times New Roman"/>
                <w:bCs/>
                <w:color w:val="auto"/>
                <w:sz w:val="24"/>
                <w:lang w:val="en-US" w:eastAsia="zh-CN"/>
              </w:rPr>
              <w:t>对周边环境不会产生明显不利影响。</w:t>
            </w:r>
          </w:p>
          <w:p w14:paraId="3953D3B0">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本项目厂界500m内无自然保护区、风景名胜区等，无地下水集中式或分散式饮用水水源和热水、矿泉水、温泉等特殊地下水资源。故本项目的建设不存在制约因素。</w:t>
            </w:r>
          </w:p>
          <w:p w14:paraId="24807D29">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综上所述，从环境保护角度分析，项目选址合理可行。</w:t>
            </w:r>
          </w:p>
          <w:p w14:paraId="1C378AE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p>
          <w:p w14:paraId="56CA80DD">
            <w:pPr>
              <w:pStyle w:val="24"/>
              <w:rPr>
                <w:rFonts w:hint="default" w:ascii="Times New Roman" w:hAnsi="Times New Roman" w:eastAsia="宋体" w:cs="Times New Roman"/>
                <w:color w:val="auto"/>
                <w:kern w:val="0"/>
                <w:sz w:val="24"/>
                <w:szCs w:val="24"/>
                <w:lang w:val="en-US" w:eastAsia="zh-CN"/>
              </w:rPr>
            </w:pPr>
          </w:p>
          <w:p w14:paraId="166287A4">
            <w:pPr>
              <w:rPr>
                <w:rFonts w:hint="default" w:ascii="Times New Roman" w:hAnsi="Times New Roman" w:eastAsia="宋体" w:cs="Times New Roman"/>
                <w:color w:val="auto"/>
                <w:kern w:val="0"/>
                <w:sz w:val="24"/>
                <w:szCs w:val="24"/>
                <w:lang w:val="en-US" w:eastAsia="zh-CN"/>
              </w:rPr>
            </w:pPr>
          </w:p>
          <w:p w14:paraId="553E6E29">
            <w:pPr>
              <w:pStyle w:val="24"/>
              <w:rPr>
                <w:rFonts w:hint="default" w:ascii="Times New Roman" w:hAnsi="Times New Roman" w:eastAsia="宋体" w:cs="Times New Roman"/>
                <w:color w:val="auto"/>
                <w:kern w:val="0"/>
                <w:sz w:val="24"/>
                <w:szCs w:val="24"/>
                <w:lang w:val="en-US" w:eastAsia="zh-CN"/>
              </w:rPr>
            </w:pPr>
          </w:p>
          <w:p w14:paraId="7D108041">
            <w:pPr>
              <w:rPr>
                <w:rFonts w:hint="default" w:ascii="Times New Roman" w:hAnsi="Times New Roman" w:eastAsia="宋体" w:cs="Times New Roman"/>
                <w:color w:val="auto"/>
                <w:kern w:val="0"/>
                <w:sz w:val="24"/>
                <w:szCs w:val="24"/>
                <w:lang w:val="en-US" w:eastAsia="zh-CN"/>
              </w:rPr>
            </w:pPr>
          </w:p>
          <w:p w14:paraId="3A354DF8">
            <w:pPr>
              <w:pStyle w:val="24"/>
              <w:rPr>
                <w:rFonts w:hint="default" w:ascii="Times New Roman" w:hAnsi="Times New Roman" w:eastAsia="宋体" w:cs="Times New Roman"/>
                <w:color w:val="auto"/>
                <w:kern w:val="0"/>
                <w:sz w:val="24"/>
                <w:szCs w:val="24"/>
                <w:lang w:val="en-US" w:eastAsia="zh-CN"/>
              </w:rPr>
            </w:pPr>
          </w:p>
          <w:p w14:paraId="55F71C41">
            <w:pPr>
              <w:rPr>
                <w:rFonts w:hint="default" w:ascii="Times New Roman" w:hAnsi="Times New Roman" w:eastAsia="宋体" w:cs="Times New Roman"/>
                <w:color w:val="auto"/>
                <w:kern w:val="0"/>
                <w:sz w:val="24"/>
                <w:szCs w:val="24"/>
                <w:lang w:val="en-US" w:eastAsia="zh-CN"/>
              </w:rPr>
            </w:pPr>
          </w:p>
          <w:p w14:paraId="052EAC2D">
            <w:pPr>
              <w:rPr>
                <w:rFonts w:hint="default" w:ascii="Times New Roman" w:hAnsi="Times New Roman" w:eastAsia="宋体" w:cs="Times New Roman"/>
                <w:color w:val="auto"/>
                <w:kern w:val="0"/>
                <w:sz w:val="24"/>
                <w:szCs w:val="24"/>
                <w:lang w:val="en-US" w:eastAsia="zh-CN"/>
              </w:rPr>
            </w:pPr>
          </w:p>
          <w:p w14:paraId="66FFC242">
            <w:pPr>
              <w:rPr>
                <w:rFonts w:hint="default" w:ascii="Times New Roman" w:hAnsi="Times New Roman" w:eastAsia="宋体" w:cs="Times New Roman"/>
                <w:color w:val="auto"/>
                <w:kern w:val="0"/>
                <w:sz w:val="24"/>
                <w:szCs w:val="24"/>
                <w:lang w:val="en-US" w:eastAsia="zh-CN"/>
              </w:rPr>
            </w:pPr>
          </w:p>
          <w:p w14:paraId="1BBFA638">
            <w:pPr>
              <w:rPr>
                <w:rFonts w:hint="default" w:ascii="Times New Roman" w:hAnsi="Times New Roman" w:eastAsia="宋体" w:cs="Times New Roman"/>
                <w:color w:val="auto"/>
                <w:kern w:val="0"/>
                <w:sz w:val="24"/>
                <w:szCs w:val="24"/>
                <w:lang w:val="en-US" w:eastAsia="zh-CN"/>
              </w:rPr>
            </w:pPr>
          </w:p>
          <w:p w14:paraId="5079CFDC">
            <w:pPr>
              <w:rPr>
                <w:rFonts w:hint="default" w:ascii="Times New Roman" w:hAnsi="Times New Roman" w:eastAsia="宋体" w:cs="Times New Roman"/>
                <w:color w:val="auto"/>
                <w:kern w:val="0"/>
                <w:sz w:val="24"/>
                <w:szCs w:val="24"/>
                <w:lang w:val="en-US" w:eastAsia="zh-CN"/>
              </w:rPr>
            </w:pPr>
          </w:p>
          <w:p w14:paraId="664F6EFF">
            <w:pPr>
              <w:rPr>
                <w:rFonts w:hint="default" w:ascii="Times New Roman" w:hAnsi="Times New Roman" w:eastAsia="宋体" w:cs="Times New Roman"/>
                <w:color w:val="auto"/>
                <w:kern w:val="0"/>
                <w:sz w:val="24"/>
                <w:szCs w:val="24"/>
                <w:lang w:val="en-US" w:eastAsia="zh-CN"/>
              </w:rPr>
            </w:pPr>
          </w:p>
          <w:p w14:paraId="5D97FC08">
            <w:pPr>
              <w:rPr>
                <w:rFonts w:hint="default" w:ascii="Times New Roman" w:hAnsi="Times New Roman" w:eastAsia="宋体" w:cs="Times New Roman"/>
                <w:color w:val="auto"/>
                <w:kern w:val="0"/>
                <w:sz w:val="24"/>
                <w:szCs w:val="24"/>
                <w:lang w:val="en-US" w:eastAsia="zh-CN"/>
              </w:rPr>
            </w:pPr>
          </w:p>
          <w:p w14:paraId="6B442AC0">
            <w:pPr>
              <w:rPr>
                <w:rFonts w:hint="default" w:ascii="Times New Roman" w:hAnsi="Times New Roman" w:eastAsia="宋体" w:cs="Times New Roman"/>
                <w:color w:val="auto"/>
                <w:kern w:val="0"/>
                <w:sz w:val="24"/>
                <w:szCs w:val="24"/>
                <w:lang w:val="en-US" w:eastAsia="zh-CN"/>
              </w:rPr>
            </w:pPr>
          </w:p>
          <w:p w14:paraId="13007B05">
            <w:pPr>
              <w:pStyle w:val="24"/>
              <w:rPr>
                <w:rFonts w:hint="default" w:ascii="Times New Roman" w:hAnsi="Times New Roman" w:eastAsia="宋体" w:cs="Times New Roman"/>
                <w:color w:val="auto"/>
                <w:kern w:val="0"/>
                <w:sz w:val="24"/>
                <w:szCs w:val="24"/>
                <w:lang w:val="en-US" w:eastAsia="zh-CN"/>
              </w:rPr>
            </w:pPr>
          </w:p>
          <w:p w14:paraId="1E184436">
            <w:pPr>
              <w:pStyle w:val="24"/>
              <w:ind w:left="0" w:leftChars="0" w:firstLine="0" w:firstLineChars="0"/>
              <w:rPr>
                <w:rFonts w:hint="default" w:ascii="Times New Roman" w:hAnsi="Times New Roman" w:cs="Times New Roman"/>
                <w:lang w:val="en-US" w:eastAsia="zh-CN"/>
              </w:rPr>
            </w:pPr>
          </w:p>
          <w:p w14:paraId="2E4C1FF6">
            <w:pPr>
              <w:rPr>
                <w:rFonts w:hint="default" w:ascii="Times New Roman" w:hAnsi="Times New Roman" w:cs="Times New Roman"/>
                <w:lang w:val="en-US" w:eastAsia="zh-CN"/>
              </w:rPr>
            </w:pPr>
          </w:p>
        </w:tc>
      </w:tr>
    </w:tbl>
    <w:p w14:paraId="5A6138D0">
      <w:pPr>
        <w:spacing w:line="360" w:lineRule="auto"/>
        <w:outlineLvl w:val="0"/>
        <w:rPr>
          <w:rFonts w:hint="default" w:ascii="Times New Roman" w:hAnsi="Times New Roman" w:eastAsia="黑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588D7AF">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二、建设项目工程分析</w:t>
      </w:r>
    </w:p>
    <w:tbl>
      <w:tblPr>
        <w:tblStyle w:val="32"/>
        <w:tblW w:w="92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778"/>
      </w:tblGrid>
      <w:tr w14:paraId="3F165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dxa"/>
            <w:noWrap w:val="0"/>
            <w:vAlign w:val="center"/>
          </w:tcPr>
          <w:p w14:paraId="139953C8">
            <w:pPr>
              <w:pStyle w:val="27"/>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778" w:type="dxa"/>
            <w:noWrap w:val="0"/>
            <w:vAlign w:val="top"/>
          </w:tcPr>
          <w:p w14:paraId="19622C38">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1.项目由来</w:t>
            </w:r>
          </w:p>
          <w:p w14:paraId="75641115">
            <w:pPr>
              <w:wordWrap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宝鸡鑫和鸿利电气有限公司成立于</w:t>
            </w:r>
            <w:r>
              <w:rPr>
                <w:rFonts w:hint="eastAsia" w:ascii="Times New Roman" w:hAnsi="Times New Roman" w:cs="Times New Roman"/>
                <w:color w:val="auto"/>
                <w:sz w:val="24"/>
                <w:lang w:val="en-US" w:eastAsia="zh-CN"/>
              </w:rPr>
              <w:t>2021年3月4日</w:t>
            </w:r>
            <w:r>
              <w:rPr>
                <w:rFonts w:hint="default" w:ascii="Times New Roman" w:hAnsi="Times New Roman" w:cs="Times New Roman"/>
                <w:color w:val="auto"/>
                <w:sz w:val="24"/>
                <w:lang w:val="en-US" w:eastAsia="zh-CN"/>
              </w:rPr>
              <w:t>，主要从事机械电气设备销售；金属结构制造；锻件及粉末冶金制品制造；电子专用设备制造。现拟租赁标准化厂房，安装切割机、折弯机、焊机、抛丸机等生产设备及相关的辅助设备，进行机床防护罩加工、喷塑生产，项目建成后实现年产值3000万元。</w:t>
            </w:r>
          </w:p>
          <w:p w14:paraId="68930705">
            <w:pPr>
              <w:wordWrap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主要生产工艺为切割、抛丸、喷塑、固化、喷漆，根据《中华人民共和国环境影响评价法》、国务院第682号令《建设项目环境保护管理条例》规定，该项目应进行环境影响评价工作。经查阅《国民经济行业分类》（GB/T4754-2017），本项目属于C3360金属表面处理及热处理加工，经查阅《建设项目环境影响评价分类管理名录》（2021年版），本项目生产过程不涉及电镀工艺，不涉及有钝化工艺的热镀锌，本项目使用树脂粉末进行喷涂，因此应编制报告表，具体如下：</w:t>
            </w:r>
          </w:p>
          <w:p w14:paraId="6FF862B7">
            <w:pPr>
              <w:adjustRightIn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w:t>
            </w:r>
            <w:r>
              <w:rPr>
                <w:rFonts w:hint="default" w:ascii="Times New Roman" w:hAnsi="Times New Roman" w:cs="Times New Roman"/>
                <w:b/>
                <w:bCs/>
                <w:color w:val="000000" w:themeColor="text1"/>
                <w:sz w:val="21"/>
                <w:szCs w:val="21"/>
                <w:lang w:val="en-US" w:eastAsia="zh-CN"/>
                <w14:textFill>
                  <w14:solidFill>
                    <w14:schemeClr w14:val="tx1"/>
                  </w14:solidFill>
                </w14:textFill>
              </w:rPr>
              <w:t>2-1</w:t>
            </w:r>
            <w:r>
              <w:rPr>
                <w:rFonts w:hint="default" w:ascii="Times New Roman" w:hAnsi="Times New Roman" w:cs="Times New Roman"/>
                <w:b/>
                <w:bCs/>
                <w:color w:val="000000" w:themeColor="text1"/>
                <w:sz w:val="21"/>
                <w:szCs w:val="21"/>
                <w14:textFill>
                  <w14:solidFill>
                    <w14:schemeClr w14:val="tx1"/>
                  </w14:solidFill>
                </w14:textFill>
              </w:rPr>
              <w:t xml:space="preserve">  建设项目环境影响评价分类管理名录（摘录）</w:t>
            </w:r>
          </w:p>
          <w:tbl>
            <w:tblPr>
              <w:tblStyle w:val="32"/>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0"/>
              <w:gridCol w:w="1294"/>
              <w:gridCol w:w="3270"/>
              <w:gridCol w:w="1335"/>
              <w:gridCol w:w="679"/>
              <w:gridCol w:w="1339"/>
            </w:tblGrid>
            <w:tr w14:paraId="4B72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62" w:hRule="atLeast"/>
              </w:trPr>
              <w:tc>
                <w:tcPr>
                  <w:tcW w:w="1764" w:type="dxa"/>
                  <w:gridSpan w:val="2"/>
                  <w:tcBorders>
                    <w:tl2br w:val="single" w:color="auto" w:sz="4" w:space="0"/>
                  </w:tcBorders>
                  <w:shd w:val="clear" w:color="auto" w:fill="auto"/>
                  <w:noWrap w:val="0"/>
                  <w:vAlign w:val="top"/>
                </w:tcPr>
                <w:p w14:paraId="48EF709F">
                  <w:pPr>
                    <w:adjustRightInd w:val="0"/>
                    <w:jc w:val="righ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环评类别</w:t>
                  </w:r>
                </w:p>
                <w:p w14:paraId="669907D7">
                  <w:pPr>
                    <w:adjustRightInd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项目分类</w:t>
                  </w:r>
                </w:p>
              </w:tc>
              <w:tc>
                <w:tcPr>
                  <w:tcW w:w="3270" w:type="dxa"/>
                  <w:shd w:val="clear" w:color="auto" w:fill="auto"/>
                  <w:noWrap w:val="0"/>
                  <w:vAlign w:val="center"/>
                </w:tcPr>
                <w:p w14:paraId="60604345">
                  <w:pPr>
                    <w:adjustRightIn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报告书</w:t>
                  </w:r>
                </w:p>
              </w:tc>
              <w:tc>
                <w:tcPr>
                  <w:tcW w:w="1335" w:type="dxa"/>
                  <w:shd w:val="clear" w:color="auto" w:fill="auto"/>
                  <w:noWrap w:val="0"/>
                  <w:vAlign w:val="center"/>
                </w:tcPr>
                <w:p w14:paraId="0DDFA929">
                  <w:pPr>
                    <w:adjustRightIn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报告表</w:t>
                  </w:r>
                </w:p>
              </w:tc>
              <w:tc>
                <w:tcPr>
                  <w:tcW w:w="679" w:type="dxa"/>
                  <w:shd w:val="clear" w:color="auto" w:fill="auto"/>
                  <w:noWrap w:val="0"/>
                  <w:vAlign w:val="center"/>
                </w:tcPr>
                <w:p w14:paraId="30D4FF2F">
                  <w:pPr>
                    <w:adjustRightIn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登记表</w:t>
                  </w:r>
                </w:p>
              </w:tc>
              <w:tc>
                <w:tcPr>
                  <w:tcW w:w="1339" w:type="dxa"/>
                  <w:shd w:val="clear" w:color="auto" w:fill="auto"/>
                  <w:noWrap w:val="0"/>
                  <w:vAlign w:val="center"/>
                </w:tcPr>
                <w:p w14:paraId="7BFDDF9A">
                  <w:pPr>
                    <w:adjustRightIn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本栏目环境敏感区含义</w:t>
                  </w:r>
                </w:p>
              </w:tc>
            </w:tr>
            <w:tr w14:paraId="37F7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8387" w:type="dxa"/>
                  <w:gridSpan w:val="6"/>
                  <w:shd w:val="clear" w:color="auto" w:fill="auto"/>
                  <w:noWrap w:val="0"/>
                  <w:vAlign w:val="top"/>
                </w:tcPr>
                <w:p w14:paraId="608E939A">
                  <w:pPr>
                    <w:adjustRightInd w:val="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三十、金属制品业 33</w:t>
                  </w:r>
                </w:p>
              </w:tc>
            </w:tr>
            <w:tr w14:paraId="4CFA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470" w:type="dxa"/>
                  <w:shd w:val="clear" w:color="auto" w:fill="auto"/>
                  <w:noWrap w:val="0"/>
                  <w:vAlign w:val="center"/>
                </w:tcPr>
                <w:p w14:paraId="7478AE89">
                  <w:pPr>
                    <w:adjustRightIn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67</w:t>
                  </w:r>
                </w:p>
              </w:tc>
              <w:tc>
                <w:tcPr>
                  <w:tcW w:w="1294" w:type="dxa"/>
                  <w:shd w:val="clear" w:color="auto" w:fill="auto"/>
                  <w:noWrap w:val="0"/>
                  <w:vAlign w:val="center"/>
                </w:tcPr>
                <w:p w14:paraId="62A4AD9F">
                  <w:pPr>
                    <w:adjustRightIn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金属表面处理及热处理加工</w:t>
                  </w:r>
                </w:p>
              </w:tc>
              <w:tc>
                <w:tcPr>
                  <w:tcW w:w="3270" w:type="dxa"/>
                  <w:shd w:val="clear" w:color="auto" w:fill="auto"/>
                  <w:noWrap w:val="0"/>
                  <w:vAlign w:val="center"/>
                </w:tcPr>
                <w:p w14:paraId="61D98F1A">
                  <w:pPr>
                    <w:adjustRightIn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有电镀工艺的；有钝化工艺的热镀锌；使用有机涂层的（喷粉、喷塑、浸塑和电泳除外；年用溶剂型涂料（含稀释剂）10吨以下和非溶剂型低VOCs含量涂料的除外）</w:t>
                  </w:r>
                </w:p>
              </w:tc>
              <w:tc>
                <w:tcPr>
                  <w:tcW w:w="1335" w:type="dxa"/>
                  <w:shd w:val="clear" w:color="auto" w:fill="auto"/>
                  <w:noWrap w:val="0"/>
                  <w:vAlign w:val="center"/>
                </w:tcPr>
                <w:p w14:paraId="4008FD94">
                  <w:pPr>
                    <w:adjustRightIn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其他（年用非溶剂型低VOCs含量涂料10吨以下的除外）</w:t>
                  </w:r>
                </w:p>
              </w:tc>
              <w:tc>
                <w:tcPr>
                  <w:tcW w:w="679" w:type="dxa"/>
                  <w:shd w:val="clear" w:color="auto" w:fill="auto"/>
                  <w:noWrap w:val="0"/>
                  <w:vAlign w:val="center"/>
                </w:tcPr>
                <w:p w14:paraId="6FE3947B">
                  <w:pPr>
                    <w:adjustRightIn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339" w:type="dxa"/>
                  <w:shd w:val="clear" w:color="auto" w:fill="auto"/>
                  <w:noWrap w:val="0"/>
                  <w:vAlign w:val="center"/>
                </w:tcPr>
                <w:p w14:paraId="33A4D336">
                  <w:pPr>
                    <w:adjustRightInd w:val="0"/>
                    <w:jc w:val="center"/>
                    <w:rPr>
                      <w:rFonts w:hint="default" w:ascii="Times New Roman" w:hAnsi="Times New Roman" w:cs="Times New Roman"/>
                      <w:color w:val="000000" w:themeColor="text1"/>
                      <w:sz w:val="21"/>
                      <w:szCs w:val="21"/>
                      <w14:textFill>
                        <w14:solidFill>
                          <w14:schemeClr w14:val="tx1"/>
                        </w14:solidFill>
                      </w14:textFill>
                    </w:rPr>
                  </w:pPr>
                </w:p>
              </w:tc>
            </w:tr>
          </w:tbl>
          <w:p w14:paraId="707A7DAD">
            <w:pPr>
              <w:spacing w:line="360" w:lineRule="auto"/>
              <w:ind w:firstLine="482" w:firstLineChars="200"/>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2.建设工程内容及规模</w:t>
            </w:r>
          </w:p>
          <w:p w14:paraId="0AD7BD1E">
            <w:pPr>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color w:val="auto"/>
                <w:sz w:val="24"/>
                <w:lang w:eastAsia="zh-CN"/>
              </w:rPr>
              <w:t>本</w:t>
            </w:r>
            <w:r>
              <w:rPr>
                <w:rFonts w:hint="default" w:ascii="Times New Roman" w:hAnsi="Times New Roman" w:cs="Times New Roman"/>
                <w:color w:val="auto"/>
                <w:sz w:val="24"/>
              </w:rPr>
              <w:t>项目租赁现有厂房占地面积</w:t>
            </w:r>
            <w:r>
              <w:rPr>
                <w:rFonts w:hint="default" w:ascii="Times New Roman" w:hAnsi="Times New Roman" w:cs="Times New Roman"/>
                <w:color w:val="auto"/>
                <w:sz w:val="24"/>
                <w:lang w:val="en-US" w:eastAsia="zh-CN"/>
              </w:rPr>
              <w:t>2400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，在租赁空置厂房中划分生产区、原料区</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喷塑、固化区、生产办公区</w:t>
            </w:r>
            <w:r>
              <w:rPr>
                <w:rFonts w:hint="default" w:ascii="Times New Roman" w:hAnsi="Times New Roman" w:cs="Times New Roman"/>
                <w:color w:val="auto"/>
                <w:sz w:val="24"/>
              </w:rPr>
              <w:t>等功能区，具体项目组成详见表2-</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p>
          <w:p w14:paraId="665F175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default" w:ascii="Times New Roman" w:hAnsi="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项目组成一览表</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8"/>
              <w:gridCol w:w="445"/>
              <w:gridCol w:w="210"/>
              <w:gridCol w:w="657"/>
              <w:gridCol w:w="5456"/>
              <w:gridCol w:w="863"/>
            </w:tblGrid>
            <w:tr w14:paraId="79DE0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noWrap w:val="0"/>
                  <w:vAlign w:val="center"/>
                </w:tcPr>
                <w:p w14:paraId="3F29B4B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769" w:type="pct"/>
                  <w:gridSpan w:val="3"/>
                  <w:noWrap w:val="0"/>
                  <w:vAlign w:val="center"/>
                </w:tcPr>
                <w:p w14:paraId="0C76B13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项目名称</w:t>
                  </w:r>
                </w:p>
              </w:tc>
              <w:tc>
                <w:tcPr>
                  <w:tcW w:w="3198" w:type="pct"/>
                  <w:noWrap w:val="0"/>
                  <w:vAlign w:val="center"/>
                </w:tcPr>
                <w:p w14:paraId="349A97F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项目组成</w:t>
                  </w:r>
                </w:p>
              </w:tc>
              <w:tc>
                <w:tcPr>
                  <w:tcW w:w="506" w:type="pct"/>
                  <w:noWrap w:val="0"/>
                  <w:vAlign w:val="center"/>
                </w:tcPr>
                <w:p w14:paraId="360FA3A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14:paraId="3F67C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restart"/>
                  <w:noWrap w:val="0"/>
                  <w:vAlign w:val="center"/>
                </w:tcPr>
                <w:p w14:paraId="06A4D4F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主体</w:t>
                  </w:r>
                </w:p>
                <w:p w14:paraId="27551617">
                  <w:pPr>
                    <w:adjustRightInd w:val="0"/>
                    <w:snapToGrid w:val="0"/>
                    <w:jc w:val="center"/>
                    <w:rPr>
                      <w:rFonts w:hint="default" w:ascii="Times New Roman" w:hAnsi="Times New Roman" w:cs="Times New Roman"/>
                      <w:color w:val="auto"/>
                      <w:lang w:eastAsia="zh-CN"/>
                    </w:rPr>
                  </w:pPr>
                  <w:r>
                    <w:rPr>
                      <w:rFonts w:hint="default" w:ascii="Times New Roman" w:hAnsi="Times New Roman" w:cs="Times New Roman"/>
                      <w:color w:val="auto"/>
                      <w:szCs w:val="21"/>
                    </w:rPr>
                    <w:t>工程</w:t>
                  </w:r>
                </w:p>
              </w:tc>
              <w:tc>
                <w:tcPr>
                  <w:tcW w:w="261" w:type="pct"/>
                  <w:vMerge w:val="restart"/>
                  <w:noWrap w:val="0"/>
                  <w:vAlign w:val="center"/>
                </w:tcPr>
                <w:p w14:paraId="7C63180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生产车间</w:t>
                  </w:r>
                </w:p>
              </w:tc>
              <w:tc>
                <w:tcPr>
                  <w:tcW w:w="507" w:type="pct"/>
                  <w:gridSpan w:val="2"/>
                  <w:noWrap w:val="0"/>
                  <w:vAlign w:val="center"/>
                </w:tcPr>
                <w:p w14:paraId="393979CB">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切割</w:t>
                  </w:r>
                  <w:r>
                    <w:rPr>
                      <w:rFonts w:hint="default" w:ascii="Times New Roman" w:hAnsi="Times New Roman" w:cs="Times New Roman"/>
                      <w:color w:val="auto"/>
                      <w:szCs w:val="21"/>
                      <w:lang w:val="en-US" w:eastAsia="zh-CN"/>
                    </w:rPr>
                    <w:t>下料</w:t>
                  </w:r>
                  <w:r>
                    <w:rPr>
                      <w:rFonts w:hint="default" w:ascii="Times New Roman" w:hAnsi="Times New Roman" w:eastAsia="宋体" w:cs="Times New Roman"/>
                      <w:color w:val="auto"/>
                      <w:szCs w:val="21"/>
                      <w:lang w:val="en-US" w:eastAsia="zh-CN"/>
                    </w:rPr>
                    <w:t>区</w:t>
                  </w:r>
                </w:p>
              </w:tc>
              <w:tc>
                <w:tcPr>
                  <w:tcW w:w="3198" w:type="pct"/>
                  <w:noWrap w:val="0"/>
                  <w:vAlign w:val="center"/>
                </w:tcPr>
                <w:p w14:paraId="17C86D2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1层钢结构，切割区位于厂房西北侧位置，</w:t>
                  </w:r>
                  <w:r>
                    <w:rPr>
                      <w:rFonts w:hint="default" w:ascii="Times New Roman" w:hAnsi="Times New Roman" w:cs="Times New Roman"/>
                      <w:color w:val="auto"/>
                      <w:szCs w:val="21"/>
                      <w:lang w:eastAsia="zh-CN"/>
                    </w:rPr>
                    <w:t>占地面积</w:t>
                  </w:r>
                  <w:r>
                    <w:rPr>
                      <w:rFonts w:hint="default" w:ascii="Times New Roman" w:hAnsi="Times New Roman" w:cs="Times New Roman"/>
                      <w:color w:val="auto"/>
                      <w:szCs w:val="21"/>
                      <w:lang w:val="en-US" w:eastAsia="zh-CN"/>
                    </w:rPr>
                    <w:t>270㎡，长×宽×高（18m×15m×13m），安装激光切割、</w:t>
                  </w:r>
                  <w:r>
                    <w:rPr>
                      <w:rFonts w:hint="default" w:ascii="Times New Roman" w:hAnsi="Times New Roman" w:cs="Times New Roman"/>
                      <w:sz w:val="21"/>
                      <w:szCs w:val="21"/>
                    </w:rPr>
                    <w:t>火焰切割机</w:t>
                  </w:r>
                  <w:r>
                    <w:rPr>
                      <w:rFonts w:hint="default" w:ascii="Times New Roman" w:hAnsi="Times New Roman" w:cs="Times New Roman"/>
                      <w:color w:val="auto"/>
                      <w:szCs w:val="21"/>
                      <w:lang w:val="en-US" w:eastAsia="zh-CN"/>
                    </w:rPr>
                    <w:t>设备。</w:t>
                  </w:r>
                </w:p>
              </w:tc>
              <w:tc>
                <w:tcPr>
                  <w:tcW w:w="506" w:type="pct"/>
                  <w:vMerge w:val="restart"/>
                  <w:noWrap w:val="0"/>
                  <w:vAlign w:val="center"/>
                </w:tcPr>
                <w:p w14:paraId="4EDA1993">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依托厂房，新增设备及环保设施</w:t>
                  </w:r>
                </w:p>
              </w:tc>
            </w:tr>
            <w:tr w14:paraId="5394E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504B86D6">
                  <w:pPr>
                    <w:adjustRightInd w:val="0"/>
                    <w:snapToGrid w:val="0"/>
                    <w:jc w:val="center"/>
                    <w:rPr>
                      <w:rFonts w:hint="default" w:ascii="Times New Roman" w:hAnsi="Times New Roman" w:cs="Times New Roman"/>
                      <w:color w:val="auto"/>
                      <w:szCs w:val="21"/>
                    </w:rPr>
                  </w:pPr>
                </w:p>
              </w:tc>
              <w:tc>
                <w:tcPr>
                  <w:tcW w:w="261" w:type="pct"/>
                  <w:vMerge w:val="continue"/>
                  <w:noWrap w:val="0"/>
                  <w:vAlign w:val="center"/>
                </w:tcPr>
                <w:p w14:paraId="636C1106">
                  <w:pPr>
                    <w:adjustRightInd w:val="0"/>
                    <w:snapToGrid w:val="0"/>
                    <w:jc w:val="center"/>
                    <w:rPr>
                      <w:rFonts w:hint="default" w:ascii="Times New Roman" w:hAnsi="Times New Roman" w:cs="Times New Roman"/>
                      <w:color w:val="auto"/>
                      <w:szCs w:val="21"/>
                    </w:rPr>
                  </w:pPr>
                </w:p>
              </w:tc>
              <w:tc>
                <w:tcPr>
                  <w:tcW w:w="507" w:type="pct"/>
                  <w:gridSpan w:val="2"/>
                  <w:noWrap w:val="0"/>
                  <w:vAlign w:val="center"/>
                </w:tcPr>
                <w:p w14:paraId="5F5EDA59">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折弯</w:t>
                  </w:r>
                  <w:r>
                    <w:rPr>
                      <w:rFonts w:hint="default" w:ascii="Times New Roman" w:hAnsi="Times New Roman" w:eastAsia="宋体" w:cs="Times New Roman"/>
                      <w:color w:val="auto"/>
                      <w:szCs w:val="21"/>
                      <w:lang w:val="en-US" w:eastAsia="zh-CN"/>
                    </w:rPr>
                    <w:t>区</w:t>
                  </w:r>
                </w:p>
              </w:tc>
              <w:tc>
                <w:tcPr>
                  <w:tcW w:w="3198" w:type="pct"/>
                  <w:noWrap w:val="0"/>
                  <w:vAlign w:val="center"/>
                </w:tcPr>
                <w:p w14:paraId="22E64F5F">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1层钢结构，位于厂房西北侧切割区东侧位置，</w:t>
                  </w:r>
                  <w:r>
                    <w:rPr>
                      <w:rFonts w:hint="default" w:ascii="Times New Roman" w:hAnsi="Times New Roman" w:cs="Times New Roman"/>
                      <w:color w:val="auto"/>
                      <w:szCs w:val="21"/>
                      <w:lang w:eastAsia="zh-CN"/>
                    </w:rPr>
                    <w:t>占地面积</w:t>
                  </w:r>
                  <w:r>
                    <w:rPr>
                      <w:rFonts w:hint="default" w:ascii="Times New Roman" w:hAnsi="Times New Roman" w:cs="Times New Roman"/>
                      <w:color w:val="auto"/>
                      <w:szCs w:val="21"/>
                      <w:lang w:val="en-US" w:eastAsia="zh-CN"/>
                    </w:rPr>
                    <w:t>90㎡，长×宽×高（6m×15m×13m），安装折弯</w:t>
                  </w:r>
                  <w:r>
                    <w:rPr>
                      <w:rFonts w:hint="default" w:ascii="Times New Roman" w:hAnsi="Times New Roman" w:cs="Times New Roman"/>
                      <w:sz w:val="21"/>
                      <w:szCs w:val="21"/>
                    </w:rPr>
                    <w:t>机</w:t>
                  </w:r>
                  <w:r>
                    <w:rPr>
                      <w:rFonts w:hint="default" w:ascii="Times New Roman" w:hAnsi="Times New Roman" w:cs="Times New Roman"/>
                      <w:color w:val="auto"/>
                      <w:szCs w:val="21"/>
                      <w:lang w:val="en-US" w:eastAsia="zh-CN"/>
                    </w:rPr>
                    <w:t>设备。</w:t>
                  </w:r>
                </w:p>
              </w:tc>
              <w:tc>
                <w:tcPr>
                  <w:tcW w:w="506" w:type="pct"/>
                  <w:vMerge w:val="continue"/>
                  <w:noWrap w:val="0"/>
                  <w:vAlign w:val="center"/>
                </w:tcPr>
                <w:p w14:paraId="6DD02C06">
                  <w:pPr>
                    <w:adjustRightInd w:val="0"/>
                    <w:snapToGrid w:val="0"/>
                    <w:jc w:val="center"/>
                    <w:rPr>
                      <w:rFonts w:hint="default" w:ascii="Times New Roman" w:hAnsi="Times New Roman" w:cs="Times New Roman"/>
                      <w:color w:val="auto"/>
                      <w:szCs w:val="21"/>
                      <w:lang w:eastAsia="zh-CN"/>
                    </w:rPr>
                  </w:pPr>
                </w:p>
              </w:tc>
            </w:tr>
            <w:tr w14:paraId="736DC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0BB035B3">
                  <w:pPr>
                    <w:rPr>
                      <w:rFonts w:hint="default" w:ascii="Times New Roman" w:hAnsi="Times New Roman" w:cs="Times New Roman"/>
                      <w:color w:val="auto"/>
                    </w:rPr>
                  </w:pPr>
                </w:p>
              </w:tc>
              <w:tc>
                <w:tcPr>
                  <w:tcW w:w="261" w:type="pct"/>
                  <w:vMerge w:val="continue"/>
                  <w:noWrap w:val="0"/>
                  <w:vAlign w:val="center"/>
                </w:tcPr>
                <w:p w14:paraId="7D688094">
                  <w:pPr>
                    <w:adjustRightInd w:val="0"/>
                    <w:snapToGrid w:val="0"/>
                    <w:jc w:val="center"/>
                    <w:rPr>
                      <w:rFonts w:hint="default" w:ascii="Times New Roman" w:hAnsi="Times New Roman" w:cs="Times New Roman"/>
                      <w:color w:val="auto"/>
                      <w:szCs w:val="21"/>
                    </w:rPr>
                  </w:pPr>
                </w:p>
              </w:tc>
              <w:tc>
                <w:tcPr>
                  <w:tcW w:w="507" w:type="pct"/>
                  <w:gridSpan w:val="2"/>
                  <w:noWrap w:val="0"/>
                  <w:vAlign w:val="center"/>
                </w:tcPr>
                <w:p w14:paraId="0F6E0A8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焊接区</w:t>
                  </w:r>
                </w:p>
              </w:tc>
              <w:tc>
                <w:tcPr>
                  <w:tcW w:w="3198" w:type="pct"/>
                  <w:noWrap w:val="0"/>
                  <w:vAlign w:val="center"/>
                </w:tcPr>
                <w:p w14:paraId="0607014E">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1层钢结构，焊接区位于厂房东北侧位置，设焊接房，</w:t>
                  </w:r>
                  <w:r>
                    <w:rPr>
                      <w:rFonts w:hint="default" w:ascii="Times New Roman" w:hAnsi="Times New Roman" w:cs="Times New Roman"/>
                      <w:color w:val="auto"/>
                      <w:szCs w:val="21"/>
                      <w:lang w:eastAsia="zh-CN"/>
                    </w:rPr>
                    <w:t>占地面积</w:t>
                  </w:r>
                  <w:r>
                    <w:rPr>
                      <w:rFonts w:hint="default" w:ascii="Times New Roman" w:hAnsi="Times New Roman" w:cs="Times New Roman"/>
                      <w:color w:val="auto"/>
                      <w:szCs w:val="21"/>
                      <w:lang w:val="en-US" w:eastAsia="zh-CN"/>
                    </w:rPr>
                    <w:t>180㎡，长×宽×高（12m×15m×6m），安装焊接设备。</w:t>
                  </w:r>
                </w:p>
              </w:tc>
              <w:tc>
                <w:tcPr>
                  <w:tcW w:w="506" w:type="pct"/>
                  <w:vMerge w:val="continue"/>
                  <w:noWrap w:val="0"/>
                  <w:vAlign w:val="center"/>
                </w:tcPr>
                <w:p w14:paraId="649160FF">
                  <w:pPr>
                    <w:adjustRightInd w:val="0"/>
                    <w:snapToGrid w:val="0"/>
                    <w:jc w:val="center"/>
                    <w:rPr>
                      <w:rFonts w:hint="default" w:ascii="Times New Roman" w:hAnsi="Times New Roman" w:cs="Times New Roman"/>
                      <w:color w:val="auto"/>
                      <w:szCs w:val="21"/>
                      <w:lang w:eastAsia="zh-CN"/>
                    </w:rPr>
                  </w:pPr>
                </w:p>
              </w:tc>
            </w:tr>
            <w:tr w14:paraId="5E673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43BB83BE">
                  <w:pPr>
                    <w:rPr>
                      <w:rFonts w:hint="default" w:ascii="Times New Roman" w:hAnsi="Times New Roman" w:cs="Times New Roman"/>
                      <w:color w:val="auto"/>
                    </w:rPr>
                  </w:pPr>
                </w:p>
              </w:tc>
              <w:tc>
                <w:tcPr>
                  <w:tcW w:w="261" w:type="pct"/>
                  <w:vMerge w:val="continue"/>
                  <w:noWrap w:val="0"/>
                  <w:vAlign w:val="center"/>
                </w:tcPr>
                <w:p w14:paraId="11C1D6E7">
                  <w:pPr>
                    <w:adjustRightInd w:val="0"/>
                    <w:snapToGrid w:val="0"/>
                    <w:jc w:val="center"/>
                    <w:rPr>
                      <w:rFonts w:hint="default" w:ascii="Times New Roman" w:hAnsi="Times New Roman" w:cs="Times New Roman"/>
                      <w:color w:val="auto"/>
                      <w:szCs w:val="21"/>
                    </w:rPr>
                  </w:pPr>
                </w:p>
              </w:tc>
              <w:tc>
                <w:tcPr>
                  <w:tcW w:w="507" w:type="pct"/>
                  <w:gridSpan w:val="2"/>
                  <w:noWrap w:val="0"/>
                  <w:vAlign w:val="center"/>
                </w:tcPr>
                <w:p w14:paraId="75364246">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抛丸区</w:t>
                  </w:r>
                </w:p>
              </w:tc>
              <w:tc>
                <w:tcPr>
                  <w:tcW w:w="3198" w:type="pct"/>
                  <w:noWrap w:val="0"/>
                  <w:vAlign w:val="center"/>
                </w:tcPr>
                <w:p w14:paraId="77B4F673">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1层钢结构，抛丸区位于厂房东侧位置，占地面积30㎡，长×宽×高（12m×8m×13m），用于工件表面的抛丸处理。</w:t>
                  </w:r>
                </w:p>
              </w:tc>
              <w:tc>
                <w:tcPr>
                  <w:tcW w:w="506" w:type="pct"/>
                  <w:vMerge w:val="continue"/>
                  <w:noWrap w:val="0"/>
                  <w:vAlign w:val="center"/>
                </w:tcPr>
                <w:p w14:paraId="6BE6652E">
                  <w:pPr>
                    <w:adjustRightInd w:val="0"/>
                    <w:snapToGrid w:val="0"/>
                    <w:jc w:val="center"/>
                    <w:rPr>
                      <w:rFonts w:hint="default" w:ascii="Times New Roman" w:hAnsi="Times New Roman" w:cs="Times New Roman"/>
                      <w:color w:val="auto"/>
                      <w:szCs w:val="21"/>
                      <w:lang w:eastAsia="zh-CN"/>
                    </w:rPr>
                  </w:pPr>
                </w:p>
              </w:tc>
            </w:tr>
            <w:tr w14:paraId="49FB5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3C4CA30D">
                  <w:pPr>
                    <w:rPr>
                      <w:rFonts w:hint="default" w:ascii="Times New Roman" w:hAnsi="Times New Roman" w:cs="Times New Roman"/>
                      <w:color w:val="auto"/>
                    </w:rPr>
                  </w:pPr>
                </w:p>
              </w:tc>
              <w:tc>
                <w:tcPr>
                  <w:tcW w:w="261" w:type="pct"/>
                  <w:vMerge w:val="continue"/>
                  <w:noWrap w:val="0"/>
                  <w:vAlign w:val="center"/>
                </w:tcPr>
                <w:p w14:paraId="78A687CA">
                  <w:pPr>
                    <w:adjustRightInd w:val="0"/>
                    <w:snapToGrid w:val="0"/>
                    <w:jc w:val="center"/>
                    <w:rPr>
                      <w:rFonts w:hint="default" w:ascii="Times New Roman" w:hAnsi="Times New Roman" w:cs="Times New Roman"/>
                      <w:color w:val="auto"/>
                      <w:szCs w:val="21"/>
                    </w:rPr>
                  </w:pPr>
                </w:p>
              </w:tc>
              <w:tc>
                <w:tcPr>
                  <w:tcW w:w="852" w:type="dxa"/>
                  <w:gridSpan w:val="2"/>
                  <w:noWrap w:val="0"/>
                  <w:vAlign w:val="center"/>
                </w:tcPr>
                <w:p w14:paraId="1622641A">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喷塑区</w:t>
                  </w:r>
                </w:p>
              </w:tc>
              <w:tc>
                <w:tcPr>
                  <w:tcW w:w="5364" w:type="dxa"/>
                  <w:noWrap w:val="0"/>
                  <w:vAlign w:val="center"/>
                </w:tcPr>
                <w:p w14:paraId="534C63AA">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1层钢结构，密闭喷塑间，位于厂区最南侧位置，占地面积为30.8㎡，长×宽×高（7.7m×4m×4m）。</w:t>
                  </w:r>
                </w:p>
              </w:tc>
              <w:tc>
                <w:tcPr>
                  <w:tcW w:w="506" w:type="pct"/>
                  <w:vMerge w:val="continue"/>
                  <w:noWrap w:val="0"/>
                  <w:vAlign w:val="center"/>
                </w:tcPr>
                <w:p w14:paraId="7A1C2D49">
                  <w:pPr>
                    <w:adjustRightInd w:val="0"/>
                    <w:snapToGrid w:val="0"/>
                    <w:jc w:val="center"/>
                    <w:rPr>
                      <w:rFonts w:hint="default" w:ascii="Times New Roman" w:hAnsi="Times New Roman" w:cs="Times New Roman"/>
                      <w:color w:val="auto"/>
                      <w:szCs w:val="21"/>
                      <w:lang w:eastAsia="zh-CN"/>
                    </w:rPr>
                  </w:pPr>
                </w:p>
              </w:tc>
            </w:tr>
            <w:tr w14:paraId="514D3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6EC466BF">
                  <w:pPr>
                    <w:rPr>
                      <w:rFonts w:hint="default" w:ascii="Times New Roman" w:hAnsi="Times New Roman" w:cs="Times New Roman"/>
                      <w:color w:val="auto"/>
                    </w:rPr>
                  </w:pPr>
                </w:p>
              </w:tc>
              <w:tc>
                <w:tcPr>
                  <w:tcW w:w="261" w:type="pct"/>
                  <w:vMerge w:val="continue"/>
                  <w:noWrap w:val="0"/>
                  <w:vAlign w:val="center"/>
                </w:tcPr>
                <w:p w14:paraId="04E78191">
                  <w:pPr>
                    <w:adjustRightInd w:val="0"/>
                    <w:snapToGrid w:val="0"/>
                    <w:jc w:val="center"/>
                    <w:rPr>
                      <w:rFonts w:hint="default" w:ascii="Times New Roman" w:hAnsi="Times New Roman" w:cs="Times New Roman"/>
                      <w:color w:val="auto"/>
                      <w:szCs w:val="21"/>
                    </w:rPr>
                  </w:pPr>
                </w:p>
              </w:tc>
              <w:tc>
                <w:tcPr>
                  <w:tcW w:w="852" w:type="dxa"/>
                  <w:gridSpan w:val="2"/>
                  <w:noWrap w:val="0"/>
                  <w:vAlign w:val="center"/>
                </w:tcPr>
                <w:p w14:paraId="1E6C453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固化室</w:t>
                  </w:r>
                </w:p>
              </w:tc>
              <w:tc>
                <w:tcPr>
                  <w:tcW w:w="5364" w:type="dxa"/>
                  <w:noWrap w:val="0"/>
                  <w:vAlign w:val="center"/>
                </w:tcPr>
                <w:p w14:paraId="666AB2D6">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热风循环固化室，位于厂区中部南侧位置，占地面积为30.8㎡，长×宽×高（7.7m×4m×4m）。</w:t>
                  </w:r>
                </w:p>
              </w:tc>
              <w:tc>
                <w:tcPr>
                  <w:tcW w:w="506" w:type="pct"/>
                  <w:vMerge w:val="continue"/>
                  <w:noWrap w:val="0"/>
                  <w:vAlign w:val="center"/>
                </w:tcPr>
                <w:p w14:paraId="0343E43D">
                  <w:pPr>
                    <w:adjustRightInd w:val="0"/>
                    <w:snapToGrid w:val="0"/>
                    <w:jc w:val="center"/>
                    <w:rPr>
                      <w:rFonts w:hint="default" w:ascii="Times New Roman" w:hAnsi="Times New Roman" w:cs="Times New Roman"/>
                      <w:color w:val="auto"/>
                      <w:szCs w:val="21"/>
                      <w:lang w:eastAsia="zh-CN"/>
                    </w:rPr>
                  </w:pPr>
                </w:p>
              </w:tc>
            </w:tr>
            <w:tr w14:paraId="249C8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7A7F7610">
                  <w:pPr>
                    <w:pStyle w:val="24"/>
                    <w:rPr>
                      <w:rFonts w:hint="default" w:ascii="Times New Roman" w:hAnsi="Times New Roman" w:cs="Times New Roman"/>
                      <w:color w:val="auto"/>
                      <w:lang w:eastAsia="zh-CN"/>
                    </w:rPr>
                  </w:pPr>
                </w:p>
              </w:tc>
              <w:tc>
                <w:tcPr>
                  <w:tcW w:w="261" w:type="pct"/>
                  <w:vMerge w:val="continue"/>
                  <w:noWrap w:val="0"/>
                  <w:vAlign w:val="center"/>
                </w:tcPr>
                <w:p w14:paraId="0E7413FA">
                  <w:pPr>
                    <w:adjustRightInd w:val="0"/>
                    <w:snapToGrid w:val="0"/>
                    <w:jc w:val="center"/>
                    <w:rPr>
                      <w:rFonts w:hint="default" w:ascii="Times New Roman" w:hAnsi="Times New Roman" w:cs="Times New Roman"/>
                      <w:color w:val="auto"/>
                    </w:rPr>
                  </w:pPr>
                </w:p>
              </w:tc>
              <w:tc>
                <w:tcPr>
                  <w:tcW w:w="507" w:type="pct"/>
                  <w:gridSpan w:val="2"/>
                  <w:noWrap w:val="0"/>
                  <w:vAlign w:val="center"/>
                </w:tcPr>
                <w:p w14:paraId="19408154">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自动喷</w:t>
                  </w:r>
                  <w:r>
                    <w:rPr>
                      <w:rFonts w:hint="default" w:ascii="Times New Roman" w:hAnsi="Times New Roman" w:cs="Times New Roman"/>
                      <w:color w:val="auto"/>
                      <w:szCs w:val="21"/>
                      <w:lang w:val="en-US" w:eastAsia="zh-CN"/>
                    </w:rPr>
                    <w:t>塑区</w:t>
                  </w:r>
                </w:p>
              </w:tc>
              <w:tc>
                <w:tcPr>
                  <w:tcW w:w="3198" w:type="pct"/>
                  <w:noWrap w:val="0"/>
                  <w:vAlign w:val="center"/>
                </w:tcPr>
                <w:p w14:paraId="55B2D44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 w:val="21"/>
                      <w:szCs w:val="21"/>
                      <w:highlight w:val="none"/>
                      <w:u w:val="none"/>
                      <w:lang w:val="en-US" w:eastAsia="zh-CN"/>
                    </w:rPr>
                    <w:t>自动喷塑固化区域，</w:t>
                  </w:r>
                  <w:r>
                    <w:rPr>
                      <w:rFonts w:hint="default" w:ascii="Times New Roman" w:hAnsi="Times New Roman" w:cs="Times New Roman"/>
                      <w:color w:val="auto"/>
                      <w:szCs w:val="21"/>
                      <w:lang w:val="en-US" w:eastAsia="zh-CN"/>
                    </w:rPr>
                    <w:t>位于厂区中部，占地面积为500㎡，长×宽（50m×10m）。</w:t>
                  </w:r>
                </w:p>
              </w:tc>
              <w:tc>
                <w:tcPr>
                  <w:tcW w:w="506" w:type="pct"/>
                  <w:vMerge w:val="continue"/>
                  <w:noWrap w:val="0"/>
                  <w:vAlign w:val="center"/>
                </w:tcPr>
                <w:p w14:paraId="629A2B66">
                  <w:pPr>
                    <w:adjustRightInd w:val="0"/>
                    <w:snapToGrid w:val="0"/>
                    <w:jc w:val="center"/>
                    <w:rPr>
                      <w:rFonts w:hint="default" w:ascii="Times New Roman" w:hAnsi="Times New Roman" w:cs="Times New Roman"/>
                      <w:color w:val="auto"/>
                      <w:szCs w:val="21"/>
                    </w:rPr>
                  </w:pPr>
                </w:p>
              </w:tc>
            </w:tr>
            <w:tr w14:paraId="5E907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1F70F3FB">
                  <w:pPr>
                    <w:pStyle w:val="24"/>
                    <w:rPr>
                      <w:rFonts w:hint="default" w:ascii="Times New Roman" w:hAnsi="Times New Roman" w:cs="Times New Roman"/>
                      <w:color w:val="auto"/>
                      <w:lang w:eastAsia="zh-CN"/>
                    </w:rPr>
                  </w:pPr>
                </w:p>
              </w:tc>
              <w:tc>
                <w:tcPr>
                  <w:tcW w:w="261" w:type="pct"/>
                  <w:vMerge w:val="continue"/>
                  <w:noWrap w:val="0"/>
                  <w:vAlign w:val="center"/>
                </w:tcPr>
                <w:p w14:paraId="06A1C49F">
                  <w:pPr>
                    <w:adjustRightInd w:val="0"/>
                    <w:snapToGrid w:val="0"/>
                    <w:jc w:val="center"/>
                    <w:rPr>
                      <w:rFonts w:hint="default" w:ascii="Times New Roman" w:hAnsi="Times New Roman" w:cs="Times New Roman"/>
                      <w:color w:val="auto"/>
                    </w:rPr>
                  </w:pPr>
                </w:p>
              </w:tc>
              <w:tc>
                <w:tcPr>
                  <w:tcW w:w="507" w:type="pct"/>
                  <w:gridSpan w:val="2"/>
                  <w:noWrap w:val="0"/>
                  <w:vAlign w:val="center"/>
                </w:tcPr>
                <w:p w14:paraId="14ADA306">
                  <w:pPr>
                    <w:adjustRightInd w:val="0"/>
                    <w:snapToGrid w:val="0"/>
                    <w:jc w:val="both"/>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喷漆房</w:t>
                  </w:r>
                </w:p>
              </w:tc>
              <w:tc>
                <w:tcPr>
                  <w:tcW w:w="3198" w:type="pct"/>
                  <w:noWrap w:val="0"/>
                  <w:vAlign w:val="center"/>
                </w:tcPr>
                <w:p w14:paraId="366D0C34">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固定式喷漆房，面积24㎡，长×宽×高（6m×4m×6m），密闭微负压，主要进行喷漆。</w:t>
                  </w:r>
                </w:p>
              </w:tc>
              <w:tc>
                <w:tcPr>
                  <w:tcW w:w="506" w:type="pct"/>
                  <w:vMerge w:val="continue"/>
                  <w:noWrap w:val="0"/>
                  <w:vAlign w:val="center"/>
                </w:tcPr>
                <w:p w14:paraId="2859FAC5">
                  <w:pPr>
                    <w:adjustRightInd w:val="0"/>
                    <w:snapToGrid w:val="0"/>
                    <w:jc w:val="center"/>
                    <w:rPr>
                      <w:rFonts w:hint="default" w:ascii="Times New Roman" w:hAnsi="Times New Roman" w:cs="Times New Roman"/>
                      <w:color w:val="auto"/>
                      <w:szCs w:val="21"/>
                    </w:rPr>
                  </w:pPr>
                </w:p>
              </w:tc>
            </w:tr>
            <w:tr w14:paraId="12B7D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restart"/>
                  <w:noWrap w:val="0"/>
                  <w:vAlign w:val="center"/>
                </w:tcPr>
                <w:p w14:paraId="403ED7A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辅助</w:t>
                  </w:r>
                </w:p>
                <w:p w14:paraId="4374577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工程</w:t>
                  </w:r>
                </w:p>
              </w:tc>
              <w:tc>
                <w:tcPr>
                  <w:tcW w:w="769" w:type="pct"/>
                  <w:gridSpan w:val="3"/>
                  <w:tcBorders>
                    <w:top w:val="single" w:color="auto" w:sz="4" w:space="0"/>
                  </w:tcBorders>
                  <w:noWrap w:val="0"/>
                  <w:vAlign w:val="center"/>
                </w:tcPr>
                <w:p w14:paraId="4153E931">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办公</w:t>
                  </w:r>
                  <w:r>
                    <w:rPr>
                      <w:rFonts w:hint="default" w:ascii="Times New Roman" w:hAnsi="Times New Roman" w:cs="Times New Roman"/>
                      <w:color w:val="auto"/>
                      <w:szCs w:val="21"/>
                      <w:lang w:eastAsia="zh-CN"/>
                    </w:rPr>
                    <w:t>室</w:t>
                  </w:r>
                </w:p>
              </w:tc>
              <w:tc>
                <w:tcPr>
                  <w:tcW w:w="3198" w:type="pct"/>
                  <w:noWrap w:val="0"/>
                  <w:vAlign w:val="center"/>
                </w:tcPr>
                <w:p w14:paraId="7A724B9C">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000000" w:themeColor="text1"/>
                      <w:szCs w:val="21"/>
                      <w:lang w:val="en-US" w:eastAsia="zh-CN"/>
                      <w14:textFill>
                        <w14:solidFill>
                          <w14:schemeClr w14:val="tx1"/>
                        </w14:solidFill>
                      </w14:textFill>
                    </w:rPr>
                    <w:t>在厂房内西侧设办公室，占地面积60m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（6m×10m），用于职工日常办公</w:t>
                  </w:r>
                  <w:r>
                    <w:rPr>
                      <w:rFonts w:hint="default" w:ascii="Times New Roman" w:hAnsi="Times New Roman" w:cs="Times New Roman"/>
                      <w:color w:val="auto"/>
                      <w:szCs w:val="21"/>
                      <w:lang w:eastAsia="zh-CN"/>
                    </w:rPr>
                    <w:t>。</w:t>
                  </w:r>
                </w:p>
              </w:tc>
              <w:tc>
                <w:tcPr>
                  <w:tcW w:w="506" w:type="pct"/>
                  <w:noWrap w:val="0"/>
                  <w:vAlign w:val="center"/>
                </w:tcPr>
                <w:p w14:paraId="1DD1C6C0">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新建</w:t>
                  </w:r>
                </w:p>
              </w:tc>
            </w:tr>
            <w:tr w14:paraId="286FED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398BB372">
                  <w:pPr>
                    <w:adjustRightInd w:val="0"/>
                    <w:snapToGrid w:val="0"/>
                    <w:jc w:val="center"/>
                    <w:rPr>
                      <w:rFonts w:hint="default" w:ascii="Times New Roman" w:hAnsi="Times New Roman" w:cs="Times New Roman"/>
                    </w:rPr>
                  </w:pPr>
                </w:p>
              </w:tc>
              <w:tc>
                <w:tcPr>
                  <w:tcW w:w="769" w:type="pct"/>
                  <w:gridSpan w:val="3"/>
                  <w:tcBorders>
                    <w:top w:val="single" w:color="auto" w:sz="4" w:space="0"/>
                  </w:tcBorders>
                  <w:noWrap w:val="0"/>
                  <w:vAlign w:val="center"/>
                </w:tcPr>
                <w:p w14:paraId="728CA40B">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库房</w:t>
                  </w:r>
                </w:p>
              </w:tc>
              <w:tc>
                <w:tcPr>
                  <w:tcW w:w="3198" w:type="pct"/>
                  <w:noWrap w:val="0"/>
                  <w:vAlign w:val="center"/>
                </w:tcPr>
                <w:p w14:paraId="14A257C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000000" w:themeColor="text1"/>
                      <w:szCs w:val="21"/>
                      <w:lang w:val="en-US" w:eastAsia="zh-CN"/>
                      <w14:textFill>
                        <w14:solidFill>
                          <w14:schemeClr w14:val="tx1"/>
                        </w14:solidFill>
                      </w14:textFill>
                    </w:rPr>
                    <w:t>在厂房内西侧与办公室并列，占地面积30m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（6m×5m），用于塑粉、水性漆、焊丝等材料存放</w:t>
                  </w:r>
                  <w:r>
                    <w:rPr>
                      <w:rFonts w:hint="default" w:ascii="Times New Roman" w:hAnsi="Times New Roman" w:cs="Times New Roman"/>
                      <w:color w:val="auto"/>
                      <w:szCs w:val="21"/>
                      <w:lang w:eastAsia="zh-CN"/>
                    </w:rPr>
                    <w:t>。</w:t>
                  </w:r>
                </w:p>
              </w:tc>
              <w:tc>
                <w:tcPr>
                  <w:tcW w:w="506" w:type="pct"/>
                  <w:tcBorders>
                    <w:top w:val="single" w:color="auto" w:sz="4" w:space="0"/>
                  </w:tcBorders>
                  <w:noWrap w:val="0"/>
                  <w:vAlign w:val="center"/>
                </w:tcPr>
                <w:p w14:paraId="0E6AD251">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eastAsia="zh-CN"/>
                    </w:rPr>
                    <w:t>新建</w:t>
                  </w:r>
                </w:p>
              </w:tc>
            </w:tr>
            <w:tr w14:paraId="6288A7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605E1C12">
                  <w:pPr>
                    <w:adjustRightInd w:val="0"/>
                    <w:snapToGrid w:val="0"/>
                    <w:jc w:val="center"/>
                    <w:rPr>
                      <w:rFonts w:hint="default" w:ascii="Times New Roman" w:hAnsi="Times New Roman" w:cs="Times New Roman"/>
                      <w:color w:val="auto"/>
                      <w:szCs w:val="21"/>
                    </w:rPr>
                  </w:pPr>
                </w:p>
              </w:tc>
              <w:tc>
                <w:tcPr>
                  <w:tcW w:w="769" w:type="pct"/>
                  <w:gridSpan w:val="3"/>
                  <w:tcBorders>
                    <w:top w:val="single" w:color="auto" w:sz="4" w:space="0"/>
                  </w:tcBorders>
                  <w:noWrap w:val="0"/>
                  <w:vAlign w:val="center"/>
                </w:tcPr>
                <w:p w14:paraId="4538733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材料区</w:t>
                  </w:r>
                </w:p>
              </w:tc>
              <w:tc>
                <w:tcPr>
                  <w:tcW w:w="3198" w:type="pct"/>
                  <w:noWrap w:val="0"/>
                  <w:vAlign w:val="center"/>
                </w:tcPr>
                <w:p w14:paraId="366CD69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000000" w:themeColor="text1"/>
                      <w:szCs w:val="21"/>
                      <w:lang w:val="en-US" w:eastAsia="zh-CN"/>
                      <w14:textFill>
                        <w14:solidFill>
                          <w14:schemeClr w14:val="tx1"/>
                        </w14:solidFill>
                      </w14:textFill>
                    </w:rPr>
                    <w:t>在厂房内下料切割区西侧，占地面积90m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（6m×15m），用于钢板等大型材料存放</w:t>
                  </w:r>
                  <w:r>
                    <w:rPr>
                      <w:rFonts w:hint="default" w:ascii="Times New Roman" w:hAnsi="Times New Roman" w:cs="Times New Roman"/>
                      <w:color w:val="auto"/>
                      <w:szCs w:val="21"/>
                      <w:lang w:eastAsia="zh-CN"/>
                    </w:rPr>
                    <w:t>。</w:t>
                  </w:r>
                </w:p>
              </w:tc>
              <w:tc>
                <w:tcPr>
                  <w:tcW w:w="506" w:type="pct"/>
                  <w:tcBorders>
                    <w:top w:val="single" w:color="auto" w:sz="4" w:space="0"/>
                  </w:tcBorders>
                  <w:noWrap w:val="0"/>
                  <w:vAlign w:val="center"/>
                </w:tcPr>
                <w:p w14:paraId="4AE6D06A">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eastAsia="zh-CN"/>
                    </w:rPr>
                    <w:t>新建</w:t>
                  </w:r>
                </w:p>
              </w:tc>
            </w:tr>
            <w:tr w14:paraId="0F495C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6836FAFE">
                  <w:pPr>
                    <w:adjustRightInd w:val="0"/>
                    <w:snapToGrid w:val="0"/>
                    <w:jc w:val="center"/>
                    <w:rPr>
                      <w:rFonts w:hint="default" w:ascii="Times New Roman" w:hAnsi="Times New Roman" w:cs="Times New Roman"/>
                      <w:color w:val="auto"/>
                      <w:szCs w:val="21"/>
                    </w:rPr>
                  </w:pPr>
                </w:p>
              </w:tc>
              <w:tc>
                <w:tcPr>
                  <w:tcW w:w="769" w:type="pct"/>
                  <w:gridSpan w:val="3"/>
                  <w:tcBorders>
                    <w:top w:val="single" w:color="auto" w:sz="4" w:space="0"/>
                  </w:tcBorders>
                  <w:noWrap w:val="0"/>
                  <w:vAlign w:val="center"/>
                </w:tcPr>
                <w:p w14:paraId="27DE0AEA">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成品区</w:t>
                  </w:r>
                </w:p>
              </w:tc>
              <w:tc>
                <w:tcPr>
                  <w:tcW w:w="3198" w:type="pct"/>
                  <w:noWrap w:val="0"/>
                  <w:vAlign w:val="center"/>
                </w:tcPr>
                <w:p w14:paraId="3FC4223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sz w:val="21"/>
                      <w:szCs w:val="21"/>
                      <w:lang w:val="en-US" w:eastAsia="zh-CN"/>
                    </w:rPr>
                    <w:t>位于</w:t>
                  </w:r>
                  <w:r>
                    <w:rPr>
                      <w:rFonts w:hint="default" w:ascii="Times New Roman" w:hAnsi="Times New Roman" w:cs="Times New Roman"/>
                      <w:sz w:val="21"/>
                      <w:szCs w:val="21"/>
                    </w:rPr>
                    <w:t>车间东</w:t>
                  </w:r>
                  <w:r>
                    <w:rPr>
                      <w:rFonts w:hint="default" w:ascii="Times New Roman" w:hAnsi="Times New Roman" w:cs="Times New Roman"/>
                      <w:sz w:val="21"/>
                      <w:szCs w:val="21"/>
                      <w:lang w:val="en-US" w:eastAsia="zh-CN"/>
                    </w:rPr>
                    <w:t>北</w:t>
                  </w:r>
                  <w:r>
                    <w:rPr>
                      <w:rFonts w:hint="default" w:ascii="Times New Roman" w:hAnsi="Times New Roman" w:cs="Times New Roman"/>
                      <w:sz w:val="21"/>
                      <w:szCs w:val="21"/>
                    </w:rPr>
                    <w:t>角，</w:t>
                  </w:r>
                  <w:r>
                    <w:rPr>
                      <w:rFonts w:hint="default" w:ascii="Times New Roman" w:hAnsi="Times New Roman" w:cs="Times New Roman"/>
                      <w:color w:val="000000" w:themeColor="text1"/>
                      <w:szCs w:val="21"/>
                      <w:lang w:val="en-US" w:eastAsia="zh-CN"/>
                      <w14:textFill>
                        <w14:solidFill>
                          <w14:schemeClr w14:val="tx1"/>
                        </w14:solidFill>
                      </w14:textFill>
                    </w:rPr>
                    <w:t>占地面积90m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（6m×15m），用于成品存放</w:t>
                  </w:r>
                  <w:r>
                    <w:rPr>
                      <w:rFonts w:hint="default" w:ascii="Times New Roman" w:hAnsi="Times New Roman" w:cs="Times New Roman"/>
                      <w:color w:val="auto"/>
                      <w:szCs w:val="21"/>
                      <w:lang w:eastAsia="zh-CN"/>
                    </w:rPr>
                    <w:t>。</w:t>
                  </w:r>
                </w:p>
              </w:tc>
              <w:tc>
                <w:tcPr>
                  <w:tcW w:w="506" w:type="pct"/>
                  <w:tcBorders>
                    <w:top w:val="single" w:color="auto" w:sz="4" w:space="0"/>
                  </w:tcBorders>
                  <w:noWrap w:val="0"/>
                  <w:vAlign w:val="center"/>
                </w:tcPr>
                <w:p w14:paraId="3E96B2C1">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eastAsia="zh-CN"/>
                    </w:rPr>
                    <w:t>新建</w:t>
                  </w:r>
                </w:p>
              </w:tc>
            </w:tr>
            <w:tr w14:paraId="21920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3E59F4F3">
                  <w:pPr>
                    <w:adjustRightInd w:val="0"/>
                    <w:snapToGrid w:val="0"/>
                    <w:jc w:val="center"/>
                    <w:rPr>
                      <w:rFonts w:hint="default" w:ascii="Times New Roman" w:hAnsi="Times New Roman" w:cs="Times New Roman"/>
                      <w:color w:val="auto"/>
                      <w:szCs w:val="21"/>
                    </w:rPr>
                  </w:pPr>
                </w:p>
              </w:tc>
              <w:tc>
                <w:tcPr>
                  <w:tcW w:w="769" w:type="pct"/>
                  <w:gridSpan w:val="3"/>
                  <w:tcBorders>
                    <w:top w:val="single" w:color="auto" w:sz="4" w:space="0"/>
                  </w:tcBorders>
                  <w:noWrap w:val="0"/>
                  <w:vAlign w:val="center"/>
                </w:tcPr>
                <w:p w14:paraId="2A7DF69D">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半成品区</w:t>
                  </w:r>
                </w:p>
              </w:tc>
              <w:tc>
                <w:tcPr>
                  <w:tcW w:w="3198" w:type="pct"/>
                  <w:noWrap w:val="0"/>
                  <w:vAlign w:val="center"/>
                </w:tcPr>
                <w:p w14:paraId="2E3A0C7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sz w:val="21"/>
                      <w:szCs w:val="21"/>
                      <w:lang w:val="en-US" w:eastAsia="zh-CN"/>
                    </w:rPr>
                    <w:t>位于焊接及折弯区域中间</w:t>
                  </w:r>
                  <w:r>
                    <w:rPr>
                      <w:rFonts w:hint="default" w:ascii="Times New Roman" w:hAnsi="Times New Roman" w:cs="Times New Roman"/>
                      <w:sz w:val="21"/>
                      <w:szCs w:val="21"/>
                    </w:rPr>
                    <w:t>，</w:t>
                  </w:r>
                  <w:r>
                    <w:rPr>
                      <w:rFonts w:hint="default" w:ascii="Times New Roman" w:hAnsi="Times New Roman" w:cs="Times New Roman"/>
                      <w:color w:val="000000" w:themeColor="text1"/>
                      <w:szCs w:val="21"/>
                      <w:lang w:val="en-US" w:eastAsia="zh-CN"/>
                      <w14:textFill>
                        <w14:solidFill>
                          <w14:schemeClr w14:val="tx1"/>
                        </w14:solidFill>
                      </w14:textFill>
                    </w:rPr>
                    <w:t>占地面积90m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（6m×15m），用于加工半成品存放</w:t>
                  </w:r>
                  <w:r>
                    <w:rPr>
                      <w:rFonts w:hint="default" w:ascii="Times New Roman" w:hAnsi="Times New Roman" w:cs="Times New Roman"/>
                      <w:color w:val="auto"/>
                      <w:szCs w:val="21"/>
                      <w:lang w:eastAsia="zh-CN"/>
                    </w:rPr>
                    <w:t>。</w:t>
                  </w:r>
                </w:p>
              </w:tc>
              <w:tc>
                <w:tcPr>
                  <w:tcW w:w="506" w:type="pct"/>
                  <w:tcBorders>
                    <w:top w:val="single" w:color="auto" w:sz="4" w:space="0"/>
                  </w:tcBorders>
                  <w:noWrap w:val="0"/>
                  <w:vAlign w:val="center"/>
                </w:tcPr>
                <w:p w14:paraId="376B03CD">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eastAsia="zh-CN"/>
                    </w:rPr>
                    <w:t>新建</w:t>
                  </w:r>
                </w:p>
              </w:tc>
            </w:tr>
            <w:tr w14:paraId="50EFF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restart"/>
                  <w:noWrap w:val="0"/>
                  <w:vAlign w:val="center"/>
                </w:tcPr>
                <w:p w14:paraId="3360209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公用</w:t>
                  </w:r>
                </w:p>
                <w:p w14:paraId="1C43FCF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工程</w:t>
                  </w:r>
                </w:p>
              </w:tc>
              <w:tc>
                <w:tcPr>
                  <w:tcW w:w="769" w:type="pct"/>
                  <w:gridSpan w:val="3"/>
                  <w:noWrap w:val="0"/>
                  <w:vAlign w:val="center"/>
                </w:tcPr>
                <w:p w14:paraId="72A15B7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供电</w:t>
                  </w:r>
                </w:p>
              </w:tc>
              <w:tc>
                <w:tcPr>
                  <w:tcW w:w="3198" w:type="pct"/>
                  <w:noWrap w:val="0"/>
                  <w:vAlign w:val="center"/>
                </w:tcPr>
                <w:p w14:paraId="7A6229C1">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由供电系统供给</w:t>
                  </w:r>
                  <w:r>
                    <w:rPr>
                      <w:rFonts w:hint="default" w:ascii="Times New Roman" w:hAnsi="Times New Roman" w:cs="Times New Roman"/>
                      <w:color w:val="auto"/>
                      <w:szCs w:val="21"/>
                      <w:lang w:eastAsia="zh-CN"/>
                    </w:rPr>
                    <w:t>。</w:t>
                  </w:r>
                </w:p>
              </w:tc>
              <w:tc>
                <w:tcPr>
                  <w:tcW w:w="506" w:type="pct"/>
                  <w:noWrap w:val="0"/>
                  <w:vAlign w:val="top"/>
                </w:tcPr>
                <w:p w14:paraId="38413683">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依托</w:t>
                  </w:r>
                </w:p>
              </w:tc>
            </w:tr>
            <w:tr w14:paraId="18528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4945267A">
                  <w:pPr>
                    <w:adjustRightInd w:val="0"/>
                    <w:snapToGrid w:val="0"/>
                    <w:jc w:val="center"/>
                    <w:rPr>
                      <w:rFonts w:hint="default" w:ascii="Times New Roman" w:hAnsi="Times New Roman" w:cs="Times New Roman"/>
                      <w:color w:val="auto"/>
                      <w:szCs w:val="21"/>
                    </w:rPr>
                  </w:pPr>
                </w:p>
              </w:tc>
              <w:tc>
                <w:tcPr>
                  <w:tcW w:w="769" w:type="pct"/>
                  <w:gridSpan w:val="3"/>
                  <w:noWrap w:val="0"/>
                  <w:vAlign w:val="center"/>
                </w:tcPr>
                <w:p w14:paraId="1DA7490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供水</w:t>
                  </w:r>
                </w:p>
              </w:tc>
              <w:tc>
                <w:tcPr>
                  <w:tcW w:w="3198" w:type="pct"/>
                  <w:noWrap w:val="0"/>
                  <w:vAlign w:val="center"/>
                </w:tcPr>
                <w:p w14:paraId="22334FD9">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由供水管网供给</w:t>
                  </w:r>
                  <w:r>
                    <w:rPr>
                      <w:rFonts w:hint="default" w:ascii="Times New Roman" w:hAnsi="Times New Roman" w:cs="Times New Roman"/>
                      <w:color w:val="auto"/>
                      <w:szCs w:val="21"/>
                      <w:lang w:eastAsia="zh-CN"/>
                    </w:rPr>
                    <w:t>。</w:t>
                  </w:r>
                </w:p>
              </w:tc>
              <w:tc>
                <w:tcPr>
                  <w:tcW w:w="506" w:type="pct"/>
                  <w:noWrap w:val="0"/>
                  <w:vAlign w:val="top"/>
                </w:tcPr>
                <w:p w14:paraId="747F64DA">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依托</w:t>
                  </w:r>
                </w:p>
              </w:tc>
            </w:tr>
            <w:tr w14:paraId="62D84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restart"/>
                  <w:noWrap w:val="0"/>
                  <w:vAlign w:val="center"/>
                </w:tcPr>
                <w:p w14:paraId="12EDB3E5">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环保</w:t>
                  </w:r>
                </w:p>
                <w:p w14:paraId="095C7606">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工程</w:t>
                  </w:r>
                </w:p>
              </w:tc>
              <w:tc>
                <w:tcPr>
                  <w:tcW w:w="769" w:type="pct"/>
                  <w:gridSpan w:val="3"/>
                  <w:vMerge w:val="restart"/>
                  <w:noWrap w:val="0"/>
                  <w:vAlign w:val="center"/>
                </w:tcPr>
                <w:p w14:paraId="71C77D3A">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废气处理系统</w:t>
                  </w:r>
                </w:p>
              </w:tc>
              <w:tc>
                <w:tcPr>
                  <w:tcW w:w="3198" w:type="pct"/>
                  <w:noWrap w:val="0"/>
                  <w:vAlign w:val="center"/>
                </w:tcPr>
                <w:p w14:paraId="75483CB5">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切割废气在切割处设集气口，将废气收集后通过管道进入滤筒除尘器进行处理（TA001），处理后经15米排气筒（DA001）排放。</w:t>
                  </w:r>
                </w:p>
              </w:tc>
              <w:tc>
                <w:tcPr>
                  <w:tcW w:w="506" w:type="pct"/>
                  <w:noWrap w:val="0"/>
                  <w:vAlign w:val="center"/>
                </w:tcPr>
                <w:p w14:paraId="21AEC859">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新建</w:t>
                  </w:r>
                </w:p>
              </w:tc>
            </w:tr>
            <w:tr w14:paraId="6934E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3B16A7E3">
                  <w:pPr>
                    <w:adjustRightInd w:val="0"/>
                    <w:snapToGrid w:val="0"/>
                    <w:jc w:val="center"/>
                    <w:rPr>
                      <w:rFonts w:hint="default" w:ascii="Times New Roman" w:hAnsi="Times New Roman" w:cs="Times New Roman"/>
                      <w:color w:val="auto"/>
                      <w:szCs w:val="21"/>
                      <w:lang w:eastAsia="zh-CN"/>
                    </w:rPr>
                  </w:pPr>
                </w:p>
              </w:tc>
              <w:tc>
                <w:tcPr>
                  <w:tcW w:w="769" w:type="pct"/>
                  <w:gridSpan w:val="3"/>
                  <w:vMerge w:val="continue"/>
                  <w:noWrap w:val="0"/>
                  <w:vAlign w:val="center"/>
                </w:tcPr>
                <w:p w14:paraId="4F8AC6C3">
                  <w:pPr>
                    <w:adjustRightInd w:val="0"/>
                    <w:snapToGrid w:val="0"/>
                    <w:jc w:val="center"/>
                    <w:rPr>
                      <w:rFonts w:hint="default" w:ascii="Times New Roman" w:hAnsi="Times New Roman" w:cs="Times New Roman"/>
                      <w:color w:val="auto"/>
                      <w:szCs w:val="21"/>
                      <w:lang w:eastAsia="zh-CN"/>
                    </w:rPr>
                  </w:pPr>
                </w:p>
              </w:tc>
              <w:tc>
                <w:tcPr>
                  <w:tcW w:w="3198" w:type="pct"/>
                  <w:noWrap w:val="0"/>
                  <w:vAlign w:val="center"/>
                </w:tcPr>
                <w:p w14:paraId="52922A38">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焊接、修磨废气设密闭焊接房，并在焊接房上方设集气口一起经收集后通过管道进入滤筒除尘器进行处理（TA001），处理后经15米排气筒（DA001）排放。</w:t>
                  </w:r>
                </w:p>
              </w:tc>
              <w:tc>
                <w:tcPr>
                  <w:tcW w:w="506" w:type="pct"/>
                  <w:noWrap w:val="0"/>
                  <w:vAlign w:val="center"/>
                </w:tcPr>
                <w:p w14:paraId="1849334F">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新建</w:t>
                  </w:r>
                </w:p>
              </w:tc>
            </w:tr>
            <w:tr w14:paraId="77B8F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51BE03D7">
                  <w:pPr>
                    <w:adjustRightInd w:val="0"/>
                    <w:snapToGrid w:val="0"/>
                    <w:jc w:val="center"/>
                    <w:rPr>
                      <w:rFonts w:hint="default" w:ascii="Times New Roman" w:hAnsi="Times New Roman" w:cs="Times New Roman"/>
                      <w:color w:val="auto"/>
                      <w:szCs w:val="21"/>
                      <w:lang w:eastAsia="zh-CN"/>
                    </w:rPr>
                  </w:pPr>
                </w:p>
              </w:tc>
              <w:tc>
                <w:tcPr>
                  <w:tcW w:w="769" w:type="pct"/>
                  <w:gridSpan w:val="3"/>
                  <w:vMerge w:val="continue"/>
                  <w:noWrap w:val="0"/>
                  <w:vAlign w:val="center"/>
                </w:tcPr>
                <w:p w14:paraId="57D2EB97">
                  <w:pPr>
                    <w:adjustRightInd w:val="0"/>
                    <w:snapToGrid w:val="0"/>
                    <w:jc w:val="center"/>
                    <w:rPr>
                      <w:rFonts w:hint="default" w:ascii="Times New Roman" w:hAnsi="Times New Roman" w:cs="Times New Roman"/>
                      <w:color w:val="auto"/>
                      <w:szCs w:val="21"/>
                      <w:lang w:eastAsia="zh-CN"/>
                    </w:rPr>
                  </w:pPr>
                </w:p>
              </w:tc>
              <w:tc>
                <w:tcPr>
                  <w:tcW w:w="3198" w:type="pct"/>
                  <w:noWrap w:val="0"/>
                  <w:vAlign w:val="center"/>
                </w:tcPr>
                <w:p w14:paraId="28069447">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抛丸设备运行产生的废气经</w:t>
                  </w:r>
                  <w:r>
                    <w:rPr>
                      <w:rFonts w:hint="default" w:ascii="Times New Roman" w:hAnsi="Times New Roman" w:cs="Times New Roman"/>
                      <w:color w:val="auto"/>
                      <w:szCs w:val="21"/>
                      <w:lang w:eastAsia="zh-CN"/>
                    </w:rPr>
                    <w:t>集气系统收集后由</w:t>
                  </w:r>
                  <w:r>
                    <w:rPr>
                      <w:rFonts w:hint="default" w:ascii="Times New Roman" w:hAnsi="Times New Roman" w:cs="Times New Roman"/>
                      <w:color w:val="auto"/>
                      <w:szCs w:val="21"/>
                      <w:lang w:val="en-US" w:eastAsia="zh-CN"/>
                    </w:rPr>
                    <w:t>自带袋式除尘器（TA002）预处理后进入滤筒除尘器进行处理（TA001），处理后经15米排气筒（DA001）排放。</w:t>
                  </w:r>
                </w:p>
              </w:tc>
              <w:tc>
                <w:tcPr>
                  <w:tcW w:w="506" w:type="pct"/>
                  <w:noWrap w:val="0"/>
                  <w:vAlign w:val="center"/>
                </w:tcPr>
                <w:p w14:paraId="16533E0D">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新建</w:t>
                  </w:r>
                </w:p>
              </w:tc>
            </w:tr>
            <w:tr w14:paraId="7A2AD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633E8695">
                  <w:pPr>
                    <w:adjustRightInd w:val="0"/>
                    <w:snapToGrid w:val="0"/>
                    <w:jc w:val="center"/>
                    <w:rPr>
                      <w:rFonts w:hint="default" w:ascii="Times New Roman" w:hAnsi="Times New Roman" w:cs="Times New Roman"/>
                      <w:color w:val="auto"/>
                      <w:szCs w:val="21"/>
                      <w:lang w:eastAsia="zh-CN"/>
                    </w:rPr>
                  </w:pPr>
                </w:p>
              </w:tc>
              <w:tc>
                <w:tcPr>
                  <w:tcW w:w="769" w:type="pct"/>
                  <w:gridSpan w:val="3"/>
                  <w:vMerge w:val="continue"/>
                  <w:noWrap w:val="0"/>
                  <w:vAlign w:val="center"/>
                </w:tcPr>
                <w:p w14:paraId="7DFE7EC7">
                  <w:pPr>
                    <w:adjustRightInd w:val="0"/>
                    <w:snapToGrid w:val="0"/>
                    <w:jc w:val="center"/>
                    <w:rPr>
                      <w:rFonts w:hint="default" w:ascii="Times New Roman" w:hAnsi="Times New Roman" w:cs="Times New Roman"/>
                      <w:color w:val="auto"/>
                      <w:szCs w:val="21"/>
                      <w:lang w:eastAsia="zh-CN"/>
                    </w:rPr>
                  </w:pPr>
                </w:p>
              </w:tc>
              <w:tc>
                <w:tcPr>
                  <w:tcW w:w="3198" w:type="pct"/>
                  <w:noWrap w:val="0"/>
                  <w:vAlign w:val="center"/>
                </w:tcPr>
                <w:p w14:paraId="6C851819">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喷塑（静电喷涂室及自动喷涂室）产生颗粒物经风机引至滤筒除尘器（TA003）处理，最终经同一根15m排气筒（DA002）有组织排放；</w:t>
                  </w:r>
                </w:p>
              </w:tc>
              <w:tc>
                <w:tcPr>
                  <w:tcW w:w="506" w:type="pct"/>
                  <w:noWrap w:val="0"/>
                  <w:vAlign w:val="center"/>
                </w:tcPr>
                <w:p w14:paraId="664E300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新建</w:t>
                  </w:r>
                </w:p>
              </w:tc>
            </w:tr>
            <w:tr w14:paraId="120AB5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7C11855C">
                  <w:pPr>
                    <w:adjustRightInd w:val="0"/>
                    <w:snapToGrid w:val="0"/>
                    <w:jc w:val="center"/>
                    <w:rPr>
                      <w:rFonts w:hint="default" w:ascii="Times New Roman" w:hAnsi="Times New Roman" w:cs="Times New Roman"/>
                      <w:color w:val="auto"/>
                      <w:szCs w:val="21"/>
                      <w:lang w:eastAsia="zh-CN"/>
                    </w:rPr>
                  </w:pPr>
                </w:p>
              </w:tc>
              <w:tc>
                <w:tcPr>
                  <w:tcW w:w="769" w:type="pct"/>
                  <w:gridSpan w:val="3"/>
                  <w:vMerge w:val="continue"/>
                  <w:noWrap w:val="0"/>
                  <w:vAlign w:val="center"/>
                </w:tcPr>
                <w:p w14:paraId="0C5AF2E9">
                  <w:pPr>
                    <w:adjustRightInd w:val="0"/>
                    <w:snapToGrid w:val="0"/>
                    <w:jc w:val="center"/>
                    <w:rPr>
                      <w:rFonts w:hint="default" w:ascii="Times New Roman" w:hAnsi="Times New Roman" w:cs="Times New Roman"/>
                      <w:color w:val="auto"/>
                      <w:szCs w:val="21"/>
                      <w:lang w:eastAsia="zh-CN"/>
                    </w:rPr>
                  </w:pPr>
                </w:p>
              </w:tc>
              <w:tc>
                <w:tcPr>
                  <w:tcW w:w="3198" w:type="pct"/>
                  <w:noWrap w:val="0"/>
                  <w:vAlign w:val="center"/>
                </w:tcPr>
                <w:p w14:paraId="1705ACB6">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固化产生的有机废气经收集后由二级活性炭（TA004）处理后经15米排气筒（DA003）排放。</w:t>
                  </w:r>
                </w:p>
              </w:tc>
              <w:tc>
                <w:tcPr>
                  <w:tcW w:w="506" w:type="pct"/>
                  <w:noWrap w:val="0"/>
                  <w:vAlign w:val="center"/>
                </w:tcPr>
                <w:p w14:paraId="03D8A50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新建</w:t>
                  </w:r>
                </w:p>
              </w:tc>
            </w:tr>
            <w:tr w14:paraId="078A23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4077679F">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喷漆</w:t>
                  </w:r>
                </w:p>
              </w:tc>
              <w:tc>
                <w:tcPr>
                  <w:tcW w:w="769" w:type="pct"/>
                  <w:gridSpan w:val="3"/>
                  <w:vMerge w:val="continue"/>
                  <w:noWrap w:val="0"/>
                  <w:vAlign w:val="center"/>
                </w:tcPr>
                <w:p w14:paraId="3AA1B01A">
                  <w:pPr>
                    <w:adjustRightInd w:val="0"/>
                    <w:snapToGrid w:val="0"/>
                    <w:jc w:val="center"/>
                    <w:rPr>
                      <w:rFonts w:hint="default" w:ascii="Times New Roman" w:hAnsi="Times New Roman" w:cs="Times New Roman"/>
                      <w:color w:val="auto"/>
                      <w:szCs w:val="21"/>
                      <w:lang w:eastAsia="zh-CN"/>
                    </w:rPr>
                  </w:pPr>
                </w:p>
              </w:tc>
              <w:tc>
                <w:tcPr>
                  <w:tcW w:w="3198" w:type="pct"/>
                  <w:noWrap w:val="0"/>
                  <w:vAlign w:val="center"/>
                </w:tcPr>
                <w:p w14:paraId="7C33DCBB">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喷漆废气设置在封闭喷漆房进行，经“负压收集+干式纸盒+过滤棉+二级活性炭（TA004）处理后经15米排气筒（DA003）排放。</w:t>
                  </w:r>
                </w:p>
              </w:tc>
              <w:tc>
                <w:tcPr>
                  <w:tcW w:w="506" w:type="pct"/>
                  <w:noWrap w:val="0"/>
                  <w:vAlign w:val="center"/>
                </w:tcPr>
                <w:p w14:paraId="5D206D9B">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新建</w:t>
                  </w:r>
                </w:p>
              </w:tc>
            </w:tr>
            <w:tr w14:paraId="2D389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0F3079A7">
                  <w:pPr>
                    <w:adjustRightInd w:val="0"/>
                    <w:snapToGrid w:val="0"/>
                    <w:jc w:val="center"/>
                    <w:rPr>
                      <w:rFonts w:hint="default" w:ascii="Times New Roman" w:hAnsi="Times New Roman" w:cs="Times New Roman"/>
                      <w:color w:val="auto"/>
                      <w:szCs w:val="21"/>
                      <w:lang w:eastAsia="zh-CN"/>
                    </w:rPr>
                  </w:pPr>
                </w:p>
              </w:tc>
              <w:tc>
                <w:tcPr>
                  <w:tcW w:w="769" w:type="pct"/>
                  <w:gridSpan w:val="3"/>
                  <w:vMerge w:val="continue"/>
                  <w:tcBorders>
                    <w:bottom w:val="single" w:color="auto" w:sz="4" w:space="0"/>
                  </w:tcBorders>
                  <w:noWrap w:val="0"/>
                  <w:vAlign w:val="center"/>
                </w:tcPr>
                <w:p w14:paraId="0E8C8FAD">
                  <w:pPr>
                    <w:adjustRightInd w:val="0"/>
                    <w:snapToGrid w:val="0"/>
                    <w:jc w:val="center"/>
                    <w:rPr>
                      <w:rFonts w:hint="default" w:ascii="Times New Roman" w:hAnsi="Times New Roman" w:cs="Times New Roman"/>
                      <w:color w:val="auto"/>
                      <w:szCs w:val="21"/>
                      <w:lang w:eastAsia="zh-CN"/>
                    </w:rPr>
                  </w:pPr>
                </w:p>
              </w:tc>
              <w:tc>
                <w:tcPr>
                  <w:tcW w:w="3198" w:type="pct"/>
                  <w:noWrap w:val="0"/>
                  <w:vAlign w:val="center"/>
                </w:tcPr>
                <w:p w14:paraId="50590FB2">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液化天然气（LNG）燃烧采用低氮燃烧器燃烧，废气并入固化由15米排气筒（DA003）排放。</w:t>
                  </w:r>
                </w:p>
              </w:tc>
              <w:tc>
                <w:tcPr>
                  <w:tcW w:w="506" w:type="pct"/>
                  <w:noWrap w:val="0"/>
                  <w:vAlign w:val="center"/>
                </w:tcPr>
                <w:p w14:paraId="39BC2279">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新建</w:t>
                  </w:r>
                </w:p>
              </w:tc>
            </w:tr>
            <w:tr w14:paraId="0D152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6D3ABC3D">
                  <w:pPr>
                    <w:adjustRightInd w:val="0"/>
                    <w:snapToGrid w:val="0"/>
                    <w:jc w:val="center"/>
                    <w:rPr>
                      <w:rFonts w:hint="default" w:ascii="Times New Roman" w:hAnsi="Times New Roman" w:cs="Times New Roman"/>
                      <w:color w:val="auto"/>
                      <w:szCs w:val="21"/>
                      <w:lang w:eastAsia="zh-CN"/>
                    </w:rPr>
                  </w:pPr>
                </w:p>
              </w:tc>
              <w:tc>
                <w:tcPr>
                  <w:tcW w:w="769" w:type="pct"/>
                  <w:gridSpan w:val="3"/>
                  <w:tcBorders>
                    <w:bottom w:val="single" w:color="auto" w:sz="4" w:space="0"/>
                  </w:tcBorders>
                  <w:noWrap w:val="0"/>
                  <w:vAlign w:val="center"/>
                </w:tcPr>
                <w:p w14:paraId="4E1737DC">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废水处理系统</w:t>
                  </w:r>
                </w:p>
              </w:tc>
              <w:tc>
                <w:tcPr>
                  <w:tcW w:w="3198" w:type="pct"/>
                  <w:noWrap w:val="0"/>
                  <w:vAlign w:val="center"/>
                </w:tcPr>
                <w:p w14:paraId="0B366F21">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生活污水经院内化粪池收集处理后拉运处理；</w:t>
                  </w:r>
                </w:p>
              </w:tc>
              <w:tc>
                <w:tcPr>
                  <w:tcW w:w="506" w:type="pct"/>
                  <w:noWrap w:val="0"/>
                  <w:vAlign w:val="center"/>
                </w:tcPr>
                <w:p w14:paraId="53E757B6">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snapToGrid w:val="0"/>
                      <w:color w:val="auto"/>
                      <w:szCs w:val="21"/>
                      <w:lang w:val="en-US" w:eastAsia="zh-CN"/>
                    </w:rPr>
                    <w:t>依托</w:t>
                  </w:r>
                </w:p>
              </w:tc>
            </w:tr>
            <w:tr w14:paraId="352CD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328535C5">
                  <w:pPr>
                    <w:adjustRightInd w:val="0"/>
                    <w:snapToGrid w:val="0"/>
                    <w:jc w:val="center"/>
                    <w:rPr>
                      <w:rFonts w:hint="default" w:ascii="Times New Roman" w:hAnsi="Times New Roman" w:cs="Times New Roman"/>
                      <w:color w:val="auto"/>
                      <w:szCs w:val="21"/>
                    </w:rPr>
                  </w:pPr>
                </w:p>
              </w:tc>
              <w:tc>
                <w:tcPr>
                  <w:tcW w:w="769" w:type="pct"/>
                  <w:gridSpan w:val="3"/>
                  <w:noWrap w:val="0"/>
                  <w:vAlign w:val="center"/>
                </w:tcPr>
                <w:p w14:paraId="6704983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噪声处理系统</w:t>
                  </w:r>
                </w:p>
              </w:tc>
              <w:tc>
                <w:tcPr>
                  <w:tcW w:w="3198" w:type="pct"/>
                  <w:noWrap w:val="0"/>
                  <w:vAlign w:val="center"/>
                </w:tcPr>
                <w:p w14:paraId="117DEB50">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snapToGrid w:val="0"/>
                      <w:color w:val="auto"/>
                      <w:szCs w:val="21"/>
                      <w:lang w:eastAsia="zh-CN"/>
                    </w:rPr>
                    <w:t>风机与风管处采用橡胶软连接、</w:t>
                  </w:r>
                  <w:r>
                    <w:rPr>
                      <w:rFonts w:hint="default" w:ascii="Times New Roman" w:hAnsi="Times New Roman" w:cs="Times New Roman"/>
                      <w:snapToGrid w:val="0"/>
                      <w:color w:val="auto"/>
                      <w:szCs w:val="21"/>
                      <w:lang w:val="en-US" w:eastAsia="zh-CN"/>
                    </w:rPr>
                    <w:t>设隔声罩、</w:t>
                  </w:r>
                  <w:r>
                    <w:rPr>
                      <w:rFonts w:hint="default" w:ascii="Times New Roman" w:hAnsi="Times New Roman" w:cs="Times New Roman"/>
                      <w:snapToGrid w:val="0"/>
                      <w:color w:val="auto"/>
                      <w:szCs w:val="21"/>
                      <w:lang w:eastAsia="zh-CN"/>
                    </w:rPr>
                    <w:t>设备润滑、墙体隔声、</w:t>
                  </w:r>
                  <w:r>
                    <w:rPr>
                      <w:rFonts w:hint="default" w:ascii="Times New Roman" w:hAnsi="Times New Roman" w:cs="Times New Roman"/>
                      <w:snapToGrid w:val="0"/>
                      <w:color w:val="auto"/>
                      <w:szCs w:val="21"/>
                    </w:rPr>
                    <w:t>距离衰减等</w:t>
                  </w:r>
                  <w:r>
                    <w:rPr>
                      <w:rFonts w:hint="default" w:ascii="Times New Roman" w:hAnsi="Times New Roman" w:cs="Times New Roman"/>
                      <w:snapToGrid w:val="0"/>
                      <w:color w:val="auto"/>
                      <w:szCs w:val="21"/>
                      <w:lang w:eastAsia="zh-CN"/>
                    </w:rPr>
                    <w:t>。</w:t>
                  </w:r>
                </w:p>
              </w:tc>
              <w:tc>
                <w:tcPr>
                  <w:tcW w:w="506" w:type="pct"/>
                  <w:noWrap w:val="0"/>
                  <w:vAlign w:val="center"/>
                </w:tcPr>
                <w:p w14:paraId="00D8252A">
                  <w:pPr>
                    <w:adjustRightInd w:val="0"/>
                    <w:snapToGrid w:val="0"/>
                    <w:jc w:val="center"/>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rPr>
                    <w:t>新建</w:t>
                  </w:r>
                </w:p>
              </w:tc>
            </w:tr>
            <w:tr w14:paraId="55FB1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4438B58C">
                  <w:pPr>
                    <w:adjustRightInd w:val="0"/>
                    <w:snapToGrid w:val="0"/>
                    <w:jc w:val="center"/>
                    <w:rPr>
                      <w:rFonts w:hint="default" w:ascii="Times New Roman" w:hAnsi="Times New Roman" w:cs="Times New Roman"/>
                      <w:color w:val="auto"/>
                      <w:szCs w:val="21"/>
                    </w:rPr>
                  </w:pPr>
                </w:p>
              </w:tc>
              <w:tc>
                <w:tcPr>
                  <w:tcW w:w="383" w:type="pct"/>
                  <w:gridSpan w:val="2"/>
                  <w:vMerge w:val="restart"/>
                  <w:noWrap w:val="0"/>
                  <w:vAlign w:val="center"/>
                </w:tcPr>
                <w:p w14:paraId="7DB6BEC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固废处理系统</w:t>
                  </w:r>
                </w:p>
              </w:tc>
              <w:tc>
                <w:tcPr>
                  <w:tcW w:w="385" w:type="pct"/>
                  <w:noWrap w:val="0"/>
                  <w:vAlign w:val="center"/>
                </w:tcPr>
                <w:p w14:paraId="6D7702FA">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一般固废</w:t>
                  </w:r>
                </w:p>
              </w:tc>
              <w:tc>
                <w:tcPr>
                  <w:tcW w:w="3198" w:type="pct"/>
                  <w:noWrap w:val="0"/>
                  <w:vAlign w:val="center"/>
                </w:tcPr>
                <w:p w14:paraId="35FD8F12">
                  <w:pPr>
                    <w:adjustRightInd w:val="0"/>
                    <w:snapToGrid w:val="0"/>
                    <w:jc w:val="center"/>
                    <w:rPr>
                      <w:rFonts w:hint="default" w:ascii="Times New Roman" w:hAnsi="Times New Roman" w:cs="Times New Roman"/>
                      <w:snapToGrid w:val="0"/>
                      <w:color w:val="auto"/>
                      <w:szCs w:val="21"/>
                      <w:lang w:val="en-US" w:eastAsia="zh-CN"/>
                    </w:rPr>
                  </w:pPr>
                  <w:r>
                    <w:rPr>
                      <w:rFonts w:hint="default" w:ascii="Times New Roman" w:hAnsi="Times New Roman" w:eastAsia="宋体" w:cs="Times New Roman"/>
                      <w:snapToGrid w:val="0"/>
                      <w:color w:val="auto"/>
                      <w:szCs w:val="21"/>
                      <w:lang w:eastAsia="zh-CN"/>
                    </w:rPr>
                    <w:t>废金属屑、废边角料、废钢丸、</w:t>
                  </w:r>
                  <w:r>
                    <w:rPr>
                      <w:rFonts w:hint="default" w:ascii="Times New Roman" w:hAnsi="Times New Roman" w:eastAsia="宋体" w:cs="Times New Roman"/>
                      <w:snapToGrid w:val="0"/>
                      <w:color w:val="auto"/>
                      <w:szCs w:val="21"/>
                      <w:lang w:val="en-US" w:eastAsia="zh-CN"/>
                    </w:rPr>
                    <w:t>废粉</w:t>
                  </w:r>
                  <w:r>
                    <w:rPr>
                      <w:rFonts w:hint="default" w:ascii="Times New Roman" w:hAnsi="Times New Roman" w:eastAsia="宋体" w:cs="Times New Roman"/>
                      <w:snapToGrid w:val="0"/>
                      <w:color w:val="auto"/>
                      <w:szCs w:val="21"/>
                      <w:lang w:eastAsia="zh-CN"/>
                    </w:rPr>
                    <w:t>、收尘灰暂存一般固废暂存区（占地</w:t>
                  </w:r>
                  <w:r>
                    <w:rPr>
                      <w:rFonts w:hint="default" w:ascii="Times New Roman" w:hAnsi="Times New Roman" w:cs="Times New Roman"/>
                      <w:snapToGrid w:val="0"/>
                      <w:color w:val="auto"/>
                      <w:szCs w:val="21"/>
                      <w:lang w:val="en-US" w:eastAsia="zh-CN"/>
                    </w:rPr>
                    <w:t>30</w:t>
                  </w:r>
                  <w:r>
                    <w:rPr>
                      <w:rFonts w:hint="default" w:ascii="Times New Roman" w:hAnsi="Times New Roman" w:eastAsia="宋体" w:cs="Times New Roman"/>
                      <w:snapToGrid w:val="0"/>
                      <w:color w:val="auto"/>
                      <w:szCs w:val="21"/>
                      <w:lang w:val="en-US" w:eastAsia="zh-CN"/>
                    </w:rPr>
                    <w:t>㎡</w:t>
                  </w:r>
                  <w:r>
                    <w:rPr>
                      <w:rFonts w:hint="default" w:ascii="Times New Roman" w:hAnsi="Times New Roman" w:eastAsia="宋体" w:cs="Times New Roman"/>
                      <w:snapToGrid w:val="0"/>
                      <w:color w:val="auto"/>
                      <w:szCs w:val="21"/>
                      <w:lang w:eastAsia="zh-CN"/>
                    </w:rPr>
                    <w:t>）后定期外售处理。</w:t>
                  </w:r>
                </w:p>
              </w:tc>
              <w:tc>
                <w:tcPr>
                  <w:tcW w:w="506" w:type="pct"/>
                  <w:noWrap w:val="0"/>
                  <w:vAlign w:val="center"/>
                </w:tcPr>
                <w:p w14:paraId="09FDB34F">
                  <w:pPr>
                    <w:adjustRightInd w:val="0"/>
                    <w:snapToGrid w:val="0"/>
                    <w:jc w:val="center"/>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rPr>
                    <w:t>新建</w:t>
                  </w:r>
                </w:p>
              </w:tc>
            </w:tr>
            <w:tr w14:paraId="25B5D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6" w:type="pct"/>
                  <w:vMerge w:val="continue"/>
                  <w:noWrap w:val="0"/>
                  <w:vAlign w:val="center"/>
                </w:tcPr>
                <w:p w14:paraId="688E48F9">
                  <w:pPr>
                    <w:adjustRightInd w:val="0"/>
                    <w:snapToGrid w:val="0"/>
                    <w:jc w:val="center"/>
                    <w:rPr>
                      <w:rFonts w:hint="default" w:ascii="Times New Roman" w:hAnsi="Times New Roman" w:cs="Times New Roman"/>
                      <w:color w:val="auto"/>
                    </w:rPr>
                  </w:pPr>
                </w:p>
              </w:tc>
              <w:tc>
                <w:tcPr>
                  <w:tcW w:w="383" w:type="pct"/>
                  <w:gridSpan w:val="2"/>
                  <w:vMerge w:val="continue"/>
                  <w:noWrap w:val="0"/>
                  <w:vAlign w:val="center"/>
                </w:tcPr>
                <w:p w14:paraId="30CE94EC">
                  <w:pPr>
                    <w:adjustRightInd w:val="0"/>
                    <w:snapToGrid w:val="0"/>
                    <w:jc w:val="center"/>
                    <w:rPr>
                      <w:rFonts w:hint="default" w:ascii="Times New Roman" w:hAnsi="Times New Roman" w:cs="Times New Roman"/>
                      <w:color w:val="auto"/>
                    </w:rPr>
                  </w:pPr>
                </w:p>
              </w:tc>
              <w:tc>
                <w:tcPr>
                  <w:tcW w:w="385" w:type="pct"/>
                  <w:noWrap w:val="0"/>
                  <w:vAlign w:val="center"/>
                </w:tcPr>
                <w:p w14:paraId="5C3034EB">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危险废物</w:t>
                  </w:r>
                </w:p>
              </w:tc>
              <w:tc>
                <w:tcPr>
                  <w:tcW w:w="3198" w:type="pct"/>
                  <w:noWrap w:val="0"/>
                  <w:vAlign w:val="center"/>
                </w:tcPr>
                <w:p w14:paraId="4A05A863">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eastAsia="宋体" w:cs="Times New Roman"/>
                      <w:snapToGrid w:val="0"/>
                      <w:color w:val="auto"/>
                      <w:szCs w:val="21"/>
                      <w:lang w:eastAsia="zh-CN"/>
                    </w:rPr>
                    <w:t>危险废物（</w:t>
                  </w:r>
                  <w:r>
                    <w:rPr>
                      <w:rFonts w:hint="default" w:ascii="Times New Roman" w:hAnsi="Times New Roman" w:eastAsia="宋体" w:cs="Times New Roman"/>
                      <w:snapToGrid w:val="0"/>
                      <w:color w:val="auto"/>
                      <w:szCs w:val="21"/>
                      <w:lang w:val="en-US" w:eastAsia="zh-CN"/>
                    </w:rPr>
                    <w:t>废活性炭、</w:t>
                  </w:r>
                  <w:r>
                    <w:rPr>
                      <w:rFonts w:hint="default" w:ascii="Times New Roman" w:hAnsi="Times New Roman" w:eastAsia="宋体" w:cs="Times New Roman"/>
                      <w:snapToGrid w:val="0"/>
                      <w:color w:val="auto"/>
                      <w:szCs w:val="21"/>
                      <w:lang w:eastAsia="zh-CN"/>
                    </w:rPr>
                    <w:t>废</w:t>
                  </w:r>
                  <w:r>
                    <w:rPr>
                      <w:rFonts w:hint="default" w:ascii="Times New Roman" w:hAnsi="Times New Roman" w:cs="Times New Roman"/>
                      <w:snapToGrid w:val="0"/>
                      <w:color w:val="auto"/>
                      <w:szCs w:val="21"/>
                      <w:lang w:val="en-US" w:eastAsia="zh-CN"/>
                    </w:rPr>
                    <w:t>润滑油</w:t>
                  </w:r>
                  <w:r>
                    <w:rPr>
                      <w:rFonts w:hint="default" w:ascii="Times New Roman" w:hAnsi="Times New Roman" w:eastAsia="宋体" w:cs="Times New Roman"/>
                      <w:snapToGrid w:val="0"/>
                      <w:color w:val="auto"/>
                      <w:szCs w:val="21"/>
                      <w:lang w:eastAsia="zh-CN"/>
                    </w:rPr>
                    <w:t>、废油桶、</w:t>
                  </w:r>
                  <w:r>
                    <w:rPr>
                      <w:rFonts w:hint="default" w:ascii="Times New Roman" w:hAnsi="Times New Roman" w:eastAsia="宋体" w:cs="Times New Roman"/>
                      <w:snapToGrid w:val="0"/>
                      <w:color w:val="auto"/>
                      <w:szCs w:val="21"/>
                      <w:lang w:val="en-US" w:eastAsia="zh-CN"/>
                    </w:rPr>
                    <w:t>废</w:t>
                  </w:r>
                  <w:r>
                    <w:rPr>
                      <w:rFonts w:hint="default" w:ascii="Times New Roman" w:hAnsi="Times New Roman" w:eastAsia="宋体" w:cs="Times New Roman"/>
                      <w:snapToGrid w:val="0"/>
                      <w:color w:val="auto"/>
                      <w:szCs w:val="21"/>
                      <w:lang w:eastAsia="zh-CN"/>
                    </w:rPr>
                    <w:t>含油抹布、手套）暂存于危废暂存间（占地</w:t>
                  </w:r>
                  <w:r>
                    <w:rPr>
                      <w:rFonts w:hint="default" w:ascii="Times New Roman" w:hAnsi="Times New Roman" w:cs="Times New Roman"/>
                      <w:snapToGrid w:val="0"/>
                      <w:color w:val="auto"/>
                      <w:szCs w:val="21"/>
                      <w:lang w:val="en-US" w:eastAsia="zh-CN"/>
                    </w:rPr>
                    <w:t>15</w:t>
                  </w:r>
                  <w:r>
                    <w:rPr>
                      <w:rFonts w:hint="default" w:ascii="Times New Roman" w:hAnsi="Times New Roman" w:eastAsia="宋体" w:cs="Times New Roman"/>
                      <w:snapToGrid w:val="0"/>
                      <w:color w:val="auto"/>
                      <w:szCs w:val="21"/>
                      <w:lang w:val="en-US" w:eastAsia="zh-CN"/>
                    </w:rPr>
                    <w:t>㎡</w:t>
                  </w:r>
                  <w:r>
                    <w:rPr>
                      <w:rFonts w:hint="default" w:ascii="Times New Roman" w:hAnsi="Times New Roman" w:eastAsia="宋体" w:cs="Times New Roman"/>
                      <w:snapToGrid w:val="0"/>
                      <w:color w:val="auto"/>
                      <w:szCs w:val="21"/>
                      <w:lang w:eastAsia="zh-CN"/>
                    </w:rPr>
                    <w:t>），定期交由</w:t>
                  </w:r>
                  <w:r>
                    <w:rPr>
                      <w:rFonts w:hint="default" w:ascii="Times New Roman" w:hAnsi="Times New Roman" w:cs="Times New Roman"/>
                      <w:snapToGrid w:val="0"/>
                      <w:color w:val="auto"/>
                      <w:szCs w:val="21"/>
                      <w:lang w:val="en-US" w:eastAsia="zh-CN"/>
                    </w:rPr>
                    <w:t>有资质单位</w:t>
                  </w:r>
                  <w:r>
                    <w:rPr>
                      <w:rFonts w:hint="default" w:ascii="Times New Roman" w:hAnsi="Times New Roman" w:eastAsia="宋体" w:cs="Times New Roman"/>
                      <w:snapToGrid w:val="0"/>
                      <w:color w:val="auto"/>
                      <w:szCs w:val="21"/>
                      <w:lang w:eastAsia="zh-CN"/>
                    </w:rPr>
                    <w:t>处理。</w:t>
                  </w:r>
                </w:p>
              </w:tc>
              <w:tc>
                <w:tcPr>
                  <w:tcW w:w="506" w:type="pct"/>
                  <w:noWrap w:val="0"/>
                  <w:vAlign w:val="center"/>
                </w:tcPr>
                <w:p w14:paraId="690481AA">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snapToGrid w:val="0"/>
                      <w:color w:val="auto"/>
                      <w:szCs w:val="21"/>
                    </w:rPr>
                    <w:t>新建</w:t>
                  </w:r>
                </w:p>
              </w:tc>
            </w:tr>
          </w:tbl>
          <w:p w14:paraId="44B3C491">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4.项目主要生产设施</w:t>
            </w:r>
          </w:p>
          <w:p w14:paraId="4B27627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项目主要生产设施见表2-</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p>
          <w:p w14:paraId="6FF02A1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default"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主要生产设施一览表</w:t>
            </w:r>
          </w:p>
          <w:tbl>
            <w:tblPr>
              <w:tblStyle w:val="32"/>
              <w:tblW w:w="839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7"/>
              <w:gridCol w:w="892"/>
              <w:gridCol w:w="1383"/>
              <w:gridCol w:w="1957"/>
              <w:gridCol w:w="872"/>
              <w:gridCol w:w="855"/>
              <w:gridCol w:w="1729"/>
            </w:tblGrid>
            <w:tr w14:paraId="38FB9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4F219F9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354" w:type="pct"/>
                  <w:gridSpan w:val="2"/>
                  <w:noWrap w:val="0"/>
                  <w:vAlign w:val="center"/>
                </w:tcPr>
                <w:p w14:paraId="0CCA387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设备名称</w:t>
                  </w:r>
                </w:p>
              </w:tc>
              <w:tc>
                <w:tcPr>
                  <w:tcW w:w="1165" w:type="pct"/>
                  <w:noWrap w:val="0"/>
                  <w:vAlign w:val="center"/>
                </w:tcPr>
                <w:p w14:paraId="62E56CD2">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设备</w:t>
                  </w:r>
                  <w:r>
                    <w:rPr>
                      <w:rFonts w:hint="default" w:ascii="Times New Roman" w:hAnsi="Times New Roman" w:cs="Times New Roman"/>
                      <w:color w:val="auto"/>
                      <w:szCs w:val="21"/>
                      <w:lang w:eastAsia="zh-CN"/>
                    </w:rPr>
                    <w:t>参数</w:t>
                  </w:r>
                </w:p>
              </w:tc>
              <w:tc>
                <w:tcPr>
                  <w:tcW w:w="519" w:type="pct"/>
                  <w:noWrap w:val="0"/>
                  <w:vAlign w:val="center"/>
                </w:tcPr>
                <w:p w14:paraId="105E3809">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数量</w:t>
                  </w:r>
                </w:p>
              </w:tc>
              <w:tc>
                <w:tcPr>
                  <w:tcW w:w="509" w:type="pct"/>
                  <w:noWrap w:val="0"/>
                  <w:vAlign w:val="center"/>
                </w:tcPr>
                <w:p w14:paraId="7A6B7D0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1029" w:type="pct"/>
                  <w:noWrap w:val="0"/>
                  <w:vAlign w:val="center"/>
                </w:tcPr>
                <w:p w14:paraId="7C262218">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备注</w:t>
                  </w:r>
                </w:p>
              </w:tc>
            </w:tr>
            <w:tr w14:paraId="1AC469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2A1A062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354" w:type="pct"/>
                  <w:gridSpan w:val="2"/>
                  <w:noWrap w:val="0"/>
                  <w:vAlign w:val="center"/>
                </w:tcPr>
                <w:p w14:paraId="5B09717D">
                  <w:pPr>
                    <w:spacing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rPr>
                    <w:t>3000W激光切割机</w:t>
                  </w:r>
                </w:p>
              </w:tc>
              <w:tc>
                <w:tcPr>
                  <w:tcW w:w="1165" w:type="pct"/>
                  <w:noWrap w:val="0"/>
                  <w:vAlign w:val="center"/>
                </w:tcPr>
                <w:p w14:paraId="2FB5607B">
                  <w:pPr>
                    <w:spacing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rPr>
                    <w:t>25</w:t>
                  </w:r>
                  <w:r>
                    <w:rPr>
                      <w:rFonts w:hint="eastAsia" w:ascii="Times New Roman" w:hAnsi="Times New Roman" w:cs="Times New Roman"/>
                      <w:color w:val="auto"/>
                      <w:sz w:val="21"/>
                      <w:szCs w:val="21"/>
                      <w:lang w:eastAsia="zh-CN"/>
                    </w:rPr>
                    <w:t>kW</w:t>
                  </w:r>
                </w:p>
              </w:tc>
              <w:tc>
                <w:tcPr>
                  <w:tcW w:w="519" w:type="pct"/>
                  <w:noWrap w:val="0"/>
                  <w:vAlign w:val="center"/>
                </w:tcPr>
                <w:p w14:paraId="4D49E189">
                  <w:pPr>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509" w:type="pct"/>
                  <w:noWrap w:val="0"/>
                  <w:vAlign w:val="center"/>
                </w:tcPr>
                <w:p w14:paraId="1AE6220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29" w:type="pct"/>
                  <w:vMerge w:val="restart"/>
                  <w:noWrap w:val="0"/>
                  <w:vAlign w:val="center"/>
                </w:tcPr>
                <w:p w14:paraId="6596BF03">
                  <w:pPr>
                    <w:spacing w:line="240" w:lineRule="auto"/>
                    <w:ind w:firstLine="0" w:firstLineChars="0"/>
                    <w:jc w:val="center"/>
                    <w:rPr>
                      <w:rFonts w:hint="default" w:ascii="Times New Roman" w:hAnsi="Times New Roman" w:cs="Times New Roman"/>
                      <w:color w:val="auto"/>
                      <w:szCs w:val="21"/>
                      <w:lang w:val="en-US" w:eastAsia="zh-CN"/>
                    </w:rPr>
                  </w:pPr>
                  <w:r>
                    <w:rPr>
                      <w:rFonts w:hint="default" w:ascii="Times New Roman" w:hAnsi="Times New Roman" w:cs="Times New Roman"/>
                      <w:sz w:val="21"/>
                      <w:szCs w:val="21"/>
                    </w:rPr>
                    <w:t>下料</w:t>
                  </w:r>
                  <w:r>
                    <w:rPr>
                      <w:rFonts w:hint="default" w:ascii="Times New Roman" w:hAnsi="Times New Roman" w:cs="Times New Roman"/>
                      <w:sz w:val="21"/>
                      <w:szCs w:val="21"/>
                      <w:lang w:val="en-US" w:eastAsia="zh-CN"/>
                    </w:rPr>
                    <w:t>工序</w:t>
                  </w:r>
                </w:p>
              </w:tc>
            </w:tr>
            <w:tr w14:paraId="7FC229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6D27F875">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w:t>
                  </w:r>
                </w:p>
              </w:tc>
              <w:tc>
                <w:tcPr>
                  <w:tcW w:w="1354" w:type="pct"/>
                  <w:gridSpan w:val="2"/>
                  <w:noWrap w:val="0"/>
                  <w:vAlign w:val="center"/>
                </w:tcPr>
                <w:p w14:paraId="37CAFBE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12000W激光切割机</w:t>
                  </w:r>
                </w:p>
              </w:tc>
              <w:tc>
                <w:tcPr>
                  <w:tcW w:w="1165" w:type="pct"/>
                  <w:noWrap w:val="0"/>
                  <w:vAlign w:val="center"/>
                </w:tcPr>
                <w:p w14:paraId="3E9E2142">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40</w:t>
                  </w:r>
                  <w:r>
                    <w:rPr>
                      <w:rFonts w:hint="eastAsia" w:ascii="Times New Roman" w:hAnsi="Times New Roman" w:cs="Times New Roman"/>
                      <w:color w:val="auto"/>
                      <w:sz w:val="21"/>
                      <w:szCs w:val="21"/>
                      <w:lang w:eastAsia="zh-CN"/>
                    </w:rPr>
                    <w:t>kW</w:t>
                  </w:r>
                </w:p>
              </w:tc>
              <w:tc>
                <w:tcPr>
                  <w:tcW w:w="519" w:type="pct"/>
                  <w:noWrap w:val="0"/>
                  <w:vAlign w:val="center"/>
                </w:tcPr>
                <w:p w14:paraId="3ADAE0AE">
                  <w:pPr>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509" w:type="pct"/>
                  <w:noWrap w:val="0"/>
                  <w:vAlign w:val="center"/>
                </w:tcPr>
                <w:p w14:paraId="6B2CBE56">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1029" w:type="pct"/>
                  <w:vMerge w:val="continue"/>
                  <w:noWrap w:val="0"/>
                  <w:vAlign w:val="center"/>
                </w:tcPr>
                <w:p w14:paraId="15627862">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14:paraId="1BB110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159A409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w:t>
                  </w:r>
                </w:p>
              </w:tc>
              <w:tc>
                <w:tcPr>
                  <w:tcW w:w="1354" w:type="pct"/>
                  <w:gridSpan w:val="2"/>
                  <w:noWrap w:val="0"/>
                  <w:vAlign w:val="center"/>
                </w:tcPr>
                <w:p w14:paraId="0B7D9D84">
                  <w:pPr>
                    <w:spacing w:line="240" w:lineRule="auto"/>
                    <w:ind w:firstLine="0" w:firstLine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rPr>
                    <w:t>火焰切割机</w:t>
                  </w:r>
                </w:p>
              </w:tc>
              <w:tc>
                <w:tcPr>
                  <w:tcW w:w="1165" w:type="pct"/>
                  <w:noWrap w:val="0"/>
                  <w:vAlign w:val="center"/>
                </w:tcPr>
                <w:p w14:paraId="29D8E0CD">
                  <w:pPr>
                    <w:spacing w:line="240" w:lineRule="auto"/>
                    <w:ind w:firstLine="0" w:firstLine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rPr>
                    <w:t>5</w:t>
                  </w:r>
                  <w:r>
                    <w:rPr>
                      <w:rFonts w:hint="eastAsia" w:ascii="Times New Roman" w:hAnsi="Times New Roman" w:cs="Times New Roman"/>
                      <w:color w:val="auto"/>
                      <w:sz w:val="21"/>
                      <w:szCs w:val="21"/>
                      <w:lang w:eastAsia="zh-CN"/>
                    </w:rPr>
                    <w:t>kW</w:t>
                  </w:r>
                </w:p>
              </w:tc>
              <w:tc>
                <w:tcPr>
                  <w:tcW w:w="519" w:type="pct"/>
                  <w:noWrap w:val="0"/>
                  <w:vAlign w:val="center"/>
                </w:tcPr>
                <w:p w14:paraId="7DD4D068">
                  <w:pPr>
                    <w:spacing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rPr>
                    <w:t>1</w:t>
                  </w:r>
                </w:p>
              </w:tc>
              <w:tc>
                <w:tcPr>
                  <w:tcW w:w="509" w:type="pct"/>
                  <w:noWrap w:val="0"/>
                  <w:vAlign w:val="center"/>
                </w:tcPr>
                <w:p w14:paraId="29E37B6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29" w:type="pct"/>
                  <w:vMerge w:val="continue"/>
                  <w:noWrap w:val="0"/>
                  <w:vAlign w:val="center"/>
                </w:tcPr>
                <w:p w14:paraId="2D2331B9">
                  <w:pPr>
                    <w:spacing w:line="240" w:lineRule="auto"/>
                    <w:ind w:firstLine="0" w:firstLineChars="0"/>
                    <w:jc w:val="center"/>
                    <w:rPr>
                      <w:rFonts w:hint="default" w:ascii="Times New Roman" w:hAnsi="Times New Roman" w:cs="Times New Roman"/>
                      <w:color w:val="auto"/>
                      <w:szCs w:val="21"/>
                      <w:lang w:val="en-US" w:eastAsia="zh-CN"/>
                    </w:rPr>
                  </w:pPr>
                </w:p>
              </w:tc>
            </w:tr>
            <w:tr w14:paraId="7ED56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0FF5FCD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w:t>
                  </w:r>
                </w:p>
              </w:tc>
              <w:tc>
                <w:tcPr>
                  <w:tcW w:w="1354" w:type="pct"/>
                  <w:gridSpan w:val="2"/>
                  <w:noWrap w:val="0"/>
                  <w:vAlign w:val="center"/>
                </w:tcPr>
                <w:p w14:paraId="6619D345">
                  <w:pPr>
                    <w:spacing w:line="240" w:lineRule="auto"/>
                    <w:ind w:firstLine="0" w:firstLine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rPr>
                    <w:t>250吨折弯机</w:t>
                  </w:r>
                </w:p>
              </w:tc>
              <w:tc>
                <w:tcPr>
                  <w:tcW w:w="1165" w:type="pct"/>
                  <w:noWrap w:val="0"/>
                  <w:vAlign w:val="center"/>
                </w:tcPr>
                <w:p w14:paraId="2FAF0856">
                  <w:pPr>
                    <w:spacing w:line="240" w:lineRule="auto"/>
                    <w:ind w:firstLine="0" w:firstLine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rPr>
                    <w:t>30</w:t>
                  </w:r>
                  <w:r>
                    <w:rPr>
                      <w:rFonts w:hint="eastAsia" w:ascii="Times New Roman" w:hAnsi="Times New Roman" w:cs="Times New Roman"/>
                      <w:color w:val="auto"/>
                      <w:sz w:val="21"/>
                      <w:szCs w:val="21"/>
                      <w:lang w:eastAsia="zh-CN"/>
                    </w:rPr>
                    <w:t>kW</w:t>
                  </w:r>
                </w:p>
              </w:tc>
              <w:tc>
                <w:tcPr>
                  <w:tcW w:w="519" w:type="pct"/>
                  <w:noWrap w:val="0"/>
                  <w:vAlign w:val="center"/>
                </w:tcPr>
                <w:p w14:paraId="4DAFB884">
                  <w:pPr>
                    <w:spacing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rPr>
                    <w:t>1</w:t>
                  </w:r>
                </w:p>
              </w:tc>
              <w:tc>
                <w:tcPr>
                  <w:tcW w:w="509" w:type="pct"/>
                  <w:noWrap w:val="0"/>
                  <w:vAlign w:val="center"/>
                </w:tcPr>
                <w:p w14:paraId="63AC2EC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29" w:type="pct"/>
                  <w:vMerge w:val="restart"/>
                  <w:noWrap w:val="0"/>
                  <w:vAlign w:val="center"/>
                </w:tcPr>
                <w:p w14:paraId="5AA3FEBA">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折弯成型</w:t>
                  </w:r>
                  <w:r>
                    <w:rPr>
                      <w:rFonts w:hint="default" w:ascii="Times New Roman" w:hAnsi="Times New Roman" w:cs="Times New Roman"/>
                      <w:sz w:val="21"/>
                      <w:szCs w:val="21"/>
                      <w:lang w:val="en-US" w:eastAsia="zh-CN"/>
                    </w:rPr>
                    <w:t>工序</w:t>
                  </w:r>
                </w:p>
              </w:tc>
            </w:tr>
            <w:tr w14:paraId="04D83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6F896F3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w:t>
                  </w:r>
                </w:p>
              </w:tc>
              <w:tc>
                <w:tcPr>
                  <w:tcW w:w="1354" w:type="pct"/>
                  <w:gridSpan w:val="2"/>
                  <w:noWrap w:val="0"/>
                  <w:vAlign w:val="center"/>
                </w:tcPr>
                <w:p w14:paraId="5DD288B2">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100吨折弯机</w:t>
                  </w:r>
                </w:p>
              </w:tc>
              <w:tc>
                <w:tcPr>
                  <w:tcW w:w="1165" w:type="pct"/>
                  <w:noWrap w:val="0"/>
                  <w:vAlign w:val="center"/>
                </w:tcPr>
                <w:p w14:paraId="32F278CD">
                  <w:pPr>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20</w:t>
                  </w:r>
                  <w:r>
                    <w:rPr>
                      <w:rFonts w:hint="eastAsia" w:ascii="Times New Roman" w:hAnsi="Times New Roman" w:cs="Times New Roman"/>
                      <w:color w:val="auto"/>
                      <w:sz w:val="21"/>
                      <w:szCs w:val="21"/>
                      <w:lang w:eastAsia="zh-CN"/>
                    </w:rPr>
                    <w:t>kW</w:t>
                  </w:r>
                </w:p>
              </w:tc>
              <w:tc>
                <w:tcPr>
                  <w:tcW w:w="519" w:type="pct"/>
                  <w:noWrap w:val="0"/>
                  <w:vAlign w:val="center"/>
                </w:tcPr>
                <w:p w14:paraId="1F15E103">
                  <w:pPr>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509" w:type="pct"/>
                  <w:noWrap w:val="0"/>
                  <w:vAlign w:val="center"/>
                </w:tcPr>
                <w:p w14:paraId="12A0970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29" w:type="pct"/>
                  <w:vMerge w:val="continue"/>
                  <w:noWrap w:val="0"/>
                  <w:vAlign w:val="center"/>
                </w:tcPr>
                <w:p w14:paraId="5402B952">
                  <w:pPr>
                    <w:spacing w:line="240" w:lineRule="auto"/>
                    <w:ind w:firstLine="0" w:firstLineChars="0"/>
                    <w:jc w:val="center"/>
                    <w:rPr>
                      <w:rFonts w:hint="default" w:ascii="Times New Roman" w:hAnsi="Times New Roman" w:cs="Times New Roman"/>
                      <w:color w:val="auto"/>
                      <w:szCs w:val="21"/>
                      <w:lang w:val="en-US" w:eastAsia="zh-CN"/>
                    </w:rPr>
                  </w:pPr>
                </w:p>
              </w:tc>
            </w:tr>
            <w:tr w14:paraId="401DB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24F9EFAE">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w:t>
                  </w:r>
                </w:p>
              </w:tc>
              <w:tc>
                <w:tcPr>
                  <w:tcW w:w="1354" w:type="pct"/>
                  <w:gridSpan w:val="2"/>
                  <w:noWrap w:val="0"/>
                  <w:vAlign w:val="center"/>
                </w:tcPr>
                <w:p w14:paraId="13EBCE31">
                  <w:pPr>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60吨折弯机</w:t>
                  </w:r>
                </w:p>
              </w:tc>
              <w:tc>
                <w:tcPr>
                  <w:tcW w:w="1165" w:type="pct"/>
                  <w:noWrap w:val="0"/>
                  <w:vAlign w:val="center"/>
                </w:tcPr>
                <w:p w14:paraId="4165729E">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15</w:t>
                  </w:r>
                  <w:r>
                    <w:rPr>
                      <w:rFonts w:hint="eastAsia" w:ascii="Times New Roman" w:hAnsi="Times New Roman" w:cs="Times New Roman"/>
                      <w:color w:val="auto"/>
                      <w:sz w:val="21"/>
                      <w:szCs w:val="21"/>
                      <w:lang w:eastAsia="zh-CN"/>
                    </w:rPr>
                    <w:t>kW</w:t>
                  </w:r>
                </w:p>
              </w:tc>
              <w:tc>
                <w:tcPr>
                  <w:tcW w:w="519" w:type="pct"/>
                  <w:noWrap w:val="0"/>
                  <w:vAlign w:val="center"/>
                </w:tcPr>
                <w:p w14:paraId="6E15D655">
                  <w:pPr>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509" w:type="pct"/>
                  <w:noWrap w:val="0"/>
                  <w:vAlign w:val="center"/>
                </w:tcPr>
                <w:p w14:paraId="006569A9">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1029" w:type="pct"/>
                  <w:vMerge w:val="continue"/>
                  <w:noWrap w:val="0"/>
                  <w:vAlign w:val="center"/>
                </w:tcPr>
                <w:p w14:paraId="503056A2">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14:paraId="020C60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5AFDF6B8">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7</w:t>
                  </w:r>
                </w:p>
              </w:tc>
              <w:tc>
                <w:tcPr>
                  <w:tcW w:w="1354" w:type="pct"/>
                  <w:gridSpan w:val="2"/>
                  <w:noWrap w:val="0"/>
                  <w:vAlign w:val="center"/>
                </w:tcPr>
                <w:p w14:paraId="17C87CC1">
                  <w:pPr>
                    <w:spacing w:line="240" w:lineRule="auto"/>
                    <w:ind w:firstLine="0" w:firstLine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rPr>
                    <w:t>二保焊焊机</w:t>
                  </w:r>
                </w:p>
              </w:tc>
              <w:tc>
                <w:tcPr>
                  <w:tcW w:w="1165" w:type="pct"/>
                  <w:noWrap w:val="0"/>
                  <w:vAlign w:val="center"/>
                </w:tcPr>
                <w:p w14:paraId="1C807BE0">
                  <w:pPr>
                    <w:spacing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rPr>
                    <w:t>7.5</w:t>
                  </w:r>
                  <w:r>
                    <w:rPr>
                      <w:rFonts w:hint="eastAsia" w:ascii="Times New Roman" w:hAnsi="Times New Roman" w:cs="Times New Roman"/>
                      <w:color w:val="auto"/>
                      <w:sz w:val="21"/>
                      <w:szCs w:val="21"/>
                      <w:lang w:eastAsia="zh-CN"/>
                    </w:rPr>
                    <w:t>kW</w:t>
                  </w:r>
                </w:p>
              </w:tc>
              <w:tc>
                <w:tcPr>
                  <w:tcW w:w="519" w:type="pct"/>
                  <w:noWrap w:val="0"/>
                  <w:vAlign w:val="center"/>
                </w:tcPr>
                <w:p w14:paraId="7F38BD42">
                  <w:pPr>
                    <w:spacing w:line="240" w:lineRule="auto"/>
                    <w:ind w:firstLine="0" w:firstLine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rPr>
                    <w:t>10</w:t>
                  </w:r>
                </w:p>
              </w:tc>
              <w:tc>
                <w:tcPr>
                  <w:tcW w:w="509" w:type="pct"/>
                  <w:noWrap w:val="0"/>
                  <w:vAlign w:val="center"/>
                </w:tcPr>
                <w:p w14:paraId="456E502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29" w:type="pct"/>
                  <w:vMerge w:val="restart"/>
                  <w:noWrap w:val="0"/>
                  <w:vAlign w:val="center"/>
                </w:tcPr>
                <w:p w14:paraId="41E12296">
                  <w:pPr>
                    <w:spacing w:line="240" w:lineRule="auto"/>
                    <w:ind w:firstLine="0" w:firstLineChars="0"/>
                    <w:jc w:val="center"/>
                    <w:rPr>
                      <w:rFonts w:hint="default" w:ascii="Times New Roman" w:hAnsi="Times New Roman" w:cs="Times New Roman"/>
                      <w:color w:val="auto"/>
                      <w:szCs w:val="21"/>
                      <w:lang w:val="en-US" w:eastAsia="zh-CN"/>
                    </w:rPr>
                  </w:pPr>
                  <w:r>
                    <w:rPr>
                      <w:rFonts w:hint="default" w:ascii="Times New Roman" w:hAnsi="Times New Roman" w:cs="Times New Roman"/>
                      <w:sz w:val="21"/>
                      <w:szCs w:val="21"/>
                    </w:rPr>
                    <w:t>焊接</w:t>
                  </w:r>
                  <w:r>
                    <w:rPr>
                      <w:rFonts w:hint="default" w:ascii="Times New Roman" w:hAnsi="Times New Roman" w:cs="Times New Roman"/>
                      <w:sz w:val="21"/>
                      <w:szCs w:val="21"/>
                      <w:lang w:val="en-US" w:eastAsia="zh-CN"/>
                    </w:rPr>
                    <w:t>工序</w:t>
                  </w:r>
                </w:p>
              </w:tc>
            </w:tr>
            <w:tr w14:paraId="1444FE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52801DC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8</w:t>
                  </w:r>
                </w:p>
              </w:tc>
              <w:tc>
                <w:tcPr>
                  <w:tcW w:w="1354" w:type="pct"/>
                  <w:gridSpan w:val="2"/>
                  <w:noWrap w:val="0"/>
                  <w:vAlign w:val="center"/>
                </w:tcPr>
                <w:p w14:paraId="140F87D5">
                  <w:pPr>
                    <w:spacing w:line="240" w:lineRule="auto"/>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rPr>
                    <w:t>激光焊机</w:t>
                  </w:r>
                </w:p>
              </w:tc>
              <w:tc>
                <w:tcPr>
                  <w:tcW w:w="1165" w:type="pct"/>
                  <w:noWrap w:val="0"/>
                  <w:vAlign w:val="center"/>
                </w:tcPr>
                <w:p w14:paraId="43208E57">
                  <w:pPr>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lang w:eastAsia="zh-CN"/>
                    </w:rPr>
                    <w:t>kW</w:t>
                  </w:r>
                </w:p>
              </w:tc>
              <w:tc>
                <w:tcPr>
                  <w:tcW w:w="519" w:type="pct"/>
                  <w:noWrap w:val="0"/>
                  <w:vAlign w:val="center"/>
                </w:tcPr>
                <w:p w14:paraId="16EFC98F">
                  <w:pPr>
                    <w:spacing w:line="240" w:lineRule="auto"/>
                    <w:ind w:firstLine="0" w:firstLine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rPr>
                    <w:t>2</w:t>
                  </w:r>
                </w:p>
              </w:tc>
              <w:tc>
                <w:tcPr>
                  <w:tcW w:w="509" w:type="pct"/>
                  <w:noWrap w:val="0"/>
                  <w:vAlign w:val="center"/>
                </w:tcPr>
                <w:p w14:paraId="25EDA91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29" w:type="pct"/>
                  <w:vMerge w:val="continue"/>
                  <w:noWrap w:val="0"/>
                  <w:vAlign w:val="center"/>
                </w:tcPr>
                <w:p w14:paraId="789E917C">
                  <w:pPr>
                    <w:spacing w:line="240" w:lineRule="auto"/>
                    <w:ind w:firstLine="0" w:firstLineChars="0"/>
                    <w:jc w:val="center"/>
                    <w:rPr>
                      <w:rFonts w:hint="default" w:ascii="Times New Roman" w:hAnsi="Times New Roman" w:cs="Times New Roman"/>
                      <w:color w:val="auto"/>
                      <w:szCs w:val="21"/>
                      <w:lang w:val="en-US" w:eastAsia="zh-CN"/>
                    </w:rPr>
                  </w:pPr>
                </w:p>
              </w:tc>
            </w:tr>
            <w:tr w14:paraId="511112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6BEB08C5">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9</w:t>
                  </w:r>
                </w:p>
              </w:tc>
              <w:tc>
                <w:tcPr>
                  <w:tcW w:w="1354" w:type="pct"/>
                  <w:gridSpan w:val="2"/>
                  <w:noWrap w:val="0"/>
                  <w:vAlign w:val="center"/>
                </w:tcPr>
                <w:p w14:paraId="496EA715">
                  <w:pPr>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rPr>
                    <w:t>抛丸机</w:t>
                  </w:r>
                </w:p>
              </w:tc>
              <w:tc>
                <w:tcPr>
                  <w:tcW w:w="1165" w:type="pct"/>
                  <w:noWrap w:val="0"/>
                  <w:vAlign w:val="center"/>
                </w:tcPr>
                <w:p w14:paraId="728AE231">
                  <w:pPr>
                    <w:spacing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rPr>
                    <w:t>70</w:t>
                  </w:r>
                  <w:r>
                    <w:rPr>
                      <w:rFonts w:hint="eastAsia" w:ascii="Times New Roman" w:hAnsi="Times New Roman" w:cs="Times New Roman"/>
                      <w:color w:val="auto"/>
                      <w:sz w:val="21"/>
                      <w:szCs w:val="21"/>
                      <w:lang w:eastAsia="zh-CN"/>
                    </w:rPr>
                    <w:t>kW</w:t>
                  </w:r>
                </w:p>
              </w:tc>
              <w:tc>
                <w:tcPr>
                  <w:tcW w:w="519" w:type="pct"/>
                  <w:noWrap w:val="0"/>
                  <w:vAlign w:val="center"/>
                </w:tcPr>
                <w:p w14:paraId="29A36B71">
                  <w:pPr>
                    <w:spacing w:line="240" w:lineRule="auto"/>
                    <w:ind w:firstLine="0" w:firstLine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rPr>
                    <w:t>1</w:t>
                  </w:r>
                </w:p>
              </w:tc>
              <w:tc>
                <w:tcPr>
                  <w:tcW w:w="509" w:type="pct"/>
                  <w:noWrap w:val="0"/>
                  <w:vAlign w:val="center"/>
                </w:tcPr>
                <w:p w14:paraId="25C6FD8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29" w:type="pct"/>
                  <w:vMerge w:val="restart"/>
                  <w:noWrap w:val="0"/>
                  <w:vAlign w:val="center"/>
                </w:tcPr>
                <w:p w14:paraId="47A515E9">
                  <w:pPr>
                    <w:spacing w:line="240" w:lineRule="auto"/>
                    <w:ind w:firstLine="0" w:firstLineChars="0"/>
                    <w:jc w:val="center"/>
                    <w:rPr>
                      <w:rFonts w:hint="default" w:ascii="Times New Roman" w:hAnsi="Times New Roman" w:cs="Times New Roman"/>
                      <w:color w:val="auto"/>
                      <w:szCs w:val="21"/>
                      <w:lang w:val="en-US" w:eastAsia="zh-CN"/>
                    </w:rPr>
                  </w:pPr>
                  <w:r>
                    <w:rPr>
                      <w:rFonts w:hint="default" w:ascii="Times New Roman" w:hAnsi="Times New Roman" w:cs="Times New Roman"/>
                      <w:sz w:val="21"/>
                      <w:szCs w:val="21"/>
                    </w:rPr>
                    <w:t>表面处理</w:t>
                  </w:r>
                  <w:r>
                    <w:rPr>
                      <w:rFonts w:hint="default" w:ascii="Times New Roman" w:hAnsi="Times New Roman" w:cs="Times New Roman"/>
                      <w:sz w:val="21"/>
                      <w:szCs w:val="21"/>
                      <w:lang w:val="en-US" w:eastAsia="zh-CN"/>
                    </w:rPr>
                    <w:t>工序</w:t>
                  </w:r>
                </w:p>
              </w:tc>
            </w:tr>
            <w:tr w14:paraId="5D8798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2438DBC6">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10</w:t>
                  </w:r>
                </w:p>
              </w:tc>
              <w:tc>
                <w:tcPr>
                  <w:tcW w:w="1354" w:type="pct"/>
                  <w:gridSpan w:val="2"/>
                  <w:noWrap w:val="0"/>
                  <w:vAlign w:val="center"/>
                </w:tcPr>
                <w:p w14:paraId="4B9C6CC2">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手持角磨机</w:t>
                  </w:r>
                </w:p>
              </w:tc>
              <w:tc>
                <w:tcPr>
                  <w:tcW w:w="1165" w:type="pct"/>
                  <w:noWrap w:val="0"/>
                  <w:vAlign w:val="center"/>
                </w:tcPr>
                <w:p w14:paraId="459EB4C2">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19" w:type="pct"/>
                  <w:noWrap w:val="0"/>
                  <w:vAlign w:val="center"/>
                </w:tcPr>
                <w:p w14:paraId="42657F94">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509" w:type="pct"/>
                  <w:noWrap w:val="0"/>
                  <w:vAlign w:val="center"/>
                </w:tcPr>
                <w:p w14:paraId="65901FCA">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台</w:t>
                  </w:r>
                </w:p>
              </w:tc>
              <w:tc>
                <w:tcPr>
                  <w:tcW w:w="1029" w:type="pct"/>
                  <w:vMerge w:val="continue"/>
                  <w:noWrap w:val="0"/>
                  <w:vAlign w:val="center"/>
                </w:tcPr>
                <w:p w14:paraId="7352D5A7">
                  <w:pPr>
                    <w:spacing w:line="240" w:lineRule="auto"/>
                    <w:ind w:firstLine="0" w:firstLineChars="0"/>
                    <w:jc w:val="center"/>
                    <w:rPr>
                      <w:rFonts w:hint="default" w:ascii="Times New Roman" w:hAnsi="Times New Roman" w:cs="Times New Roman"/>
                      <w:sz w:val="21"/>
                      <w:szCs w:val="21"/>
                    </w:rPr>
                  </w:pPr>
                </w:p>
              </w:tc>
            </w:tr>
            <w:tr w14:paraId="4689E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trPr>
              <w:tc>
                <w:tcPr>
                  <w:tcW w:w="421" w:type="pct"/>
                  <w:vMerge w:val="restart"/>
                  <w:noWrap w:val="0"/>
                  <w:vAlign w:val="center"/>
                </w:tcPr>
                <w:p w14:paraId="23FD02F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11</w:t>
                  </w:r>
                </w:p>
              </w:tc>
              <w:tc>
                <w:tcPr>
                  <w:tcW w:w="531" w:type="pct"/>
                  <w:vMerge w:val="restart"/>
                  <w:noWrap w:val="0"/>
                  <w:vAlign w:val="center"/>
                </w:tcPr>
                <w:p w14:paraId="4D5587B1">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自动喷涂流水线</w:t>
                  </w:r>
                </w:p>
              </w:tc>
              <w:tc>
                <w:tcPr>
                  <w:tcW w:w="823" w:type="pct"/>
                  <w:noWrap w:val="0"/>
                  <w:vAlign w:val="center"/>
                </w:tcPr>
                <w:p w14:paraId="40CFB19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自动线喷室</w:t>
                  </w:r>
                </w:p>
              </w:tc>
              <w:tc>
                <w:tcPr>
                  <w:tcW w:w="1165" w:type="pct"/>
                  <w:noWrap w:val="0"/>
                  <w:vAlign w:val="center"/>
                </w:tcPr>
                <w:p w14:paraId="033FF83E">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19" w:type="pct"/>
                  <w:vMerge w:val="restart"/>
                  <w:noWrap w:val="0"/>
                  <w:vAlign w:val="center"/>
                </w:tcPr>
                <w:p w14:paraId="4EEF2BA1">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09" w:type="pct"/>
                  <w:vMerge w:val="restart"/>
                  <w:noWrap w:val="0"/>
                  <w:vAlign w:val="center"/>
                </w:tcPr>
                <w:p w14:paraId="4D645D75">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套</w:t>
                  </w:r>
                </w:p>
              </w:tc>
              <w:tc>
                <w:tcPr>
                  <w:tcW w:w="1029" w:type="pct"/>
                  <w:vMerge w:val="restart"/>
                  <w:noWrap w:val="0"/>
                  <w:vAlign w:val="center"/>
                </w:tcPr>
                <w:p w14:paraId="1DE4B3E8">
                  <w:pPr>
                    <w:spacing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sz w:val="21"/>
                      <w:szCs w:val="21"/>
                      <w:lang w:val="en-US" w:eastAsia="zh-CN"/>
                    </w:rPr>
                    <w:t>喷塑工序</w:t>
                  </w:r>
                </w:p>
              </w:tc>
            </w:tr>
            <w:tr w14:paraId="612F42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421" w:type="pct"/>
                  <w:vMerge w:val="continue"/>
                  <w:noWrap w:val="0"/>
                  <w:vAlign w:val="center"/>
                </w:tcPr>
                <w:p w14:paraId="2F5F3782">
                  <w:pPr>
                    <w:spacing w:line="240" w:lineRule="auto"/>
                    <w:ind w:firstLine="0" w:firstLineChars="0"/>
                    <w:jc w:val="center"/>
                    <w:rPr>
                      <w:rFonts w:hint="default" w:ascii="Times New Roman" w:hAnsi="Times New Roman" w:cs="Times New Roman"/>
                    </w:rPr>
                  </w:pPr>
                </w:p>
              </w:tc>
              <w:tc>
                <w:tcPr>
                  <w:tcW w:w="531" w:type="pct"/>
                  <w:vMerge w:val="continue"/>
                  <w:noWrap w:val="0"/>
                  <w:vAlign w:val="center"/>
                </w:tcPr>
                <w:p w14:paraId="6C9569F7">
                  <w:pPr>
                    <w:spacing w:line="240" w:lineRule="auto"/>
                    <w:ind w:firstLine="0" w:firstLineChars="0"/>
                    <w:jc w:val="center"/>
                    <w:rPr>
                      <w:rFonts w:hint="default" w:ascii="Times New Roman" w:hAnsi="Times New Roman" w:cs="Times New Roman"/>
                      <w:color w:val="auto"/>
                    </w:rPr>
                  </w:pPr>
                </w:p>
              </w:tc>
              <w:tc>
                <w:tcPr>
                  <w:tcW w:w="823" w:type="pct"/>
                  <w:noWrap w:val="0"/>
                  <w:vAlign w:val="center"/>
                </w:tcPr>
                <w:p w14:paraId="737770F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循环热风炉</w:t>
                  </w:r>
                </w:p>
              </w:tc>
              <w:tc>
                <w:tcPr>
                  <w:tcW w:w="1165" w:type="pct"/>
                  <w:noWrap w:val="0"/>
                  <w:vAlign w:val="center"/>
                </w:tcPr>
                <w:p w14:paraId="340AA900">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3kW</w:t>
                  </w:r>
                </w:p>
              </w:tc>
              <w:tc>
                <w:tcPr>
                  <w:tcW w:w="519" w:type="pct"/>
                  <w:vMerge w:val="continue"/>
                  <w:noWrap w:val="0"/>
                  <w:vAlign w:val="center"/>
                </w:tcPr>
                <w:p w14:paraId="753ADEBD">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509" w:type="pct"/>
                  <w:vMerge w:val="continue"/>
                  <w:noWrap w:val="0"/>
                  <w:vAlign w:val="center"/>
                </w:tcPr>
                <w:p w14:paraId="3F3F8889">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1029" w:type="pct"/>
                  <w:vMerge w:val="continue"/>
                  <w:noWrap w:val="0"/>
                  <w:vAlign w:val="center"/>
                </w:tcPr>
                <w:p w14:paraId="0E1A7D04">
                  <w:pPr>
                    <w:spacing w:line="240" w:lineRule="auto"/>
                    <w:ind w:firstLine="0" w:firstLineChars="0"/>
                    <w:jc w:val="center"/>
                    <w:rPr>
                      <w:rFonts w:hint="default" w:ascii="Times New Roman" w:hAnsi="Times New Roman" w:cs="Times New Roman"/>
                      <w:sz w:val="21"/>
                      <w:szCs w:val="21"/>
                    </w:rPr>
                  </w:pPr>
                </w:p>
              </w:tc>
            </w:tr>
            <w:tr w14:paraId="48C583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vMerge w:val="continue"/>
                  <w:noWrap w:val="0"/>
                  <w:vAlign w:val="center"/>
                </w:tcPr>
                <w:p w14:paraId="2FE564D6">
                  <w:pPr>
                    <w:adjustRightInd w:val="0"/>
                    <w:snapToGrid w:val="0"/>
                    <w:jc w:val="center"/>
                    <w:rPr>
                      <w:rFonts w:hint="default" w:ascii="Times New Roman" w:hAnsi="Times New Roman" w:eastAsia="宋体" w:cs="Times New Roman"/>
                      <w:color w:val="auto"/>
                      <w:szCs w:val="21"/>
                      <w:lang w:val="en-US" w:eastAsia="zh-CN"/>
                    </w:rPr>
                  </w:pPr>
                </w:p>
              </w:tc>
              <w:tc>
                <w:tcPr>
                  <w:tcW w:w="1354" w:type="pct"/>
                  <w:gridSpan w:val="2"/>
                  <w:noWrap w:val="0"/>
                  <w:vAlign w:val="center"/>
                </w:tcPr>
                <w:p w14:paraId="72F7E71B">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静电喷塑机（人工）</w:t>
                  </w:r>
                </w:p>
              </w:tc>
              <w:tc>
                <w:tcPr>
                  <w:tcW w:w="1165" w:type="pct"/>
                  <w:noWrap w:val="0"/>
                  <w:vAlign w:val="center"/>
                </w:tcPr>
                <w:p w14:paraId="3C1C21EA">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519" w:type="pct"/>
                  <w:noWrap w:val="0"/>
                  <w:vAlign w:val="center"/>
                </w:tcPr>
                <w:p w14:paraId="7F3B14CA">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w:t>
                  </w:r>
                </w:p>
              </w:tc>
              <w:tc>
                <w:tcPr>
                  <w:tcW w:w="509" w:type="pct"/>
                  <w:noWrap w:val="0"/>
                  <w:vAlign w:val="center"/>
                </w:tcPr>
                <w:p w14:paraId="65EFDB0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29" w:type="pct"/>
                  <w:vMerge w:val="continue"/>
                  <w:noWrap w:val="0"/>
                  <w:vAlign w:val="center"/>
                </w:tcPr>
                <w:p w14:paraId="0A2BAD13">
                  <w:pPr>
                    <w:spacing w:line="240" w:lineRule="auto"/>
                    <w:ind w:firstLine="0" w:firstLineChars="0"/>
                    <w:jc w:val="center"/>
                    <w:rPr>
                      <w:rFonts w:hint="default" w:ascii="Times New Roman" w:hAnsi="Times New Roman" w:eastAsia="宋体" w:cs="Times New Roman"/>
                      <w:color w:val="auto"/>
                      <w:szCs w:val="21"/>
                      <w:lang w:val="en-US" w:eastAsia="zh-CN"/>
                    </w:rPr>
                  </w:pPr>
                </w:p>
              </w:tc>
            </w:tr>
            <w:tr w14:paraId="182319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65269101">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12</w:t>
                  </w:r>
                </w:p>
              </w:tc>
              <w:tc>
                <w:tcPr>
                  <w:tcW w:w="1354" w:type="pct"/>
                  <w:gridSpan w:val="2"/>
                  <w:noWrap w:val="0"/>
                  <w:vAlign w:val="center"/>
                </w:tcPr>
                <w:p w14:paraId="6221B20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固化室热风循环炉</w:t>
                  </w:r>
                </w:p>
              </w:tc>
              <w:tc>
                <w:tcPr>
                  <w:tcW w:w="1165" w:type="pct"/>
                  <w:noWrap w:val="0"/>
                  <w:vAlign w:val="center"/>
                </w:tcPr>
                <w:p w14:paraId="7F1E0CFB">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30万打卡</w:t>
                  </w:r>
                </w:p>
              </w:tc>
              <w:tc>
                <w:tcPr>
                  <w:tcW w:w="519" w:type="pct"/>
                  <w:noWrap w:val="0"/>
                  <w:vAlign w:val="center"/>
                </w:tcPr>
                <w:p w14:paraId="7A03A5F0">
                  <w:pPr>
                    <w:spacing w:line="240" w:lineRule="auto"/>
                    <w:ind w:firstLine="0" w:firstLine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509" w:type="pct"/>
                  <w:noWrap w:val="0"/>
                  <w:vAlign w:val="center"/>
                </w:tcPr>
                <w:p w14:paraId="7650082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29" w:type="pct"/>
                  <w:noWrap w:val="0"/>
                  <w:vAlign w:val="center"/>
                </w:tcPr>
                <w:p w14:paraId="19484013">
                  <w:pPr>
                    <w:spacing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固化</w:t>
                  </w:r>
                  <w:r>
                    <w:rPr>
                      <w:rFonts w:hint="default" w:ascii="Times New Roman" w:hAnsi="Times New Roman" w:cs="Times New Roman"/>
                      <w:sz w:val="21"/>
                      <w:szCs w:val="21"/>
                      <w:lang w:val="en-US" w:eastAsia="zh-CN"/>
                    </w:rPr>
                    <w:t>工序</w:t>
                  </w:r>
                </w:p>
              </w:tc>
            </w:tr>
            <w:tr w14:paraId="17680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6EA441B8">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13</w:t>
                  </w:r>
                </w:p>
              </w:tc>
              <w:tc>
                <w:tcPr>
                  <w:tcW w:w="1354" w:type="pct"/>
                  <w:gridSpan w:val="2"/>
                  <w:noWrap w:val="0"/>
                  <w:vAlign w:val="center"/>
                </w:tcPr>
                <w:p w14:paraId="37BEDB9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喷漆房</w:t>
                  </w:r>
                </w:p>
              </w:tc>
              <w:tc>
                <w:tcPr>
                  <w:tcW w:w="1165" w:type="pct"/>
                  <w:noWrap w:val="0"/>
                  <w:vAlign w:val="center"/>
                </w:tcPr>
                <w:p w14:paraId="78E1A5F7">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4m×6m×6m</w:t>
                  </w:r>
                </w:p>
              </w:tc>
              <w:tc>
                <w:tcPr>
                  <w:tcW w:w="519" w:type="pct"/>
                  <w:noWrap w:val="0"/>
                  <w:vAlign w:val="center"/>
                </w:tcPr>
                <w:p w14:paraId="5B48850C">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09" w:type="pct"/>
                  <w:noWrap w:val="0"/>
                  <w:vAlign w:val="center"/>
                </w:tcPr>
                <w:p w14:paraId="381D9557">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间</w:t>
                  </w:r>
                </w:p>
              </w:tc>
              <w:tc>
                <w:tcPr>
                  <w:tcW w:w="1029" w:type="pct"/>
                  <w:vMerge w:val="restart"/>
                  <w:noWrap w:val="0"/>
                  <w:vAlign w:val="center"/>
                </w:tcPr>
                <w:p w14:paraId="248A26B9">
                  <w:pPr>
                    <w:spacing w:line="240" w:lineRule="auto"/>
                    <w:ind w:firstLine="0" w:firstLine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水性漆喷漆</w:t>
                  </w:r>
                </w:p>
              </w:tc>
            </w:tr>
            <w:tr w14:paraId="480C4D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6EA7635F">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14</w:t>
                  </w:r>
                </w:p>
              </w:tc>
              <w:tc>
                <w:tcPr>
                  <w:tcW w:w="1354" w:type="pct"/>
                  <w:gridSpan w:val="2"/>
                  <w:noWrap w:val="0"/>
                  <w:vAlign w:val="center"/>
                </w:tcPr>
                <w:p w14:paraId="2F851EF2">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Cs w:val="21"/>
                      <w:highlight w:val="none"/>
                    </w:rPr>
                    <w:t>无气喷涂机</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手动</w:t>
                  </w:r>
                  <w:r>
                    <w:rPr>
                      <w:rFonts w:hint="default" w:ascii="Times New Roman" w:hAnsi="Times New Roman" w:cs="Times New Roman"/>
                      <w:color w:val="auto"/>
                      <w:szCs w:val="21"/>
                      <w:highlight w:val="none"/>
                      <w:lang w:eastAsia="zh-CN"/>
                    </w:rPr>
                    <w:t>）</w:t>
                  </w:r>
                </w:p>
              </w:tc>
              <w:tc>
                <w:tcPr>
                  <w:tcW w:w="1165" w:type="pct"/>
                  <w:noWrap w:val="0"/>
                  <w:vAlign w:val="center"/>
                </w:tcPr>
                <w:p w14:paraId="5F693D42">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highlight w:val="none"/>
                    </w:rPr>
                    <w:t>JPT4532A</w:t>
                  </w:r>
                </w:p>
              </w:tc>
              <w:tc>
                <w:tcPr>
                  <w:tcW w:w="519" w:type="pct"/>
                  <w:noWrap w:val="0"/>
                  <w:vAlign w:val="center"/>
                </w:tcPr>
                <w:p w14:paraId="55475CD1">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Cs w:val="21"/>
                      <w:highlight w:val="none"/>
                    </w:rPr>
                    <w:t>2</w:t>
                  </w:r>
                </w:p>
              </w:tc>
              <w:tc>
                <w:tcPr>
                  <w:tcW w:w="509" w:type="pct"/>
                  <w:noWrap w:val="0"/>
                  <w:vAlign w:val="center"/>
                </w:tcPr>
                <w:p w14:paraId="774F611A">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台</w:t>
                  </w:r>
                </w:p>
              </w:tc>
              <w:tc>
                <w:tcPr>
                  <w:tcW w:w="1029" w:type="pct"/>
                  <w:vMerge w:val="continue"/>
                  <w:noWrap w:val="0"/>
                  <w:vAlign w:val="center"/>
                </w:tcPr>
                <w:p w14:paraId="4FBB90AC">
                  <w:pPr>
                    <w:spacing w:line="240" w:lineRule="auto"/>
                    <w:ind w:firstLine="0" w:firstLineChars="0"/>
                    <w:jc w:val="center"/>
                    <w:rPr>
                      <w:rFonts w:hint="default" w:ascii="Times New Roman" w:hAnsi="Times New Roman" w:cs="Times New Roman"/>
                      <w:color w:val="auto"/>
                      <w:szCs w:val="21"/>
                      <w:lang w:val="en-US" w:eastAsia="zh-CN"/>
                    </w:rPr>
                  </w:pPr>
                </w:p>
              </w:tc>
            </w:tr>
            <w:tr w14:paraId="564492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24D014B6">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15</w:t>
                  </w:r>
                </w:p>
              </w:tc>
              <w:tc>
                <w:tcPr>
                  <w:tcW w:w="1354" w:type="pct"/>
                  <w:gridSpan w:val="2"/>
                  <w:noWrap w:val="0"/>
                  <w:vAlign w:val="center"/>
                </w:tcPr>
                <w:p w14:paraId="3997C69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布袋除尘器</w:t>
                  </w:r>
                </w:p>
              </w:tc>
              <w:tc>
                <w:tcPr>
                  <w:tcW w:w="1165" w:type="pct"/>
                  <w:noWrap w:val="0"/>
                  <w:vAlign w:val="center"/>
                </w:tcPr>
                <w:p w14:paraId="253DF099">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519" w:type="pct"/>
                  <w:noWrap w:val="0"/>
                  <w:vAlign w:val="center"/>
                </w:tcPr>
                <w:p w14:paraId="24928BDC">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09" w:type="pct"/>
                  <w:noWrap w:val="0"/>
                  <w:vAlign w:val="center"/>
                </w:tcPr>
                <w:p w14:paraId="6A3B5B0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29" w:type="pct"/>
                  <w:vMerge w:val="restart"/>
                  <w:noWrap w:val="0"/>
                  <w:vAlign w:val="center"/>
                </w:tcPr>
                <w:p w14:paraId="4FC1A59A">
                  <w:pPr>
                    <w:spacing w:line="240" w:lineRule="auto"/>
                    <w:ind w:firstLine="0" w:firstLineChars="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废气治理设施</w:t>
                  </w:r>
                </w:p>
              </w:tc>
            </w:tr>
            <w:tr w14:paraId="39EC1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0605E24C">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16</w:t>
                  </w:r>
                </w:p>
              </w:tc>
              <w:tc>
                <w:tcPr>
                  <w:tcW w:w="1354" w:type="pct"/>
                  <w:gridSpan w:val="2"/>
                  <w:noWrap w:val="0"/>
                  <w:vAlign w:val="center"/>
                </w:tcPr>
                <w:p w14:paraId="45D25F6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滤筒除尘器</w:t>
                  </w:r>
                </w:p>
              </w:tc>
              <w:tc>
                <w:tcPr>
                  <w:tcW w:w="1165" w:type="pct"/>
                  <w:noWrap w:val="0"/>
                  <w:vAlign w:val="center"/>
                </w:tcPr>
                <w:p w14:paraId="0237FC78">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519" w:type="pct"/>
                  <w:noWrap w:val="0"/>
                  <w:vAlign w:val="center"/>
                </w:tcPr>
                <w:p w14:paraId="14EF202B">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09" w:type="pct"/>
                  <w:noWrap w:val="0"/>
                  <w:vAlign w:val="center"/>
                </w:tcPr>
                <w:p w14:paraId="1BD7632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29" w:type="pct"/>
                  <w:vMerge w:val="continue"/>
                  <w:noWrap w:val="0"/>
                  <w:vAlign w:val="center"/>
                </w:tcPr>
                <w:p w14:paraId="6C1A790E">
                  <w:pPr>
                    <w:spacing w:line="240" w:lineRule="auto"/>
                    <w:ind w:firstLine="0" w:firstLineChars="0"/>
                    <w:jc w:val="center"/>
                    <w:rPr>
                      <w:rFonts w:hint="default" w:ascii="Times New Roman" w:hAnsi="Times New Roman" w:cs="Times New Roman"/>
                      <w:color w:val="auto"/>
                      <w:szCs w:val="21"/>
                      <w:lang w:val="en-US" w:eastAsia="zh-CN"/>
                    </w:rPr>
                  </w:pPr>
                </w:p>
              </w:tc>
            </w:tr>
            <w:tr w14:paraId="212C5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0A51EF2B">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17</w:t>
                  </w:r>
                </w:p>
              </w:tc>
              <w:tc>
                <w:tcPr>
                  <w:tcW w:w="1354" w:type="pct"/>
                  <w:gridSpan w:val="2"/>
                  <w:noWrap w:val="0"/>
                  <w:vAlign w:val="center"/>
                </w:tcPr>
                <w:p w14:paraId="4D6543BE">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旋风除尘器</w:t>
                  </w:r>
                </w:p>
              </w:tc>
              <w:tc>
                <w:tcPr>
                  <w:tcW w:w="1165" w:type="pct"/>
                  <w:noWrap w:val="0"/>
                  <w:vAlign w:val="center"/>
                </w:tcPr>
                <w:p w14:paraId="4028FAB4">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15kW</w:t>
                  </w:r>
                </w:p>
              </w:tc>
              <w:tc>
                <w:tcPr>
                  <w:tcW w:w="519" w:type="pct"/>
                  <w:noWrap w:val="0"/>
                  <w:vAlign w:val="center"/>
                </w:tcPr>
                <w:p w14:paraId="3A47FF74">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09" w:type="pct"/>
                  <w:noWrap w:val="0"/>
                  <w:vAlign w:val="center"/>
                </w:tcPr>
                <w:p w14:paraId="6B3C5BD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29" w:type="pct"/>
                  <w:vMerge w:val="continue"/>
                  <w:noWrap w:val="0"/>
                  <w:vAlign w:val="center"/>
                </w:tcPr>
                <w:p w14:paraId="57567C83">
                  <w:pPr>
                    <w:spacing w:line="240" w:lineRule="auto"/>
                    <w:ind w:firstLine="0" w:firstLineChars="0"/>
                    <w:jc w:val="center"/>
                    <w:rPr>
                      <w:rFonts w:hint="default" w:ascii="Times New Roman" w:hAnsi="Times New Roman" w:cs="Times New Roman"/>
                      <w:color w:val="auto"/>
                      <w:szCs w:val="21"/>
                      <w:lang w:val="en-US" w:eastAsia="zh-CN"/>
                    </w:rPr>
                  </w:pPr>
                </w:p>
              </w:tc>
            </w:tr>
            <w:tr w14:paraId="2A19AE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58ABB6E7">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18</w:t>
                  </w:r>
                </w:p>
              </w:tc>
              <w:tc>
                <w:tcPr>
                  <w:tcW w:w="1354" w:type="pct"/>
                  <w:gridSpan w:val="2"/>
                  <w:noWrap w:val="0"/>
                  <w:vAlign w:val="center"/>
                </w:tcPr>
                <w:p w14:paraId="3B1D2F5A">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Cs w:val="21"/>
                      <w:highlight w:val="none"/>
                      <w:lang w:val="en-US" w:eastAsia="zh-CN"/>
                    </w:rPr>
                    <w:t>一体化干式纸盒+过滤棉侧吸设施</w:t>
                  </w:r>
                </w:p>
              </w:tc>
              <w:tc>
                <w:tcPr>
                  <w:tcW w:w="1165" w:type="pct"/>
                  <w:noWrap w:val="0"/>
                  <w:vAlign w:val="center"/>
                </w:tcPr>
                <w:p w14:paraId="478C62C5">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0"/>
                      <w:szCs w:val="21"/>
                      <w:highlight w:val="none"/>
                      <w:lang w:bidi="ar"/>
                    </w:rPr>
                    <w:t>20cm—60cm</w:t>
                  </w:r>
                </w:p>
              </w:tc>
              <w:tc>
                <w:tcPr>
                  <w:tcW w:w="519" w:type="pct"/>
                  <w:noWrap w:val="0"/>
                  <w:vAlign w:val="center"/>
                </w:tcPr>
                <w:p w14:paraId="01EB3138">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509" w:type="pct"/>
                  <w:noWrap w:val="0"/>
                  <w:vAlign w:val="center"/>
                </w:tcPr>
                <w:p w14:paraId="1B251093">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套</w:t>
                  </w:r>
                </w:p>
              </w:tc>
              <w:tc>
                <w:tcPr>
                  <w:tcW w:w="1029" w:type="pct"/>
                  <w:vMerge w:val="continue"/>
                  <w:noWrap w:val="0"/>
                  <w:vAlign w:val="center"/>
                </w:tcPr>
                <w:p w14:paraId="0D7B41BA">
                  <w:pPr>
                    <w:spacing w:line="240" w:lineRule="auto"/>
                    <w:ind w:firstLine="0" w:firstLineChars="0"/>
                    <w:jc w:val="center"/>
                    <w:rPr>
                      <w:rFonts w:hint="default" w:ascii="Times New Roman" w:hAnsi="Times New Roman" w:cs="Times New Roman"/>
                      <w:color w:val="auto"/>
                      <w:szCs w:val="21"/>
                      <w:lang w:val="en-US" w:eastAsia="zh-CN"/>
                    </w:rPr>
                  </w:pPr>
                </w:p>
              </w:tc>
            </w:tr>
            <w:tr w14:paraId="4DAC3C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421" w:type="pct"/>
                  <w:noWrap w:val="0"/>
                  <w:vAlign w:val="center"/>
                </w:tcPr>
                <w:p w14:paraId="0A9D5C57">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19</w:t>
                  </w:r>
                </w:p>
              </w:tc>
              <w:tc>
                <w:tcPr>
                  <w:tcW w:w="1354" w:type="pct"/>
                  <w:gridSpan w:val="2"/>
                  <w:noWrap w:val="0"/>
                  <w:vAlign w:val="center"/>
                </w:tcPr>
                <w:p w14:paraId="0DCA412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二级活性炭吸附装置</w:t>
                  </w:r>
                </w:p>
              </w:tc>
              <w:tc>
                <w:tcPr>
                  <w:tcW w:w="1165" w:type="pct"/>
                  <w:noWrap w:val="0"/>
                  <w:vAlign w:val="center"/>
                </w:tcPr>
                <w:p w14:paraId="2634715F">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519" w:type="pct"/>
                  <w:noWrap w:val="0"/>
                  <w:vAlign w:val="center"/>
                </w:tcPr>
                <w:p w14:paraId="0479961E">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09" w:type="pct"/>
                  <w:noWrap w:val="0"/>
                  <w:vAlign w:val="center"/>
                </w:tcPr>
                <w:p w14:paraId="3B2849C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1029" w:type="pct"/>
                  <w:vMerge w:val="continue"/>
                  <w:noWrap w:val="0"/>
                  <w:vAlign w:val="center"/>
                </w:tcPr>
                <w:p w14:paraId="4815540C">
                  <w:pPr>
                    <w:spacing w:line="240" w:lineRule="auto"/>
                    <w:ind w:firstLine="0" w:firstLineChars="0"/>
                    <w:jc w:val="center"/>
                    <w:rPr>
                      <w:rFonts w:hint="default" w:ascii="Times New Roman" w:hAnsi="Times New Roman" w:cs="Times New Roman"/>
                      <w:color w:val="auto"/>
                      <w:szCs w:val="21"/>
                      <w:lang w:val="en-US" w:eastAsia="zh-CN"/>
                    </w:rPr>
                  </w:pPr>
                </w:p>
              </w:tc>
            </w:tr>
          </w:tbl>
          <w:p w14:paraId="6C4588F6">
            <w:pPr>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产品方案</w:t>
            </w:r>
          </w:p>
          <w:p w14:paraId="637E6A7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本项目产品方案见下表：</w:t>
            </w:r>
          </w:p>
          <w:p w14:paraId="03DC079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default" w:ascii="Times New Roman" w:hAnsi="Times New Roman"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项目产品方案一览表</w:t>
            </w:r>
          </w:p>
          <w:tbl>
            <w:tblPr>
              <w:tblStyle w:val="32"/>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7"/>
              <w:gridCol w:w="2356"/>
              <w:gridCol w:w="2085"/>
              <w:gridCol w:w="661"/>
              <w:gridCol w:w="678"/>
              <w:gridCol w:w="2020"/>
            </w:tblGrid>
            <w:tr w14:paraId="5E65FD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426" w:type="pct"/>
                  <w:vAlign w:val="center"/>
                </w:tcPr>
                <w:p w14:paraId="6FFFBF69">
                  <w:pPr>
                    <w:pStyle w:val="166"/>
                    <w:jc w:val="center"/>
                    <w:rPr>
                      <w:rFonts w:hint="default" w:ascii="Times New Roman" w:hAnsi="Times New Roman" w:cs="Times New Roman"/>
                      <w:szCs w:val="21"/>
                    </w:rPr>
                  </w:pPr>
                  <w:r>
                    <w:rPr>
                      <w:rFonts w:hint="default" w:ascii="Times New Roman" w:hAnsi="Times New Roman" w:cs="Times New Roman"/>
                      <w:szCs w:val="21"/>
                    </w:rPr>
                    <w:t>序号</w:t>
                  </w:r>
                </w:p>
              </w:tc>
              <w:tc>
                <w:tcPr>
                  <w:tcW w:w="1381" w:type="pct"/>
                  <w:vAlign w:val="center"/>
                </w:tcPr>
                <w:p w14:paraId="38AFBED4">
                  <w:pPr>
                    <w:pStyle w:val="166"/>
                    <w:jc w:val="center"/>
                    <w:rPr>
                      <w:rFonts w:hint="default" w:ascii="Times New Roman" w:hAnsi="Times New Roman" w:cs="Times New Roman"/>
                      <w:szCs w:val="21"/>
                    </w:rPr>
                  </w:pPr>
                  <w:r>
                    <w:rPr>
                      <w:rFonts w:hint="default" w:ascii="Times New Roman" w:hAnsi="Times New Roman" w:cs="Times New Roman"/>
                      <w:szCs w:val="21"/>
                    </w:rPr>
                    <w:t>产品名称</w:t>
                  </w:r>
                </w:p>
              </w:tc>
              <w:tc>
                <w:tcPr>
                  <w:tcW w:w="1222" w:type="pct"/>
                  <w:vAlign w:val="center"/>
                </w:tcPr>
                <w:p w14:paraId="1671A5C9">
                  <w:pPr>
                    <w:pStyle w:val="166"/>
                    <w:jc w:val="center"/>
                    <w:rPr>
                      <w:rFonts w:hint="default" w:ascii="Times New Roman" w:hAnsi="Times New Roman" w:cs="Times New Roman"/>
                      <w:szCs w:val="21"/>
                    </w:rPr>
                  </w:pPr>
                  <w:r>
                    <w:rPr>
                      <w:rFonts w:hint="default" w:ascii="Times New Roman" w:hAnsi="Times New Roman" w:cs="Times New Roman"/>
                      <w:szCs w:val="21"/>
                    </w:rPr>
                    <w:t>产品规格</w:t>
                  </w:r>
                </w:p>
              </w:tc>
              <w:tc>
                <w:tcPr>
                  <w:tcW w:w="387" w:type="pct"/>
                  <w:vAlign w:val="center"/>
                </w:tcPr>
                <w:p w14:paraId="08C7A2E7">
                  <w:pPr>
                    <w:pStyle w:val="166"/>
                    <w:jc w:val="center"/>
                    <w:rPr>
                      <w:rFonts w:hint="default" w:ascii="Times New Roman" w:hAnsi="Times New Roman" w:cs="Times New Roman"/>
                      <w:szCs w:val="21"/>
                    </w:rPr>
                  </w:pPr>
                  <w:r>
                    <w:rPr>
                      <w:rFonts w:hint="default" w:ascii="Times New Roman" w:hAnsi="Times New Roman" w:cs="Times New Roman"/>
                      <w:szCs w:val="21"/>
                    </w:rPr>
                    <w:t>产量</w:t>
                  </w:r>
                </w:p>
              </w:tc>
              <w:tc>
                <w:tcPr>
                  <w:tcW w:w="397" w:type="pct"/>
                  <w:vAlign w:val="center"/>
                </w:tcPr>
                <w:p w14:paraId="3817B8C6">
                  <w:pPr>
                    <w:pStyle w:val="166"/>
                    <w:jc w:val="center"/>
                    <w:rPr>
                      <w:rFonts w:hint="default" w:ascii="Times New Roman" w:hAnsi="Times New Roman" w:cs="Times New Roman"/>
                      <w:szCs w:val="21"/>
                    </w:rPr>
                  </w:pPr>
                  <w:r>
                    <w:rPr>
                      <w:rFonts w:hint="default" w:ascii="Times New Roman" w:hAnsi="Times New Roman" w:cs="Times New Roman"/>
                      <w:szCs w:val="21"/>
                    </w:rPr>
                    <w:t>单位</w:t>
                  </w:r>
                </w:p>
              </w:tc>
              <w:tc>
                <w:tcPr>
                  <w:tcW w:w="1184" w:type="pct"/>
                  <w:vAlign w:val="center"/>
                </w:tcPr>
                <w:p w14:paraId="36D02F68">
                  <w:pPr>
                    <w:pStyle w:val="166"/>
                    <w:jc w:val="center"/>
                    <w:rPr>
                      <w:rFonts w:hint="default" w:ascii="Times New Roman" w:hAnsi="Times New Roman" w:cs="Times New Roman"/>
                      <w:szCs w:val="21"/>
                    </w:rPr>
                  </w:pPr>
                  <w:r>
                    <w:rPr>
                      <w:rFonts w:hint="default" w:ascii="Times New Roman" w:hAnsi="Times New Roman" w:cs="Times New Roman"/>
                      <w:szCs w:val="21"/>
                    </w:rPr>
                    <w:t>备注</w:t>
                  </w:r>
                </w:p>
              </w:tc>
            </w:tr>
            <w:tr w14:paraId="7BF4E5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6" w:type="pct"/>
                  <w:vAlign w:val="center"/>
                </w:tcPr>
                <w:p w14:paraId="44A0C636">
                  <w:pPr>
                    <w:pStyle w:val="166"/>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w:t>
                  </w:r>
                </w:p>
              </w:tc>
              <w:tc>
                <w:tcPr>
                  <w:tcW w:w="1381" w:type="pct"/>
                  <w:vAlign w:val="center"/>
                </w:tcPr>
                <w:p w14:paraId="78536728">
                  <w:pPr>
                    <w:pStyle w:val="166"/>
                    <w:jc w:val="center"/>
                    <w:rPr>
                      <w:rFonts w:hint="default" w:ascii="Times New Roman" w:hAnsi="Times New Roman" w:eastAsia="宋体" w:cs="Times New Roman"/>
                      <w:szCs w:val="21"/>
                      <w:lang w:eastAsia="zh-CN"/>
                    </w:rPr>
                  </w:pPr>
                  <w:r>
                    <w:rPr>
                      <w:rFonts w:hint="default" w:ascii="Times New Roman" w:hAnsi="Times New Roman" w:cs="Times New Roman"/>
                      <w:szCs w:val="21"/>
                    </w:rPr>
                    <w:t>机床防护罩</w:t>
                  </w:r>
                  <w:r>
                    <w:rPr>
                      <w:rFonts w:hint="default" w:ascii="Times New Roman" w:hAnsi="Times New Roman" w:cs="Times New Roman"/>
                      <w:szCs w:val="21"/>
                      <w:lang w:eastAsia="zh-CN"/>
                    </w:rPr>
                    <w:t>（喷塑件）</w:t>
                  </w:r>
                </w:p>
              </w:tc>
              <w:tc>
                <w:tcPr>
                  <w:tcW w:w="1222" w:type="pct"/>
                  <w:vAlign w:val="center"/>
                </w:tcPr>
                <w:p w14:paraId="0BDA3B9A">
                  <w:pPr>
                    <w:pStyle w:val="166"/>
                    <w:jc w:val="center"/>
                    <w:rPr>
                      <w:rFonts w:hint="default" w:ascii="Times New Roman" w:hAnsi="Times New Roman" w:eastAsia="宋体" w:cs="Times New Roman"/>
                      <w:szCs w:val="21"/>
                      <w:lang w:eastAsia="zh-CN"/>
                    </w:rPr>
                  </w:pPr>
                  <w:r>
                    <w:rPr>
                      <w:rFonts w:hint="default" w:ascii="Times New Roman" w:hAnsi="Times New Roman" w:cs="Times New Roman"/>
                      <w:szCs w:val="21"/>
                    </w:rPr>
                    <w:t>2</w:t>
                  </w:r>
                  <w:r>
                    <w:rPr>
                      <w:rFonts w:hint="default" w:ascii="Times New Roman" w:hAnsi="Times New Roman" w:cs="Times New Roman"/>
                      <w:szCs w:val="21"/>
                      <w:lang w:eastAsia="zh-CN"/>
                    </w:rPr>
                    <w:t>m×</w:t>
                  </w:r>
                  <w:r>
                    <w:rPr>
                      <w:rFonts w:hint="default" w:ascii="Times New Roman" w:hAnsi="Times New Roman" w:cs="Times New Roman"/>
                      <w:szCs w:val="21"/>
                    </w:rPr>
                    <w:t>1.6</w:t>
                  </w:r>
                  <w:r>
                    <w:rPr>
                      <w:rFonts w:hint="default" w:ascii="Times New Roman" w:hAnsi="Times New Roman" w:cs="Times New Roman"/>
                      <w:szCs w:val="21"/>
                      <w:lang w:eastAsia="zh-CN"/>
                    </w:rPr>
                    <w:t>m×</w:t>
                  </w:r>
                  <w:r>
                    <w:rPr>
                      <w:rFonts w:hint="default" w:ascii="Times New Roman" w:hAnsi="Times New Roman" w:cs="Times New Roman"/>
                      <w:szCs w:val="21"/>
                    </w:rPr>
                    <w:t>2.54</w:t>
                  </w:r>
                  <w:r>
                    <w:rPr>
                      <w:rFonts w:hint="default" w:ascii="Times New Roman" w:hAnsi="Times New Roman" w:cs="Times New Roman"/>
                      <w:szCs w:val="21"/>
                      <w:lang w:eastAsia="zh-CN"/>
                    </w:rPr>
                    <w:t>m</w:t>
                  </w:r>
                </w:p>
              </w:tc>
              <w:tc>
                <w:tcPr>
                  <w:tcW w:w="387" w:type="pct"/>
                  <w:vAlign w:val="center"/>
                </w:tcPr>
                <w:p w14:paraId="284E93E3">
                  <w:pPr>
                    <w:pStyle w:val="166"/>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100</w:t>
                  </w:r>
                  <w:r>
                    <w:rPr>
                      <w:rFonts w:hint="default" w:ascii="Times New Roman" w:hAnsi="Times New Roman" w:cs="Times New Roman"/>
                      <w:szCs w:val="21"/>
                      <w:lang w:val="en-US" w:eastAsia="zh-CN"/>
                    </w:rPr>
                    <w:t>0</w:t>
                  </w:r>
                </w:p>
              </w:tc>
              <w:tc>
                <w:tcPr>
                  <w:tcW w:w="397" w:type="pct"/>
                  <w:vAlign w:val="center"/>
                </w:tcPr>
                <w:p w14:paraId="176A14D7">
                  <w:pPr>
                    <w:pStyle w:val="166"/>
                    <w:jc w:val="center"/>
                    <w:rPr>
                      <w:rFonts w:hint="default" w:ascii="Times New Roman" w:hAnsi="Times New Roman" w:cs="Times New Roman"/>
                      <w:szCs w:val="21"/>
                    </w:rPr>
                  </w:pPr>
                  <w:r>
                    <w:rPr>
                      <w:rFonts w:hint="default" w:ascii="Times New Roman" w:hAnsi="Times New Roman" w:cs="Times New Roman"/>
                      <w:szCs w:val="21"/>
                    </w:rPr>
                    <w:t>套</w:t>
                  </w:r>
                </w:p>
              </w:tc>
              <w:tc>
                <w:tcPr>
                  <w:tcW w:w="1184" w:type="pct"/>
                  <w:vAlign w:val="center"/>
                </w:tcPr>
                <w:p w14:paraId="579BB089">
                  <w:pPr>
                    <w:pStyle w:val="166"/>
                    <w:jc w:val="center"/>
                    <w:rPr>
                      <w:rFonts w:hint="default" w:ascii="Times New Roman" w:hAnsi="Times New Roman" w:cs="Times New Roman"/>
                      <w:szCs w:val="21"/>
                    </w:rPr>
                  </w:pPr>
                  <w:r>
                    <w:rPr>
                      <w:rFonts w:hint="default" w:ascii="Times New Roman" w:hAnsi="Times New Roman" w:cs="Times New Roman"/>
                      <w:szCs w:val="21"/>
                      <w:lang w:eastAsia="zh-CN"/>
                    </w:rPr>
                    <w:t>产品：</w:t>
                  </w:r>
                  <w:r>
                    <w:rPr>
                      <w:rFonts w:hint="default" w:ascii="Times New Roman" w:hAnsi="Times New Roman" w:cs="Times New Roman"/>
                      <w:szCs w:val="21"/>
                    </w:rPr>
                    <w:t>2100</w:t>
                  </w:r>
                  <w:r>
                    <w:rPr>
                      <w:rFonts w:hint="default" w:ascii="Times New Roman" w:hAnsi="Times New Roman" w:cs="Times New Roman"/>
                      <w:szCs w:val="21"/>
                      <w:lang w:val="en-US" w:eastAsia="zh-CN"/>
                    </w:rPr>
                    <w:t>kg/套</w:t>
                  </w:r>
                </w:p>
              </w:tc>
            </w:tr>
            <w:tr w14:paraId="13B742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6" w:type="pct"/>
                  <w:vAlign w:val="center"/>
                </w:tcPr>
                <w:p w14:paraId="0EE741C8">
                  <w:pPr>
                    <w:pStyle w:val="166"/>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w:t>
                  </w:r>
                </w:p>
              </w:tc>
              <w:tc>
                <w:tcPr>
                  <w:tcW w:w="1381" w:type="pct"/>
                  <w:vAlign w:val="center"/>
                </w:tcPr>
                <w:p w14:paraId="51DDB444">
                  <w:pPr>
                    <w:pStyle w:val="166"/>
                    <w:jc w:val="center"/>
                    <w:rPr>
                      <w:rFonts w:hint="default" w:ascii="Times New Roman" w:hAnsi="Times New Roman" w:cs="Times New Roman"/>
                      <w:szCs w:val="21"/>
                    </w:rPr>
                  </w:pPr>
                  <w:r>
                    <w:rPr>
                      <w:rFonts w:hint="default" w:ascii="Times New Roman" w:hAnsi="Times New Roman" w:cs="Times New Roman"/>
                      <w:szCs w:val="21"/>
                    </w:rPr>
                    <w:t>机床防护罩</w:t>
                  </w:r>
                  <w:r>
                    <w:rPr>
                      <w:rFonts w:hint="default" w:ascii="Times New Roman" w:hAnsi="Times New Roman" w:cs="Times New Roman"/>
                      <w:szCs w:val="21"/>
                      <w:lang w:eastAsia="zh-CN"/>
                    </w:rPr>
                    <w:t>（喷塑件）</w:t>
                  </w:r>
                </w:p>
              </w:tc>
              <w:tc>
                <w:tcPr>
                  <w:tcW w:w="1222" w:type="pct"/>
                  <w:vAlign w:val="center"/>
                </w:tcPr>
                <w:p w14:paraId="74086449">
                  <w:pPr>
                    <w:pStyle w:val="166"/>
                    <w:jc w:val="center"/>
                    <w:rPr>
                      <w:rFonts w:hint="default" w:ascii="Times New Roman" w:hAnsi="Times New Roman" w:eastAsia="宋体" w:cs="Times New Roman"/>
                      <w:szCs w:val="21"/>
                      <w:lang w:eastAsia="zh-CN"/>
                    </w:rPr>
                  </w:pPr>
                  <w:r>
                    <w:rPr>
                      <w:rFonts w:hint="default" w:ascii="Times New Roman" w:hAnsi="Times New Roman" w:cs="Times New Roman"/>
                      <w:szCs w:val="21"/>
                    </w:rPr>
                    <w:t>1</w:t>
                  </w:r>
                  <w:r>
                    <w:rPr>
                      <w:rFonts w:hint="default" w:ascii="Times New Roman" w:hAnsi="Times New Roman" w:cs="Times New Roman"/>
                      <w:szCs w:val="21"/>
                      <w:lang w:eastAsia="zh-CN"/>
                    </w:rPr>
                    <w:t>m×</w:t>
                  </w:r>
                  <w:r>
                    <w:rPr>
                      <w:rFonts w:hint="default" w:ascii="Times New Roman" w:hAnsi="Times New Roman" w:cs="Times New Roman"/>
                      <w:szCs w:val="21"/>
                    </w:rPr>
                    <w:t>1.6</w:t>
                  </w:r>
                  <w:r>
                    <w:rPr>
                      <w:rFonts w:hint="default" w:ascii="Times New Roman" w:hAnsi="Times New Roman" w:cs="Times New Roman"/>
                      <w:szCs w:val="21"/>
                      <w:lang w:eastAsia="zh-CN"/>
                    </w:rPr>
                    <w:t>m×</w:t>
                  </w:r>
                  <w:r>
                    <w:rPr>
                      <w:rFonts w:hint="default" w:ascii="Times New Roman" w:hAnsi="Times New Roman" w:cs="Times New Roman"/>
                      <w:szCs w:val="21"/>
                    </w:rPr>
                    <w:t>2.0</w:t>
                  </w:r>
                  <w:r>
                    <w:rPr>
                      <w:rFonts w:hint="default" w:ascii="Times New Roman" w:hAnsi="Times New Roman" w:cs="Times New Roman"/>
                      <w:szCs w:val="21"/>
                      <w:lang w:eastAsia="zh-CN"/>
                    </w:rPr>
                    <w:t>m</w:t>
                  </w:r>
                </w:p>
              </w:tc>
              <w:tc>
                <w:tcPr>
                  <w:tcW w:w="387" w:type="pct"/>
                  <w:vAlign w:val="center"/>
                </w:tcPr>
                <w:p w14:paraId="0A96BBD1">
                  <w:pPr>
                    <w:pStyle w:val="166"/>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300</w:t>
                  </w:r>
                  <w:r>
                    <w:rPr>
                      <w:rFonts w:hint="default" w:ascii="Times New Roman" w:hAnsi="Times New Roman" w:cs="Times New Roman"/>
                      <w:szCs w:val="21"/>
                      <w:lang w:val="en-US" w:eastAsia="zh-CN"/>
                    </w:rPr>
                    <w:t>0</w:t>
                  </w:r>
                </w:p>
              </w:tc>
              <w:tc>
                <w:tcPr>
                  <w:tcW w:w="397" w:type="pct"/>
                  <w:vAlign w:val="center"/>
                </w:tcPr>
                <w:p w14:paraId="00777043">
                  <w:pPr>
                    <w:jc w:val="center"/>
                    <w:rPr>
                      <w:rFonts w:hint="default" w:ascii="Times New Roman" w:hAnsi="Times New Roman" w:cs="Times New Roman"/>
                      <w:szCs w:val="21"/>
                    </w:rPr>
                  </w:pPr>
                  <w:r>
                    <w:rPr>
                      <w:rFonts w:hint="default" w:ascii="Times New Roman" w:hAnsi="Times New Roman" w:cs="Times New Roman"/>
                      <w:szCs w:val="21"/>
                    </w:rPr>
                    <w:t>套</w:t>
                  </w:r>
                </w:p>
              </w:tc>
              <w:tc>
                <w:tcPr>
                  <w:tcW w:w="1184" w:type="pct"/>
                  <w:vAlign w:val="center"/>
                </w:tcPr>
                <w:p w14:paraId="518EE50F">
                  <w:pPr>
                    <w:pStyle w:val="166"/>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产品：</w:t>
                  </w:r>
                  <w:r>
                    <w:rPr>
                      <w:rFonts w:hint="default" w:ascii="Times New Roman" w:hAnsi="Times New Roman" w:cs="Times New Roman"/>
                      <w:szCs w:val="21"/>
                    </w:rPr>
                    <w:t>1500</w:t>
                  </w:r>
                  <w:r>
                    <w:rPr>
                      <w:rFonts w:hint="default" w:ascii="Times New Roman" w:hAnsi="Times New Roman" w:cs="Times New Roman"/>
                      <w:szCs w:val="21"/>
                      <w:lang w:eastAsia="zh-CN"/>
                    </w:rPr>
                    <w:t>kg/套</w:t>
                  </w:r>
                </w:p>
              </w:tc>
            </w:tr>
            <w:tr w14:paraId="3176E7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6" w:type="pct"/>
                  <w:vAlign w:val="center"/>
                </w:tcPr>
                <w:p w14:paraId="7AD4FF3E">
                  <w:pPr>
                    <w:pStyle w:val="166"/>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w:t>
                  </w:r>
                </w:p>
              </w:tc>
              <w:tc>
                <w:tcPr>
                  <w:tcW w:w="1381" w:type="pct"/>
                  <w:vAlign w:val="center"/>
                </w:tcPr>
                <w:p w14:paraId="0F56EB33">
                  <w:pPr>
                    <w:pStyle w:val="166"/>
                    <w:jc w:val="center"/>
                    <w:rPr>
                      <w:rFonts w:hint="default" w:ascii="Times New Roman" w:hAnsi="Times New Roman" w:eastAsia="宋体" w:cs="Times New Roman"/>
                      <w:szCs w:val="21"/>
                      <w:lang w:eastAsia="zh-CN"/>
                    </w:rPr>
                  </w:pPr>
                  <w:r>
                    <w:rPr>
                      <w:rFonts w:hint="default" w:ascii="Times New Roman" w:hAnsi="Times New Roman" w:cs="Times New Roman"/>
                      <w:szCs w:val="21"/>
                    </w:rPr>
                    <w:t>机床防护罩</w:t>
                  </w:r>
                  <w:r>
                    <w:rPr>
                      <w:rFonts w:hint="default" w:ascii="Times New Roman" w:hAnsi="Times New Roman" w:cs="Times New Roman"/>
                      <w:szCs w:val="21"/>
                      <w:lang w:eastAsia="zh-CN"/>
                    </w:rPr>
                    <w:t>（水性漆件）</w:t>
                  </w:r>
                </w:p>
              </w:tc>
              <w:tc>
                <w:tcPr>
                  <w:tcW w:w="1222" w:type="pct"/>
                  <w:vAlign w:val="center"/>
                </w:tcPr>
                <w:p w14:paraId="1924E85D">
                  <w:pPr>
                    <w:pStyle w:val="166"/>
                    <w:jc w:val="center"/>
                    <w:rPr>
                      <w:rFonts w:hint="default" w:ascii="Times New Roman" w:hAnsi="Times New Roman" w:eastAsia="宋体" w:cs="Times New Roman"/>
                      <w:szCs w:val="21"/>
                      <w:lang w:eastAsia="zh-CN"/>
                    </w:rPr>
                  </w:pPr>
                  <w:r>
                    <w:rPr>
                      <w:rFonts w:hint="default" w:ascii="Times New Roman" w:hAnsi="Times New Roman" w:cs="Times New Roman"/>
                      <w:szCs w:val="21"/>
                    </w:rPr>
                    <w:t>1.5</w:t>
                  </w:r>
                  <w:r>
                    <w:rPr>
                      <w:rFonts w:hint="default" w:ascii="Times New Roman" w:hAnsi="Times New Roman" w:cs="Times New Roman"/>
                      <w:szCs w:val="21"/>
                      <w:lang w:eastAsia="zh-CN"/>
                    </w:rPr>
                    <w:t>m×</w:t>
                  </w:r>
                  <w:r>
                    <w:rPr>
                      <w:rFonts w:hint="default" w:ascii="Times New Roman" w:hAnsi="Times New Roman" w:cs="Times New Roman"/>
                      <w:szCs w:val="21"/>
                    </w:rPr>
                    <w:t>1.2</w:t>
                  </w:r>
                  <w:r>
                    <w:rPr>
                      <w:rFonts w:hint="default" w:ascii="Times New Roman" w:hAnsi="Times New Roman" w:cs="Times New Roman"/>
                      <w:szCs w:val="21"/>
                      <w:lang w:eastAsia="zh-CN"/>
                    </w:rPr>
                    <w:t>m×</w:t>
                  </w:r>
                  <w:r>
                    <w:rPr>
                      <w:rFonts w:hint="default" w:ascii="Times New Roman" w:hAnsi="Times New Roman" w:cs="Times New Roman"/>
                      <w:szCs w:val="21"/>
                    </w:rPr>
                    <w:t>2.0</w:t>
                  </w:r>
                  <w:r>
                    <w:rPr>
                      <w:rFonts w:hint="default" w:ascii="Times New Roman" w:hAnsi="Times New Roman" w:cs="Times New Roman"/>
                      <w:szCs w:val="21"/>
                      <w:lang w:eastAsia="zh-CN"/>
                    </w:rPr>
                    <w:t>m</w:t>
                  </w:r>
                </w:p>
              </w:tc>
              <w:tc>
                <w:tcPr>
                  <w:tcW w:w="387" w:type="pct"/>
                  <w:vAlign w:val="center"/>
                </w:tcPr>
                <w:p w14:paraId="537A82D3">
                  <w:pPr>
                    <w:pStyle w:val="166"/>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50</w:t>
                  </w:r>
                  <w:r>
                    <w:rPr>
                      <w:rFonts w:hint="default" w:ascii="Times New Roman" w:hAnsi="Times New Roman" w:cs="Times New Roman"/>
                      <w:szCs w:val="21"/>
                      <w:lang w:val="en-US" w:eastAsia="zh-CN"/>
                    </w:rPr>
                    <w:t>0</w:t>
                  </w:r>
                </w:p>
              </w:tc>
              <w:tc>
                <w:tcPr>
                  <w:tcW w:w="397" w:type="pct"/>
                  <w:vAlign w:val="center"/>
                </w:tcPr>
                <w:p w14:paraId="5A97D9B9">
                  <w:pPr>
                    <w:jc w:val="center"/>
                    <w:rPr>
                      <w:rFonts w:hint="default" w:ascii="Times New Roman" w:hAnsi="Times New Roman" w:cs="Times New Roman"/>
                      <w:szCs w:val="21"/>
                    </w:rPr>
                  </w:pPr>
                  <w:r>
                    <w:rPr>
                      <w:rFonts w:hint="default" w:ascii="Times New Roman" w:hAnsi="Times New Roman" w:cs="Times New Roman"/>
                      <w:szCs w:val="21"/>
                    </w:rPr>
                    <w:t>套</w:t>
                  </w:r>
                </w:p>
              </w:tc>
              <w:tc>
                <w:tcPr>
                  <w:tcW w:w="1184" w:type="pct"/>
                  <w:vAlign w:val="center"/>
                </w:tcPr>
                <w:p w14:paraId="5FE70A05">
                  <w:pPr>
                    <w:pStyle w:val="166"/>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产品：</w:t>
                  </w:r>
                  <w:r>
                    <w:rPr>
                      <w:rFonts w:hint="default" w:ascii="Times New Roman" w:hAnsi="Times New Roman" w:cs="Times New Roman"/>
                      <w:szCs w:val="21"/>
                    </w:rPr>
                    <w:t>1200</w:t>
                  </w:r>
                  <w:r>
                    <w:rPr>
                      <w:rFonts w:hint="default" w:ascii="Times New Roman" w:hAnsi="Times New Roman" w:cs="Times New Roman"/>
                      <w:szCs w:val="21"/>
                      <w:lang w:eastAsia="zh-CN"/>
                    </w:rPr>
                    <w:t>kg/套</w:t>
                  </w:r>
                </w:p>
              </w:tc>
            </w:tr>
            <w:tr w14:paraId="7E87AA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6" w:type="pct"/>
                  <w:vAlign w:val="center"/>
                </w:tcPr>
                <w:p w14:paraId="2B63CDF4">
                  <w:pPr>
                    <w:pStyle w:val="166"/>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4</w:t>
                  </w:r>
                </w:p>
              </w:tc>
              <w:tc>
                <w:tcPr>
                  <w:tcW w:w="1381" w:type="pct"/>
                  <w:vAlign w:val="center"/>
                </w:tcPr>
                <w:p w14:paraId="73D125CE">
                  <w:pPr>
                    <w:pStyle w:val="166"/>
                    <w:jc w:val="center"/>
                    <w:rPr>
                      <w:rFonts w:hint="default" w:ascii="Times New Roman" w:hAnsi="Times New Roman" w:cs="Times New Roman"/>
                      <w:szCs w:val="21"/>
                    </w:rPr>
                  </w:pPr>
                  <w:r>
                    <w:rPr>
                      <w:rFonts w:hint="default" w:ascii="Times New Roman" w:hAnsi="Times New Roman" w:cs="Times New Roman"/>
                      <w:szCs w:val="21"/>
                    </w:rPr>
                    <w:t>包装设备</w:t>
                  </w:r>
                  <w:r>
                    <w:rPr>
                      <w:rFonts w:hint="default" w:ascii="Times New Roman" w:hAnsi="Times New Roman" w:cs="Times New Roman"/>
                      <w:szCs w:val="21"/>
                      <w:lang w:eastAsia="zh-CN"/>
                    </w:rPr>
                    <w:t>（喷塑件）</w:t>
                  </w:r>
                </w:p>
              </w:tc>
              <w:tc>
                <w:tcPr>
                  <w:tcW w:w="1222" w:type="pct"/>
                  <w:vAlign w:val="center"/>
                </w:tcPr>
                <w:p w14:paraId="590EBC74">
                  <w:pPr>
                    <w:pStyle w:val="166"/>
                    <w:jc w:val="center"/>
                    <w:rPr>
                      <w:rFonts w:hint="default" w:ascii="Times New Roman" w:hAnsi="Times New Roman" w:eastAsia="宋体" w:cs="Times New Roman"/>
                      <w:szCs w:val="21"/>
                      <w:lang w:eastAsia="zh-CN"/>
                    </w:rPr>
                  </w:pPr>
                  <w:r>
                    <w:rPr>
                      <w:rFonts w:hint="default" w:ascii="Times New Roman" w:hAnsi="Times New Roman" w:cs="Times New Roman"/>
                      <w:szCs w:val="21"/>
                    </w:rPr>
                    <w:t>4</w:t>
                  </w:r>
                  <w:r>
                    <w:rPr>
                      <w:rFonts w:hint="default" w:ascii="Times New Roman" w:hAnsi="Times New Roman" w:cs="Times New Roman"/>
                      <w:szCs w:val="21"/>
                      <w:lang w:eastAsia="zh-CN"/>
                    </w:rPr>
                    <w:t>m×</w:t>
                  </w:r>
                  <w:r>
                    <w:rPr>
                      <w:rFonts w:hint="default" w:ascii="Times New Roman" w:hAnsi="Times New Roman" w:cs="Times New Roman"/>
                      <w:szCs w:val="21"/>
                    </w:rPr>
                    <w:t>1.5</w:t>
                  </w:r>
                  <w:r>
                    <w:rPr>
                      <w:rFonts w:hint="default" w:ascii="Times New Roman" w:hAnsi="Times New Roman" w:cs="Times New Roman"/>
                      <w:szCs w:val="21"/>
                      <w:lang w:eastAsia="zh-CN"/>
                    </w:rPr>
                    <w:t>m×</w:t>
                  </w:r>
                  <w:r>
                    <w:rPr>
                      <w:rFonts w:hint="default" w:ascii="Times New Roman" w:hAnsi="Times New Roman" w:cs="Times New Roman"/>
                      <w:szCs w:val="21"/>
                    </w:rPr>
                    <w:t>2.5</w:t>
                  </w:r>
                  <w:r>
                    <w:rPr>
                      <w:rFonts w:hint="default" w:ascii="Times New Roman" w:hAnsi="Times New Roman" w:cs="Times New Roman"/>
                      <w:szCs w:val="21"/>
                      <w:lang w:eastAsia="zh-CN"/>
                    </w:rPr>
                    <w:t>m</w:t>
                  </w:r>
                </w:p>
              </w:tc>
              <w:tc>
                <w:tcPr>
                  <w:tcW w:w="387" w:type="pct"/>
                  <w:vAlign w:val="center"/>
                </w:tcPr>
                <w:p w14:paraId="2BF2C79B">
                  <w:pPr>
                    <w:pStyle w:val="166"/>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30</w:t>
                  </w:r>
                  <w:r>
                    <w:rPr>
                      <w:rFonts w:hint="default" w:ascii="Times New Roman" w:hAnsi="Times New Roman" w:cs="Times New Roman"/>
                      <w:szCs w:val="21"/>
                      <w:lang w:val="en-US" w:eastAsia="zh-CN"/>
                    </w:rPr>
                    <w:t>0</w:t>
                  </w:r>
                </w:p>
              </w:tc>
              <w:tc>
                <w:tcPr>
                  <w:tcW w:w="397" w:type="pct"/>
                  <w:vAlign w:val="center"/>
                </w:tcPr>
                <w:p w14:paraId="138A1C9F">
                  <w:pPr>
                    <w:jc w:val="center"/>
                    <w:rPr>
                      <w:rFonts w:hint="default" w:ascii="Times New Roman" w:hAnsi="Times New Roman" w:cs="Times New Roman"/>
                      <w:szCs w:val="21"/>
                    </w:rPr>
                  </w:pPr>
                  <w:r>
                    <w:rPr>
                      <w:rFonts w:hint="default" w:ascii="Times New Roman" w:hAnsi="Times New Roman" w:cs="Times New Roman"/>
                      <w:szCs w:val="21"/>
                    </w:rPr>
                    <w:t>套</w:t>
                  </w:r>
                </w:p>
              </w:tc>
              <w:tc>
                <w:tcPr>
                  <w:tcW w:w="1184" w:type="pct"/>
                  <w:vAlign w:val="center"/>
                </w:tcPr>
                <w:p w14:paraId="6743A233">
                  <w:pPr>
                    <w:pStyle w:val="166"/>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产品：</w:t>
                  </w:r>
                  <w:r>
                    <w:rPr>
                      <w:rFonts w:hint="default" w:ascii="Times New Roman" w:hAnsi="Times New Roman" w:cs="Times New Roman"/>
                      <w:szCs w:val="21"/>
                    </w:rPr>
                    <w:t>3500</w:t>
                  </w:r>
                  <w:r>
                    <w:rPr>
                      <w:rFonts w:hint="default" w:ascii="Times New Roman" w:hAnsi="Times New Roman" w:cs="Times New Roman"/>
                      <w:szCs w:val="21"/>
                      <w:lang w:eastAsia="zh-CN"/>
                    </w:rPr>
                    <w:t>kg/套</w:t>
                  </w:r>
                </w:p>
              </w:tc>
            </w:tr>
            <w:tr w14:paraId="40A908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6" w:type="pct"/>
                  <w:vAlign w:val="center"/>
                </w:tcPr>
                <w:p w14:paraId="229850CA">
                  <w:pPr>
                    <w:pStyle w:val="166"/>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5</w:t>
                  </w:r>
                </w:p>
              </w:tc>
              <w:tc>
                <w:tcPr>
                  <w:tcW w:w="1381" w:type="pct"/>
                  <w:vAlign w:val="center"/>
                </w:tcPr>
                <w:p w14:paraId="0F6E636F">
                  <w:pPr>
                    <w:pStyle w:val="166"/>
                    <w:jc w:val="center"/>
                    <w:rPr>
                      <w:rFonts w:hint="default" w:ascii="Times New Roman" w:hAnsi="Times New Roman" w:cs="Times New Roman"/>
                      <w:szCs w:val="21"/>
                    </w:rPr>
                  </w:pPr>
                  <w:r>
                    <w:rPr>
                      <w:rFonts w:hint="default" w:ascii="Times New Roman" w:hAnsi="Times New Roman" w:cs="Times New Roman"/>
                      <w:szCs w:val="21"/>
                    </w:rPr>
                    <w:t>包装设备</w:t>
                  </w:r>
                  <w:r>
                    <w:rPr>
                      <w:rFonts w:hint="default" w:ascii="Times New Roman" w:hAnsi="Times New Roman" w:cs="Times New Roman"/>
                      <w:szCs w:val="21"/>
                      <w:lang w:eastAsia="zh-CN"/>
                    </w:rPr>
                    <w:t>（喷塑件）</w:t>
                  </w:r>
                </w:p>
              </w:tc>
              <w:tc>
                <w:tcPr>
                  <w:tcW w:w="1222" w:type="pct"/>
                  <w:vAlign w:val="center"/>
                </w:tcPr>
                <w:p w14:paraId="12F0DD77">
                  <w:pPr>
                    <w:pStyle w:val="166"/>
                    <w:jc w:val="center"/>
                    <w:rPr>
                      <w:rFonts w:hint="default" w:ascii="Times New Roman" w:hAnsi="Times New Roman" w:eastAsia="宋体" w:cs="Times New Roman"/>
                      <w:szCs w:val="21"/>
                      <w:lang w:eastAsia="zh-CN"/>
                    </w:rPr>
                  </w:pPr>
                  <w:r>
                    <w:rPr>
                      <w:rFonts w:hint="default" w:ascii="Times New Roman" w:hAnsi="Times New Roman" w:cs="Times New Roman"/>
                      <w:szCs w:val="21"/>
                    </w:rPr>
                    <w:t>1.7</w:t>
                  </w:r>
                  <w:r>
                    <w:rPr>
                      <w:rFonts w:hint="default" w:ascii="Times New Roman" w:hAnsi="Times New Roman" w:cs="Times New Roman"/>
                      <w:szCs w:val="21"/>
                      <w:lang w:eastAsia="zh-CN"/>
                    </w:rPr>
                    <w:t>m×</w:t>
                  </w:r>
                  <w:r>
                    <w:rPr>
                      <w:rFonts w:hint="default" w:ascii="Times New Roman" w:hAnsi="Times New Roman" w:cs="Times New Roman"/>
                      <w:szCs w:val="21"/>
                    </w:rPr>
                    <w:t>1.6</w:t>
                  </w:r>
                  <w:r>
                    <w:rPr>
                      <w:rFonts w:hint="default" w:ascii="Times New Roman" w:hAnsi="Times New Roman" w:cs="Times New Roman"/>
                      <w:szCs w:val="21"/>
                      <w:lang w:eastAsia="zh-CN"/>
                    </w:rPr>
                    <w:t>m×</w:t>
                  </w:r>
                  <w:r>
                    <w:rPr>
                      <w:rFonts w:hint="default" w:ascii="Times New Roman" w:hAnsi="Times New Roman" w:cs="Times New Roman"/>
                      <w:szCs w:val="21"/>
                    </w:rPr>
                    <w:t>2.1</w:t>
                  </w:r>
                  <w:r>
                    <w:rPr>
                      <w:rFonts w:hint="default" w:ascii="Times New Roman" w:hAnsi="Times New Roman" w:cs="Times New Roman"/>
                      <w:szCs w:val="21"/>
                      <w:lang w:eastAsia="zh-CN"/>
                    </w:rPr>
                    <w:t>m</w:t>
                  </w:r>
                </w:p>
              </w:tc>
              <w:tc>
                <w:tcPr>
                  <w:tcW w:w="387" w:type="pct"/>
                  <w:vAlign w:val="center"/>
                </w:tcPr>
                <w:p w14:paraId="0614419B">
                  <w:pPr>
                    <w:pStyle w:val="166"/>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30</w:t>
                  </w:r>
                  <w:r>
                    <w:rPr>
                      <w:rFonts w:hint="default" w:ascii="Times New Roman" w:hAnsi="Times New Roman" w:cs="Times New Roman"/>
                      <w:szCs w:val="21"/>
                      <w:lang w:val="en-US" w:eastAsia="zh-CN"/>
                    </w:rPr>
                    <w:t>0</w:t>
                  </w:r>
                </w:p>
              </w:tc>
              <w:tc>
                <w:tcPr>
                  <w:tcW w:w="397" w:type="pct"/>
                  <w:vAlign w:val="center"/>
                </w:tcPr>
                <w:p w14:paraId="4B435514">
                  <w:pPr>
                    <w:jc w:val="center"/>
                    <w:rPr>
                      <w:rFonts w:hint="default" w:ascii="Times New Roman" w:hAnsi="Times New Roman" w:cs="Times New Roman"/>
                      <w:szCs w:val="21"/>
                    </w:rPr>
                  </w:pPr>
                  <w:r>
                    <w:rPr>
                      <w:rFonts w:hint="default" w:ascii="Times New Roman" w:hAnsi="Times New Roman" w:cs="Times New Roman"/>
                      <w:szCs w:val="21"/>
                    </w:rPr>
                    <w:t>套</w:t>
                  </w:r>
                </w:p>
              </w:tc>
              <w:tc>
                <w:tcPr>
                  <w:tcW w:w="1184" w:type="pct"/>
                  <w:vAlign w:val="center"/>
                </w:tcPr>
                <w:p w14:paraId="0E7AEB1D">
                  <w:pPr>
                    <w:pStyle w:val="166"/>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产品：</w:t>
                  </w:r>
                  <w:r>
                    <w:rPr>
                      <w:rFonts w:hint="default" w:ascii="Times New Roman" w:hAnsi="Times New Roman" w:cs="Times New Roman"/>
                      <w:szCs w:val="21"/>
                    </w:rPr>
                    <w:t>2500</w:t>
                  </w:r>
                  <w:r>
                    <w:rPr>
                      <w:rFonts w:hint="default" w:ascii="Times New Roman" w:hAnsi="Times New Roman" w:cs="Times New Roman"/>
                      <w:szCs w:val="21"/>
                      <w:lang w:eastAsia="zh-CN"/>
                    </w:rPr>
                    <w:t>kg/套</w:t>
                  </w:r>
                </w:p>
              </w:tc>
            </w:tr>
            <w:tr w14:paraId="706DF0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26" w:type="pct"/>
                  <w:vAlign w:val="center"/>
                </w:tcPr>
                <w:p w14:paraId="79B952C9">
                  <w:pPr>
                    <w:pStyle w:val="166"/>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6</w:t>
                  </w:r>
                </w:p>
              </w:tc>
              <w:tc>
                <w:tcPr>
                  <w:tcW w:w="1381" w:type="pct"/>
                  <w:vAlign w:val="center"/>
                </w:tcPr>
                <w:p w14:paraId="573CB78A">
                  <w:pPr>
                    <w:pStyle w:val="166"/>
                    <w:jc w:val="center"/>
                    <w:rPr>
                      <w:rFonts w:hint="default" w:ascii="Times New Roman" w:hAnsi="Times New Roman" w:eastAsia="宋体" w:cs="Times New Roman"/>
                      <w:b/>
                      <w:szCs w:val="21"/>
                      <w:lang w:eastAsia="zh-CN"/>
                    </w:rPr>
                  </w:pPr>
                  <w:r>
                    <w:rPr>
                      <w:rFonts w:hint="default" w:ascii="Times New Roman" w:hAnsi="Times New Roman" w:cs="Times New Roman"/>
                      <w:szCs w:val="21"/>
                    </w:rPr>
                    <w:t>包装设备</w:t>
                  </w:r>
                  <w:r>
                    <w:rPr>
                      <w:rFonts w:hint="default" w:ascii="Times New Roman" w:hAnsi="Times New Roman" w:cs="Times New Roman"/>
                      <w:szCs w:val="21"/>
                      <w:lang w:eastAsia="zh-CN"/>
                    </w:rPr>
                    <w:t>（水性漆件）</w:t>
                  </w:r>
                </w:p>
              </w:tc>
              <w:tc>
                <w:tcPr>
                  <w:tcW w:w="1222" w:type="pct"/>
                  <w:vAlign w:val="center"/>
                </w:tcPr>
                <w:p w14:paraId="7712C9E3">
                  <w:pPr>
                    <w:pStyle w:val="166"/>
                    <w:jc w:val="center"/>
                    <w:rPr>
                      <w:rFonts w:hint="default" w:ascii="Times New Roman" w:hAnsi="Times New Roman" w:eastAsia="宋体" w:cs="Times New Roman"/>
                      <w:szCs w:val="21"/>
                      <w:lang w:eastAsia="zh-CN"/>
                    </w:rPr>
                  </w:pPr>
                  <w:r>
                    <w:rPr>
                      <w:rFonts w:hint="default" w:ascii="Times New Roman" w:hAnsi="Times New Roman" w:cs="Times New Roman"/>
                      <w:szCs w:val="21"/>
                    </w:rPr>
                    <w:t>4</w:t>
                  </w:r>
                  <w:r>
                    <w:rPr>
                      <w:rFonts w:hint="default" w:ascii="Times New Roman" w:hAnsi="Times New Roman" w:cs="Times New Roman"/>
                      <w:szCs w:val="21"/>
                      <w:lang w:eastAsia="zh-CN"/>
                    </w:rPr>
                    <w:t>m×</w:t>
                  </w:r>
                  <w:r>
                    <w:rPr>
                      <w:rFonts w:hint="default" w:ascii="Times New Roman" w:hAnsi="Times New Roman" w:cs="Times New Roman"/>
                      <w:szCs w:val="21"/>
                    </w:rPr>
                    <w:t>1.5</w:t>
                  </w:r>
                  <w:r>
                    <w:rPr>
                      <w:rFonts w:hint="default" w:ascii="Times New Roman" w:hAnsi="Times New Roman" w:cs="Times New Roman"/>
                      <w:szCs w:val="21"/>
                      <w:lang w:eastAsia="zh-CN"/>
                    </w:rPr>
                    <w:t>m×</w:t>
                  </w:r>
                  <w:r>
                    <w:rPr>
                      <w:rFonts w:hint="default" w:ascii="Times New Roman" w:hAnsi="Times New Roman" w:cs="Times New Roman"/>
                      <w:szCs w:val="21"/>
                    </w:rPr>
                    <w:t>2.5</w:t>
                  </w:r>
                  <w:r>
                    <w:rPr>
                      <w:rFonts w:hint="default" w:ascii="Times New Roman" w:hAnsi="Times New Roman" w:cs="Times New Roman"/>
                      <w:szCs w:val="21"/>
                      <w:lang w:eastAsia="zh-CN"/>
                    </w:rPr>
                    <w:t>m</w:t>
                  </w:r>
                </w:p>
              </w:tc>
              <w:tc>
                <w:tcPr>
                  <w:tcW w:w="387" w:type="pct"/>
                  <w:vAlign w:val="center"/>
                </w:tcPr>
                <w:p w14:paraId="4A797F38">
                  <w:pPr>
                    <w:pStyle w:val="166"/>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10</w:t>
                  </w:r>
                  <w:r>
                    <w:rPr>
                      <w:rFonts w:hint="default" w:ascii="Times New Roman" w:hAnsi="Times New Roman" w:cs="Times New Roman"/>
                      <w:szCs w:val="21"/>
                      <w:lang w:val="en-US" w:eastAsia="zh-CN"/>
                    </w:rPr>
                    <w:t>0</w:t>
                  </w:r>
                </w:p>
              </w:tc>
              <w:tc>
                <w:tcPr>
                  <w:tcW w:w="397" w:type="pct"/>
                  <w:vAlign w:val="center"/>
                </w:tcPr>
                <w:p w14:paraId="1D74D8AE">
                  <w:pPr>
                    <w:jc w:val="center"/>
                    <w:rPr>
                      <w:rFonts w:hint="default" w:ascii="Times New Roman" w:hAnsi="Times New Roman" w:cs="Times New Roman"/>
                      <w:szCs w:val="21"/>
                    </w:rPr>
                  </w:pPr>
                  <w:r>
                    <w:rPr>
                      <w:rFonts w:hint="default" w:ascii="Times New Roman" w:hAnsi="Times New Roman" w:cs="Times New Roman"/>
                      <w:szCs w:val="21"/>
                    </w:rPr>
                    <w:t>套</w:t>
                  </w:r>
                </w:p>
              </w:tc>
              <w:tc>
                <w:tcPr>
                  <w:tcW w:w="1184" w:type="pct"/>
                  <w:vAlign w:val="center"/>
                </w:tcPr>
                <w:p w14:paraId="039E5593">
                  <w:pPr>
                    <w:pStyle w:val="166"/>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产品：</w:t>
                  </w:r>
                  <w:r>
                    <w:rPr>
                      <w:rFonts w:hint="default" w:ascii="Times New Roman" w:hAnsi="Times New Roman" w:cs="Times New Roman"/>
                      <w:szCs w:val="21"/>
                    </w:rPr>
                    <w:t>3500</w:t>
                  </w:r>
                  <w:r>
                    <w:rPr>
                      <w:rFonts w:hint="default" w:ascii="Times New Roman" w:hAnsi="Times New Roman" w:cs="Times New Roman"/>
                      <w:szCs w:val="21"/>
                      <w:lang w:eastAsia="zh-CN"/>
                    </w:rPr>
                    <w:t>kg/套</w:t>
                  </w:r>
                </w:p>
              </w:tc>
            </w:tr>
          </w:tbl>
          <w:p w14:paraId="47E8CC8B">
            <w:pPr>
              <w:keepNext w:val="0"/>
              <w:keepLines w:val="0"/>
              <w:pageBreakBefore w:val="0"/>
              <w:widowControl/>
              <w:numPr>
                <w:ilvl w:val="0"/>
                <w:numId w:val="3"/>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rPr>
            </w:pPr>
            <w:r>
              <w:rPr>
                <w:rFonts w:hint="default" w:ascii="Times New Roman" w:hAnsi="Times New Roman" w:cs="Times New Roman"/>
                <w:b/>
                <w:bCs/>
                <w:color w:val="auto"/>
                <w:sz w:val="24"/>
                <w:lang w:val="en-US" w:eastAsia="zh-CN"/>
              </w:rPr>
              <w:t>主要</w:t>
            </w:r>
            <w:r>
              <w:rPr>
                <w:rFonts w:hint="default" w:ascii="Times New Roman" w:hAnsi="Times New Roman" w:eastAsia="宋体" w:cs="Times New Roman"/>
                <w:b/>
                <w:bCs/>
                <w:color w:val="auto"/>
                <w:sz w:val="24"/>
                <w:lang w:val="en-US" w:eastAsia="zh-CN"/>
              </w:rPr>
              <w:t>原辅材料</w:t>
            </w:r>
          </w:p>
          <w:p w14:paraId="04C05F0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主要原辅材料及其消耗量具体用量见表2-</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p>
          <w:p w14:paraId="420C280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表2-3  原辅材料总消耗量</w:t>
            </w:r>
          </w:p>
          <w:tbl>
            <w:tblPr>
              <w:tblStyle w:val="32"/>
              <w:tblW w:w="4999"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492"/>
              <w:gridCol w:w="671"/>
              <w:gridCol w:w="1087"/>
              <w:gridCol w:w="2317"/>
              <w:gridCol w:w="933"/>
              <w:gridCol w:w="1300"/>
            </w:tblGrid>
            <w:tr w14:paraId="6BC97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8" w:type="pct"/>
                  <w:tcBorders>
                    <w:tl2br w:val="nil"/>
                    <w:tr2bl w:val="nil"/>
                  </w:tcBorders>
                  <w:noWrap w:val="0"/>
                  <w:vAlign w:val="center"/>
                </w:tcPr>
                <w:p w14:paraId="4FF169C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874" w:type="pct"/>
                  <w:tcBorders>
                    <w:tl2br w:val="nil"/>
                    <w:tr2bl w:val="nil"/>
                  </w:tcBorders>
                  <w:noWrap w:val="0"/>
                  <w:vAlign w:val="center"/>
                </w:tcPr>
                <w:p w14:paraId="352E56D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名称</w:t>
                  </w:r>
                </w:p>
              </w:tc>
              <w:tc>
                <w:tcPr>
                  <w:tcW w:w="393" w:type="pct"/>
                  <w:tcBorders>
                    <w:tl2br w:val="nil"/>
                    <w:tr2bl w:val="nil"/>
                  </w:tcBorders>
                  <w:noWrap w:val="0"/>
                  <w:vAlign w:val="center"/>
                </w:tcPr>
                <w:p w14:paraId="4C271C5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单位</w:t>
                  </w:r>
                </w:p>
              </w:tc>
              <w:tc>
                <w:tcPr>
                  <w:tcW w:w="637" w:type="pct"/>
                  <w:tcBorders>
                    <w:tl2br w:val="nil"/>
                    <w:tr2bl w:val="nil"/>
                  </w:tcBorders>
                  <w:noWrap w:val="0"/>
                  <w:vAlign w:val="center"/>
                </w:tcPr>
                <w:p w14:paraId="6C2AE12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年消耗量</w:t>
                  </w:r>
                </w:p>
              </w:tc>
              <w:tc>
                <w:tcPr>
                  <w:tcW w:w="1357" w:type="pct"/>
                  <w:tcBorders>
                    <w:tl2br w:val="nil"/>
                    <w:tr2bl w:val="nil"/>
                  </w:tcBorders>
                  <w:noWrap w:val="0"/>
                  <w:vAlign w:val="center"/>
                </w:tcPr>
                <w:p w14:paraId="7621FBF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规格</w:t>
                  </w:r>
                </w:p>
              </w:tc>
              <w:tc>
                <w:tcPr>
                  <w:tcW w:w="546" w:type="pct"/>
                  <w:tcBorders>
                    <w:tl2br w:val="nil"/>
                    <w:tr2bl w:val="nil"/>
                  </w:tcBorders>
                  <w:noWrap w:val="0"/>
                  <w:vAlign w:val="center"/>
                </w:tcPr>
                <w:p w14:paraId="3BF08902">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最大储存量</w:t>
                  </w:r>
                </w:p>
              </w:tc>
              <w:tc>
                <w:tcPr>
                  <w:tcW w:w="761" w:type="pct"/>
                  <w:tcBorders>
                    <w:tl2br w:val="nil"/>
                    <w:tr2bl w:val="nil"/>
                  </w:tcBorders>
                  <w:noWrap w:val="0"/>
                  <w:vAlign w:val="center"/>
                </w:tcPr>
                <w:p w14:paraId="675D92C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备注</w:t>
                  </w:r>
                </w:p>
              </w:tc>
            </w:tr>
            <w:tr w14:paraId="0429D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8" w:type="pct"/>
                  <w:tcBorders>
                    <w:tl2br w:val="nil"/>
                    <w:tr2bl w:val="nil"/>
                  </w:tcBorders>
                  <w:noWrap w:val="0"/>
                  <w:vAlign w:val="center"/>
                </w:tcPr>
                <w:p w14:paraId="382964C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w:t>
                  </w:r>
                </w:p>
              </w:tc>
              <w:tc>
                <w:tcPr>
                  <w:tcW w:w="874" w:type="pct"/>
                  <w:tcBorders>
                    <w:tl2br w:val="nil"/>
                    <w:tr2bl w:val="nil"/>
                  </w:tcBorders>
                  <w:shd w:val="clear" w:color="auto" w:fill="auto"/>
                  <w:noWrap w:val="0"/>
                  <w:vAlign w:val="center"/>
                </w:tcPr>
                <w:p w14:paraId="586818CA">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z w:val="21"/>
                      <w:szCs w:val="21"/>
                    </w:rPr>
                    <w:t xml:space="preserve">钢材 </w:t>
                  </w:r>
                </w:p>
              </w:tc>
              <w:tc>
                <w:tcPr>
                  <w:tcW w:w="393" w:type="pct"/>
                  <w:tcBorders>
                    <w:tl2br w:val="nil"/>
                    <w:tr2bl w:val="nil"/>
                  </w:tcBorders>
                  <w:shd w:val="clear" w:color="auto" w:fill="auto"/>
                  <w:noWrap w:val="0"/>
                  <w:vAlign w:val="center"/>
                </w:tcPr>
                <w:p w14:paraId="59EC625B">
                  <w:pPr>
                    <w:adjustRightInd w:val="0"/>
                    <w:snapToGrid w:val="0"/>
                    <w:jc w:val="center"/>
                    <w:rPr>
                      <w:rFonts w:hint="default" w:ascii="Times New Roman" w:hAnsi="Times New Roman" w:cs="Times New Roman"/>
                      <w:sz w:val="21"/>
                      <w:szCs w:val="21"/>
                    </w:rPr>
                  </w:pPr>
                  <w:r>
                    <w:rPr>
                      <w:rFonts w:hint="default" w:ascii="Times New Roman" w:hAnsi="Times New Roman" w:cs="Times New Roman"/>
                      <w:color w:val="auto"/>
                      <w:sz w:val="21"/>
                      <w:szCs w:val="21"/>
                    </w:rPr>
                    <w:t>t/a</w:t>
                  </w:r>
                </w:p>
              </w:tc>
              <w:tc>
                <w:tcPr>
                  <w:tcW w:w="637" w:type="pct"/>
                  <w:tcBorders>
                    <w:tl2br w:val="nil"/>
                    <w:tr2bl w:val="nil"/>
                  </w:tcBorders>
                  <w:shd w:val="clear" w:color="auto" w:fill="auto"/>
                  <w:noWrap w:val="0"/>
                  <w:vAlign w:val="center"/>
                </w:tcPr>
                <w:p w14:paraId="345CD963">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z w:val="21"/>
                      <w:szCs w:val="21"/>
                    </w:rPr>
                    <w:t>1000</w:t>
                  </w:r>
                  <w:r>
                    <w:rPr>
                      <w:rFonts w:hint="default" w:ascii="Times New Roman" w:hAnsi="Times New Roman" w:cs="Times New Roman"/>
                      <w:sz w:val="21"/>
                      <w:szCs w:val="21"/>
                      <w:lang w:val="en-US" w:eastAsia="zh-CN"/>
                    </w:rPr>
                    <w:t>0</w:t>
                  </w:r>
                </w:p>
              </w:tc>
              <w:tc>
                <w:tcPr>
                  <w:tcW w:w="1357" w:type="pct"/>
                  <w:tcBorders>
                    <w:tl2br w:val="nil"/>
                    <w:tr2bl w:val="nil"/>
                  </w:tcBorders>
                  <w:noWrap w:val="0"/>
                  <w:vAlign w:val="center"/>
                </w:tcPr>
                <w:p w14:paraId="37DD285C">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3m~6m×1.5m—3m×0.5mm~100mm）</w:t>
                  </w:r>
                </w:p>
              </w:tc>
              <w:tc>
                <w:tcPr>
                  <w:tcW w:w="546" w:type="pct"/>
                  <w:tcBorders>
                    <w:tl2br w:val="nil"/>
                    <w:tr2bl w:val="nil"/>
                  </w:tcBorders>
                  <w:noWrap w:val="0"/>
                  <w:vAlign w:val="center"/>
                </w:tcPr>
                <w:p w14:paraId="227EE7F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z w:val="21"/>
                      <w:szCs w:val="21"/>
                    </w:rPr>
                    <w:t>30</w:t>
                  </w:r>
                  <w:r>
                    <w:rPr>
                      <w:rFonts w:hint="default" w:ascii="Times New Roman" w:hAnsi="Times New Roman" w:cs="Times New Roman"/>
                      <w:color w:val="auto"/>
                      <w:sz w:val="21"/>
                      <w:szCs w:val="21"/>
                    </w:rPr>
                    <w:t>t/a</w:t>
                  </w:r>
                </w:p>
              </w:tc>
              <w:tc>
                <w:tcPr>
                  <w:tcW w:w="761" w:type="pct"/>
                  <w:tcBorders>
                    <w:tl2br w:val="nil"/>
                    <w:tr2bl w:val="nil"/>
                  </w:tcBorders>
                  <w:shd w:val="clear" w:color="auto" w:fill="auto"/>
                  <w:noWrap w:val="0"/>
                  <w:vAlign w:val="center"/>
                </w:tcPr>
                <w:p w14:paraId="08BBDBE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1CAF0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8" w:type="pct"/>
                  <w:tcBorders>
                    <w:tl2br w:val="nil"/>
                    <w:tr2bl w:val="nil"/>
                  </w:tcBorders>
                  <w:noWrap w:val="0"/>
                  <w:vAlign w:val="center"/>
                </w:tcPr>
                <w:p w14:paraId="167D221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2</w:t>
                  </w:r>
                </w:p>
              </w:tc>
              <w:tc>
                <w:tcPr>
                  <w:tcW w:w="874" w:type="pct"/>
                  <w:tcBorders>
                    <w:tl2br w:val="nil"/>
                    <w:tr2bl w:val="nil"/>
                  </w:tcBorders>
                  <w:shd w:val="clear" w:color="auto" w:fill="auto"/>
                  <w:noWrap w:val="0"/>
                  <w:vAlign w:val="center"/>
                </w:tcPr>
                <w:p w14:paraId="75AFBAB4">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焊丝</w:t>
                  </w:r>
                </w:p>
              </w:tc>
              <w:tc>
                <w:tcPr>
                  <w:tcW w:w="393" w:type="pct"/>
                  <w:tcBorders>
                    <w:tl2br w:val="nil"/>
                    <w:tr2bl w:val="nil"/>
                  </w:tcBorders>
                  <w:shd w:val="clear" w:color="auto" w:fill="auto"/>
                  <w:noWrap w:val="0"/>
                  <w:vAlign w:val="center"/>
                </w:tcPr>
                <w:p w14:paraId="51C3B84D">
                  <w:pPr>
                    <w:adjustRightInd w:val="0"/>
                    <w:snapToGrid w:val="0"/>
                    <w:jc w:val="center"/>
                    <w:rPr>
                      <w:rFonts w:hint="default" w:ascii="Times New Roman" w:hAnsi="Times New Roman" w:cs="Times New Roman"/>
                      <w:sz w:val="21"/>
                      <w:szCs w:val="21"/>
                    </w:rPr>
                  </w:pPr>
                  <w:r>
                    <w:rPr>
                      <w:rFonts w:hint="default" w:ascii="Times New Roman" w:hAnsi="Times New Roman" w:cs="Times New Roman"/>
                      <w:color w:val="auto"/>
                      <w:sz w:val="21"/>
                      <w:szCs w:val="21"/>
                    </w:rPr>
                    <w:t>t/a</w:t>
                  </w:r>
                </w:p>
              </w:tc>
              <w:tc>
                <w:tcPr>
                  <w:tcW w:w="637" w:type="pct"/>
                  <w:tcBorders>
                    <w:tl2br w:val="nil"/>
                    <w:tr2bl w:val="nil"/>
                  </w:tcBorders>
                  <w:shd w:val="clear" w:color="auto" w:fill="auto"/>
                  <w:noWrap w:val="0"/>
                  <w:vAlign w:val="center"/>
                </w:tcPr>
                <w:p w14:paraId="0D1EDCCC">
                  <w:pPr>
                    <w:adjustRightInd w:val="0"/>
                    <w:snapToGrid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1</w:t>
                  </w:r>
                </w:p>
              </w:tc>
              <w:tc>
                <w:tcPr>
                  <w:tcW w:w="1357" w:type="pct"/>
                  <w:tcBorders>
                    <w:tl2br w:val="nil"/>
                    <w:tr2bl w:val="nil"/>
                  </w:tcBorders>
                  <w:noWrap w:val="0"/>
                  <w:vAlign w:val="center"/>
                </w:tcPr>
                <w:p w14:paraId="050CED91">
                  <w:pPr>
                    <w:widowControl/>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auto"/>
                      <w:szCs w:val="21"/>
                      <w:lang w:val="en-US" w:eastAsia="zh-CN"/>
                    </w:rPr>
                    <w:t>规格：0.5mm，材质：钢</w:t>
                  </w:r>
                </w:p>
              </w:tc>
              <w:tc>
                <w:tcPr>
                  <w:tcW w:w="546" w:type="pct"/>
                  <w:tcBorders>
                    <w:tl2br w:val="nil"/>
                    <w:tr2bl w:val="nil"/>
                  </w:tcBorders>
                  <w:noWrap w:val="0"/>
                  <w:vAlign w:val="center"/>
                </w:tcPr>
                <w:p w14:paraId="53600617">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0.5</w:t>
                  </w:r>
                  <w:r>
                    <w:rPr>
                      <w:rFonts w:hint="default" w:ascii="Times New Roman" w:hAnsi="Times New Roman" w:cs="Times New Roman"/>
                      <w:color w:val="auto"/>
                      <w:sz w:val="21"/>
                      <w:szCs w:val="21"/>
                    </w:rPr>
                    <w:t>t/a</w:t>
                  </w:r>
                </w:p>
              </w:tc>
              <w:tc>
                <w:tcPr>
                  <w:tcW w:w="761" w:type="pct"/>
                  <w:tcBorders>
                    <w:tl2br w:val="nil"/>
                    <w:tr2bl w:val="nil"/>
                  </w:tcBorders>
                  <w:shd w:val="clear" w:color="auto" w:fill="auto"/>
                  <w:noWrap w:val="0"/>
                  <w:vAlign w:val="center"/>
                </w:tcPr>
                <w:p w14:paraId="5504981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132CC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trPr>
              <w:tc>
                <w:tcPr>
                  <w:tcW w:w="428" w:type="pct"/>
                  <w:tcBorders>
                    <w:tl2br w:val="nil"/>
                    <w:tr2bl w:val="nil"/>
                  </w:tcBorders>
                  <w:noWrap w:val="0"/>
                  <w:vAlign w:val="center"/>
                </w:tcPr>
                <w:p w14:paraId="5A828965">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3</w:t>
                  </w:r>
                </w:p>
              </w:tc>
              <w:tc>
                <w:tcPr>
                  <w:tcW w:w="874" w:type="pct"/>
                  <w:tcBorders>
                    <w:tl2br w:val="nil"/>
                    <w:tr2bl w:val="nil"/>
                  </w:tcBorders>
                  <w:shd w:val="clear" w:color="auto" w:fill="auto"/>
                  <w:noWrap w:val="0"/>
                  <w:vAlign w:val="center"/>
                </w:tcPr>
                <w:p w14:paraId="0B58ADB4">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color w:val="auto"/>
                      <w:szCs w:val="21"/>
                      <w:lang w:val="en-US" w:eastAsia="zh-CN"/>
                    </w:rPr>
                    <w:t>二氧化碳</w:t>
                  </w:r>
                </w:p>
              </w:tc>
              <w:tc>
                <w:tcPr>
                  <w:tcW w:w="393" w:type="pct"/>
                  <w:tcBorders>
                    <w:tl2br w:val="nil"/>
                    <w:tr2bl w:val="nil"/>
                  </w:tcBorders>
                  <w:shd w:val="clear" w:color="auto" w:fill="auto"/>
                  <w:noWrap w:val="0"/>
                  <w:vAlign w:val="center"/>
                </w:tcPr>
                <w:p w14:paraId="01E09CFE">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瓶</w:t>
                  </w:r>
                </w:p>
              </w:tc>
              <w:tc>
                <w:tcPr>
                  <w:tcW w:w="637" w:type="pct"/>
                  <w:tcBorders>
                    <w:tl2br w:val="nil"/>
                    <w:tr2bl w:val="nil"/>
                  </w:tcBorders>
                  <w:shd w:val="clear" w:color="auto" w:fill="auto"/>
                  <w:noWrap w:val="0"/>
                  <w:vAlign w:val="center"/>
                </w:tcPr>
                <w:p w14:paraId="075AFF21">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500</w:t>
                  </w:r>
                </w:p>
              </w:tc>
              <w:tc>
                <w:tcPr>
                  <w:tcW w:w="1357" w:type="pct"/>
                  <w:tcBorders>
                    <w:tl2br w:val="nil"/>
                    <w:tr2bl w:val="nil"/>
                  </w:tcBorders>
                  <w:noWrap w:val="0"/>
                  <w:vAlign w:val="center"/>
                </w:tcPr>
                <w:p w14:paraId="0CB69948">
                  <w:pPr>
                    <w:widowControl/>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546" w:type="pct"/>
                  <w:tcBorders>
                    <w:tl2br w:val="nil"/>
                    <w:tr2bl w:val="nil"/>
                  </w:tcBorders>
                  <w:noWrap w:val="0"/>
                  <w:vAlign w:val="center"/>
                </w:tcPr>
                <w:p w14:paraId="2234628A">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20瓶</w:t>
                  </w:r>
                </w:p>
              </w:tc>
              <w:tc>
                <w:tcPr>
                  <w:tcW w:w="761" w:type="pct"/>
                  <w:tcBorders>
                    <w:tl2br w:val="nil"/>
                    <w:tr2bl w:val="nil"/>
                  </w:tcBorders>
                  <w:shd w:val="clear" w:color="auto" w:fill="auto"/>
                  <w:noWrap w:val="0"/>
                  <w:vAlign w:val="center"/>
                </w:tcPr>
                <w:p w14:paraId="7860C086">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auto"/>
                      <w:szCs w:val="21"/>
                      <w:lang w:val="en-US" w:eastAsia="zh-CN"/>
                    </w:rPr>
                    <w:t>焊接保护气</w:t>
                  </w:r>
                </w:p>
              </w:tc>
            </w:tr>
            <w:tr w14:paraId="19D37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8" w:type="pct"/>
                  <w:tcBorders>
                    <w:tl2br w:val="nil"/>
                    <w:tr2bl w:val="nil"/>
                  </w:tcBorders>
                  <w:noWrap w:val="0"/>
                  <w:vAlign w:val="center"/>
                </w:tcPr>
                <w:p w14:paraId="11213237">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4</w:t>
                  </w:r>
                </w:p>
              </w:tc>
              <w:tc>
                <w:tcPr>
                  <w:tcW w:w="874" w:type="pct"/>
                  <w:tcBorders>
                    <w:tl2br w:val="nil"/>
                    <w:tr2bl w:val="nil"/>
                  </w:tcBorders>
                  <w:shd w:val="clear" w:color="auto" w:fill="auto"/>
                  <w:noWrap w:val="0"/>
                  <w:vAlign w:val="center"/>
                </w:tcPr>
                <w:p w14:paraId="35C741CB">
                  <w:pPr>
                    <w:adjustRightInd w:val="0"/>
                    <w:snapToGrid w:val="0"/>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氩气</w:t>
                  </w:r>
                </w:p>
              </w:tc>
              <w:tc>
                <w:tcPr>
                  <w:tcW w:w="393" w:type="pct"/>
                  <w:tcBorders>
                    <w:tl2br w:val="nil"/>
                    <w:tr2bl w:val="nil"/>
                  </w:tcBorders>
                  <w:shd w:val="clear" w:color="auto" w:fill="auto"/>
                  <w:noWrap w:val="0"/>
                  <w:vAlign w:val="center"/>
                </w:tcPr>
                <w:p w14:paraId="6B4F144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Cs w:val="21"/>
                      <w:lang w:val="en-US" w:eastAsia="zh-CN"/>
                    </w:rPr>
                    <w:t>m³/a</w:t>
                  </w:r>
                </w:p>
              </w:tc>
              <w:tc>
                <w:tcPr>
                  <w:tcW w:w="637" w:type="pct"/>
                  <w:tcBorders>
                    <w:tl2br w:val="nil"/>
                    <w:tr2bl w:val="nil"/>
                  </w:tcBorders>
                  <w:shd w:val="clear" w:color="auto" w:fill="auto"/>
                  <w:noWrap w:val="0"/>
                  <w:vAlign w:val="center"/>
                </w:tcPr>
                <w:p w14:paraId="0009A69F">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color w:val="auto"/>
                      <w:szCs w:val="21"/>
                      <w:lang w:val="en-US" w:eastAsia="zh-CN"/>
                    </w:rPr>
                    <w:t>2000</w:t>
                  </w:r>
                </w:p>
              </w:tc>
              <w:tc>
                <w:tcPr>
                  <w:tcW w:w="1357" w:type="pct"/>
                  <w:tcBorders>
                    <w:tl2br w:val="nil"/>
                    <w:tr2bl w:val="nil"/>
                  </w:tcBorders>
                  <w:noWrap w:val="0"/>
                  <w:vAlign w:val="center"/>
                </w:tcPr>
                <w:p w14:paraId="1E83F374">
                  <w:pPr>
                    <w:widowControl/>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546" w:type="pct"/>
                  <w:tcBorders>
                    <w:tl2br w:val="nil"/>
                    <w:tr2bl w:val="nil"/>
                  </w:tcBorders>
                  <w:noWrap w:val="0"/>
                  <w:vAlign w:val="center"/>
                </w:tcPr>
                <w:p w14:paraId="7278369F">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10瓶</w:t>
                  </w:r>
                </w:p>
              </w:tc>
              <w:tc>
                <w:tcPr>
                  <w:tcW w:w="761" w:type="pct"/>
                  <w:tcBorders>
                    <w:tl2br w:val="nil"/>
                    <w:tr2bl w:val="nil"/>
                  </w:tcBorders>
                  <w:shd w:val="clear" w:color="auto" w:fill="auto"/>
                  <w:noWrap w:val="0"/>
                  <w:vAlign w:val="center"/>
                </w:tcPr>
                <w:p w14:paraId="0ABA77FA">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激光焊</w:t>
                  </w:r>
                </w:p>
              </w:tc>
            </w:tr>
            <w:tr w14:paraId="007B1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8" w:type="pct"/>
                  <w:tcBorders>
                    <w:tl2br w:val="nil"/>
                    <w:tr2bl w:val="nil"/>
                  </w:tcBorders>
                  <w:noWrap w:val="0"/>
                  <w:vAlign w:val="center"/>
                </w:tcPr>
                <w:p w14:paraId="4ED1162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5</w:t>
                  </w:r>
                </w:p>
              </w:tc>
              <w:tc>
                <w:tcPr>
                  <w:tcW w:w="874" w:type="pct"/>
                  <w:tcBorders>
                    <w:tl2br w:val="nil"/>
                    <w:tr2bl w:val="nil"/>
                  </w:tcBorders>
                  <w:shd w:val="clear" w:color="auto" w:fill="auto"/>
                  <w:noWrap w:val="0"/>
                  <w:vAlign w:val="center"/>
                </w:tcPr>
                <w:p w14:paraId="60A033F2">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eastAsia="宋体" w:cs="Times New Roman"/>
                      <w:color w:val="auto"/>
                      <w:sz w:val="21"/>
                      <w:szCs w:val="21"/>
                      <w:lang w:val="en-US" w:eastAsia="zh-CN"/>
                    </w:rPr>
                    <w:t>钢丸</w:t>
                  </w:r>
                </w:p>
              </w:tc>
              <w:tc>
                <w:tcPr>
                  <w:tcW w:w="393" w:type="pct"/>
                  <w:tcBorders>
                    <w:tl2br w:val="nil"/>
                    <w:tr2bl w:val="nil"/>
                  </w:tcBorders>
                  <w:shd w:val="clear" w:color="auto" w:fill="auto"/>
                  <w:noWrap w:val="0"/>
                  <w:vAlign w:val="center"/>
                </w:tcPr>
                <w:p w14:paraId="10469881">
                  <w:pPr>
                    <w:adjustRightInd w:val="0"/>
                    <w:snapToGrid w:val="0"/>
                    <w:jc w:val="center"/>
                    <w:rPr>
                      <w:rFonts w:hint="default" w:ascii="Times New Roman" w:hAnsi="Times New Roman" w:cs="Times New Roman"/>
                      <w:sz w:val="21"/>
                      <w:szCs w:val="21"/>
                    </w:rPr>
                  </w:pPr>
                  <w:r>
                    <w:rPr>
                      <w:rFonts w:hint="default" w:ascii="Times New Roman" w:hAnsi="Times New Roman" w:cs="Times New Roman"/>
                      <w:color w:val="auto"/>
                      <w:sz w:val="21"/>
                      <w:szCs w:val="21"/>
                    </w:rPr>
                    <w:t>t/a</w:t>
                  </w:r>
                </w:p>
              </w:tc>
              <w:tc>
                <w:tcPr>
                  <w:tcW w:w="637" w:type="pct"/>
                  <w:tcBorders>
                    <w:tl2br w:val="nil"/>
                    <w:tr2bl w:val="nil"/>
                  </w:tcBorders>
                  <w:shd w:val="clear" w:color="auto" w:fill="auto"/>
                  <w:noWrap w:val="0"/>
                  <w:vAlign w:val="center"/>
                </w:tcPr>
                <w:p w14:paraId="7869808F">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8</w:t>
                  </w:r>
                </w:p>
              </w:tc>
              <w:tc>
                <w:tcPr>
                  <w:tcW w:w="1357" w:type="pct"/>
                  <w:tcBorders>
                    <w:tl2br w:val="nil"/>
                    <w:tr2bl w:val="nil"/>
                  </w:tcBorders>
                  <w:noWrap w:val="0"/>
                  <w:vAlign w:val="center"/>
                </w:tcPr>
                <w:p w14:paraId="21180A1B">
                  <w:pPr>
                    <w:widowControl/>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546" w:type="pct"/>
                  <w:tcBorders>
                    <w:tl2br w:val="nil"/>
                    <w:tr2bl w:val="nil"/>
                  </w:tcBorders>
                  <w:noWrap w:val="0"/>
                  <w:vAlign w:val="center"/>
                </w:tcPr>
                <w:p w14:paraId="41ABCBDC">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w:t>
                  </w:r>
                  <w:r>
                    <w:rPr>
                      <w:rFonts w:hint="default" w:ascii="Times New Roman" w:hAnsi="Times New Roman" w:cs="Times New Roman"/>
                      <w:color w:val="auto"/>
                      <w:sz w:val="21"/>
                      <w:szCs w:val="21"/>
                    </w:rPr>
                    <w:t>t/a</w:t>
                  </w:r>
                </w:p>
              </w:tc>
              <w:tc>
                <w:tcPr>
                  <w:tcW w:w="761" w:type="pct"/>
                  <w:tcBorders>
                    <w:tl2br w:val="nil"/>
                    <w:tr2bl w:val="nil"/>
                  </w:tcBorders>
                  <w:shd w:val="clear" w:color="auto" w:fill="auto"/>
                  <w:noWrap w:val="0"/>
                  <w:vAlign w:val="center"/>
                </w:tcPr>
                <w:p w14:paraId="15BC27AA">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7EFF5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8" w:type="pct"/>
                  <w:tcBorders>
                    <w:tl2br w:val="nil"/>
                    <w:tr2bl w:val="nil"/>
                  </w:tcBorders>
                  <w:noWrap w:val="0"/>
                  <w:vAlign w:val="center"/>
                </w:tcPr>
                <w:p w14:paraId="4749BEA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6</w:t>
                  </w:r>
                </w:p>
              </w:tc>
              <w:tc>
                <w:tcPr>
                  <w:tcW w:w="874" w:type="pct"/>
                  <w:tcBorders>
                    <w:tl2br w:val="nil"/>
                    <w:tr2bl w:val="nil"/>
                  </w:tcBorders>
                  <w:shd w:val="clear" w:color="auto" w:fill="auto"/>
                  <w:noWrap w:val="0"/>
                  <w:vAlign w:val="center"/>
                </w:tcPr>
                <w:p w14:paraId="645AE901">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塑粉</w:t>
                  </w:r>
                </w:p>
              </w:tc>
              <w:tc>
                <w:tcPr>
                  <w:tcW w:w="393" w:type="pct"/>
                  <w:tcBorders>
                    <w:tl2br w:val="nil"/>
                    <w:tr2bl w:val="nil"/>
                  </w:tcBorders>
                  <w:shd w:val="clear" w:color="auto" w:fill="auto"/>
                  <w:noWrap w:val="0"/>
                  <w:vAlign w:val="center"/>
                </w:tcPr>
                <w:p w14:paraId="622DE2ED">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color w:val="auto"/>
                      <w:sz w:val="21"/>
                      <w:szCs w:val="21"/>
                    </w:rPr>
                    <w:t>t/a</w:t>
                  </w:r>
                </w:p>
              </w:tc>
              <w:tc>
                <w:tcPr>
                  <w:tcW w:w="637" w:type="pct"/>
                  <w:tcBorders>
                    <w:tl2br w:val="nil"/>
                    <w:tr2bl w:val="nil"/>
                  </w:tcBorders>
                  <w:shd w:val="clear" w:color="auto" w:fill="auto"/>
                  <w:noWrap w:val="0"/>
                  <w:vAlign w:val="center"/>
                </w:tcPr>
                <w:p w14:paraId="07E1C7EF">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24.015</w:t>
                  </w:r>
                </w:p>
              </w:tc>
              <w:tc>
                <w:tcPr>
                  <w:tcW w:w="1357" w:type="pct"/>
                  <w:tcBorders>
                    <w:tl2br w:val="nil"/>
                    <w:tr2bl w:val="nil"/>
                  </w:tcBorders>
                  <w:noWrap w:val="0"/>
                  <w:vAlign w:val="center"/>
                </w:tcPr>
                <w:p w14:paraId="2ED8621B">
                  <w:pPr>
                    <w:widowControl/>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p>
              </w:tc>
              <w:tc>
                <w:tcPr>
                  <w:tcW w:w="546" w:type="pct"/>
                  <w:tcBorders>
                    <w:tl2br w:val="nil"/>
                    <w:tr2bl w:val="nil"/>
                  </w:tcBorders>
                  <w:noWrap w:val="0"/>
                  <w:vAlign w:val="center"/>
                </w:tcPr>
                <w:p w14:paraId="122F86B8">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0.5</w:t>
                  </w:r>
                  <w:r>
                    <w:rPr>
                      <w:rFonts w:hint="default" w:ascii="Times New Roman" w:hAnsi="Times New Roman" w:cs="Times New Roman"/>
                      <w:color w:val="auto"/>
                      <w:sz w:val="21"/>
                      <w:szCs w:val="21"/>
                    </w:rPr>
                    <w:t>t/a</w:t>
                  </w:r>
                </w:p>
              </w:tc>
              <w:tc>
                <w:tcPr>
                  <w:tcW w:w="761" w:type="pct"/>
                  <w:tcBorders>
                    <w:tl2br w:val="nil"/>
                    <w:tr2bl w:val="nil"/>
                  </w:tcBorders>
                  <w:shd w:val="clear" w:color="auto" w:fill="auto"/>
                  <w:noWrap w:val="0"/>
                  <w:vAlign w:val="center"/>
                </w:tcPr>
                <w:p w14:paraId="213D9BED">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61A4A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8" w:type="pct"/>
                  <w:tcBorders>
                    <w:tl2br w:val="nil"/>
                    <w:tr2bl w:val="nil"/>
                  </w:tcBorders>
                  <w:noWrap w:val="0"/>
                  <w:vAlign w:val="center"/>
                </w:tcPr>
                <w:p w14:paraId="66F45C84">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7</w:t>
                  </w:r>
                </w:p>
              </w:tc>
              <w:tc>
                <w:tcPr>
                  <w:tcW w:w="874" w:type="pct"/>
                  <w:tcBorders>
                    <w:tl2br w:val="nil"/>
                    <w:tr2bl w:val="nil"/>
                  </w:tcBorders>
                  <w:shd w:val="clear" w:color="auto" w:fill="auto"/>
                  <w:noWrap w:val="0"/>
                  <w:vAlign w:val="center"/>
                </w:tcPr>
                <w:p w14:paraId="7D8DCD2A">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color w:val="auto"/>
                      <w:highlight w:val="none"/>
                      <w:lang w:eastAsia="zh-CN"/>
                    </w:rPr>
                    <w:t>蓝灰水性环氧底漆</w:t>
                  </w:r>
                </w:p>
              </w:tc>
              <w:tc>
                <w:tcPr>
                  <w:tcW w:w="393" w:type="pct"/>
                  <w:tcBorders>
                    <w:tl2br w:val="nil"/>
                    <w:tr2bl w:val="nil"/>
                  </w:tcBorders>
                  <w:shd w:val="clear" w:color="auto" w:fill="auto"/>
                  <w:noWrap w:val="0"/>
                  <w:vAlign w:val="center"/>
                </w:tcPr>
                <w:p w14:paraId="111A96F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637" w:type="pct"/>
                  <w:tcBorders>
                    <w:tl2br w:val="nil"/>
                    <w:tr2bl w:val="nil"/>
                  </w:tcBorders>
                  <w:shd w:val="clear" w:color="auto" w:fill="auto"/>
                  <w:noWrap w:val="0"/>
                  <w:vAlign w:val="center"/>
                </w:tcPr>
                <w:p w14:paraId="47FC8A78">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1.136</w:t>
                  </w:r>
                </w:p>
              </w:tc>
              <w:tc>
                <w:tcPr>
                  <w:tcW w:w="1357" w:type="pct"/>
                  <w:tcBorders>
                    <w:tl2br w:val="nil"/>
                    <w:tr2bl w:val="nil"/>
                  </w:tcBorders>
                  <w:noWrap w:val="0"/>
                  <w:vAlign w:val="center"/>
                </w:tcPr>
                <w:p w14:paraId="23D071F1">
                  <w:pPr>
                    <w:widowControl/>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auto"/>
                      <w:szCs w:val="21"/>
                      <w:highlight w:val="none"/>
                    </w:rPr>
                    <w:t>20kg/桶</w:t>
                  </w:r>
                </w:p>
              </w:tc>
              <w:tc>
                <w:tcPr>
                  <w:tcW w:w="546" w:type="pct"/>
                  <w:tcBorders>
                    <w:tl2br w:val="nil"/>
                    <w:tr2bl w:val="nil"/>
                  </w:tcBorders>
                  <w:noWrap w:val="0"/>
                  <w:vAlign w:val="center"/>
                </w:tcPr>
                <w:p w14:paraId="2BB9A368">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w:t>
                  </w:r>
                  <w:r>
                    <w:rPr>
                      <w:rFonts w:hint="default" w:ascii="Times New Roman" w:hAnsi="Times New Roman" w:cs="Times New Roman"/>
                      <w:color w:val="auto"/>
                      <w:sz w:val="21"/>
                      <w:szCs w:val="21"/>
                    </w:rPr>
                    <w:t>t/a</w:t>
                  </w:r>
                </w:p>
              </w:tc>
              <w:tc>
                <w:tcPr>
                  <w:tcW w:w="761" w:type="pct"/>
                  <w:tcBorders>
                    <w:tl2br w:val="nil"/>
                    <w:tr2bl w:val="nil"/>
                  </w:tcBorders>
                  <w:shd w:val="clear" w:color="auto" w:fill="auto"/>
                  <w:noWrap w:val="0"/>
                  <w:vAlign w:val="center"/>
                </w:tcPr>
                <w:p w14:paraId="669DC40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底漆</w:t>
                  </w:r>
                </w:p>
              </w:tc>
            </w:tr>
            <w:tr w14:paraId="4248D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8" w:type="pct"/>
                  <w:tcBorders>
                    <w:tl2br w:val="nil"/>
                    <w:tr2bl w:val="nil"/>
                  </w:tcBorders>
                  <w:noWrap w:val="0"/>
                  <w:vAlign w:val="center"/>
                </w:tcPr>
                <w:p w14:paraId="2D9F1A56">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8</w:t>
                  </w:r>
                </w:p>
              </w:tc>
              <w:tc>
                <w:tcPr>
                  <w:tcW w:w="874" w:type="pct"/>
                  <w:tcBorders>
                    <w:tl2br w:val="nil"/>
                    <w:tr2bl w:val="nil"/>
                  </w:tcBorders>
                  <w:shd w:val="clear" w:color="auto" w:fill="auto"/>
                  <w:noWrap w:val="0"/>
                  <w:vAlign w:val="center"/>
                </w:tcPr>
                <w:p w14:paraId="6E1F2969">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color w:val="auto"/>
                      <w:highlight w:val="none"/>
                      <w:lang w:eastAsia="zh-CN"/>
                    </w:rPr>
                    <w:t>水性醇酸漆</w:t>
                  </w:r>
                </w:p>
              </w:tc>
              <w:tc>
                <w:tcPr>
                  <w:tcW w:w="393" w:type="pct"/>
                  <w:tcBorders>
                    <w:tl2br w:val="nil"/>
                    <w:tr2bl w:val="nil"/>
                  </w:tcBorders>
                  <w:shd w:val="clear" w:color="auto" w:fill="auto"/>
                  <w:noWrap w:val="0"/>
                  <w:vAlign w:val="center"/>
                </w:tcPr>
                <w:p w14:paraId="6B0E07B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637" w:type="pct"/>
                  <w:tcBorders>
                    <w:tl2br w:val="nil"/>
                    <w:tr2bl w:val="nil"/>
                  </w:tcBorders>
                  <w:shd w:val="clear" w:color="auto" w:fill="auto"/>
                  <w:noWrap w:val="0"/>
                  <w:vAlign w:val="center"/>
                </w:tcPr>
                <w:p w14:paraId="3A191D88">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2.012</w:t>
                  </w:r>
                </w:p>
              </w:tc>
              <w:tc>
                <w:tcPr>
                  <w:tcW w:w="1357" w:type="pct"/>
                  <w:tcBorders>
                    <w:tl2br w:val="nil"/>
                    <w:tr2bl w:val="nil"/>
                  </w:tcBorders>
                  <w:noWrap w:val="0"/>
                  <w:vAlign w:val="center"/>
                </w:tcPr>
                <w:p w14:paraId="72926432">
                  <w:pPr>
                    <w:widowControl/>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auto"/>
                      <w:szCs w:val="21"/>
                      <w:highlight w:val="none"/>
                    </w:rPr>
                    <w:t>20kg/桶</w:t>
                  </w:r>
                </w:p>
              </w:tc>
              <w:tc>
                <w:tcPr>
                  <w:tcW w:w="546" w:type="pct"/>
                  <w:tcBorders>
                    <w:tl2br w:val="nil"/>
                    <w:tr2bl w:val="nil"/>
                  </w:tcBorders>
                  <w:noWrap w:val="0"/>
                  <w:vAlign w:val="center"/>
                </w:tcPr>
                <w:p w14:paraId="7812F75A">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w:t>
                  </w:r>
                  <w:r>
                    <w:rPr>
                      <w:rFonts w:hint="default" w:ascii="Times New Roman" w:hAnsi="Times New Roman" w:cs="Times New Roman"/>
                      <w:color w:val="auto"/>
                      <w:sz w:val="21"/>
                      <w:szCs w:val="21"/>
                    </w:rPr>
                    <w:t>t/a</w:t>
                  </w:r>
                </w:p>
              </w:tc>
              <w:tc>
                <w:tcPr>
                  <w:tcW w:w="761" w:type="pct"/>
                  <w:tcBorders>
                    <w:tl2br w:val="nil"/>
                    <w:tr2bl w:val="nil"/>
                  </w:tcBorders>
                  <w:shd w:val="clear" w:color="auto" w:fill="auto"/>
                  <w:noWrap w:val="0"/>
                  <w:vAlign w:val="center"/>
                </w:tcPr>
                <w:p w14:paraId="0EE8C37C">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面漆</w:t>
                  </w:r>
                </w:p>
              </w:tc>
            </w:tr>
            <w:tr w14:paraId="5A030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8" w:type="pct"/>
                  <w:tcBorders>
                    <w:tl2br w:val="nil"/>
                    <w:tr2bl w:val="nil"/>
                  </w:tcBorders>
                  <w:noWrap w:val="0"/>
                  <w:vAlign w:val="center"/>
                </w:tcPr>
                <w:p w14:paraId="3ADE1E1A">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9</w:t>
                  </w:r>
                </w:p>
              </w:tc>
              <w:tc>
                <w:tcPr>
                  <w:tcW w:w="874" w:type="pct"/>
                  <w:tcBorders>
                    <w:tl2br w:val="nil"/>
                    <w:tr2bl w:val="nil"/>
                  </w:tcBorders>
                  <w:shd w:val="clear" w:color="auto" w:fill="auto"/>
                  <w:noWrap w:val="0"/>
                  <w:vAlign w:val="center"/>
                </w:tcPr>
                <w:p w14:paraId="349073DB">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color w:val="auto"/>
                      <w:szCs w:val="21"/>
                      <w:highlight w:val="none"/>
                      <w:lang w:val="en-US" w:eastAsia="zh-CN"/>
                    </w:rPr>
                    <w:t>过滤棉</w:t>
                  </w:r>
                </w:p>
              </w:tc>
              <w:tc>
                <w:tcPr>
                  <w:tcW w:w="393" w:type="pct"/>
                  <w:tcBorders>
                    <w:tl2br w:val="nil"/>
                    <w:tr2bl w:val="nil"/>
                  </w:tcBorders>
                  <w:shd w:val="clear" w:color="auto" w:fill="auto"/>
                  <w:noWrap w:val="0"/>
                  <w:vAlign w:val="center"/>
                </w:tcPr>
                <w:p w14:paraId="5D9695C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637" w:type="pct"/>
                  <w:tcBorders>
                    <w:tl2br w:val="nil"/>
                    <w:tr2bl w:val="nil"/>
                  </w:tcBorders>
                  <w:shd w:val="clear" w:color="auto" w:fill="auto"/>
                  <w:noWrap w:val="0"/>
                  <w:vAlign w:val="center"/>
                </w:tcPr>
                <w:p w14:paraId="1105CC9C">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auto"/>
                      <w:kern w:val="0"/>
                      <w:sz w:val="20"/>
                      <w:szCs w:val="20"/>
                      <w:lang w:val="en-US" w:eastAsia="zh-CN" w:bidi="ar"/>
                    </w:rPr>
                    <w:t>0.02</w:t>
                  </w:r>
                </w:p>
              </w:tc>
              <w:tc>
                <w:tcPr>
                  <w:tcW w:w="1357" w:type="pct"/>
                  <w:tcBorders>
                    <w:tl2br w:val="nil"/>
                    <w:tr2bl w:val="nil"/>
                  </w:tcBorders>
                  <w:noWrap w:val="0"/>
                  <w:vAlign w:val="center"/>
                </w:tcPr>
                <w:p w14:paraId="158B3698">
                  <w:pPr>
                    <w:widowControl/>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auto"/>
                      <w:kern w:val="0"/>
                      <w:sz w:val="20"/>
                      <w:szCs w:val="20"/>
                      <w:lang w:val="en-US" w:eastAsia="zh-CN" w:bidi="ar"/>
                    </w:rPr>
                    <w:t>G4</w:t>
                  </w:r>
                </w:p>
              </w:tc>
              <w:tc>
                <w:tcPr>
                  <w:tcW w:w="546" w:type="pct"/>
                  <w:tcBorders>
                    <w:tl2br w:val="nil"/>
                    <w:tr2bl w:val="nil"/>
                  </w:tcBorders>
                  <w:noWrap w:val="0"/>
                  <w:vAlign w:val="center"/>
                </w:tcPr>
                <w:p w14:paraId="40BEE9AE">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0.02</w:t>
                  </w:r>
                  <w:r>
                    <w:rPr>
                      <w:rFonts w:hint="default" w:ascii="Times New Roman" w:hAnsi="Times New Roman" w:cs="Times New Roman"/>
                      <w:color w:val="auto"/>
                      <w:sz w:val="21"/>
                      <w:szCs w:val="21"/>
                    </w:rPr>
                    <w:t>t/a</w:t>
                  </w:r>
                </w:p>
              </w:tc>
              <w:tc>
                <w:tcPr>
                  <w:tcW w:w="761" w:type="pct"/>
                  <w:tcBorders>
                    <w:tl2br w:val="nil"/>
                    <w:tr2bl w:val="nil"/>
                  </w:tcBorders>
                  <w:shd w:val="clear" w:color="auto" w:fill="auto"/>
                  <w:noWrap w:val="0"/>
                  <w:vAlign w:val="center"/>
                </w:tcPr>
                <w:p w14:paraId="0F64967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4CC0F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8" w:type="pct"/>
                  <w:tcBorders>
                    <w:tl2br w:val="nil"/>
                    <w:tr2bl w:val="nil"/>
                  </w:tcBorders>
                  <w:noWrap w:val="0"/>
                  <w:vAlign w:val="center"/>
                </w:tcPr>
                <w:p w14:paraId="2B32142F">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10</w:t>
                  </w:r>
                </w:p>
              </w:tc>
              <w:tc>
                <w:tcPr>
                  <w:tcW w:w="874" w:type="pct"/>
                  <w:tcBorders>
                    <w:tl2br w:val="nil"/>
                    <w:tr2bl w:val="nil"/>
                  </w:tcBorders>
                  <w:shd w:val="clear" w:color="auto" w:fill="auto"/>
                  <w:noWrap w:val="0"/>
                  <w:vAlign w:val="center"/>
                </w:tcPr>
                <w:p w14:paraId="1B617D05">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color w:val="auto"/>
                      <w:szCs w:val="21"/>
                      <w:highlight w:val="none"/>
                      <w:lang w:val="en-US" w:eastAsia="zh-CN"/>
                    </w:rPr>
                    <w:t>干式纸盒</w:t>
                  </w:r>
                </w:p>
              </w:tc>
              <w:tc>
                <w:tcPr>
                  <w:tcW w:w="393" w:type="pct"/>
                  <w:tcBorders>
                    <w:tl2br w:val="nil"/>
                    <w:tr2bl w:val="nil"/>
                  </w:tcBorders>
                  <w:shd w:val="clear" w:color="auto" w:fill="auto"/>
                  <w:noWrap w:val="0"/>
                  <w:vAlign w:val="center"/>
                </w:tcPr>
                <w:p w14:paraId="20B3FC8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Cs w:val="21"/>
                      <w:highlight w:val="none"/>
                    </w:rPr>
                    <w:t>t/a</w:t>
                  </w:r>
                </w:p>
              </w:tc>
              <w:tc>
                <w:tcPr>
                  <w:tcW w:w="637" w:type="pct"/>
                  <w:tcBorders>
                    <w:tl2br w:val="nil"/>
                    <w:tr2bl w:val="nil"/>
                  </w:tcBorders>
                  <w:shd w:val="clear" w:color="auto" w:fill="auto"/>
                  <w:noWrap w:val="0"/>
                  <w:vAlign w:val="center"/>
                </w:tcPr>
                <w:p w14:paraId="5A0B791E">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0.5</w:t>
                  </w:r>
                </w:p>
              </w:tc>
              <w:tc>
                <w:tcPr>
                  <w:tcW w:w="1357" w:type="pct"/>
                  <w:tcBorders>
                    <w:tl2br w:val="nil"/>
                    <w:tr2bl w:val="nil"/>
                  </w:tcBorders>
                  <w:noWrap w:val="0"/>
                  <w:vAlign w:val="center"/>
                </w:tcPr>
                <w:p w14:paraId="483300E7">
                  <w:pPr>
                    <w:widowControl/>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p>
              </w:tc>
              <w:tc>
                <w:tcPr>
                  <w:tcW w:w="546" w:type="pct"/>
                  <w:tcBorders>
                    <w:tl2br w:val="nil"/>
                    <w:tr2bl w:val="nil"/>
                  </w:tcBorders>
                  <w:noWrap w:val="0"/>
                  <w:vAlign w:val="center"/>
                </w:tcPr>
                <w:p w14:paraId="34F5F67C">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0.5</w:t>
                  </w:r>
                  <w:r>
                    <w:rPr>
                      <w:rFonts w:hint="default" w:ascii="Times New Roman" w:hAnsi="Times New Roman" w:cs="Times New Roman"/>
                      <w:color w:val="auto"/>
                      <w:sz w:val="21"/>
                      <w:szCs w:val="21"/>
                    </w:rPr>
                    <w:t>t/a</w:t>
                  </w:r>
                </w:p>
              </w:tc>
              <w:tc>
                <w:tcPr>
                  <w:tcW w:w="761" w:type="pct"/>
                  <w:tcBorders>
                    <w:tl2br w:val="nil"/>
                    <w:tr2bl w:val="nil"/>
                  </w:tcBorders>
                  <w:shd w:val="clear" w:color="auto" w:fill="auto"/>
                  <w:noWrap w:val="0"/>
                  <w:vAlign w:val="center"/>
                </w:tcPr>
                <w:p w14:paraId="599C60D4">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580BA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8" w:type="pct"/>
                  <w:tcBorders>
                    <w:tl2br w:val="nil"/>
                    <w:tr2bl w:val="nil"/>
                  </w:tcBorders>
                  <w:noWrap w:val="0"/>
                  <w:vAlign w:val="center"/>
                </w:tcPr>
                <w:p w14:paraId="27C8EBA3">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11</w:t>
                  </w:r>
                </w:p>
              </w:tc>
              <w:tc>
                <w:tcPr>
                  <w:tcW w:w="874" w:type="pct"/>
                  <w:tcBorders>
                    <w:tl2br w:val="nil"/>
                    <w:tr2bl w:val="nil"/>
                  </w:tcBorders>
                  <w:shd w:val="clear" w:color="auto" w:fill="auto"/>
                  <w:noWrap w:val="0"/>
                  <w:vAlign w:val="center"/>
                </w:tcPr>
                <w:p w14:paraId="59C689DB">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液化天然气</w:t>
                  </w:r>
                </w:p>
              </w:tc>
              <w:tc>
                <w:tcPr>
                  <w:tcW w:w="393" w:type="pct"/>
                  <w:tcBorders>
                    <w:tl2br w:val="nil"/>
                    <w:tr2bl w:val="nil"/>
                  </w:tcBorders>
                  <w:shd w:val="clear" w:color="auto" w:fill="auto"/>
                  <w:noWrap w:val="0"/>
                  <w:vAlign w:val="center"/>
                </w:tcPr>
                <w:p w14:paraId="3FEAEFC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m³</w:t>
                  </w:r>
                  <w:r>
                    <w:rPr>
                      <w:rFonts w:hint="default" w:ascii="Times New Roman" w:hAnsi="Times New Roman" w:cs="Times New Roman"/>
                      <w:color w:val="auto"/>
                      <w:sz w:val="21"/>
                      <w:szCs w:val="21"/>
                    </w:rPr>
                    <w:t>/a</w:t>
                  </w:r>
                </w:p>
              </w:tc>
              <w:tc>
                <w:tcPr>
                  <w:tcW w:w="637" w:type="pct"/>
                  <w:tcBorders>
                    <w:tl2br w:val="nil"/>
                    <w:tr2bl w:val="nil"/>
                  </w:tcBorders>
                  <w:shd w:val="clear" w:color="auto" w:fill="auto"/>
                  <w:noWrap w:val="0"/>
                  <w:vAlign w:val="center"/>
                </w:tcPr>
                <w:p w14:paraId="126ED2C6">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84</w:t>
                  </w:r>
                </w:p>
              </w:tc>
              <w:tc>
                <w:tcPr>
                  <w:tcW w:w="1357" w:type="pct"/>
                  <w:tcBorders>
                    <w:tl2br w:val="nil"/>
                    <w:tr2bl w:val="nil"/>
                  </w:tcBorders>
                  <w:noWrap w:val="0"/>
                  <w:vAlign w:val="center"/>
                </w:tcPr>
                <w:p w14:paraId="74F245B5">
                  <w:pPr>
                    <w:widowControl/>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液态LNG</w:t>
                  </w:r>
                </w:p>
              </w:tc>
              <w:tc>
                <w:tcPr>
                  <w:tcW w:w="546" w:type="pct"/>
                  <w:tcBorders>
                    <w:tl2br w:val="nil"/>
                    <w:tr2bl w:val="nil"/>
                  </w:tcBorders>
                  <w:noWrap w:val="0"/>
                  <w:vAlign w:val="center"/>
                </w:tcPr>
                <w:p w14:paraId="022F72BD">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存储0.5m³</w:t>
                  </w:r>
                </w:p>
              </w:tc>
              <w:tc>
                <w:tcPr>
                  <w:tcW w:w="761" w:type="pct"/>
                  <w:tcBorders>
                    <w:tl2br w:val="nil"/>
                    <w:tr2bl w:val="nil"/>
                  </w:tcBorders>
                  <w:shd w:val="clear" w:color="auto" w:fill="auto"/>
                  <w:noWrap w:val="0"/>
                  <w:vAlign w:val="center"/>
                </w:tcPr>
                <w:p w14:paraId="3AEB1818">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常压瓶装储存</w:t>
                  </w:r>
                </w:p>
              </w:tc>
            </w:tr>
            <w:tr w14:paraId="52EB6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8" w:type="pct"/>
                  <w:tcBorders>
                    <w:tl2br w:val="nil"/>
                    <w:tr2bl w:val="nil"/>
                  </w:tcBorders>
                  <w:noWrap w:val="0"/>
                  <w:vAlign w:val="center"/>
                </w:tcPr>
                <w:p w14:paraId="769A9926">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12</w:t>
                  </w:r>
                </w:p>
              </w:tc>
              <w:tc>
                <w:tcPr>
                  <w:tcW w:w="874" w:type="pct"/>
                  <w:tcBorders>
                    <w:tl2br w:val="nil"/>
                    <w:tr2bl w:val="nil"/>
                  </w:tcBorders>
                  <w:shd w:val="clear" w:color="auto" w:fill="auto"/>
                  <w:noWrap w:val="0"/>
                  <w:vAlign w:val="center"/>
                </w:tcPr>
                <w:p w14:paraId="38A46C22">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活性炭</w:t>
                  </w:r>
                </w:p>
              </w:tc>
              <w:tc>
                <w:tcPr>
                  <w:tcW w:w="393" w:type="pct"/>
                  <w:tcBorders>
                    <w:tl2br w:val="nil"/>
                    <w:tr2bl w:val="nil"/>
                  </w:tcBorders>
                  <w:shd w:val="clear" w:color="auto" w:fill="auto"/>
                  <w:noWrap w:val="0"/>
                  <w:vAlign w:val="center"/>
                </w:tcPr>
                <w:p w14:paraId="00366DE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637" w:type="pct"/>
                  <w:tcBorders>
                    <w:tl2br w:val="nil"/>
                    <w:tr2bl w:val="nil"/>
                  </w:tcBorders>
                  <w:shd w:val="clear" w:color="auto" w:fill="auto"/>
                  <w:noWrap w:val="0"/>
                  <w:vAlign w:val="center"/>
                </w:tcPr>
                <w:p w14:paraId="36EB8E62">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1357" w:type="pct"/>
                  <w:tcBorders>
                    <w:tl2br w:val="nil"/>
                    <w:tr2bl w:val="nil"/>
                  </w:tcBorders>
                  <w:noWrap w:val="0"/>
                  <w:vAlign w:val="center"/>
                </w:tcPr>
                <w:p w14:paraId="14868540">
                  <w:pPr>
                    <w:widowControl/>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auto"/>
                      <w:kern w:val="0"/>
                      <w:szCs w:val="21"/>
                      <w:highlight w:val="none"/>
                      <w:lang w:val="en-US" w:eastAsia="zh-CN" w:bidi="ar"/>
                    </w:rPr>
                    <w:t>碘值800mg/g-1000mg/g</w:t>
                  </w:r>
                </w:p>
              </w:tc>
              <w:tc>
                <w:tcPr>
                  <w:tcW w:w="546" w:type="pct"/>
                  <w:tcBorders>
                    <w:tl2br w:val="nil"/>
                    <w:tr2bl w:val="nil"/>
                  </w:tcBorders>
                  <w:noWrap w:val="0"/>
                  <w:vAlign w:val="center"/>
                </w:tcPr>
                <w:p w14:paraId="29D795E1">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761" w:type="pct"/>
                  <w:tcBorders>
                    <w:tl2br w:val="nil"/>
                    <w:tr2bl w:val="nil"/>
                  </w:tcBorders>
                  <w:shd w:val="clear" w:color="auto" w:fill="auto"/>
                  <w:noWrap w:val="0"/>
                  <w:vAlign w:val="center"/>
                </w:tcPr>
                <w:p w14:paraId="791BAB1E">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70366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28" w:type="pct"/>
                  <w:tcBorders>
                    <w:tl2br w:val="nil"/>
                    <w:tr2bl w:val="nil"/>
                  </w:tcBorders>
                  <w:noWrap w:val="0"/>
                  <w:vAlign w:val="center"/>
                </w:tcPr>
                <w:p w14:paraId="57C7665F">
                  <w:p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13</w:t>
                  </w:r>
                </w:p>
              </w:tc>
              <w:tc>
                <w:tcPr>
                  <w:tcW w:w="874" w:type="pct"/>
                  <w:tcBorders>
                    <w:tl2br w:val="nil"/>
                    <w:tr2bl w:val="nil"/>
                  </w:tcBorders>
                  <w:shd w:val="clear" w:color="auto" w:fill="auto"/>
                  <w:noWrap w:val="0"/>
                  <w:vAlign w:val="center"/>
                </w:tcPr>
                <w:p w14:paraId="2DA60C30">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润滑油</w:t>
                  </w:r>
                </w:p>
              </w:tc>
              <w:tc>
                <w:tcPr>
                  <w:tcW w:w="393" w:type="pct"/>
                  <w:tcBorders>
                    <w:tl2br w:val="nil"/>
                    <w:tr2bl w:val="nil"/>
                  </w:tcBorders>
                  <w:shd w:val="clear" w:color="auto" w:fill="auto"/>
                  <w:noWrap w:val="0"/>
                  <w:vAlign w:val="center"/>
                </w:tcPr>
                <w:p w14:paraId="1BE1171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637" w:type="pct"/>
                  <w:tcBorders>
                    <w:tl2br w:val="nil"/>
                    <w:tr2bl w:val="nil"/>
                  </w:tcBorders>
                  <w:shd w:val="clear" w:color="auto" w:fill="auto"/>
                  <w:noWrap w:val="0"/>
                  <w:vAlign w:val="center"/>
                </w:tcPr>
                <w:p w14:paraId="2DD44A43">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w:t>
                  </w:r>
                </w:p>
              </w:tc>
              <w:tc>
                <w:tcPr>
                  <w:tcW w:w="1357" w:type="pct"/>
                  <w:tcBorders>
                    <w:tl2br w:val="nil"/>
                    <w:tr2bl w:val="nil"/>
                  </w:tcBorders>
                  <w:noWrap w:val="0"/>
                  <w:vAlign w:val="center"/>
                </w:tcPr>
                <w:p w14:paraId="2ACB8A4E">
                  <w:pPr>
                    <w:widowControl/>
                    <w:jc w:val="center"/>
                    <w:textAlignment w:val="center"/>
                    <w:rPr>
                      <w:rFonts w:hint="default" w:ascii="Times New Roman" w:hAnsi="Times New Roman" w:cs="Times New Roman"/>
                      <w:color w:val="auto"/>
                      <w:kern w:val="0"/>
                      <w:szCs w:val="21"/>
                      <w:highlight w:val="none"/>
                      <w:lang w:val="en-US" w:eastAsia="zh-CN" w:bidi="ar"/>
                    </w:rPr>
                  </w:pPr>
                </w:p>
              </w:tc>
              <w:tc>
                <w:tcPr>
                  <w:tcW w:w="546" w:type="pct"/>
                  <w:tcBorders>
                    <w:tl2br w:val="nil"/>
                    <w:tr2bl w:val="nil"/>
                  </w:tcBorders>
                  <w:noWrap w:val="0"/>
                  <w:vAlign w:val="center"/>
                </w:tcPr>
                <w:p w14:paraId="610167DB">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0.06</w:t>
                  </w:r>
                </w:p>
              </w:tc>
              <w:tc>
                <w:tcPr>
                  <w:tcW w:w="761" w:type="pct"/>
                  <w:tcBorders>
                    <w:tl2br w:val="nil"/>
                    <w:tr2bl w:val="nil"/>
                  </w:tcBorders>
                  <w:shd w:val="clear" w:color="auto" w:fill="auto"/>
                  <w:noWrap w:val="0"/>
                  <w:vAlign w:val="center"/>
                </w:tcPr>
                <w:p w14:paraId="7C39454D">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35494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7"/>
                  <w:tcBorders>
                    <w:tl2br w:val="nil"/>
                    <w:tr2bl w:val="nil"/>
                  </w:tcBorders>
                  <w:shd w:val="clear" w:color="auto" w:fill="auto"/>
                  <w:noWrap w:val="0"/>
                  <w:vAlign w:val="center"/>
                </w:tcPr>
                <w:p w14:paraId="0E0B9D8E">
                  <w:pPr>
                    <w:adjustRightInd w:val="0"/>
                    <w:snapToGrid w:val="0"/>
                    <w:ind w:firstLine="420" w:firstLineChars="20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根据设计资料，项目</w:t>
                  </w:r>
                  <w:r>
                    <w:rPr>
                      <w:rFonts w:hint="default" w:ascii="Times New Roman" w:hAnsi="Times New Roman" w:cs="Times New Roman"/>
                      <w:color w:val="000000" w:themeColor="text1"/>
                      <w:sz w:val="21"/>
                      <w:szCs w:val="21"/>
                      <w:lang w:val="en-US" w:eastAsia="zh-CN"/>
                      <w14:textFill>
                        <w14:solidFill>
                          <w14:schemeClr w14:val="tx1"/>
                        </w14:solidFill>
                      </w14:textFill>
                    </w:rPr>
                    <w:t>单台循环热风炉</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设计消耗量为</w:t>
                  </w:r>
                  <w:r>
                    <w:rPr>
                      <w:rFonts w:hint="default" w:ascii="Times New Roman" w:hAnsi="Times New Roman" w:cs="Times New Roman"/>
                      <w:color w:val="000000" w:themeColor="text1"/>
                      <w:sz w:val="21"/>
                      <w:szCs w:val="21"/>
                      <w:lang w:val="en-US" w:eastAsia="zh-CN"/>
                      <w14:textFill>
                        <w14:solidFill>
                          <w14:schemeClr w14:val="tx1"/>
                        </w14:solidFill>
                      </w14:textFill>
                    </w:rPr>
                    <w:t>0.056m³（液态）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t>
                  </w:r>
                  <w:r>
                    <w:rPr>
                      <w:rFonts w:hint="default" w:ascii="Times New Roman" w:hAnsi="Times New Roman" w:cs="Times New Roman"/>
                      <w:color w:val="000000" w:themeColor="text1"/>
                      <w:sz w:val="21"/>
                      <w:szCs w:val="21"/>
                      <w:lang w:val="en-US" w:eastAsia="zh-CN"/>
                      <w14:textFill>
                        <w14:solidFill>
                          <w14:schemeClr w14:val="tx1"/>
                        </w14:solidFill>
                      </w14:textFill>
                    </w:rPr>
                    <w:t>固化室热风循环炉年工作1500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h，因此，燃料消耗量</w:t>
                  </w:r>
                  <w:r>
                    <w:rPr>
                      <w:rFonts w:hint="default" w:ascii="Times New Roman" w:hAnsi="Times New Roman" w:cs="Times New Roman"/>
                      <w:color w:val="000000" w:themeColor="text1"/>
                      <w:sz w:val="21"/>
                      <w:szCs w:val="21"/>
                      <w:lang w:val="en-US" w:eastAsia="zh-CN"/>
                      <w14:textFill>
                        <w14:solidFill>
                          <w14:schemeClr w14:val="tx1"/>
                        </w14:solidFill>
                      </w14:textFill>
                    </w:rPr>
                    <w:t>核算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为</w:t>
                  </w:r>
                  <w:r>
                    <w:rPr>
                      <w:rFonts w:hint="default" w:ascii="Times New Roman" w:hAnsi="Times New Roman" w:cs="Times New Roman"/>
                      <w:color w:val="000000" w:themeColor="text1"/>
                      <w:sz w:val="21"/>
                      <w:szCs w:val="21"/>
                      <w:lang w:val="en-US" w:eastAsia="zh-CN"/>
                      <w14:textFill>
                        <w14:solidFill>
                          <w14:schemeClr w14:val="tx1"/>
                        </w14:solidFill>
                      </w14:textFill>
                    </w:rPr>
                    <w:t>84m³（液态）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p>
              </w:tc>
            </w:tr>
          </w:tbl>
          <w:p w14:paraId="1E4F7B99">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color w:val="auto"/>
                <w:sz w:val="24"/>
                <w:szCs w:val="24"/>
                <w:lang w:val="en-US" w:eastAsia="zh-CN"/>
              </w:rPr>
              <w:t>（1）原辅料理化性质：</w:t>
            </w:r>
          </w:p>
          <w:p w14:paraId="4F8C46A7">
            <w:pPr>
              <w:pStyle w:val="179"/>
              <w:bidi w:val="0"/>
              <w:rPr>
                <w:rFonts w:hint="default" w:ascii="Times New Roman" w:hAnsi="Times New Roman" w:cs="Times New Roman"/>
                <w:b/>
                <w:bCs w:val="0"/>
                <w:color w:val="000000" w:themeColor="text1"/>
                <w:sz w:val="21"/>
                <w:szCs w:val="32"/>
                <w:highlight w:val="none"/>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4"/>
                <w:lang w:val="en-US" w:eastAsia="zh-CN"/>
                <w14:textFill>
                  <w14:solidFill>
                    <w14:schemeClr w14:val="tx1"/>
                  </w14:solidFill>
                </w14:textFill>
              </w:rPr>
              <w:t>表2-4  原辅料理化性质一览表</w:t>
            </w:r>
          </w:p>
          <w:tbl>
            <w:tblPr>
              <w:tblStyle w:val="33"/>
              <w:tblW w:w="8387"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7058"/>
            </w:tblGrid>
            <w:tr w14:paraId="1A74E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9" w:type="dxa"/>
                  <w:tcBorders>
                    <w:tl2br w:val="nil"/>
                    <w:tr2bl w:val="nil"/>
                  </w:tcBorders>
                </w:tcPr>
                <w:p w14:paraId="20EA07AC">
                  <w:pPr>
                    <w:pStyle w:val="17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名称</w:t>
                  </w:r>
                </w:p>
              </w:tc>
              <w:tc>
                <w:tcPr>
                  <w:tcW w:w="7058" w:type="dxa"/>
                  <w:tcBorders>
                    <w:tl2br w:val="nil"/>
                    <w:tr2bl w:val="nil"/>
                  </w:tcBorders>
                </w:tcPr>
                <w:p w14:paraId="76938C3C">
                  <w:pPr>
                    <w:pStyle w:val="179"/>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理化性质</w:t>
                  </w:r>
                </w:p>
              </w:tc>
            </w:tr>
            <w:tr w14:paraId="5D8BD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9" w:type="dxa"/>
                  <w:tcBorders>
                    <w:tl2br w:val="nil"/>
                    <w:tr2bl w:val="nil"/>
                  </w:tcBorders>
                  <w:shd w:val="clear" w:color="auto" w:fill="auto"/>
                  <w:vAlign w:val="center"/>
                </w:tcPr>
                <w:p w14:paraId="553DB80D">
                  <w:pPr>
                    <w:pStyle w:val="179"/>
                    <w:bidi w:val="0"/>
                    <w:jc w:val="center"/>
                    <w:rPr>
                      <w:rFonts w:hint="default" w:ascii="Times New Roman" w:hAnsi="Times New Roman" w:cs="Times New Roman"/>
                      <w:bCs/>
                      <w:color w:val="000000" w:themeColor="text1"/>
                      <w:kern w:val="2"/>
                      <w:sz w:val="21"/>
                      <w:szCs w:val="24"/>
                      <w:lang w:val="en-US" w:eastAsia="zh-CN" w:bidi="ar-SA"/>
                      <w14:textFill>
                        <w14:solidFill>
                          <w14:schemeClr w14:val="tx1"/>
                        </w14:solidFill>
                      </w14:textFill>
                    </w:rPr>
                  </w:pPr>
                  <w:r>
                    <w:rPr>
                      <w:rFonts w:hint="default" w:ascii="Times New Roman" w:hAnsi="Times New Roman" w:cs="Times New Roman"/>
                      <w:bCs/>
                      <w:color w:val="000000" w:themeColor="text1"/>
                      <w:kern w:val="2"/>
                      <w:sz w:val="21"/>
                      <w:szCs w:val="24"/>
                      <w:lang w:val="en-US" w:eastAsia="zh-CN" w:bidi="ar-SA"/>
                      <w14:textFill>
                        <w14:solidFill>
                          <w14:schemeClr w14:val="tx1"/>
                        </w14:solidFill>
                      </w14:textFill>
                    </w:rPr>
                    <w:t>塑粉</w:t>
                  </w:r>
                </w:p>
              </w:tc>
              <w:tc>
                <w:tcPr>
                  <w:tcW w:w="7058" w:type="dxa"/>
                  <w:tcBorders>
                    <w:tl2br w:val="nil"/>
                    <w:tr2bl w:val="nil"/>
                  </w:tcBorders>
                  <w:vAlign w:val="center"/>
                </w:tcPr>
                <w:p w14:paraId="4750D502">
                  <w:pPr>
                    <w:pStyle w:val="179"/>
                    <w:bidi w:val="0"/>
                    <w:ind w:firstLine="420" w:firstLineChars="200"/>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聚酯粉末涂料，是一种热固性粉末涂料，主要由聚酯树脂、颜料、填料和添加剂组成，广泛应用于各种金属和非金属材料的表面涂装，固化条件：150℃</w:t>
                  </w:r>
                  <w:r>
                    <w:rPr>
                      <w:rFonts w:hint="default" w:ascii="Times New Roman" w:hAnsi="Times New Roman" w:cs="Times New Roman"/>
                      <w:color w:val="000000" w:themeColor="text1"/>
                      <w:kern w:val="0"/>
                      <w:szCs w:val="2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180℃（工件温度）下15分钟固化，分解温度220℃</w:t>
                  </w:r>
                  <w:r>
                    <w:rPr>
                      <w:rFonts w:hint="default" w:ascii="Times New Roman" w:hAnsi="Times New Roman" w:cs="Times New Roman"/>
                      <w:color w:val="000000" w:themeColor="text1"/>
                      <w:kern w:val="0"/>
                      <w:szCs w:val="2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440℃，密度为1.3g/mL。</w:t>
                  </w:r>
                </w:p>
              </w:tc>
            </w:tr>
            <w:tr w14:paraId="528FB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29" w:type="dxa"/>
                  <w:tcBorders>
                    <w:tl2br w:val="nil"/>
                    <w:tr2bl w:val="nil"/>
                  </w:tcBorders>
                  <w:shd w:val="clear" w:color="auto" w:fill="auto"/>
                  <w:vAlign w:val="center"/>
                </w:tcPr>
                <w:p w14:paraId="64130602">
                  <w:pPr>
                    <w:pStyle w:val="179"/>
                    <w:bidi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LNG液化天然气</w:t>
                  </w:r>
                </w:p>
              </w:tc>
              <w:tc>
                <w:tcPr>
                  <w:tcW w:w="7058" w:type="dxa"/>
                  <w:tcBorders>
                    <w:tl2br w:val="nil"/>
                    <w:tr2bl w:val="nil"/>
                  </w:tcBorders>
                  <w:vAlign w:val="center"/>
                </w:tcPr>
                <w:p w14:paraId="0CDF70A8">
                  <w:pPr>
                    <w:pStyle w:val="179"/>
                    <w:bidi w:val="0"/>
                    <w:ind w:firstLine="420" w:firstLineChars="200"/>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i w:val="0"/>
                      <w:iCs w:val="0"/>
                      <w:caps w:val="0"/>
                      <w:color w:val="333333"/>
                      <w:spacing w:val="0"/>
                      <w:sz w:val="21"/>
                      <w:szCs w:val="21"/>
                      <w:shd w:val="clear" w:fill="FFFFFF"/>
                    </w:rPr>
                    <w:t>主要</w:t>
                  </w:r>
                  <w:r>
                    <w:rPr>
                      <w:rFonts w:hint="default" w:ascii="Times New Roman" w:hAnsi="Times New Roman" w:cs="Times New Roman"/>
                      <w:i w:val="0"/>
                      <w:iCs w:val="0"/>
                      <w:caps w:val="0"/>
                      <w:color w:val="333333"/>
                      <w:spacing w:val="0"/>
                      <w:sz w:val="21"/>
                      <w:szCs w:val="21"/>
                      <w:shd w:val="clear" w:fill="FFFFFF"/>
                      <w:lang w:eastAsia="zh-CN"/>
                    </w:rPr>
                    <w:t>成分</w:t>
                  </w:r>
                  <w:r>
                    <w:rPr>
                      <w:rFonts w:hint="default" w:ascii="Times New Roman" w:hAnsi="Times New Roman" w:eastAsia="宋体" w:cs="Times New Roman"/>
                      <w:i w:val="0"/>
                      <w:iCs w:val="0"/>
                      <w:caps w:val="0"/>
                      <w:color w:val="333333"/>
                      <w:spacing w:val="0"/>
                      <w:sz w:val="21"/>
                      <w:szCs w:val="21"/>
                      <w:shd w:val="clear" w:fill="FFFFFF"/>
                    </w:rPr>
                    <w:t>为甲烷（CH4），LNG沸腾温度在标准大气压下通常为-166℃～-157℃。由密度通常为4</w:t>
                  </w:r>
                  <w:r>
                    <w:rPr>
                      <w:rFonts w:hint="default" w:ascii="Times New Roman" w:hAnsi="Times New Roman" w:cs="Times New Roman"/>
                      <w:i w:val="0"/>
                      <w:iCs w:val="0"/>
                      <w:caps w:val="0"/>
                      <w:color w:val="333333"/>
                      <w:spacing w:val="0"/>
                      <w:sz w:val="21"/>
                      <w:szCs w:val="21"/>
                      <w:shd w:val="clear" w:fill="FFFFFF"/>
                      <w:lang w:val="en-US" w:eastAsia="zh-CN"/>
                    </w:rPr>
                    <w:t>20</w:t>
                  </w:r>
                  <w:r>
                    <w:rPr>
                      <w:rFonts w:hint="default" w:ascii="Times New Roman" w:hAnsi="Times New Roman" w:eastAsia="宋体" w:cs="Times New Roman"/>
                      <w:i w:val="0"/>
                      <w:iCs w:val="0"/>
                      <w:caps w:val="0"/>
                      <w:color w:val="333333"/>
                      <w:spacing w:val="0"/>
                      <w:sz w:val="21"/>
                      <w:szCs w:val="21"/>
                      <w:shd w:val="clear" w:fill="FFFFFF"/>
                    </w:rPr>
                    <w:t>kg/m³-4</w:t>
                  </w:r>
                  <w:r>
                    <w:rPr>
                      <w:rFonts w:hint="default" w:ascii="Times New Roman" w:hAnsi="Times New Roman" w:cs="Times New Roman"/>
                      <w:i w:val="0"/>
                      <w:iCs w:val="0"/>
                      <w:caps w:val="0"/>
                      <w:color w:val="333333"/>
                      <w:spacing w:val="0"/>
                      <w:sz w:val="21"/>
                      <w:szCs w:val="21"/>
                      <w:shd w:val="clear" w:fill="FFFFFF"/>
                      <w:lang w:val="en-US" w:eastAsia="zh-CN"/>
                    </w:rPr>
                    <w:t>30</w:t>
                  </w:r>
                  <w:r>
                    <w:rPr>
                      <w:rFonts w:hint="default" w:ascii="Times New Roman" w:hAnsi="Times New Roman" w:eastAsia="宋体" w:cs="Times New Roman"/>
                      <w:i w:val="0"/>
                      <w:iCs w:val="0"/>
                      <w:caps w:val="0"/>
                      <w:color w:val="333333"/>
                      <w:spacing w:val="0"/>
                      <w:sz w:val="21"/>
                      <w:szCs w:val="21"/>
                      <w:shd w:val="clear" w:fill="FFFFFF"/>
                    </w:rPr>
                    <w:t>kg/m³。</w:t>
                  </w:r>
                </w:p>
              </w:tc>
            </w:tr>
          </w:tbl>
          <w:p w14:paraId="7DF9892C">
            <w:pPr>
              <w:keepNext/>
              <w:keepLines/>
              <w:widowControl/>
              <w:adjustRightInd w:val="0"/>
              <w:snapToGrid w:val="0"/>
              <w:spacing w:line="240" w:lineRule="auto"/>
              <w:ind w:firstLine="422" w:firstLineChars="200"/>
              <w:jc w:val="center"/>
              <w:outlineLvl w:val="1"/>
              <w:rPr>
                <w:rFonts w:hint="default" w:ascii="Times New Roman" w:hAnsi="Times New Roman" w:eastAsia="宋体" w:cs="Times New Roman"/>
                <w:b/>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4"/>
                <w:lang w:val="en-US" w:eastAsia="zh-CN" w:bidi="ar-SA"/>
                <w14:textFill>
                  <w14:solidFill>
                    <w14:schemeClr w14:val="tx1"/>
                  </w14:solidFill>
                </w14:textFill>
              </w:rPr>
              <w:t>表2-5  项目水性漆料成分一览表</w:t>
            </w:r>
          </w:p>
          <w:tbl>
            <w:tblPr>
              <w:tblStyle w:val="3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31"/>
              <w:gridCol w:w="6196"/>
            </w:tblGrid>
            <w:tr w14:paraId="48B851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7" w:type="pct"/>
                  <w:noWrap w:val="0"/>
                  <w:vAlign w:val="center"/>
                </w:tcPr>
                <w:p w14:paraId="5C7E9DBB">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3632" w:type="pct"/>
                  <w:noWrap w:val="0"/>
                  <w:vAlign w:val="center"/>
                </w:tcPr>
                <w:p w14:paraId="08DB828E">
                  <w:pPr>
                    <w:widowControl/>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主要成分</w:t>
                  </w:r>
                </w:p>
              </w:tc>
            </w:tr>
            <w:tr w14:paraId="5E587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7" w:type="pct"/>
                  <w:noWrap w:val="0"/>
                  <w:vAlign w:val="center"/>
                </w:tcPr>
                <w:p w14:paraId="25ED469C">
                  <w:pPr>
                    <w:pStyle w:val="131"/>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水性醇酸漆（</w:t>
                  </w:r>
                  <w:r>
                    <w:rPr>
                      <w:rFonts w:hint="default" w:ascii="Times New Roman" w:hAnsi="Times New Roman" w:cs="Times New Roman"/>
                      <w:color w:val="auto"/>
                      <w:sz w:val="21"/>
                      <w:szCs w:val="21"/>
                      <w:highlight w:val="none"/>
                      <w:lang w:val="en-US" w:eastAsia="zh-CN"/>
                    </w:rPr>
                    <w:t>成品</w:t>
                  </w:r>
                  <w:r>
                    <w:rPr>
                      <w:rFonts w:hint="default" w:ascii="Times New Roman" w:hAnsi="Times New Roman" w:cs="Times New Roman"/>
                      <w:color w:val="auto"/>
                      <w:sz w:val="21"/>
                      <w:szCs w:val="21"/>
                      <w:highlight w:val="none"/>
                      <w:lang w:eastAsia="zh-CN"/>
                    </w:rPr>
                    <w:t>）</w:t>
                  </w:r>
                </w:p>
              </w:tc>
              <w:tc>
                <w:tcPr>
                  <w:tcW w:w="3632" w:type="pct"/>
                  <w:noWrap w:val="0"/>
                  <w:vAlign w:val="center"/>
                </w:tcPr>
                <w:p w14:paraId="3933E0F4">
                  <w:pPr>
                    <w:widowControl/>
                    <w:jc w:val="both"/>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醇酸树脂：25% - 45% ；去离子水：20% - 35% ；颜料：5% - 20% 。</w:t>
                  </w:r>
                </w:p>
              </w:tc>
            </w:tr>
            <w:tr w14:paraId="0C93F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7" w:type="pct"/>
                  <w:noWrap w:val="0"/>
                  <w:vAlign w:val="center"/>
                </w:tcPr>
                <w:p w14:paraId="4E01F92D">
                  <w:pPr>
                    <w:pStyle w:val="131"/>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蓝灰水性环氧底漆（成品）</w:t>
                  </w:r>
                </w:p>
              </w:tc>
              <w:tc>
                <w:tcPr>
                  <w:tcW w:w="3632" w:type="pct"/>
                  <w:noWrap w:val="0"/>
                  <w:vAlign w:val="center"/>
                </w:tcPr>
                <w:p w14:paraId="64FB75F7">
                  <w:pPr>
                    <w:widowControl/>
                    <w:jc w:val="both"/>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环氧树脂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lang w:eastAsia="zh-CN"/>
                    </w:rPr>
                    <w:t>% ；去离子水：</w:t>
                  </w:r>
                  <w:r>
                    <w:rPr>
                      <w:rFonts w:hint="default"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eastAsia="zh-CN"/>
                    </w:rPr>
                    <w:t>% ；颜料：</w:t>
                  </w:r>
                  <w:r>
                    <w:rPr>
                      <w:rFonts w:hint="default"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 xml:space="preserve">% - </w:t>
                  </w:r>
                  <w:r>
                    <w:rPr>
                      <w:rFonts w:hint="default" w:ascii="Times New Roman" w:hAns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eastAsia="zh-CN"/>
                    </w:rPr>
                    <w:t>% 。</w:t>
                  </w:r>
                </w:p>
              </w:tc>
            </w:tr>
          </w:tbl>
          <w:p w14:paraId="2C1152A4">
            <w:pPr>
              <w:widowControl/>
              <w:adjustRightInd w:val="0"/>
              <w:snapToGrid w:val="0"/>
              <w:spacing w:line="360" w:lineRule="auto"/>
              <w:ind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（2）漆料挥发性有机物含量：</w:t>
            </w:r>
          </w:p>
          <w:p w14:paraId="2BD3858F">
            <w:pPr>
              <w:widowControl/>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根据建设单位提供的</w:t>
            </w:r>
            <w:r>
              <w:rPr>
                <w:rFonts w:hint="default" w:ascii="Times New Roman" w:hAnsi="Times New Roman" w:cs="Times New Roman"/>
                <w:color w:val="auto"/>
                <w:sz w:val="24"/>
                <w:highlight w:val="none"/>
                <w:lang w:eastAsia="zh-CN"/>
              </w:rPr>
              <w:t>涂料</w:t>
            </w:r>
            <w:r>
              <w:rPr>
                <w:rFonts w:hint="default" w:ascii="Times New Roman" w:hAnsi="Times New Roman" w:cs="Times New Roman"/>
                <w:color w:val="auto"/>
                <w:sz w:val="24"/>
                <w:highlight w:val="none"/>
              </w:rPr>
              <w:t>检验报告（见附件</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），本</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使用的</w:t>
            </w:r>
            <w:r>
              <w:rPr>
                <w:rFonts w:hint="default" w:ascii="Times New Roman" w:hAnsi="Times New Roman" w:cs="Times New Roman"/>
                <w:color w:val="auto"/>
                <w:sz w:val="24"/>
                <w:highlight w:val="none"/>
                <w:lang w:val="en-US" w:eastAsia="zh-CN"/>
              </w:rPr>
              <w:t>水性醇酸漆及蓝灰水性环氧底漆</w:t>
            </w:r>
            <w:r>
              <w:rPr>
                <w:rFonts w:hint="default" w:ascii="Times New Roman" w:hAnsi="Times New Roman" w:cs="Times New Roman"/>
                <w:color w:val="auto"/>
                <w:sz w:val="24"/>
                <w:highlight w:val="none"/>
              </w:rPr>
              <w:t>中VOCs含量均符合低VOCs涂料的要求。项目漆料理化性质见下表：</w:t>
            </w:r>
          </w:p>
          <w:p w14:paraId="46C1199C">
            <w:pPr>
              <w:keepNext/>
              <w:keepLines/>
              <w:widowControl/>
              <w:adjustRightInd w:val="0"/>
              <w:snapToGrid w:val="0"/>
              <w:spacing w:line="240" w:lineRule="auto"/>
              <w:ind w:firstLine="422" w:firstLineChars="200"/>
              <w:jc w:val="center"/>
              <w:outlineLvl w:val="1"/>
              <w:rPr>
                <w:rFonts w:hint="default" w:ascii="Times New Roman" w:hAnsi="Times New Roman" w:eastAsia="宋体" w:cs="Times New Roman"/>
                <w:b/>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4"/>
                <w:lang w:val="en-US" w:eastAsia="zh-CN" w:bidi="ar-SA"/>
                <w14:textFill>
                  <w14:solidFill>
                    <w14:schemeClr w14:val="tx1"/>
                  </w14:solidFill>
                </w14:textFill>
              </w:rPr>
              <w:t>表2-6  项目漆料VOCS含量一览表</w:t>
            </w:r>
          </w:p>
          <w:tbl>
            <w:tblPr>
              <w:tblStyle w:val="32"/>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58"/>
              <w:gridCol w:w="1152"/>
              <w:gridCol w:w="1441"/>
              <w:gridCol w:w="3069"/>
              <w:gridCol w:w="1206"/>
            </w:tblGrid>
            <w:tr w14:paraId="7FB3D6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2" w:type="pct"/>
                  <w:noWrap w:val="0"/>
                  <w:vAlign w:val="center"/>
                </w:tcPr>
                <w:p w14:paraId="449FE7E3">
                  <w:pPr>
                    <w:pStyle w:val="173"/>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名称</w:t>
                  </w:r>
                </w:p>
              </w:tc>
              <w:tc>
                <w:tcPr>
                  <w:tcW w:w="675" w:type="pct"/>
                  <w:noWrap w:val="0"/>
                  <w:vAlign w:val="center"/>
                </w:tcPr>
                <w:p w14:paraId="3FF2FBA4">
                  <w:pPr>
                    <w:pStyle w:val="173"/>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VOC</w:t>
                  </w:r>
                  <w:r>
                    <w:rPr>
                      <w:rFonts w:hint="default" w:ascii="Times New Roman" w:hAnsi="Times New Roman" w:cs="Times New Roman"/>
                      <w:b/>
                      <w:bCs/>
                      <w:color w:val="auto"/>
                      <w:szCs w:val="21"/>
                      <w:highlight w:val="none"/>
                      <w:vertAlign w:val="subscript"/>
                    </w:rPr>
                    <w:t>S</w:t>
                  </w:r>
                  <w:r>
                    <w:rPr>
                      <w:rFonts w:hint="default" w:ascii="Times New Roman" w:hAnsi="Times New Roman" w:cs="Times New Roman"/>
                      <w:b/>
                      <w:bCs/>
                      <w:color w:val="auto"/>
                      <w:szCs w:val="21"/>
                      <w:highlight w:val="none"/>
                    </w:rPr>
                    <w:t>含量（g/</w:t>
                  </w:r>
                  <w:r>
                    <w:rPr>
                      <w:rFonts w:hint="default" w:ascii="Times New Roman" w:hAnsi="Times New Roman" w:cs="Times New Roman"/>
                      <w:b/>
                      <w:bCs/>
                      <w:color w:val="auto"/>
                      <w:szCs w:val="21"/>
                      <w:highlight w:val="none"/>
                      <w:lang w:val="en-US" w:eastAsia="zh-CN"/>
                    </w:rPr>
                    <w:t>L</w:t>
                  </w:r>
                  <w:r>
                    <w:rPr>
                      <w:rFonts w:hint="default" w:ascii="Times New Roman" w:hAnsi="Times New Roman" w:cs="Times New Roman"/>
                      <w:b/>
                      <w:bCs/>
                      <w:color w:val="auto"/>
                      <w:szCs w:val="21"/>
                      <w:highlight w:val="none"/>
                    </w:rPr>
                    <w:t>）</w:t>
                  </w:r>
                </w:p>
              </w:tc>
              <w:tc>
                <w:tcPr>
                  <w:tcW w:w="845" w:type="pct"/>
                  <w:noWrap w:val="0"/>
                  <w:vAlign w:val="center"/>
                </w:tcPr>
                <w:p w14:paraId="7F3A2F58">
                  <w:pPr>
                    <w:pStyle w:val="173"/>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rPr>
                    <w:t>VOC</w:t>
                  </w:r>
                  <w:r>
                    <w:rPr>
                      <w:rFonts w:hint="default" w:ascii="Times New Roman" w:hAnsi="Times New Roman" w:cs="Times New Roman"/>
                      <w:b/>
                      <w:bCs/>
                      <w:color w:val="auto"/>
                      <w:szCs w:val="21"/>
                      <w:highlight w:val="none"/>
                      <w:vertAlign w:val="subscript"/>
                    </w:rPr>
                    <w:t>S</w:t>
                  </w:r>
                  <w:r>
                    <w:rPr>
                      <w:rFonts w:hint="default" w:ascii="Times New Roman" w:hAnsi="Times New Roman" w:cs="Times New Roman"/>
                      <w:b/>
                      <w:bCs/>
                      <w:color w:val="auto"/>
                      <w:szCs w:val="21"/>
                      <w:highlight w:val="none"/>
                    </w:rPr>
                    <w:t>含量</w:t>
                  </w:r>
                  <w:r>
                    <w:rPr>
                      <w:rFonts w:hint="default" w:ascii="Times New Roman" w:hAnsi="Times New Roman" w:eastAsia="宋体" w:cs="Times New Roman"/>
                      <w:b/>
                      <w:bCs/>
                      <w:color w:val="auto"/>
                      <w:szCs w:val="21"/>
                      <w:highlight w:val="none"/>
                      <w:lang w:val="en-US" w:eastAsia="zh-CN"/>
                    </w:rPr>
                    <w:t>限值</w:t>
                  </w:r>
                  <w:r>
                    <w:rPr>
                      <w:rFonts w:hint="default" w:ascii="Times New Roman" w:hAnsi="Times New Roman" w:cs="Times New Roman"/>
                      <w:b/>
                      <w:bCs/>
                      <w:color w:val="auto"/>
                      <w:szCs w:val="21"/>
                      <w:highlight w:val="none"/>
                    </w:rPr>
                    <w:t>（g/</w:t>
                  </w:r>
                  <w:r>
                    <w:rPr>
                      <w:rFonts w:hint="default" w:ascii="Times New Roman" w:hAnsi="Times New Roman" w:cs="Times New Roman"/>
                      <w:b/>
                      <w:bCs/>
                      <w:color w:val="auto"/>
                      <w:szCs w:val="21"/>
                      <w:highlight w:val="none"/>
                      <w:lang w:val="en-US" w:eastAsia="zh-CN"/>
                    </w:rPr>
                    <w:t>L</w:t>
                  </w:r>
                  <w:r>
                    <w:rPr>
                      <w:rFonts w:hint="default" w:ascii="Times New Roman" w:hAnsi="Times New Roman" w:cs="Times New Roman"/>
                      <w:b/>
                      <w:bCs/>
                      <w:color w:val="auto"/>
                      <w:szCs w:val="21"/>
                      <w:highlight w:val="none"/>
                    </w:rPr>
                    <w:t>）</w:t>
                  </w:r>
                </w:p>
              </w:tc>
              <w:tc>
                <w:tcPr>
                  <w:tcW w:w="1799" w:type="pct"/>
                  <w:noWrap w:val="0"/>
                  <w:vAlign w:val="center"/>
                </w:tcPr>
                <w:p w14:paraId="4BA177FF">
                  <w:pPr>
                    <w:pStyle w:val="173"/>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执行要求</w:t>
                  </w:r>
                </w:p>
              </w:tc>
              <w:tc>
                <w:tcPr>
                  <w:tcW w:w="707" w:type="pct"/>
                  <w:noWrap w:val="0"/>
                  <w:vAlign w:val="center"/>
                </w:tcPr>
                <w:p w14:paraId="30A52416">
                  <w:pPr>
                    <w:pStyle w:val="173"/>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是否符合</w:t>
                  </w:r>
                </w:p>
              </w:tc>
            </w:tr>
            <w:tr w14:paraId="716ED6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2" w:type="pct"/>
                  <w:noWrap w:val="0"/>
                  <w:vAlign w:val="center"/>
                </w:tcPr>
                <w:p w14:paraId="7431E189">
                  <w:pPr>
                    <w:pStyle w:val="131"/>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1"/>
                      <w:szCs w:val="21"/>
                      <w:highlight w:val="none"/>
                      <w:lang w:eastAsia="zh-CN"/>
                    </w:rPr>
                    <w:t>蓝灰水性环氧底漆（成品）</w:t>
                  </w:r>
                </w:p>
              </w:tc>
              <w:tc>
                <w:tcPr>
                  <w:tcW w:w="675" w:type="pct"/>
                  <w:noWrap w:val="0"/>
                  <w:vAlign w:val="center"/>
                </w:tcPr>
                <w:p w14:paraId="2CBFBB72">
                  <w:pPr>
                    <w:pStyle w:val="173"/>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117</w:t>
                  </w:r>
                </w:p>
              </w:tc>
              <w:tc>
                <w:tcPr>
                  <w:tcW w:w="845" w:type="pct"/>
                  <w:noWrap w:val="0"/>
                  <w:vAlign w:val="center"/>
                </w:tcPr>
                <w:p w14:paraId="62FB41D1">
                  <w:pPr>
                    <w:pStyle w:val="173"/>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250</w:t>
                  </w:r>
                </w:p>
              </w:tc>
              <w:tc>
                <w:tcPr>
                  <w:tcW w:w="1799" w:type="pct"/>
                  <w:vMerge w:val="restart"/>
                  <w:noWrap w:val="0"/>
                  <w:vAlign w:val="center"/>
                </w:tcPr>
                <w:p w14:paraId="18E95AD1">
                  <w:pPr>
                    <w:pStyle w:val="173"/>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color w:val="auto"/>
                      <w:szCs w:val="21"/>
                      <w:highlight w:val="none"/>
                    </w:rPr>
                    <w:t>《低挥发性有机化合物含量涂料产品技术要求》（GB/T38597-2020）</w:t>
                  </w:r>
                  <w:r>
                    <w:rPr>
                      <w:rFonts w:hint="default" w:ascii="Times New Roman" w:hAnsi="Times New Roman" w:cs="Times New Roman"/>
                      <w:color w:val="auto"/>
                      <w:szCs w:val="21"/>
                      <w:highlight w:val="none"/>
                      <w:lang w:val="en-US" w:eastAsia="zh-CN"/>
                    </w:rPr>
                    <w:t>表1水性工业防护涂料（机械设备涂料）</w:t>
                  </w:r>
                </w:p>
              </w:tc>
              <w:tc>
                <w:tcPr>
                  <w:tcW w:w="707" w:type="pct"/>
                  <w:noWrap w:val="0"/>
                  <w:vAlign w:val="center"/>
                </w:tcPr>
                <w:p w14:paraId="7A02A61E">
                  <w:pPr>
                    <w:pStyle w:val="173"/>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符合</w:t>
                  </w:r>
                </w:p>
              </w:tc>
            </w:tr>
            <w:tr w14:paraId="5C94C0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2" w:type="pct"/>
                  <w:noWrap w:val="0"/>
                  <w:vAlign w:val="center"/>
                </w:tcPr>
                <w:p w14:paraId="2F9DC8F1">
                  <w:pPr>
                    <w:pStyle w:val="131"/>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1"/>
                      <w:szCs w:val="21"/>
                      <w:highlight w:val="none"/>
                      <w:lang w:eastAsia="zh-CN"/>
                    </w:rPr>
                    <w:t>水性醇酸漆（</w:t>
                  </w:r>
                  <w:r>
                    <w:rPr>
                      <w:rFonts w:hint="default" w:ascii="Times New Roman" w:hAnsi="Times New Roman" w:cs="Times New Roman"/>
                      <w:color w:val="auto"/>
                      <w:sz w:val="21"/>
                      <w:szCs w:val="21"/>
                      <w:highlight w:val="none"/>
                      <w:lang w:val="en-US" w:eastAsia="zh-CN"/>
                    </w:rPr>
                    <w:t>成品</w:t>
                  </w:r>
                  <w:r>
                    <w:rPr>
                      <w:rFonts w:hint="default" w:ascii="Times New Roman" w:hAnsi="Times New Roman" w:cs="Times New Roman"/>
                      <w:color w:val="auto"/>
                      <w:sz w:val="21"/>
                      <w:szCs w:val="21"/>
                      <w:highlight w:val="none"/>
                      <w:lang w:eastAsia="zh-CN"/>
                    </w:rPr>
                    <w:t>）</w:t>
                  </w:r>
                </w:p>
              </w:tc>
              <w:tc>
                <w:tcPr>
                  <w:tcW w:w="675" w:type="pct"/>
                  <w:noWrap w:val="0"/>
                  <w:vAlign w:val="center"/>
                </w:tcPr>
                <w:p w14:paraId="03ACD1B1">
                  <w:pPr>
                    <w:pStyle w:val="173"/>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186</w:t>
                  </w:r>
                </w:p>
              </w:tc>
              <w:tc>
                <w:tcPr>
                  <w:tcW w:w="845" w:type="pct"/>
                  <w:noWrap w:val="0"/>
                  <w:vAlign w:val="center"/>
                </w:tcPr>
                <w:p w14:paraId="4B8092EC">
                  <w:pPr>
                    <w:pStyle w:val="173"/>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300</w:t>
                  </w:r>
                </w:p>
              </w:tc>
              <w:tc>
                <w:tcPr>
                  <w:tcW w:w="1799" w:type="pct"/>
                  <w:vMerge w:val="continue"/>
                  <w:noWrap w:val="0"/>
                  <w:vAlign w:val="center"/>
                </w:tcPr>
                <w:p w14:paraId="49C7F27F">
                  <w:pPr>
                    <w:pStyle w:val="173"/>
                    <w:rPr>
                      <w:rFonts w:hint="default" w:ascii="Times New Roman" w:hAnsi="Times New Roman" w:eastAsia="宋体" w:cs="Times New Roman"/>
                      <w:color w:val="auto"/>
                      <w:szCs w:val="21"/>
                      <w:highlight w:val="none"/>
                      <w:lang w:val="en-US" w:eastAsia="zh-CN"/>
                    </w:rPr>
                  </w:pPr>
                </w:p>
              </w:tc>
              <w:tc>
                <w:tcPr>
                  <w:tcW w:w="707" w:type="pct"/>
                  <w:noWrap w:val="0"/>
                  <w:vAlign w:val="center"/>
                </w:tcPr>
                <w:p w14:paraId="35190ED5">
                  <w:pPr>
                    <w:pStyle w:val="173"/>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Cs/>
                      <w:color w:val="auto"/>
                      <w:sz w:val="21"/>
                      <w:szCs w:val="21"/>
                      <w:highlight w:val="none"/>
                      <w:lang w:eastAsia="zh-CN"/>
                    </w:rPr>
                    <w:t>符合</w:t>
                  </w:r>
                </w:p>
              </w:tc>
            </w:tr>
            <w:tr w14:paraId="29235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2" w:type="pct"/>
                  <w:noWrap w:val="0"/>
                  <w:vAlign w:val="center"/>
                </w:tcPr>
                <w:p w14:paraId="33711148">
                  <w:pPr>
                    <w:pStyle w:val="131"/>
                    <w:jc w:val="center"/>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eastAsia="宋体" w:cs="Times New Roman"/>
                      <w:b w:val="0"/>
                      <w:color w:val="auto"/>
                      <w:kern w:val="0"/>
                      <w:sz w:val="21"/>
                      <w:szCs w:val="21"/>
                      <w:highlight w:val="none"/>
                      <w:lang w:val="en-US" w:eastAsia="zh-CN" w:bidi="ar-SA"/>
                    </w:rPr>
                    <w:t>塑粉</w:t>
                  </w:r>
                </w:p>
              </w:tc>
              <w:tc>
                <w:tcPr>
                  <w:tcW w:w="675" w:type="pct"/>
                  <w:noWrap w:val="0"/>
                  <w:vAlign w:val="center"/>
                </w:tcPr>
                <w:p w14:paraId="756217B9">
                  <w:pPr>
                    <w:pStyle w:val="173"/>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eastAsia="宋体" w:cs="Times New Roman"/>
                      <w:b w:val="0"/>
                      <w:color w:val="auto"/>
                      <w:kern w:val="0"/>
                      <w:sz w:val="21"/>
                      <w:szCs w:val="21"/>
                      <w:highlight w:val="none"/>
                      <w:lang w:val="en-US" w:eastAsia="zh-CN" w:bidi="ar-SA"/>
                    </w:rPr>
                    <w:t>未检出</w:t>
                  </w:r>
                </w:p>
              </w:tc>
              <w:tc>
                <w:tcPr>
                  <w:tcW w:w="845" w:type="pct"/>
                  <w:noWrap w:val="0"/>
                  <w:vAlign w:val="center"/>
                </w:tcPr>
                <w:p w14:paraId="30FFA47B">
                  <w:pPr>
                    <w:pStyle w:val="173"/>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cs="Times New Roman"/>
                      <w:b w:val="0"/>
                      <w:color w:val="auto"/>
                      <w:kern w:val="0"/>
                      <w:sz w:val="21"/>
                      <w:szCs w:val="21"/>
                      <w:highlight w:val="none"/>
                      <w:lang w:val="en-US" w:eastAsia="zh-CN" w:bidi="ar-SA"/>
                    </w:rPr>
                    <w:t>≤</w:t>
                  </w:r>
                  <w:r>
                    <w:rPr>
                      <w:rFonts w:hint="default" w:ascii="Times New Roman" w:hAnsi="Times New Roman" w:eastAsia="宋体" w:cs="Times New Roman"/>
                      <w:b w:val="0"/>
                      <w:color w:val="auto"/>
                      <w:kern w:val="0"/>
                      <w:sz w:val="21"/>
                      <w:szCs w:val="21"/>
                      <w:highlight w:val="none"/>
                      <w:lang w:val="en-US" w:eastAsia="zh-CN" w:bidi="ar-SA"/>
                    </w:rPr>
                    <w:t>60</w:t>
                  </w:r>
                </w:p>
              </w:tc>
              <w:tc>
                <w:tcPr>
                  <w:tcW w:w="1799" w:type="pct"/>
                  <w:noWrap w:val="0"/>
                  <w:vAlign w:val="center"/>
                </w:tcPr>
                <w:p w14:paraId="5E734791">
                  <w:pPr>
                    <w:pStyle w:val="173"/>
                    <w:rPr>
                      <w:rFonts w:hint="default" w:ascii="Times New Roman" w:hAnsi="Times New Roman" w:eastAsia="宋体" w:cs="Times New Roman"/>
                      <w:b w:val="0"/>
                      <w:color w:val="auto"/>
                      <w:kern w:val="0"/>
                      <w:sz w:val="21"/>
                      <w:szCs w:val="21"/>
                      <w:highlight w:val="none"/>
                      <w:lang w:val="en-US" w:eastAsia="zh-CN" w:bidi="ar-SA"/>
                    </w:rPr>
                  </w:pPr>
                  <w:r>
                    <w:rPr>
                      <w:rFonts w:hint="default" w:ascii="Times New Roman" w:hAnsi="Times New Roman" w:eastAsia="宋体" w:cs="Times New Roman"/>
                      <w:b w:val="0"/>
                      <w:color w:val="auto"/>
                      <w:kern w:val="0"/>
                      <w:sz w:val="21"/>
                      <w:szCs w:val="21"/>
                      <w:highlight w:val="none"/>
                      <w:lang w:val="en-US" w:eastAsia="zh-CN" w:bidi="ar-SA"/>
                    </w:rPr>
                    <w:t>《低挥发性有机化合物含量涂料产品技术要求》（GB/T38597-2020）表3中</w:t>
                  </w:r>
                </w:p>
              </w:tc>
              <w:tc>
                <w:tcPr>
                  <w:tcW w:w="707" w:type="pct"/>
                  <w:noWrap w:val="0"/>
                  <w:vAlign w:val="center"/>
                </w:tcPr>
                <w:p w14:paraId="368FB790">
                  <w:pPr>
                    <w:pStyle w:val="173"/>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符合</w:t>
                  </w:r>
                </w:p>
              </w:tc>
            </w:tr>
          </w:tbl>
          <w:p w14:paraId="38D58BBC">
            <w:pPr>
              <w:widowControl/>
              <w:adjustRightInd w:val="0"/>
              <w:snapToGrid w:val="0"/>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highlight w:val="none"/>
              </w:rPr>
              <w:t>由上表可知，项目漆料 VOC</w:t>
            </w:r>
            <w:r>
              <w:rPr>
                <w:rFonts w:hint="default" w:ascii="Times New Roman" w:hAnsi="Times New Roman" w:cs="Times New Roman"/>
                <w:b/>
                <w:bCs/>
                <w:color w:val="auto"/>
                <w:szCs w:val="21"/>
                <w:highlight w:val="none"/>
                <w:vertAlign w:val="subscript"/>
              </w:rPr>
              <w:t>S</w:t>
            </w:r>
            <w:r>
              <w:rPr>
                <w:rFonts w:hint="default" w:ascii="Times New Roman" w:hAnsi="Times New Roman" w:cs="Times New Roman"/>
                <w:color w:val="auto"/>
                <w:sz w:val="24"/>
                <w:highlight w:val="none"/>
              </w:rPr>
              <w:t>含量满足《低挥发性有机化合物含量涂料产品技术要求》（GB/T38597-2020）表1水性工业防护涂料（机械设备涂料）</w:t>
            </w:r>
            <w:r>
              <w:rPr>
                <w:rFonts w:hint="default" w:ascii="Times New Roman" w:hAnsi="Times New Roman" w:cs="Times New Roman"/>
                <w:color w:val="auto"/>
                <w:sz w:val="24"/>
                <w:highlight w:val="none"/>
                <w:lang w:eastAsia="zh-CN"/>
              </w:rPr>
              <w:t>中底漆挥发性有机化合物（VOC</w:t>
            </w:r>
            <w:r>
              <w:rPr>
                <w:rFonts w:hint="default" w:ascii="Times New Roman" w:hAnsi="Times New Roman" w:cs="Times New Roman"/>
                <w:b/>
                <w:bCs/>
                <w:color w:val="auto"/>
                <w:szCs w:val="21"/>
                <w:highlight w:val="none"/>
                <w:vertAlign w:val="subscript"/>
              </w:rPr>
              <w:t>S</w:t>
            </w:r>
            <w:r>
              <w:rPr>
                <w:rFonts w:hint="default" w:ascii="Times New Roman" w:hAnsi="Times New Roman" w:cs="Times New Roman"/>
                <w:color w:val="auto"/>
                <w:sz w:val="24"/>
                <w:highlight w:val="none"/>
                <w:lang w:eastAsia="zh-CN"/>
              </w:rPr>
              <w:t>）含量限量值≤</w:t>
            </w:r>
            <w:r>
              <w:rPr>
                <w:rFonts w:hint="default" w:ascii="Times New Roman" w:hAnsi="Times New Roman" w:cs="Times New Roman"/>
                <w:color w:val="auto"/>
                <w:sz w:val="24"/>
                <w:highlight w:val="none"/>
                <w:lang w:val="en-US" w:eastAsia="zh-CN"/>
              </w:rPr>
              <w:t>250</w:t>
            </w:r>
            <w:r>
              <w:rPr>
                <w:rFonts w:hint="default" w:ascii="Times New Roman" w:hAnsi="Times New Roman" w:cs="Times New Roman"/>
                <w:color w:val="auto"/>
                <w:sz w:val="24"/>
                <w:highlight w:val="none"/>
                <w:lang w:eastAsia="zh-CN"/>
              </w:rPr>
              <w:t>g/L、面漆挥发性有机化合物（VOC</w:t>
            </w:r>
            <w:r>
              <w:rPr>
                <w:rFonts w:hint="default" w:ascii="Times New Roman" w:hAnsi="Times New Roman" w:cs="Times New Roman"/>
                <w:b/>
                <w:bCs/>
                <w:color w:val="auto"/>
                <w:szCs w:val="21"/>
                <w:highlight w:val="none"/>
                <w:vertAlign w:val="subscript"/>
              </w:rPr>
              <w:t>S</w:t>
            </w:r>
            <w:r>
              <w:rPr>
                <w:rFonts w:hint="default" w:ascii="Times New Roman" w:hAnsi="Times New Roman" w:cs="Times New Roman"/>
                <w:color w:val="auto"/>
                <w:sz w:val="24"/>
                <w:highlight w:val="none"/>
                <w:lang w:eastAsia="zh-CN"/>
              </w:rPr>
              <w:t>）含量限量值≤</w:t>
            </w:r>
            <w:r>
              <w:rPr>
                <w:rFonts w:hint="default" w:ascii="Times New Roman" w:hAnsi="Times New Roman" w:cs="Times New Roman"/>
                <w:color w:val="auto"/>
                <w:sz w:val="24"/>
                <w:highlight w:val="none"/>
                <w:lang w:val="en-US" w:eastAsia="zh-CN"/>
              </w:rPr>
              <w:t>300</w:t>
            </w:r>
            <w:r>
              <w:rPr>
                <w:rFonts w:hint="default" w:ascii="Times New Roman" w:hAnsi="Times New Roman" w:cs="Times New Roman"/>
                <w:color w:val="auto"/>
                <w:sz w:val="24"/>
                <w:highlight w:val="none"/>
                <w:lang w:eastAsia="zh-CN"/>
              </w:rPr>
              <w:t>g/L的要求含量限值；粉末涂料的挥发性有机物含量检测结果为未检出（检出限为9g/L），本项目使用原料塑粉中挥发性有机化合物（VOC</w:t>
            </w:r>
            <w:r>
              <w:rPr>
                <w:rFonts w:hint="default" w:ascii="Times New Roman" w:hAnsi="Times New Roman" w:cs="Times New Roman"/>
                <w:b/>
                <w:bCs/>
                <w:color w:val="auto"/>
                <w:szCs w:val="21"/>
                <w:highlight w:val="none"/>
                <w:vertAlign w:val="subscript"/>
              </w:rPr>
              <w:t>S</w:t>
            </w:r>
            <w:r>
              <w:rPr>
                <w:rFonts w:hint="default" w:ascii="Times New Roman" w:hAnsi="Times New Roman" w:cs="Times New Roman"/>
                <w:color w:val="auto"/>
                <w:sz w:val="24"/>
                <w:highlight w:val="none"/>
                <w:lang w:eastAsia="zh-CN"/>
              </w:rPr>
              <w:t>）含量低于9g/L，满足《低挥发性有机化合物含量涂料产品技术要求》（GB/T38597-2020）表3中挥发性有机化合物（VOC</w:t>
            </w:r>
            <w:r>
              <w:rPr>
                <w:rFonts w:hint="default" w:ascii="Times New Roman" w:hAnsi="Times New Roman" w:cs="Times New Roman"/>
                <w:b/>
                <w:bCs/>
                <w:color w:val="auto"/>
                <w:szCs w:val="21"/>
                <w:highlight w:val="none"/>
                <w:vertAlign w:val="subscript"/>
              </w:rPr>
              <w:t>S</w:t>
            </w:r>
            <w:r>
              <w:rPr>
                <w:rFonts w:hint="default" w:ascii="Times New Roman" w:hAnsi="Times New Roman" w:cs="Times New Roman"/>
                <w:color w:val="auto"/>
                <w:sz w:val="24"/>
                <w:highlight w:val="none"/>
                <w:lang w:eastAsia="zh-CN"/>
              </w:rPr>
              <w:t>）含量限量值应≤60g/L的要求（详见附件挥发性有机化合物含量检测报告）。</w:t>
            </w:r>
            <w:r>
              <w:rPr>
                <w:rFonts w:hint="default" w:ascii="Times New Roman" w:hAnsi="Times New Roman" w:cs="Times New Roman"/>
                <w:color w:val="auto"/>
                <w:sz w:val="24"/>
                <w:highlight w:val="none"/>
              </w:rPr>
              <w:t>使用的</w:t>
            </w:r>
            <w:r>
              <w:rPr>
                <w:rFonts w:hint="default" w:ascii="Times New Roman" w:hAnsi="Times New Roman" w:cs="Times New Roman"/>
                <w:color w:val="auto"/>
                <w:sz w:val="24"/>
                <w:highlight w:val="none"/>
                <w:lang w:eastAsia="zh-CN"/>
              </w:rPr>
              <w:t>涂料</w:t>
            </w:r>
            <w:r>
              <w:rPr>
                <w:rFonts w:hint="default" w:ascii="Times New Roman" w:hAnsi="Times New Roman" w:cs="Times New Roman"/>
                <w:color w:val="auto"/>
                <w:sz w:val="24"/>
                <w:highlight w:val="none"/>
              </w:rPr>
              <w:t>原料属于低挥发性有机化合物涂料</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同时要求建设单位在漆料使用过程中必须满足低挥发性有机化合物含量涂料产品技术要求。</w:t>
            </w:r>
          </w:p>
          <w:p w14:paraId="00391E1F">
            <w:pPr>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原材料用量核算</w:t>
            </w:r>
          </w:p>
          <w:p w14:paraId="6D943740">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①</w:t>
            </w:r>
            <w:r>
              <w:rPr>
                <w:rFonts w:hint="default" w:ascii="Times New Roman" w:hAnsi="Times New Roman" w:cs="Times New Roman"/>
                <w:b/>
                <w:bCs/>
                <w:color w:val="auto"/>
                <w:sz w:val="24"/>
                <w:szCs w:val="24"/>
                <w:lang w:val="en-US" w:eastAsia="zh-CN"/>
              </w:rPr>
              <w:t>塑粉用量情况分析：</w:t>
            </w:r>
          </w:p>
          <w:p w14:paraId="37D7CD9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rPr>
              <w:t>根据产品方案中对应产品的表面积及数量来计算需要喷涂的总表面积。需要说明的是喷塑喷涂的厚度通常为60-80μm，本项目按照80μm取值；</w:t>
            </w:r>
            <w:r>
              <w:rPr>
                <w:rFonts w:hint="default" w:ascii="Times New Roman" w:hAnsi="Times New Roman" w:eastAsia="宋体" w:cs="Times New Roman"/>
                <w:color w:val="auto"/>
                <w:sz w:val="24"/>
                <w:szCs w:val="24"/>
              </w:rPr>
              <w:t>塑粉使用量见下列公式计算：</w:t>
            </w:r>
          </w:p>
          <w:p w14:paraId="1DA73DFC">
            <w:pPr>
              <w:pStyle w:val="24"/>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499360" cy="327660"/>
                  <wp:effectExtent l="0" t="0" r="15240" b="1524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2"/>
                          <a:stretch>
                            <a:fillRect/>
                          </a:stretch>
                        </pic:blipFill>
                        <pic:spPr>
                          <a:xfrm>
                            <a:off x="0" y="0"/>
                            <a:ext cx="2499360" cy="327660"/>
                          </a:xfrm>
                          <a:prstGeom prst="rect">
                            <a:avLst/>
                          </a:prstGeom>
                          <a:noFill/>
                          <a:ln>
                            <a:noFill/>
                          </a:ln>
                        </pic:spPr>
                      </pic:pic>
                    </a:graphicData>
                  </a:graphic>
                </wp:inline>
              </w:drawing>
            </w:r>
          </w:p>
          <w:p w14:paraId="15B77DB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式中Q为塑粉总用量（t）；S为喷涂面积（m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H为喷涂厚度（μm）；ρ为塑粉密度（g/cm³）；R为塑粉回收率；Ci为附着率。根据《喷塑行业污染物源强估算及治理方法探讨》，喷塑过程粉末涂料附着率约为使用量的80%～90%，结合工程资料，本次取80%。粉尘系统回收利用率取90%。</w:t>
            </w:r>
          </w:p>
          <w:p w14:paraId="78DBBFB1">
            <w:pPr>
              <w:pStyle w:val="171"/>
              <w:spacing w:line="240" w:lineRule="auto"/>
              <w:rPr>
                <w:rFonts w:hint="default" w:ascii="Times New Roman" w:hAnsi="Times New Roman" w:eastAsia="宋体" w:cs="Times New Roman"/>
                <w:b/>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4"/>
                <w:lang w:val="en-US" w:eastAsia="zh-CN" w:bidi="ar-SA"/>
                <w14:textFill>
                  <w14:solidFill>
                    <w14:schemeClr w14:val="tx1"/>
                  </w14:solidFill>
                </w14:textFill>
              </w:rPr>
              <w:t>表 2-7  项目喷塑总表面积与粉末涂料用量核算表</w:t>
            </w:r>
          </w:p>
          <w:tbl>
            <w:tblPr>
              <w:tblStyle w:val="33"/>
              <w:tblW w:w="8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150"/>
              <w:gridCol w:w="757"/>
              <w:gridCol w:w="869"/>
              <w:gridCol w:w="705"/>
              <w:gridCol w:w="1054"/>
              <w:gridCol w:w="747"/>
              <w:gridCol w:w="747"/>
              <w:gridCol w:w="1005"/>
            </w:tblGrid>
            <w:tr w14:paraId="38B7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41" w:type="dxa"/>
                  <w:vAlign w:val="center"/>
                </w:tcPr>
                <w:p w14:paraId="6AF56286">
                  <w:pPr>
                    <w:pStyle w:val="171"/>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kern w:val="2"/>
                      <w:sz w:val="21"/>
                      <w:szCs w:val="21"/>
                      <w:vertAlign w:val="baseline"/>
                      <w:lang w:val="en-US" w:eastAsia="zh-CN" w:bidi="ar-SA"/>
                    </w:rPr>
                    <w:t>产品类型</w:t>
                  </w:r>
                </w:p>
              </w:tc>
              <w:tc>
                <w:tcPr>
                  <w:tcW w:w="1150" w:type="dxa"/>
                  <w:vAlign w:val="center"/>
                </w:tcPr>
                <w:p w14:paraId="6CBBDB0F">
                  <w:pPr>
                    <w:pStyle w:val="171"/>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kern w:val="2"/>
                      <w:sz w:val="21"/>
                      <w:szCs w:val="21"/>
                      <w:vertAlign w:val="baseline"/>
                      <w:lang w:val="en-US" w:eastAsia="zh-CN" w:bidi="ar-SA"/>
                    </w:rPr>
                    <w:t>产品总喷涂面积</w:t>
                  </w:r>
                </w:p>
              </w:tc>
              <w:tc>
                <w:tcPr>
                  <w:tcW w:w="757" w:type="dxa"/>
                  <w:vAlign w:val="center"/>
                </w:tcPr>
                <w:p w14:paraId="2CB7F38E">
                  <w:pPr>
                    <w:pStyle w:val="171"/>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kern w:val="2"/>
                      <w:sz w:val="21"/>
                      <w:szCs w:val="21"/>
                      <w:vertAlign w:val="baseline"/>
                      <w:lang w:val="en-US" w:eastAsia="zh-CN" w:bidi="ar-SA"/>
                    </w:rPr>
                    <w:t>喷涂层数</w:t>
                  </w:r>
                </w:p>
              </w:tc>
              <w:tc>
                <w:tcPr>
                  <w:tcW w:w="869" w:type="dxa"/>
                  <w:vAlign w:val="center"/>
                </w:tcPr>
                <w:p w14:paraId="106CF4CB">
                  <w:pPr>
                    <w:pStyle w:val="171"/>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kern w:val="2"/>
                      <w:sz w:val="21"/>
                      <w:szCs w:val="21"/>
                      <w:vertAlign w:val="baseline"/>
                      <w:lang w:val="en-US" w:eastAsia="zh-CN" w:bidi="ar-SA"/>
                    </w:rPr>
                    <w:t>喷涂厚度</w:t>
                  </w:r>
                  <w:r>
                    <w:rPr>
                      <w:rFonts w:hint="default" w:ascii="Times New Roman" w:hAnsi="Times New Roman" w:cs="Times New Roman"/>
                      <w:color w:val="auto"/>
                      <w:sz w:val="24"/>
                      <w:szCs w:val="24"/>
                      <w:lang w:val="en-US" w:eastAsia="zh-CN"/>
                    </w:rPr>
                    <w:t>μm</w:t>
                  </w:r>
                </w:p>
              </w:tc>
              <w:tc>
                <w:tcPr>
                  <w:tcW w:w="705" w:type="dxa"/>
                  <w:vAlign w:val="center"/>
                </w:tcPr>
                <w:p w14:paraId="4CACF1D6">
                  <w:pPr>
                    <w:pStyle w:val="171"/>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kern w:val="2"/>
                      <w:sz w:val="21"/>
                      <w:szCs w:val="21"/>
                      <w:vertAlign w:val="baseline"/>
                      <w:lang w:val="en-US" w:eastAsia="zh-CN" w:bidi="ar-SA"/>
                    </w:rPr>
                    <w:t>密度g/m³</w:t>
                  </w:r>
                </w:p>
              </w:tc>
              <w:tc>
                <w:tcPr>
                  <w:tcW w:w="1054" w:type="dxa"/>
                  <w:vAlign w:val="center"/>
                </w:tcPr>
                <w:p w14:paraId="14911222">
                  <w:pPr>
                    <w:pStyle w:val="171"/>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kern w:val="2"/>
                      <w:sz w:val="21"/>
                      <w:szCs w:val="21"/>
                      <w:vertAlign w:val="baseline"/>
                      <w:lang w:val="en-US" w:eastAsia="zh-CN" w:bidi="ar-SA"/>
                    </w:rPr>
                    <w:t>回收利用率%</w:t>
                  </w:r>
                </w:p>
              </w:tc>
              <w:tc>
                <w:tcPr>
                  <w:tcW w:w="747" w:type="dxa"/>
                  <w:vAlign w:val="center"/>
                </w:tcPr>
                <w:p w14:paraId="6BA470DE">
                  <w:pPr>
                    <w:pStyle w:val="171"/>
                    <w:spacing w:line="240" w:lineRule="auto"/>
                    <w:jc w:val="center"/>
                    <w:rPr>
                      <w:rFonts w:hint="default" w:ascii="Times New Roman" w:hAnsi="Times New Roman" w:cs="Times New Roman"/>
                      <w:b/>
                      <w:bCs/>
                      <w:color w:val="auto"/>
                      <w:kern w:val="2"/>
                      <w:sz w:val="21"/>
                      <w:szCs w:val="21"/>
                      <w:vertAlign w:val="baseline"/>
                      <w:lang w:val="en-US" w:eastAsia="zh-CN" w:bidi="ar-SA"/>
                    </w:rPr>
                  </w:pPr>
                  <w:r>
                    <w:rPr>
                      <w:rFonts w:hint="default" w:ascii="Times New Roman" w:hAnsi="Times New Roman" w:cs="Times New Roman"/>
                      <w:b/>
                      <w:bCs/>
                      <w:color w:val="auto"/>
                      <w:kern w:val="2"/>
                      <w:sz w:val="21"/>
                      <w:szCs w:val="21"/>
                      <w:vertAlign w:val="baseline"/>
                      <w:lang w:val="en-US" w:eastAsia="zh-CN" w:bidi="ar-SA"/>
                    </w:rPr>
                    <w:t>固含率%</w:t>
                  </w:r>
                </w:p>
              </w:tc>
              <w:tc>
                <w:tcPr>
                  <w:tcW w:w="747" w:type="dxa"/>
                  <w:vAlign w:val="center"/>
                </w:tcPr>
                <w:p w14:paraId="3213C595">
                  <w:pPr>
                    <w:pStyle w:val="171"/>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kern w:val="2"/>
                      <w:sz w:val="21"/>
                      <w:szCs w:val="21"/>
                      <w:vertAlign w:val="baseline"/>
                      <w:lang w:val="en-US" w:eastAsia="zh-CN" w:bidi="ar-SA"/>
                    </w:rPr>
                    <w:t>附着率%</w:t>
                  </w:r>
                </w:p>
              </w:tc>
              <w:tc>
                <w:tcPr>
                  <w:tcW w:w="1005" w:type="dxa"/>
                  <w:vAlign w:val="center"/>
                </w:tcPr>
                <w:p w14:paraId="26768A3A">
                  <w:pPr>
                    <w:pStyle w:val="171"/>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cs="Times New Roman"/>
                      <w:b/>
                      <w:bCs/>
                      <w:color w:val="auto"/>
                      <w:kern w:val="2"/>
                      <w:sz w:val="21"/>
                      <w:szCs w:val="21"/>
                      <w:vertAlign w:val="baseline"/>
                      <w:lang w:val="en-US" w:eastAsia="zh-CN" w:bidi="ar-SA"/>
                    </w:rPr>
                    <w:t>年用量t/a</w:t>
                  </w:r>
                </w:p>
              </w:tc>
            </w:tr>
            <w:tr w14:paraId="1082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41" w:type="dxa"/>
                  <w:vAlign w:val="center"/>
                </w:tcPr>
                <w:p w14:paraId="567FC722">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机床防护罩（喷塑件）</w:t>
                  </w:r>
                </w:p>
              </w:tc>
              <w:tc>
                <w:tcPr>
                  <w:tcW w:w="1150" w:type="dxa"/>
                  <w:vAlign w:val="center"/>
                </w:tcPr>
                <w:p w14:paraId="3F03ACAD">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130976</w:t>
                  </w:r>
                </w:p>
              </w:tc>
              <w:tc>
                <w:tcPr>
                  <w:tcW w:w="757" w:type="dxa"/>
                  <w:vAlign w:val="center"/>
                </w:tcPr>
                <w:p w14:paraId="5928D27E">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869" w:type="dxa"/>
                  <w:vAlign w:val="center"/>
                </w:tcPr>
                <w:p w14:paraId="6036DDC9">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80</w:t>
                  </w:r>
                </w:p>
              </w:tc>
              <w:tc>
                <w:tcPr>
                  <w:tcW w:w="705" w:type="dxa"/>
                  <w:vAlign w:val="center"/>
                </w:tcPr>
                <w:p w14:paraId="4D4872F8">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w:t>
                  </w:r>
                </w:p>
              </w:tc>
              <w:tc>
                <w:tcPr>
                  <w:tcW w:w="1054" w:type="dxa"/>
                  <w:vAlign w:val="center"/>
                </w:tcPr>
                <w:p w14:paraId="14E1B7B1">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90</w:t>
                  </w:r>
                </w:p>
              </w:tc>
              <w:tc>
                <w:tcPr>
                  <w:tcW w:w="747" w:type="dxa"/>
                  <w:vAlign w:val="center"/>
                </w:tcPr>
                <w:p w14:paraId="3F50C06F">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100</w:t>
                  </w:r>
                </w:p>
              </w:tc>
              <w:tc>
                <w:tcPr>
                  <w:tcW w:w="747" w:type="dxa"/>
                  <w:vAlign w:val="center"/>
                </w:tcPr>
                <w:p w14:paraId="7984AB98">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80</w:t>
                  </w:r>
                </w:p>
              </w:tc>
              <w:tc>
                <w:tcPr>
                  <w:tcW w:w="1005" w:type="dxa"/>
                  <w:vAlign w:val="center"/>
                </w:tcPr>
                <w:p w14:paraId="5C42220B">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18.919</w:t>
                  </w:r>
                </w:p>
              </w:tc>
            </w:tr>
            <w:tr w14:paraId="00EA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41" w:type="dxa"/>
                  <w:vAlign w:val="center"/>
                </w:tcPr>
                <w:p w14:paraId="61E371DA">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包装设备（喷塑件）</w:t>
                  </w:r>
                </w:p>
              </w:tc>
              <w:tc>
                <w:tcPr>
                  <w:tcW w:w="1150" w:type="dxa"/>
                  <w:vAlign w:val="center"/>
                </w:tcPr>
                <w:p w14:paraId="45657D48">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35280</w:t>
                  </w:r>
                </w:p>
              </w:tc>
              <w:tc>
                <w:tcPr>
                  <w:tcW w:w="757" w:type="dxa"/>
                  <w:vAlign w:val="center"/>
                </w:tcPr>
                <w:p w14:paraId="0AE1630E">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869" w:type="dxa"/>
                  <w:vAlign w:val="center"/>
                </w:tcPr>
                <w:p w14:paraId="0FC43149">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80</w:t>
                  </w:r>
                </w:p>
              </w:tc>
              <w:tc>
                <w:tcPr>
                  <w:tcW w:w="705" w:type="dxa"/>
                  <w:vAlign w:val="center"/>
                </w:tcPr>
                <w:p w14:paraId="66BB2CBD">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w:t>
                  </w:r>
                </w:p>
              </w:tc>
              <w:tc>
                <w:tcPr>
                  <w:tcW w:w="1054" w:type="dxa"/>
                  <w:vAlign w:val="center"/>
                </w:tcPr>
                <w:p w14:paraId="1015697E">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90</w:t>
                  </w:r>
                </w:p>
              </w:tc>
              <w:tc>
                <w:tcPr>
                  <w:tcW w:w="747" w:type="dxa"/>
                  <w:vAlign w:val="center"/>
                </w:tcPr>
                <w:p w14:paraId="58E04AFF">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100</w:t>
                  </w:r>
                </w:p>
              </w:tc>
              <w:tc>
                <w:tcPr>
                  <w:tcW w:w="747" w:type="dxa"/>
                  <w:vAlign w:val="center"/>
                </w:tcPr>
                <w:p w14:paraId="6B4CD49D">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80</w:t>
                  </w:r>
                </w:p>
              </w:tc>
              <w:tc>
                <w:tcPr>
                  <w:tcW w:w="1005" w:type="dxa"/>
                  <w:vAlign w:val="center"/>
                </w:tcPr>
                <w:p w14:paraId="0EAD08CF">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5.096</w:t>
                  </w:r>
                </w:p>
              </w:tc>
            </w:tr>
            <w:tr w14:paraId="61DF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270" w:type="dxa"/>
                  <w:gridSpan w:val="8"/>
                  <w:vAlign w:val="center"/>
                </w:tcPr>
                <w:p w14:paraId="181B75E7">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合计</w:t>
                  </w:r>
                </w:p>
              </w:tc>
              <w:tc>
                <w:tcPr>
                  <w:tcW w:w="1005" w:type="dxa"/>
                  <w:vAlign w:val="center"/>
                </w:tcPr>
                <w:p w14:paraId="66153403">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24.015</w:t>
                  </w:r>
                </w:p>
              </w:tc>
            </w:tr>
          </w:tbl>
          <w:p w14:paraId="223E137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②水性漆用量情况分析：</w:t>
            </w:r>
          </w:p>
          <w:p w14:paraId="29AC6FE7">
            <w:pPr>
              <w:pStyle w:val="24"/>
              <w:widowControl w:val="0"/>
              <w:spacing w:before="0" w:beforeAutospacing="0" w:after="0" w:afterAutospacing="0" w:line="360" w:lineRule="auto"/>
              <w:ind w:leftChars="0"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项目漆料用量采用以下公式计算：m=ρδs×10</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/Nε</w:t>
            </w:r>
          </w:p>
          <w:p w14:paraId="76AA4741">
            <w:pPr>
              <w:pStyle w:val="24"/>
              <w:widowControl w:val="0"/>
              <w:spacing w:before="0" w:beforeAutospacing="0" w:after="0" w:afterAutospacing="0" w:line="360" w:lineRule="auto"/>
              <w:ind w:leftChars="0"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其中：m-漆料总用量（t/a）；</w:t>
            </w:r>
          </w:p>
          <w:p w14:paraId="5C7CEAAD">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ρ-漆料密度（g/c</w:t>
            </w:r>
            <w:r>
              <w:rPr>
                <w:rFonts w:hint="default" w:ascii="Times New Roman" w:hAnsi="Times New Roman" w:cs="Times New Roman"/>
                <w:color w:val="auto"/>
                <w:sz w:val="24"/>
                <w:highlight w:val="none"/>
                <w:lang w:eastAsia="zh-CN"/>
              </w:rPr>
              <w:t>m³</w:t>
            </w:r>
            <w:r>
              <w:rPr>
                <w:rFonts w:hint="default" w:ascii="Times New Roman" w:hAnsi="Times New Roman" w:cs="Times New Roman"/>
                <w:color w:val="auto"/>
                <w:sz w:val="24"/>
                <w:highlight w:val="none"/>
              </w:rPr>
              <w:t>）；</w:t>
            </w:r>
          </w:p>
          <w:p w14:paraId="01EAE56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δ－涂层厚度（mm）；</w:t>
            </w:r>
          </w:p>
          <w:p w14:paraId="5B64E7F8">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s-喷涂面积（m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/a）；</w:t>
            </w:r>
          </w:p>
          <w:p w14:paraId="2F554C60">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N－漆料中的固体分含量（%）；</w:t>
            </w:r>
          </w:p>
          <w:p w14:paraId="051695D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ε－上漆率（%），即喷涂的漆料附着到工件表面的比例。参考《涂装工艺与设备》（化学工业出版社）</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喷涂距离在15cm～20cm之间时，涂装效率约为65%～75%</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，本次评价取70%。</w:t>
            </w:r>
          </w:p>
          <w:p w14:paraId="167BADB1">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根据项目生产量，本项目总喷漆量核算详细情况见下表：</w:t>
            </w:r>
          </w:p>
          <w:p w14:paraId="0BA6011F">
            <w:pPr>
              <w:keepNext/>
              <w:keepLines/>
              <w:widowControl/>
              <w:adjustRightInd w:val="0"/>
              <w:snapToGrid w:val="0"/>
              <w:spacing w:line="240" w:lineRule="auto"/>
              <w:ind w:firstLine="422" w:firstLineChars="200"/>
              <w:jc w:val="center"/>
              <w:outlineLvl w:val="1"/>
              <w:rPr>
                <w:rFonts w:hint="default" w:ascii="Times New Roman" w:hAnsi="Times New Roman" w:eastAsia="宋体" w:cs="Times New Roman"/>
                <w:b/>
                <w:bCs w:val="0"/>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1"/>
                <w:szCs w:val="24"/>
                <w:lang w:val="en-US" w:eastAsia="zh-CN" w:bidi="ar-SA"/>
                <w14:textFill>
                  <w14:solidFill>
                    <w14:schemeClr w14:val="tx1"/>
                  </w14:solidFill>
                </w14:textFill>
              </w:rPr>
              <w:t>表2-8  项目漆料用量核算一览表</w:t>
            </w:r>
          </w:p>
          <w:tbl>
            <w:tblPr>
              <w:tblStyle w:val="3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1134"/>
              <w:gridCol w:w="1147"/>
              <w:gridCol w:w="1010"/>
              <w:gridCol w:w="998"/>
              <w:gridCol w:w="957"/>
              <w:gridCol w:w="880"/>
              <w:gridCol w:w="880"/>
            </w:tblGrid>
            <w:tr w14:paraId="193BF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2" w:type="pct"/>
                  <w:noWrap w:val="0"/>
                  <w:vAlign w:val="center"/>
                </w:tcPr>
                <w:p w14:paraId="77AC89D0">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名称</w:t>
                  </w:r>
                </w:p>
              </w:tc>
              <w:tc>
                <w:tcPr>
                  <w:tcW w:w="664" w:type="pct"/>
                  <w:noWrap w:val="0"/>
                  <w:vAlign w:val="center"/>
                </w:tcPr>
                <w:p w14:paraId="6FD20442">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漆料密度（g/c</w:t>
                  </w:r>
                  <w:r>
                    <w:rPr>
                      <w:rFonts w:hint="default" w:ascii="Times New Roman" w:hAnsi="Times New Roman" w:cs="Times New Roman"/>
                      <w:b/>
                      <w:bCs/>
                      <w:color w:val="auto"/>
                      <w:szCs w:val="21"/>
                      <w:highlight w:val="none"/>
                      <w:lang w:eastAsia="zh-CN"/>
                    </w:rPr>
                    <w:t>m³</w:t>
                  </w:r>
                  <w:r>
                    <w:rPr>
                      <w:rFonts w:hint="default" w:ascii="Times New Roman" w:hAnsi="Times New Roman" w:cs="Times New Roman"/>
                      <w:b/>
                      <w:bCs/>
                      <w:color w:val="auto"/>
                      <w:szCs w:val="21"/>
                      <w:highlight w:val="none"/>
                    </w:rPr>
                    <w:t>）</w:t>
                  </w:r>
                </w:p>
              </w:tc>
              <w:tc>
                <w:tcPr>
                  <w:tcW w:w="672" w:type="pct"/>
                  <w:noWrap w:val="0"/>
                  <w:vAlign w:val="center"/>
                </w:tcPr>
                <w:p w14:paraId="3594EA45">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喷涂面积（m</w:t>
                  </w:r>
                  <w:r>
                    <w:rPr>
                      <w:rFonts w:hint="default" w:ascii="Times New Roman" w:hAnsi="Times New Roman" w:cs="Times New Roman"/>
                      <w:b/>
                      <w:bCs/>
                      <w:color w:val="auto"/>
                      <w:szCs w:val="21"/>
                      <w:highlight w:val="none"/>
                      <w:vertAlign w:val="superscript"/>
                    </w:rPr>
                    <w:t>2</w:t>
                  </w:r>
                  <w:r>
                    <w:rPr>
                      <w:rFonts w:hint="default" w:ascii="Times New Roman" w:hAnsi="Times New Roman" w:cs="Times New Roman"/>
                      <w:b/>
                      <w:bCs/>
                      <w:color w:val="auto"/>
                      <w:szCs w:val="21"/>
                      <w:highlight w:val="none"/>
                    </w:rPr>
                    <w:t>/a）</w:t>
                  </w:r>
                </w:p>
              </w:tc>
              <w:tc>
                <w:tcPr>
                  <w:tcW w:w="592" w:type="pct"/>
                  <w:noWrap w:val="0"/>
                  <w:vAlign w:val="center"/>
                </w:tcPr>
                <w:p w14:paraId="20913D85">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喷涂厚度（mm）</w:t>
                  </w:r>
                </w:p>
              </w:tc>
              <w:tc>
                <w:tcPr>
                  <w:tcW w:w="585" w:type="pct"/>
                  <w:noWrap w:val="0"/>
                  <w:vAlign w:val="center"/>
                </w:tcPr>
                <w:p w14:paraId="3A646D88">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固体分（%）</w:t>
                  </w:r>
                </w:p>
              </w:tc>
              <w:tc>
                <w:tcPr>
                  <w:tcW w:w="561" w:type="pct"/>
                  <w:noWrap w:val="0"/>
                  <w:vAlign w:val="center"/>
                </w:tcPr>
                <w:p w14:paraId="35BD8C3E">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上漆率（%）</w:t>
                  </w:r>
                </w:p>
              </w:tc>
              <w:tc>
                <w:tcPr>
                  <w:tcW w:w="515" w:type="pct"/>
                  <w:noWrap w:val="0"/>
                  <w:vAlign w:val="center"/>
                </w:tcPr>
                <w:p w14:paraId="0A977AC7">
                  <w:pPr>
                    <w:widowControl/>
                    <w:jc w:val="center"/>
                    <w:textAlignment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喷涂次数</w:t>
                  </w:r>
                </w:p>
              </w:tc>
              <w:tc>
                <w:tcPr>
                  <w:tcW w:w="515" w:type="pct"/>
                  <w:noWrap w:val="0"/>
                  <w:vAlign w:val="center"/>
                </w:tcPr>
                <w:p w14:paraId="2F7CC7A7">
                  <w:pPr>
                    <w:widowControl/>
                    <w:jc w:val="center"/>
                    <w:textAlignment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漆用量（t/a）</w:t>
                  </w:r>
                </w:p>
              </w:tc>
            </w:tr>
            <w:tr w14:paraId="3BBB5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2" w:type="pct"/>
                  <w:vMerge w:val="restart"/>
                  <w:noWrap w:val="0"/>
                  <w:vAlign w:val="center"/>
                </w:tcPr>
                <w:p w14:paraId="1B021861">
                  <w:pPr>
                    <w:pStyle w:val="131"/>
                    <w:jc w:val="center"/>
                    <w:rPr>
                      <w:rFonts w:hint="default" w:ascii="Times New Roman" w:hAnsi="Times New Roman" w:cs="Times New Roman"/>
                      <w:b/>
                      <w:bCs/>
                      <w:color w:val="auto"/>
                      <w:szCs w:val="21"/>
                      <w:highlight w:val="none"/>
                    </w:rPr>
                  </w:pPr>
                  <w:r>
                    <w:rPr>
                      <w:rFonts w:hint="default" w:ascii="Times New Roman" w:hAnsi="Times New Roman" w:cs="Times New Roman"/>
                      <w:color w:val="auto"/>
                      <w:sz w:val="21"/>
                      <w:szCs w:val="21"/>
                      <w:highlight w:val="none"/>
                      <w:lang w:eastAsia="zh-CN"/>
                    </w:rPr>
                    <w:t>蓝灰水性环氧底漆（成品）</w:t>
                  </w:r>
                </w:p>
              </w:tc>
              <w:tc>
                <w:tcPr>
                  <w:tcW w:w="664" w:type="pct"/>
                  <w:noWrap w:val="0"/>
                  <w:vAlign w:val="center"/>
                </w:tcPr>
                <w:p w14:paraId="25B0FEC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1.355</w:t>
                  </w:r>
                </w:p>
              </w:tc>
              <w:tc>
                <w:tcPr>
                  <w:tcW w:w="672" w:type="pct"/>
                  <w:noWrap w:val="0"/>
                  <w:vAlign w:val="center"/>
                </w:tcPr>
                <w:p w14:paraId="382B01E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7200</w:t>
                  </w:r>
                </w:p>
              </w:tc>
              <w:tc>
                <w:tcPr>
                  <w:tcW w:w="592" w:type="pct"/>
                  <w:noWrap w:val="0"/>
                  <w:vAlign w:val="center"/>
                </w:tcPr>
                <w:p w14:paraId="7F7FAD4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0.03</w:t>
                  </w:r>
                </w:p>
              </w:tc>
              <w:tc>
                <w:tcPr>
                  <w:tcW w:w="585" w:type="pct"/>
                  <w:noWrap w:val="0"/>
                  <w:vAlign w:val="center"/>
                </w:tcPr>
                <w:p w14:paraId="47DE5490">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55.4</w:t>
                  </w:r>
                </w:p>
              </w:tc>
              <w:tc>
                <w:tcPr>
                  <w:tcW w:w="561" w:type="pct"/>
                  <w:noWrap w:val="0"/>
                  <w:vAlign w:val="center"/>
                </w:tcPr>
                <w:p w14:paraId="0E4C779A">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70</w:t>
                  </w:r>
                </w:p>
              </w:tc>
              <w:tc>
                <w:tcPr>
                  <w:tcW w:w="515" w:type="pct"/>
                  <w:noWrap w:val="0"/>
                  <w:vAlign w:val="center"/>
                </w:tcPr>
                <w:p w14:paraId="390BCE7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515" w:type="pct"/>
                  <w:noWrap w:val="0"/>
                  <w:vAlign w:val="center"/>
                </w:tcPr>
                <w:p w14:paraId="74B17572">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0.734</w:t>
                  </w:r>
                </w:p>
              </w:tc>
            </w:tr>
            <w:tr w14:paraId="49C6D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2" w:type="pct"/>
                  <w:vMerge w:val="continue"/>
                  <w:noWrap w:val="0"/>
                  <w:vAlign w:val="center"/>
                </w:tcPr>
                <w:p w14:paraId="10EB3A34">
                  <w:pPr>
                    <w:widowControl/>
                    <w:jc w:val="center"/>
                    <w:textAlignment w:val="center"/>
                    <w:rPr>
                      <w:rFonts w:hint="default" w:ascii="Times New Roman" w:hAnsi="Times New Roman" w:cs="Times New Roman"/>
                      <w:b/>
                      <w:bCs/>
                      <w:color w:val="auto"/>
                      <w:szCs w:val="21"/>
                      <w:highlight w:val="none"/>
                    </w:rPr>
                  </w:pPr>
                </w:p>
              </w:tc>
              <w:tc>
                <w:tcPr>
                  <w:tcW w:w="664" w:type="pct"/>
                  <w:noWrap w:val="0"/>
                  <w:vAlign w:val="center"/>
                </w:tcPr>
                <w:p w14:paraId="337DBA73">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1.355</w:t>
                  </w:r>
                </w:p>
              </w:tc>
              <w:tc>
                <w:tcPr>
                  <w:tcW w:w="672" w:type="pct"/>
                  <w:noWrap w:val="0"/>
                  <w:vAlign w:val="center"/>
                </w:tcPr>
                <w:p w14:paraId="1EAB676D">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3950</w:t>
                  </w:r>
                </w:p>
              </w:tc>
              <w:tc>
                <w:tcPr>
                  <w:tcW w:w="592" w:type="pct"/>
                  <w:noWrap w:val="0"/>
                  <w:vAlign w:val="center"/>
                </w:tcPr>
                <w:p w14:paraId="7F2CE482">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0.03</w:t>
                  </w:r>
                </w:p>
              </w:tc>
              <w:tc>
                <w:tcPr>
                  <w:tcW w:w="585" w:type="pct"/>
                  <w:noWrap w:val="0"/>
                  <w:vAlign w:val="center"/>
                </w:tcPr>
                <w:p w14:paraId="39CCA46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55.4</w:t>
                  </w:r>
                </w:p>
              </w:tc>
              <w:tc>
                <w:tcPr>
                  <w:tcW w:w="561" w:type="pct"/>
                  <w:noWrap w:val="0"/>
                  <w:vAlign w:val="center"/>
                </w:tcPr>
                <w:p w14:paraId="577314D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70</w:t>
                  </w:r>
                </w:p>
              </w:tc>
              <w:tc>
                <w:tcPr>
                  <w:tcW w:w="515" w:type="pct"/>
                  <w:noWrap w:val="0"/>
                  <w:vAlign w:val="center"/>
                </w:tcPr>
                <w:p w14:paraId="285C439C">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515" w:type="pct"/>
                  <w:noWrap w:val="0"/>
                  <w:vAlign w:val="center"/>
                </w:tcPr>
                <w:p w14:paraId="137296DF">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0.402</w:t>
                  </w:r>
                </w:p>
              </w:tc>
            </w:tr>
            <w:tr w14:paraId="2B5E5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2" w:type="pct"/>
                  <w:vMerge w:val="restart"/>
                  <w:noWrap w:val="0"/>
                  <w:vAlign w:val="center"/>
                </w:tcPr>
                <w:p w14:paraId="3E5723A4">
                  <w:pPr>
                    <w:pStyle w:val="131"/>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lang w:eastAsia="zh-CN"/>
                    </w:rPr>
                    <w:t>水性醇酸漆（</w:t>
                  </w:r>
                  <w:r>
                    <w:rPr>
                      <w:rFonts w:hint="default" w:ascii="Times New Roman" w:hAnsi="Times New Roman" w:cs="Times New Roman"/>
                      <w:color w:val="auto"/>
                      <w:sz w:val="21"/>
                      <w:szCs w:val="21"/>
                      <w:highlight w:val="none"/>
                      <w:lang w:val="en-US" w:eastAsia="zh-CN"/>
                    </w:rPr>
                    <w:t>成品</w:t>
                  </w:r>
                  <w:r>
                    <w:rPr>
                      <w:rFonts w:hint="default" w:ascii="Times New Roman" w:hAnsi="Times New Roman" w:cs="Times New Roman"/>
                      <w:color w:val="auto"/>
                      <w:sz w:val="21"/>
                      <w:szCs w:val="21"/>
                      <w:highlight w:val="none"/>
                      <w:lang w:eastAsia="zh-CN"/>
                    </w:rPr>
                    <w:t>）</w:t>
                  </w:r>
                </w:p>
              </w:tc>
              <w:tc>
                <w:tcPr>
                  <w:tcW w:w="664" w:type="pct"/>
                  <w:noWrap w:val="0"/>
                  <w:vAlign w:val="center"/>
                </w:tcPr>
                <w:p w14:paraId="69B6FD75">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1.20</w:t>
                  </w:r>
                </w:p>
              </w:tc>
              <w:tc>
                <w:tcPr>
                  <w:tcW w:w="672" w:type="pct"/>
                  <w:noWrap w:val="0"/>
                  <w:vAlign w:val="center"/>
                </w:tcPr>
                <w:p w14:paraId="7439BAD7">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7200</w:t>
                  </w:r>
                </w:p>
              </w:tc>
              <w:tc>
                <w:tcPr>
                  <w:tcW w:w="592" w:type="pct"/>
                  <w:noWrap w:val="0"/>
                  <w:vAlign w:val="center"/>
                </w:tcPr>
                <w:p w14:paraId="199E8A94">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0.03</w:t>
                  </w:r>
                </w:p>
              </w:tc>
              <w:tc>
                <w:tcPr>
                  <w:tcW w:w="585" w:type="pct"/>
                  <w:noWrap w:val="0"/>
                  <w:vAlign w:val="center"/>
                </w:tcPr>
                <w:p w14:paraId="0B79D824">
                  <w:pPr>
                    <w:jc w:val="center"/>
                    <w:rPr>
                      <w:rFonts w:hint="default" w:ascii="Times New Roman" w:hAnsi="Times New Roman"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57</w:t>
                  </w:r>
                </w:p>
              </w:tc>
              <w:tc>
                <w:tcPr>
                  <w:tcW w:w="561" w:type="pct"/>
                  <w:noWrap w:val="0"/>
                  <w:vAlign w:val="center"/>
                </w:tcPr>
                <w:p w14:paraId="27FBE01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515" w:type="pct"/>
                  <w:noWrap w:val="0"/>
                  <w:vAlign w:val="center"/>
                </w:tcPr>
                <w:p w14:paraId="6A0A920D">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880" w:type="dxa"/>
                  <w:noWrap w:val="0"/>
                  <w:vAlign w:val="center"/>
                </w:tcPr>
                <w:p w14:paraId="1F918E6A">
                  <w:pPr>
                    <w:jc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1.299</w:t>
                  </w:r>
                </w:p>
              </w:tc>
            </w:tr>
            <w:tr w14:paraId="137127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2" w:type="pct"/>
                  <w:vMerge w:val="continue"/>
                  <w:noWrap w:val="0"/>
                  <w:vAlign w:val="center"/>
                </w:tcPr>
                <w:p w14:paraId="60578EDC">
                  <w:pPr>
                    <w:jc w:val="center"/>
                    <w:rPr>
                      <w:rFonts w:hint="default" w:ascii="Times New Roman" w:hAnsi="Times New Roman" w:cs="Times New Roman"/>
                      <w:color w:val="auto"/>
                      <w:highlight w:val="none"/>
                    </w:rPr>
                  </w:pPr>
                </w:p>
              </w:tc>
              <w:tc>
                <w:tcPr>
                  <w:tcW w:w="664" w:type="pct"/>
                  <w:noWrap w:val="0"/>
                  <w:vAlign w:val="center"/>
                </w:tcPr>
                <w:p w14:paraId="686B80FE">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1.20</w:t>
                  </w:r>
                </w:p>
              </w:tc>
              <w:tc>
                <w:tcPr>
                  <w:tcW w:w="672" w:type="pct"/>
                  <w:noWrap w:val="0"/>
                  <w:vAlign w:val="center"/>
                </w:tcPr>
                <w:p w14:paraId="60184D85">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3950</w:t>
                  </w:r>
                </w:p>
              </w:tc>
              <w:tc>
                <w:tcPr>
                  <w:tcW w:w="592" w:type="pct"/>
                  <w:noWrap w:val="0"/>
                  <w:vAlign w:val="center"/>
                </w:tcPr>
                <w:p w14:paraId="3F31A146">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0.03</w:t>
                  </w:r>
                </w:p>
              </w:tc>
              <w:tc>
                <w:tcPr>
                  <w:tcW w:w="585" w:type="pct"/>
                  <w:noWrap w:val="0"/>
                  <w:vAlign w:val="center"/>
                </w:tcPr>
                <w:p w14:paraId="74BDDD92">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57</w:t>
                  </w:r>
                </w:p>
              </w:tc>
              <w:tc>
                <w:tcPr>
                  <w:tcW w:w="561" w:type="pct"/>
                  <w:noWrap w:val="0"/>
                  <w:vAlign w:val="center"/>
                </w:tcPr>
                <w:p w14:paraId="284EE6B7">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515" w:type="pct"/>
                  <w:noWrap w:val="0"/>
                  <w:vAlign w:val="center"/>
                </w:tcPr>
                <w:p w14:paraId="12D824BB">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880" w:type="dxa"/>
                  <w:noWrap w:val="0"/>
                  <w:vAlign w:val="center"/>
                </w:tcPr>
                <w:p w14:paraId="4B7CD5BA">
                  <w:pPr>
                    <w:jc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0.713</w:t>
                  </w:r>
                </w:p>
              </w:tc>
            </w:tr>
            <w:tr w14:paraId="5C903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84" w:type="pct"/>
                  <w:gridSpan w:val="7"/>
                  <w:noWrap w:val="0"/>
                  <w:vAlign w:val="center"/>
                </w:tcPr>
                <w:p w14:paraId="48804D6E">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合计</w:t>
                  </w:r>
                </w:p>
              </w:tc>
              <w:tc>
                <w:tcPr>
                  <w:tcW w:w="515" w:type="pct"/>
                  <w:noWrap w:val="0"/>
                  <w:vAlign w:val="center"/>
                </w:tcPr>
                <w:p w14:paraId="43CFEBD7">
                  <w:pPr>
                    <w:keepNext w:val="0"/>
                    <w:keepLines w:val="0"/>
                    <w:widowControl/>
                    <w:suppressLineNumbers w:val="0"/>
                    <w:jc w:val="center"/>
                    <w:textAlignment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i w:val="0"/>
                      <w:iCs w:val="0"/>
                      <w:color w:val="000000"/>
                      <w:kern w:val="0"/>
                      <w:sz w:val="21"/>
                      <w:szCs w:val="21"/>
                      <w:u w:val="none"/>
                      <w:lang w:val="en-US" w:eastAsia="zh-CN" w:bidi="ar"/>
                    </w:rPr>
                    <w:t>3.148</w:t>
                  </w:r>
                </w:p>
              </w:tc>
            </w:tr>
            <w:tr w14:paraId="7EF26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8"/>
                  <w:noWrap w:val="0"/>
                  <w:vAlign w:val="center"/>
                </w:tcPr>
                <w:p w14:paraId="1DFE868E">
                  <w:pPr>
                    <w:jc w:val="both"/>
                    <w:rPr>
                      <w:rFonts w:hint="default" w:ascii="Times New Roman" w:hAnsi="Times New Roman" w:cs="Times New Roman"/>
                      <w:b w:val="0"/>
                      <w:bCs w:val="0"/>
                      <w:color w:val="auto"/>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注：</w:t>
                  </w:r>
                  <w:r>
                    <w:rPr>
                      <w:rFonts w:hint="default" w:ascii="Times New Roman" w:hAnsi="Times New Roman" w:cs="Times New Roman"/>
                      <w:b w:val="0"/>
                      <w:bCs w:val="0"/>
                      <w:color w:val="auto"/>
                      <w:sz w:val="21"/>
                      <w:szCs w:val="21"/>
                      <w:highlight w:val="none"/>
                      <w:lang w:eastAsia="zh-CN"/>
                    </w:rPr>
                    <w:t>本</w:t>
                  </w:r>
                  <w:r>
                    <w:rPr>
                      <w:rFonts w:hint="default" w:ascii="Times New Roman" w:hAnsi="Times New Roman" w:cs="Times New Roman"/>
                      <w:b w:val="0"/>
                      <w:bCs w:val="0"/>
                      <w:color w:val="auto"/>
                      <w:sz w:val="21"/>
                      <w:szCs w:val="21"/>
                      <w:highlight w:val="none"/>
                    </w:rPr>
                    <w:t>项目水性</w:t>
                  </w:r>
                  <w:r>
                    <w:rPr>
                      <w:rFonts w:hint="default" w:ascii="Times New Roman" w:hAnsi="Times New Roman" w:cs="Times New Roman"/>
                      <w:b w:val="0"/>
                      <w:bCs w:val="0"/>
                      <w:color w:val="auto"/>
                      <w:sz w:val="21"/>
                      <w:szCs w:val="21"/>
                      <w:highlight w:val="none"/>
                      <w:lang w:val="en-US" w:eastAsia="zh-CN"/>
                    </w:rPr>
                    <w:t>漆料为成品漆料，不需要现场调配</w:t>
                  </w:r>
                  <w:r>
                    <w:rPr>
                      <w:rFonts w:hint="default" w:ascii="Times New Roman" w:hAnsi="Times New Roman" w:cs="Times New Roman"/>
                      <w:b w:val="0"/>
                      <w:bCs w:val="0"/>
                      <w:color w:val="auto"/>
                      <w:sz w:val="24"/>
                      <w:highlight w:val="none"/>
                      <w:lang w:eastAsia="zh-CN"/>
                    </w:rPr>
                    <w:t>。</w:t>
                  </w:r>
                </w:p>
              </w:tc>
            </w:tr>
          </w:tbl>
          <w:p w14:paraId="023F7BAC">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6.水平衡分析</w:t>
            </w:r>
          </w:p>
          <w:p w14:paraId="619A3D0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项目区供水由供水管网供给，本项目喷漆工序均采用已调配好的成品水性</w:t>
            </w:r>
            <w:r>
              <w:rPr>
                <w:rFonts w:hint="default" w:ascii="Times New Roman" w:hAnsi="Times New Roman" w:cs="Times New Roman"/>
                <w:color w:val="auto"/>
                <w:sz w:val="24"/>
                <w:lang w:val="en-US" w:eastAsia="zh-CN"/>
              </w:rPr>
              <w:t>漆</w:t>
            </w:r>
            <w:r>
              <w:rPr>
                <w:rFonts w:hint="default" w:ascii="Times New Roman" w:hAnsi="Times New Roman" w:cs="Times New Roman"/>
                <w:color w:val="auto"/>
                <w:sz w:val="24"/>
              </w:rPr>
              <w:t>料，且地面采用干法清洁，</w:t>
            </w:r>
            <w:r>
              <w:rPr>
                <w:rFonts w:hint="default" w:ascii="Times New Roman" w:hAnsi="Times New Roman" w:cs="Times New Roman"/>
                <w:color w:val="auto"/>
                <w:sz w:val="24"/>
                <w:lang w:val="en-US" w:eastAsia="zh-CN"/>
              </w:rPr>
              <w:t>因此</w:t>
            </w:r>
            <w:r>
              <w:rPr>
                <w:rFonts w:hint="default" w:ascii="Times New Roman" w:hAnsi="Times New Roman" w:cs="Times New Roman"/>
                <w:color w:val="auto"/>
                <w:sz w:val="24"/>
              </w:rPr>
              <w:t>本项目用水主要为</w:t>
            </w:r>
            <w:r>
              <w:rPr>
                <w:rFonts w:hint="default" w:ascii="Times New Roman" w:hAnsi="Times New Roman" w:cs="Times New Roman"/>
                <w:color w:val="auto"/>
                <w:sz w:val="24"/>
                <w:lang w:val="en-US" w:eastAsia="zh-CN"/>
              </w:rPr>
              <w:t>职工</w:t>
            </w:r>
            <w:r>
              <w:rPr>
                <w:rFonts w:hint="default" w:ascii="Times New Roman" w:hAnsi="Times New Roman" w:cs="Times New Roman"/>
                <w:color w:val="auto"/>
                <w:sz w:val="24"/>
              </w:rPr>
              <w:t>生活用水。</w:t>
            </w:r>
          </w:p>
          <w:p w14:paraId="2C32F17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本项目劳动定员30人，年运行300d。根据《陕西省行业用水定额》 （DB61/T943-2020）（修订版）中行政办公人员及结合项目特点，本项目营运期员工用水量按 35L/人•d计，则本项目员工生活用水量为1.05m³/d（315m³/a）。废水排放量按用水量的80%计，则员工生活污水产生量为0.84m³/d（252m³/a）。</w:t>
            </w:r>
          </w:p>
          <w:p w14:paraId="37B3AE9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项目排水实行雨污分流</w:t>
            </w:r>
            <w:r>
              <w:rPr>
                <w:rFonts w:hint="default" w:ascii="Times New Roman" w:hAnsi="Times New Roman" w:cs="Times New Roman"/>
                <w:color w:val="auto"/>
                <w:sz w:val="24"/>
                <w:lang w:val="zh-CN"/>
              </w:rPr>
              <w:t>制。雨水经厂区雨水管道排入市政雨水管网；</w:t>
            </w:r>
            <w:r>
              <w:rPr>
                <w:rFonts w:hint="default" w:ascii="Times New Roman" w:hAnsi="Times New Roman" w:cs="Times New Roman"/>
                <w:color w:val="auto"/>
                <w:sz w:val="24"/>
                <w:lang w:val="en-US" w:eastAsia="zh-CN"/>
              </w:rPr>
              <w:t>生活污水经化粪池处理后定期清掏，不外排。</w:t>
            </w:r>
          </w:p>
          <w:p w14:paraId="5A5D351E">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7.供电</w:t>
            </w:r>
          </w:p>
          <w:p w14:paraId="648F0051">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项目用电由供电系统供给，能满足项目生产、生活的要求。</w:t>
            </w:r>
          </w:p>
          <w:p w14:paraId="5ACB2ED4">
            <w:pPr>
              <w:widowControl/>
              <w:autoSpaceDE w:val="0"/>
              <w:adjustRightInd w:val="0"/>
              <w:snapToGrid w:val="0"/>
              <w:spacing w:line="360" w:lineRule="auto"/>
              <w:ind w:firstLine="482" w:firstLineChars="200"/>
              <w:jc w:val="left"/>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8.平面布置合理性</w:t>
            </w:r>
          </w:p>
          <w:p w14:paraId="46F71A0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本项目拟租赁</w:t>
            </w:r>
            <w:r>
              <w:rPr>
                <w:rFonts w:hint="default" w:ascii="Times New Roman" w:hAnsi="Times New Roman" w:cs="Times New Roman"/>
                <w:color w:val="auto"/>
                <w:sz w:val="24"/>
                <w:szCs w:val="24"/>
                <w:lang w:val="en-US" w:eastAsia="zh-CN"/>
              </w:rPr>
              <w:t>院内一座</w:t>
            </w:r>
            <w:r>
              <w:rPr>
                <w:rFonts w:hint="default" w:ascii="Times New Roman" w:hAnsi="Times New Roman" w:cs="Times New Roman"/>
                <w:color w:val="auto"/>
                <w:sz w:val="24"/>
              </w:rPr>
              <w:t>现有闲置</w:t>
            </w:r>
            <w:r>
              <w:rPr>
                <w:rFonts w:hint="default" w:ascii="Times New Roman" w:hAnsi="Times New Roman" w:cs="Times New Roman"/>
                <w:color w:val="auto"/>
                <w:sz w:val="24"/>
                <w:lang w:val="en-US" w:eastAsia="zh-CN"/>
              </w:rPr>
              <w:t>厂房</w:t>
            </w:r>
            <w:r>
              <w:rPr>
                <w:rFonts w:hint="default" w:ascii="Times New Roman" w:hAnsi="Times New Roman" w:cs="Times New Roman"/>
                <w:color w:val="auto"/>
                <w:sz w:val="24"/>
                <w:szCs w:val="24"/>
                <w:lang w:val="en-US" w:eastAsia="zh-CN"/>
              </w:rPr>
              <w:t>作为生产车间，</w:t>
            </w:r>
            <w:r>
              <w:rPr>
                <w:rFonts w:hint="default" w:ascii="Times New Roman" w:hAnsi="Times New Roman" w:cs="Times New Roman"/>
                <w:color w:val="auto"/>
                <w:sz w:val="24"/>
                <w:lang w:val="en-US" w:eastAsia="zh-CN"/>
              </w:rPr>
              <w:t>厂房内设置生产区</w:t>
            </w:r>
            <w:r>
              <w:rPr>
                <w:rFonts w:hint="default" w:ascii="Times New Roman" w:hAnsi="Times New Roman" w:cs="Times New Roman"/>
                <w:color w:val="auto"/>
                <w:sz w:val="24"/>
              </w:rPr>
              <w:t>、办公</w:t>
            </w:r>
            <w:r>
              <w:rPr>
                <w:rFonts w:hint="default" w:ascii="Times New Roman" w:hAnsi="Times New Roman" w:cs="Times New Roman"/>
                <w:color w:val="auto"/>
                <w:sz w:val="24"/>
                <w:lang w:val="en-US" w:eastAsia="zh-CN"/>
              </w:rPr>
              <w:t>室</w:t>
            </w:r>
            <w:r>
              <w:rPr>
                <w:rFonts w:hint="default" w:ascii="Times New Roman" w:hAnsi="Times New Roman" w:cs="Times New Roman"/>
                <w:color w:val="auto"/>
                <w:sz w:val="24"/>
              </w:rPr>
              <w:t>设施及基础设施齐全，具备良好的生产条件，</w:t>
            </w:r>
            <w:r>
              <w:rPr>
                <w:rFonts w:hint="default" w:ascii="Times New Roman" w:hAnsi="Times New Roman" w:cs="Times New Roman"/>
                <w:color w:val="auto"/>
                <w:sz w:val="24"/>
                <w:lang w:val="en-US" w:eastAsia="zh-CN"/>
              </w:rPr>
              <w:t>厂房</w:t>
            </w:r>
            <w:r>
              <w:rPr>
                <w:rFonts w:hint="default" w:ascii="Times New Roman" w:hAnsi="Times New Roman" w:cs="Times New Roman"/>
                <w:color w:val="auto"/>
                <w:sz w:val="24"/>
              </w:rPr>
              <w:t>占地面积约2400m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。厂房为</w:t>
            </w:r>
            <w:r>
              <w:rPr>
                <w:rFonts w:hint="default" w:ascii="Times New Roman" w:hAnsi="Times New Roman" w:cs="Times New Roman"/>
                <w:color w:val="auto"/>
                <w:sz w:val="24"/>
                <w:lang w:val="en-US" w:eastAsia="zh-CN"/>
              </w:rPr>
              <w:t>西南—东北方</w:t>
            </w:r>
            <w:r>
              <w:rPr>
                <w:rFonts w:hint="default" w:ascii="Times New Roman" w:hAnsi="Times New Roman" w:cs="Times New Roman"/>
                <w:color w:val="auto"/>
                <w:sz w:val="24"/>
              </w:rPr>
              <w:t>向，厂房内由</w:t>
            </w:r>
            <w:r>
              <w:rPr>
                <w:rFonts w:hint="default" w:ascii="Times New Roman" w:hAnsi="Times New Roman" w:cs="Times New Roman"/>
                <w:color w:val="auto"/>
                <w:sz w:val="24"/>
                <w:lang w:val="en-US" w:eastAsia="zh-CN"/>
              </w:rPr>
              <w:t>西</w:t>
            </w:r>
            <w:r>
              <w:rPr>
                <w:rFonts w:hint="default" w:ascii="Times New Roman" w:hAnsi="Times New Roman" w:cs="Times New Roman"/>
                <w:color w:val="auto"/>
                <w:sz w:val="24"/>
              </w:rPr>
              <w:t>向</w:t>
            </w:r>
            <w:r>
              <w:rPr>
                <w:rFonts w:hint="default" w:ascii="Times New Roman" w:hAnsi="Times New Roman" w:cs="Times New Roman"/>
                <w:color w:val="auto"/>
                <w:sz w:val="24"/>
                <w:lang w:val="en-US" w:eastAsia="zh-CN"/>
              </w:rPr>
              <w:t>东</w:t>
            </w:r>
            <w:r>
              <w:rPr>
                <w:rFonts w:hint="default" w:ascii="Times New Roman" w:hAnsi="Times New Roman" w:cs="Times New Roman"/>
                <w:color w:val="auto"/>
                <w:sz w:val="24"/>
              </w:rPr>
              <w:t>依次设办公室、原料产品区、生产</w:t>
            </w:r>
            <w:r>
              <w:rPr>
                <w:rFonts w:hint="default" w:ascii="Times New Roman" w:hAnsi="Times New Roman" w:cs="Times New Roman"/>
                <w:color w:val="auto"/>
                <w:sz w:val="24"/>
                <w:lang w:val="en-US" w:eastAsia="zh-CN"/>
              </w:rPr>
              <w:t>加工</w:t>
            </w:r>
            <w:r>
              <w:rPr>
                <w:rFonts w:hint="default" w:ascii="Times New Roman" w:hAnsi="Times New Roman" w:cs="Times New Roman"/>
                <w:color w:val="auto"/>
                <w:sz w:val="24"/>
              </w:rPr>
              <w:t>区，</w:t>
            </w:r>
            <w:r>
              <w:rPr>
                <w:rFonts w:hint="default" w:ascii="Times New Roman" w:hAnsi="Times New Roman" w:cs="Times New Roman"/>
                <w:color w:val="auto"/>
                <w:sz w:val="24"/>
                <w:lang w:val="en-US" w:eastAsia="zh-CN"/>
              </w:rPr>
              <w:t>喷塑固化区，</w:t>
            </w:r>
            <w:r>
              <w:rPr>
                <w:rFonts w:hint="default" w:ascii="Times New Roman" w:hAnsi="Times New Roman" w:cs="Times New Roman"/>
                <w:color w:val="auto"/>
                <w:sz w:val="24"/>
              </w:rPr>
              <w:t>厂房内中间设安全通道，厂房大门位于</w:t>
            </w:r>
            <w:r>
              <w:rPr>
                <w:rFonts w:hint="default" w:ascii="Times New Roman" w:hAnsi="Times New Roman" w:cs="Times New Roman"/>
                <w:color w:val="auto"/>
                <w:sz w:val="24"/>
                <w:lang w:val="en-US" w:eastAsia="zh-CN"/>
              </w:rPr>
              <w:t>西</w:t>
            </w:r>
            <w:r>
              <w:rPr>
                <w:rFonts w:hint="default" w:ascii="Times New Roman" w:hAnsi="Times New Roman" w:cs="Times New Roman"/>
                <w:color w:val="auto"/>
                <w:sz w:val="24"/>
              </w:rPr>
              <w:t>侧，便于车辆运输，项目整体布局紧凑，厂内供电、排水等基础设施配套齐全，建筑结构基本完善，功能分区明确，各区域相对独立。考虑到了噪声、安全等要求。总平面布置基本合理。具体总平面布置图见附图</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p>
          <w:p w14:paraId="1A5AC6BE">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9.劳动定员及工作制度</w:t>
            </w:r>
          </w:p>
          <w:p w14:paraId="20D5942F">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劳动定员：</w:t>
            </w:r>
            <w:r>
              <w:rPr>
                <w:rFonts w:hint="default" w:ascii="Times New Roman" w:hAnsi="Times New Roman" w:cs="Times New Roman"/>
                <w:color w:val="auto"/>
                <w:sz w:val="24"/>
                <w:lang w:eastAsia="zh-CN"/>
              </w:rPr>
              <w:t>项目劳动定员</w:t>
            </w:r>
            <w:r>
              <w:rPr>
                <w:rFonts w:hint="default" w:ascii="Times New Roman" w:hAnsi="Times New Roman" w:cs="Times New Roman"/>
                <w:color w:val="auto"/>
                <w:sz w:val="24"/>
                <w:lang w:val="en-US" w:eastAsia="zh-CN"/>
              </w:rPr>
              <w:t>30人，</w:t>
            </w:r>
            <w:r>
              <w:rPr>
                <w:rFonts w:hint="default" w:ascii="Times New Roman" w:hAnsi="Times New Roman" w:cs="Times New Roman"/>
                <w:color w:val="auto"/>
                <w:sz w:val="24"/>
              </w:rPr>
              <w:t>厂区提供</w:t>
            </w:r>
            <w:r>
              <w:rPr>
                <w:rFonts w:hint="default" w:ascii="Times New Roman" w:hAnsi="Times New Roman" w:cs="Times New Roman"/>
                <w:color w:val="auto"/>
                <w:sz w:val="24"/>
                <w:lang w:val="en-US" w:eastAsia="zh-CN"/>
              </w:rPr>
              <w:t>住宿，不设食堂</w:t>
            </w:r>
            <w:r>
              <w:rPr>
                <w:rFonts w:hint="default" w:ascii="Times New Roman" w:hAnsi="Times New Roman" w:cs="Times New Roman"/>
                <w:color w:val="auto"/>
                <w:sz w:val="24"/>
              </w:rPr>
              <w:t>。</w:t>
            </w:r>
          </w:p>
          <w:p w14:paraId="6D52BC3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工作制度：本项目年工作300天，工作制度采用</w:t>
            </w:r>
            <w:r>
              <w:rPr>
                <w:rFonts w:hint="default" w:ascii="Times New Roman" w:hAnsi="Times New Roman" w:cs="Times New Roman"/>
                <w:color w:val="auto"/>
                <w:sz w:val="24"/>
                <w:lang w:val="en-US" w:eastAsia="zh-CN"/>
              </w:rPr>
              <w:t>一</w:t>
            </w:r>
            <w:r>
              <w:rPr>
                <w:rFonts w:hint="default" w:ascii="Times New Roman" w:hAnsi="Times New Roman" w:cs="Times New Roman"/>
                <w:color w:val="auto"/>
                <w:sz w:val="24"/>
              </w:rPr>
              <w:t>班制，工作</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小时。</w:t>
            </w:r>
          </w:p>
        </w:tc>
      </w:tr>
      <w:tr w14:paraId="17ABDD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93" w:hRule="atLeast"/>
          <w:jc w:val="center"/>
        </w:trPr>
        <w:tc>
          <w:tcPr>
            <w:tcW w:w="425" w:type="dxa"/>
            <w:noWrap w:val="0"/>
            <w:vAlign w:val="center"/>
          </w:tcPr>
          <w:p w14:paraId="6440C17B">
            <w:pPr>
              <w:pStyle w:val="27"/>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778" w:type="dxa"/>
            <w:noWrap w:val="0"/>
            <w:vAlign w:val="top"/>
          </w:tcPr>
          <w:p w14:paraId="054DE7B7">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1.生产工艺及产污环节流程图</w:t>
            </w:r>
          </w:p>
          <w:p w14:paraId="1FF14648">
            <w:pPr>
              <w:keepNext/>
              <w:keepLines/>
              <w:widowControl/>
              <w:adjustRightInd w:val="0"/>
              <w:snapToGrid w:val="0"/>
              <w:spacing w:line="360" w:lineRule="auto"/>
              <w:jc w:val="center"/>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object>
                <v:shape id="_x0000_i1025" o:spt="75" type="#_x0000_t75" style="height:505.15pt;width:372.95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p>
          <w:p w14:paraId="31C5E416">
            <w:pPr>
              <w:keepNext/>
              <w:keepLines/>
              <w:widowControl/>
              <w:adjustRightInd w:val="0"/>
              <w:snapToGrid w:val="0"/>
              <w:spacing w:line="360" w:lineRule="auto"/>
              <w:jc w:val="center"/>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图2-1   工艺流程及产污环节示意图</w:t>
            </w:r>
          </w:p>
          <w:p w14:paraId="09CA98B6">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2.工艺流程及产污环节简述</w:t>
            </w:r>
          </w:p>
          <w:p w14:paraId="1D7563C3">
            <w:pPr>
              <w:tabs>
                <w:tab w:val="left" w:pos="7980"/>
              </w:tabs>
              <w:spacing w:line="360" w:lineRule="auto"/>
              <w:ind w:firstLine="480" w:firstLineChars="200"/>
              <w:jc w:val="left"/>
              <w:rPr>
                <w:rFonts w:hint="default" w:ascii="Times New Roman" w:hAnsi="Times New Roman" w:cs="Times New Roman"/>
                <w:bCs/>
                <w:color w:val="auto"/>
                <w:sz w:val="24"/>
                <w:lang w:eastAsia="zh-CN"/>
              </w:rPr>
            </w:pP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下料</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本项目加工的原材料主要为外购板材，材质为钢，根据加工件的规格要求，采用激光切割机、火焰切割</w:t>
            </w:r>
            <w:r>
              <w:rPr>
                <w:rFonts w:hint="eastAsia" w:ascii="Times New Roman" w:hAnsi="Times New Roman" w:cs="Times New Roman"/>
                <w:bCs/>
                <w:color w:val="auto"/>
                <w:sz w:val="24"/>
                <w:lang w:val="en-US" w:eastAsia="zh-CN"/>
              </w:rPr>
              <w:t>机等</w:t>
            </w:r>
            <w:r>
              <w:rPr>
                <w:rFonts w:hint="default" w:ascii="Times New Roman" w:hAnsi="Times New Roman" w:cs="Times New Roman"/>
                <w:bCs/>
                <w:color w:val="auto"/>
                <w:sz w:val="24"/>
                <w:lang w:val="en-US" w:eastAsia="zh-CN"/>
              </w:rPr>
              <w:t>设备进行切割下料。</w:t>
            </w:r>
            <w:r>
              <w:rPr>
                <w:rFonts w:hint="default" w:ascii="Times New Roman" w:hAnsi="Times New Roman" w:cs="Times New Roman"/>
                <w:bCs/>
                <w:color w:val="auto"/>
                <w:sz w:val="24"/>
                <w:lang w:eastAsia="zh-CN"/>
              </w:rPr>
              <w:t>该过程主要产生设备噪声、</w:t>
            </w:r>
            <w:r>
              <w:rPr>
                <w:rFonts w:hint="default" w:ascii="Times New Roman" w:hAnsi="Times New Roman" w:cs="Times New Roman"/>
                <w:bCs/>
                <w:color w:val="auto"/>
                <w:sz w:val="24"/>
                <w:lang w:val="en-US" w:eastAsia="zh-CN"/>
              </w:rPr>
              <w:t>废边角料、切割烟尘</w:t>
            </w:r>
            <w:r>
              <w:rPr>
                <w:rFonts w:hint="default" w:ascii="Times New Roman" w:hAnsi="Times New Roman" w:cs="Times New Roman"/>
                <w:bCs/>
                <w:color w:val="auto"/>
                <w:sz w:val="24"/>
                <w:lang w:eastAsia="zh-CN"/>
              </w:rPr>
              <w:t>。</w:t>
            </w:r>
          </w:p>
          <w:p w14:paraId="6A1D4E11">
            <w:pPr>
              <w:spacing w:line="360" w:lineRule="auto"/>
              <w:ind w:firstLine="480" w:firstLineChars="200"/>
              <w:jc w:val="left"/>
              <w:rPr>
                <w:rFonts w:hint="default" w:ascii="Times New Roman" w:hAnsi="Times New Roman" w:cs="Times New Roman"/>
                <w:bCs/>
                <w:color w:val="auto"/>
                <w:sz w:val="24"/>
                <w:lang w:eastAsia="zh-CN"/>
              </w:rPr>
            </w:pP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折弯</w:t>
            </w:r>
            <w:r>
              <w:rPr>
                <w:rFonts w:hint="default" w:ascii="Times New Roman" w:hAnsi="Times New Roman" w:cs="Times New Roman"/>
                <w:bCs/>
                <w:color w:val="auto"/>
                <w:sz w:val="24"/>
              </w:rPr>
              <w:t>：</w:t>
            </w:r>
            <w:r>
              <w:rPr>
                <w:rFonts w:hint="default" w:ascii="Times New Roman" w:hAnsi="Times New Roman" w:cs="Times New Roman"/>
                <w:bCs/>
                <w:color w:val="auto"/>
                <w:sz w:val="24"/>
                <w:lang w:eastAsia="zh-CN"/>
              </w:rPr>
              <w:t>采用</w:t>
            </w:r>
            <w:r>
              <w:rPr>
                <w:rFonts w:hint="default" w:ascii="Times New Roman" w:hAnsi="Times New Roman" w:cs="Times New Roman"/>
                <w:bCs/>
                <w:color w:val="auto"/>
                <w:sz w:val="24"/>
                <w:lang w:val="en-US" w:eastAsia="zh-CN"/>
              </w:rPr>
              <w:t>折弯</w:t>
            </w:r>
            <w:r>
              <w:rPr>
                <w:rFonts w:hint="default" w:ascii="Times New Roman" w:hAnsi="Times New Roman" w:cs="Times New Roman"/>
                <w:bCs/>
                <w:color w:val="auto"/>
                <w:sz w:val="24"/>
                <w:lang w:eastAsia="zh-CN"/>
              </w:rPr>
              <w:t>机</w:t>
            </w:r>
            <w:r>
              <w:rPr>
                <w:rFonts w:hint="default" w:ascii="Times New Roman" w:hAnsi="Times New Roman" w:cs="Times New Roman"/>
                <w:bCs/>
                <w:color w:val="auto"/>
                <w:sz w:val="24"/>
                <w:lang w:val="en-US" w:eastAsia="zh-CN"/>
              </w:rPr>
              <w:t>按照工件需求</w:t>
            </w:r>
            <w:r>
              <w:rPr>
                <w:rFonts w:hint="default" w:ascii="Times New Roman" w:hAnsi="Times New Roman" w:cs="Times New Roman"/>
                <w:bCs/>
                <w:color w:val="auto"/>
                <w:sz w:val="24"/>
                <w:lang w:eastAsia="zh-CN"/>
              </w:rPr>
              <w:t>将工件进行</w:t>
            </w:r>
            <w:r>
              <w:rPr>
                <w:rFonts w:hint="default" w:ascii="Times New Roman" w:hAnsi="Times New Roman" w:cs="Times New Roman"/>
                <w:bCs/>
                <w:color w:val="auto"/>
                <w:sz w:val="24"/>
                <w:lang w:val="en-US" w:eastAsia="zh-CN"/>
              </w:rPr>
              <w:t>加工处理</w:t>
            </w:r>
            <w:r>
              <w:rPr>
                <w:rFonts w:hint="default" w:ascii="Times New Roman" w:hAnsi="Times New Roman" w:cs="Times New Roman"/>
                <w:bCs/>
                <w:color w:val="auto"/>
                <w:sz w:val="24"/>
                <w:lang w:eastAsia="zh-CN"/>
              </w:rPr>
              <w:t>，最后达到</w:t>
            </w:r>
            <w:r>
              <w:rPr>
                <w:rFonts w:hint="default" w:ascii="Times New Roman" w:hAnsi="Times New Roman" w:cs="Times New Roman"/>
                <w:bCs/>
                <w:color w:val="auto"/>
                <w:sz w:val="24"/>
                <w:lang w:val="en-US" w:eastAsia="zh-CN"/>
              </w:rPr>
              <w:t>折弯</w:t>
            </w:r>
            <w:r>
              <w:rPr>
                <w:rFonts w:hint="default" w:ascii="Times New Roman" w:hAnsi="Times New Roman" w:cs="Times New Roman"/>
                <w:bCs/>
                <w:color w:val="auto"/>
                <w:sz w:val="24"/>
                <w:lang w:eastAsia="zh-CN"/>
              </w:rPr>
              <w:t>的目的。此过程主要产生设备噪声。</w:t>
            </w:r>
          </w:p>
          <w:p w14:paraId="465DD1DE">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eastAsia="zh-CN"/>
              </w:rPr>
              <w:t>（</w:t>
            </w:r>
            <w:r>
              <w:rPr>
                <w:rFonts w:hint="default" w:ascii="Times New Roman" w:hAnsi="Times New Roman" w:cs="Times New Roman"/>
                <w:bCs/>
                <w:color w:val="auto"/>
                <w:sz w:val="24"/>
                <w:lang w:val="en-US" w:eastAsia="zh-CN"/>
              </w:rPr>
              <w:t>3</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焊接、修磨：</w:t>
            </w:r>
            <w:r>
              <w:rPr>
                <w:rFonts w:hint="default" w:ascii="Times New Roman" w:hAnsi="Times New Roman" w:cs="Times New Roman"/>
                <w:bCs/>
                <w:color w:val="auto"/>
                <w:sz w:val="24"/>
                <w:lang w:val="en-US" w:eastAsia="zh-CN"/>
              </w:rPr>
              <w:t>不同</w:t>
            </w:r>
            <w:r>
              <w:rPr>
                <w:rFonts w:hint="default" w:ascii="Times New Roman" w:hAnsi="Times New Roman" w:eastAsia="宋体" w:cs="Times New Roman"/>
                <w:color w:val="auto"/>
                <w:sz w:val="24"/>
                <w:lang w:eastAsia="zh-CN"/>
              </w:rPr>
              <w:t>规格</w:t>
            </w:r>
            <w:r>
              <w:rPr>
                <w:rFonts w:hint="default" w:ascii="Times New Roman" w:hAnsi="Times New Roman" w:eastAsia="宋体" w:cs="Times New Roman"/>
                <w:color w:val="auto"/>
                <w:sz w:val="24"/>
                <w:lang w:val="en-US" w:eastAsia="zh-CN"/>
              </w:rPr>
              <w:t>的工件需</w:t>
            </w:r>
            <w:r>
              <w:rPr>
                <w:rFonts w:hint="default" w:ascii="Times New Roman" w:hAnsi="Times New Roman" w:eastAsia="宋体" w:cs="Times New Roman"/>
                <w:bCs/>
                <w:color w:val="auto"/>
                <w:sz w:val="24"/>
                <w:lang w:val="en-US" w:eastAsia="zh-CN"/>
              </w:rPr>
              <w:t>采用激光焊</w:t>
            </w:r>
            <w:r>
              <w:rPr>
                <w:rFonts w:hint="default" w:ascii="Times New Roman" w:hAnsi="Times New Roman" w:cs="Times New Roman"/>
                <w:bCs/>
                <w:color w:val="auto"/>
                <w:sz w:val="24"/>
                <w:lang w:val="en-US" w:eastAsia="zh-CN"/>
              </w:rPr>
              <w:t>、二保焊</w:t>
            </w:r>
            <w:r>
              <w:rPr>
                <w:rFonts w:hint="default" w:ascii="Times New Roman" w:hAnsi="Times New Roman" w:eastAsia="宋体" w:cs="Times New Roman"/>
                <w:bCs/>
                <w:color w:val="auto"/>
                <w:sz w:val="24"/>
                <w:lang w:val="en-US" w:eastAsia="zh-CN"/>
              </w:rPr>
              <w:t>将其根据产品要求焊接在一起，焊接过程属热传导型，即激光辐射加热工件表面，表面热量通过热传导向内部扩散，通过控制激光脉冲的宽度、能量、峰值功率和重复频率等参数，使工件熔化，形成特定的熔池。焊接后的工件经角磨机设备进行表面</w:t>
            </w:r>
            <w:r>
              <w:rPr>
                <w:rFonts w:hint="default" w:ascii="Times New Roman" w:hAnsi="Times New Roman" w:cs="Times New Roman"/>
                <w:bCs/>
                <w:color w:val="auto"/>
                <w:sz w:val="24"/>
                <w:lang w:val="en-US" w:eastAsia="zh-CN"/>
              </w:rPr>
              <w:t>毛刺</w:t>
            </w:r>
            <w:r>
              <w:rPr>
                <w:rFonts w:hint="default" w:ascii="Times New Roman" w:hAnsi="Times New Roman" w:eastAsia="宋体" w:cs="Times New Roman"/>
                <w:bCs/>
                <w:color w:val="auto"/>
                <w:sz w:val="24"/>
                <w:lang w:val="en-US" w:eastAsia="zh-CN"/>
              </w:rPr>
              <w:t>修磨处理。</w:t>
            </w:r>
            <w:r>
              <w:rPr>
                <w:rFonts w:hint="default" w:ascii="Times New Roman" w:hAnsi="Times New Roman" w:cs="Times New Roman"/>
                <w:bCs/>
                <w:color w:val="auto"/>
                <w:sz w:val="24"/>
                <w:lang w:val="en-US" w:eastAsia="zh-CN"/>
              </w:rPr>
              <w:t>焊接修磨</w:t>
            </w:r>
            <w:r>
              <w:rPr>
                <w:rFonts w:hint="default" w:ascii="Times New Roman" w:hAnsi="Times New Roman" w:eastAsia="宋体" w:cs="Times New Roman"/>
                <w:bCs/>
                <w:color w:val="auto"/>
                <w:sz w:val="24"/>
                <w:lang w:val="en-US" w:eastAsia="zh-CN"/>
              </w:rPr>
              <w:t>设密闭房内，该工序会产生废气（颗粒物）</w:t>
            </w:r>
            <w:r>
              <w:rPr>
                <w:rFonts w:hint="eastAsia" w:ascii="Times New Roman" w:hAnsi="Times New Roman" w:cs="Times New Roman"/>
                <w:bCs/>
                <w:color w:val="auto"/>
                <w:sz w:val="24"/>
                <w:lang w:val="en-US" w:eastAsia="zh-CN"/>
              </w:rPr>
              <w:t>、</w:t>
            </w:r>
            <w:r>
              <w:rPr>
                <w:rFonts w:hint="default" w:ascii="Times New Roman" w:hAnsi="Times New Roman" w:eastAsia="宋体" w:cs="Times New Roman"/>
                <w:bCs/>
                <w:color w:val="auto"/>
                <w:sz w:val="24"/>
                <w:lang w:val="en-US" w:eastAsia="zh-CN"/>
              </w:rPr>
              <w:t>尘灰及设备噪声。</w:t>
            </w:r>
          </w:p>
          <w:p w14:paraId="5C040FE3">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w:t>
            </w:r>
            <w:r>
              <w:rPr>
                <w:rFonts w:hint="default" w:ascii="Times New Roman" w:hAnsi="Times New Roman" w:cs="Times New Roman"/>
                <w:bCs/>
                <w:color w:val="auto"/>
                <w:sz w:val="24"/>
                <w:lang w:val="en-US" w:eastAsia="zh-CN"/>
              </w:rPr>
              <w:t>4</w:t>
            </w:r>
            <w:r>
              <w:rPr>
                <w:rFonts w:hint="default" w:ascii="Times New Roman" w:hAnsi="Times New Roman" w:eastAsia="宋体" w:cs="Times New Roman"/>
                <w:bCs/>
                <w:color w:val="auto"/>
                <w:sz w:val="24"/>
                <w:lang w:val="en-US" w:eastAsia="zh-CN"/>
              </w:rPr>
              <w:t>）抛丸：</w:t>
            </w:r>
            <w:r>
              <w:rPr>
                <w:rFonts w:hint="default" w:ascii="Times New Roman" w:hAnsi="Times New Roman" w:eastAsia="宋体" w:cs="Times New Roman"/>
                <w:color w:val="auto"/>
                <w:sz w:val="24"/>
                <w:lang w:eastAsia="zh-CN"/>
              </w:rPr>
              <w:t>抛丸工序需对</w:t>
            </w:r>
            <w:r>
              <w:rPr>
                <w:rFonts w:hint="default" w:ascii="Times New Roman" w:hAnsi="Times New Roman" w:cs="Times New Roman"/>
                <w:color w:val="auto"/>
                <w:sz w:val="24"/>
                <w:lang w:val="en-US" w:eastAsia="zh-CN"/>
              </w:rPr>
              <w:t>组合后</w:t>
            </w:r>
            <w:r>
              <w:rPr>
                <w:rFonts w:hint="default" w:ascii="Times New Roman" w:hAnsi="Times New Roman" w:eastAsia="宋体" w:cs="Times New Roman"/>
                <w:color w:val="auto"/>
                <w:sz w:val="24"/>
                <w:lang w:val="en-US" w:eastAsia="zh-CN"/>
              </w:rPr>
              <w:t>工件进行抛丸，</w:t>
            </w:r>
            <w:r>
              <w:rPr>
                <w:rFonts w:hint="default" w:ascii="Times New Roman" w:hAnsi="Times New Roman" w:eastAsia="宋体" w:cs="Times New Roman"/>
                <w:bCs/>
                <w:color w:val="auto"/>
                <w:sz w:val="24"/>
                <w:lang w:val="en-US" w:eastAsia="zh-CN"/>
              </w:rPr>
              <w:t>所用辅料为钢丸，规格为0.5mm，利用高速运动的钢丸冲击工件表面，可去除表面杂质，提高外观质量，该过程会产生粉尘、固废及设备噪声。</w:t>
            </w:r>
          </w:p>
          <w:p w14:paraId="4DDD2871">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eastAsia="zh-CN"/>
              </w:rPr>
              <w:t>（</w:t>
            </w:r>
            <w:r>
              <w:rPr>
                <w:rFonts w:hint="default" w:ascii="Times New Roman" w:hAnsi="Times New Roman" w:cs="Times New Roman"/>
                <w:bCs/>
                <w:color w:val="auto"/>
                <w:sz w:val="24"/>
                <w:lang w:val="en-US" w:eastAsia="zh-CN"/>
              </w:rPr>
              <w:t>5</w:t>
            </w:r>
            <w:r>
              <w:rPr>
                <w:rFonts w:hint="default" w:ascii="Times New Roman" w:hAnsi="Times New Roman" w:eastAsia="宋体" w:cs="Times New Roman"/>
                <w:bCs/>
                <w:color w:val="auto"/>
                <w:sz w:val="24"/>
                <w:lang w:eastAsia="zh-CN"/>
              </w:rPr>
              <w:t>）</w:t>
            </w:r>
            <w:r>
              <w:rPr>
                <w:rFonts w:hint="default" w:ascii="Times New Roman" w:hAnsi="Times New Roman" w:cs="Times New Roman"/>
                <w:bCs/>
                <w:color w:val="auto"/>
                <w:sz w:val="24"/>
                <w:lang w:val="en-US" w:eastAsia="zh-CN"/>
              </w:rPr>
              <w:t>静电喷塑：</w:t>
            </w:r>
            <w:r>
              <w:rPr>
                <w:rFonts w:hint="default" w:ascii="Times New Roman" w:hAnsi="Times New Roman" w:eastAsia="宋体" w:cs="Times New Roman"/>
                <w:bCs/>
                <w:color w:val="auto"/>
                <w:sz w:val="24"/>
                <w:lang w:val="en-US" w:eastAsia="zh-CN"/>
              </w:rPr>
              <w:t>经</w:t>
            </w:r>
            <w:r>
              <w:rPr>
                <w:rFonts w:hint="default" w:ascii="Times New Roman" w:hAnsi="Times New Roman" w:cs="Times New Roman"/>
                <w:bCs/>
                <w:color w:val="auto"/>
                <w:sz w:val="24"/>
                <w:lang w:val="en-US" w:eastAsia="zh-CN"/>
              </w:rPr>
              <w:t>抛丸处理后</w:t>
            </w:r>
            <w:r>
              <w:rPr>
                <w:rFonts w:hint="default" w:ascii="Times New Roman" w:hAnsi="Times New Roman" w:eastAsia="宋体" w:cs="Times New Roman"/>
                <w:bCs/>
                <w:color w:val="auto"/>
                <w:sz w:val="24"/>
                <w:lang w:val="en-US" w:eastAsia="zh-CN"/>
              </w:rPr>
              <w:t>的工件</w:t>
            </w:r>
            <w:r>
              <w:rPr>
                <w:rFonts w:hint="default" w:ascii="Times New Roman" w:hAnsi="Times New Roman" w:cs="Times New Roman"/>
                <w:bCs/>
                <w:color w:val="auto"/>
                <w:sz w:val="24"/>
                <w:lang w:val="en-US" w:eastAsia="zh-CN"/>
              </w:rPr>
              <w:t>有4600套需进行喷塑加工，经本项目设置的</w:t>
            </w:r>
            <w:r>
              <w:rPr>
                <w:rFonts w:hint="default" w:ascii="Times New Roman" w:hAnsi="Times New Roman" w:eastAsia="宋体" w:cs="Times New Roman"/>
                <w:bCs/>
                <w:color w:val="auto"/>
                <w:sz w:val="24"/>
                <w:lang w:val="en-US" w:eastAsia="zh-CN"/>
              </w:rPr>
              <w:t>手动静电喷涂室（</w:t>
            </w:r>
            <w:r>
              <w:rPr>
                <w:rFonts w:hint="default" w:ascii="Times New Roman" w:hAnsi="Times New Roman" w:cs="Times New Roman"/>
                <w:bCs/>
                <w:color w:val="auto"/>
                <w:sz w:val="24"/>
                <w:lang w:val="en-US" w:eastAsia="zh-CN"/>
              </w:rPr>
              <w:t>1</w:t>
            </w:r>
            <w:r>
              <w:rPr>
                <w:rFonts w:hint="default" w:ascii="Times New Roman" w:hAnsi="Times New Roman" w:eastAsia="宋体" w:cs="Times New Roman"/>
                <w:bCs/>
                <w:color w:val="auto"/>
                <w:sz w:val="24"/>
                <w:lang w:val="en-US" w:eastAsia="zh-CN"/>
              </w:rPr>
              <w:t>间）及1套自动喷涂流水线（含</w:t>
            </w:r>
            <w:r>
              <w:rPr>
                <w:rFonts w:hint="default" w:ascii="Times New Roman" w:hAnsi="Times New Roman" w:cs="Times New Roman"/>
                <w:bCs/>
                <w:color w:val="auto"/>
                <w:sz w:val="24"/>
                <w:lang w:val="en-US" w:eastAsia="zh-CN"/>
              </w:rPr>
              <w:t>2</w:t>
            </w:r>
            <w:r>
              <w:rPr>
                <w:rFonts w:hint="default" w:ascii="Times New Roman" w:hAnsi="Times New Roman" w:eastAsia="宋体" w:cs="Times New Roman"/>
                <w:bCs/>
                <w:color w:val="auto"/>
                <w:sz w:val="24"/>
                <w:lang w:val="en-US" w:eastAsia="zh-CN"/>
              </w:rPr>
              <w:t>间自动线喷室），</w:t>
            </w:r>
            <w:r>
              <w:rPr>
                <w:rFonts w:hint="default" w:ascii="Times New Roman" w:hAnsi="Times New Roman" w:cs="Times New Roman"/>
                <w:bCs/>
                <w:color w:val="auto"/>
                <w:sz w:val="24"/>
                <w:lang w:val="en-US" w:eastAsia="zh-CN"/>
              </w:rPr>
              <w:t>进行</w:t>
            </w:r>
            <w:r>
              <w:rPr>
                <w:rFonts w:hint="default" w:ascii="Times New Roman" w:hAnsi="Times New Roman" w:eastAsia="宋体" w:cs="Times New Roman"/>
                <w:bCs/>
                <w:color w:val="auto"/>
                <w:sz w:val="24"/>
                <w:lang w:val="en-US" w:eastAsia="zh-CN"/>
              </w:rPr>
              <w:t>手动或自动喷塑（自动喷涂线的喷涂数量约占喷塑总量的三分之一），本项目采用静电喷涂工艺，它是在压缩空气作用下使塑料粉末带电，利用静电吸附原理，粉末会均匀地吸附于工件表面，喷上一层粉末涂料。此工序会产生喷塑粉尘，设备运行将产生一定噪声。</w:t>
            </w:r>
          </w:p>
          <w:p w14:paraId="1EC0A72A">
            <w:pPr>
              <w:spacing w:line="360" w:lineRule="auto"/>
              <w:ind w:firstLine="480" w:firstLineChars="200"/>
              <w:jc w:val="left"/>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eastAsia="zh-CN"/>
              </w:rPr>
              <w:t>（</w:t>
            </w:r>
            <w:r>
              <w:rPr>
                <w:rFonts w:hint="default" w:ascii="Times New Roman" w:hAnsi="Times New Roman" w:cs="Times New Roman"/>
                <w:bCs/>
                <w:color w:val="auto"/>
                <w:sz w:val="24"/>
                <w:lang w:val="en-US" w:eastAsia="zh-CN"/>
              </w:rPr>
              <w:t>6）</w:t>
            </w:r>
            <w:r>
              <w:rPr>
                <w:rFonts w:hint="default" w:ascii="Times New Roman" w:hAnsi="Times New Roman" w:eastAsia="宋体" w:cs="Times New Roman"/>
                <w:bCs/>
                <w:color w:val="auto"/>
                <w:sz w:val="24"/>
                <w:lang w:val="en-US" w:eastAsia="zh-CN"/>
              </w:rPr>
              <w:t>固化：喷粉完毕的工件进入固化，其中约</w:t>
            </w:r>
            <w:r>
              <w:rPr>
                <w:rFonts w:hint="default" w:ascii="Times New Roman" w:hAnsi="Times New Roman" w:cs="Times New Roman"/>
                <w:bCs/>
                <w:color w:val="auto"/>
                <w:sz w:val="24"/>
                <w:lang w:val="en-US" w:eastAsia="zh-CN"/>
              </w:rPr>
              <w:t>三分之二</w:t>
            </w:r>
            <w:r>
              <w:rPr>
                <w:rFonts w:hint="default" w:ascii="Times New Roman" w:hAnsi="Times New Roman" w:eastAsia="宋体" w:cs="Times New Roman"/>
                <w:bCs/>
                <w:color w:val="auto"/>
                <w:sz w:val="24"/>
                <w:lang w:val="en-US" w:eastAsia="zh-CN"/>
              </w:rPr>
              <w:t>的喷塑件通过</w:t>
            </w:r>
            <w:r>
              <w:rPr>
                <w:rFonts w:hint="default" w:ascii="Times New Roman" w:hAnsi="Times New Roman" w:cs="Times New Roman"/>
                <w:bCs/>
                <w:color w:val="auto"/>
                <w:sz w:val="24"/>
                <w:lang w:val="en-US" w:eastAsia="zh-CN"/>
              </w:rPr>
              <w:t>热风循环固化室</w:t>
            </w:r>
            <w:r>
              <w:rPr>
                <w:rFonts w:hint="default" w:ascii="Times New Roman" w:hAnsi="Times New Roman" w:eastAsia="宋体" w:cs="Times New Roman"/>
                <w:bCs/>
                <w:color w:val="auto"/>
                <w:sz w:val="24"/>
                <w:lang w:val="en-US" w:eastAsia="zh-CN"/>
              </w:rPr>
              <w:t>按批次进行烘烤固化，其余</w:t>
            </w:r>
            <w:r>
              <w:rPr>
                <w:rFonts w:hint="default" w:ascii="Times New Roman" w:hAnsi="Times New Roman" w:cs="Times New Roman"/>
                <w:bCs/>
                <w:color w:val="auto"/>
                <w:sz w:val="24"/>
                <w:lang w:val="en-US" w:eastAsia="zh-CN"/>
              </w:rPr>
              <w:t>三分之一</w:t>
            </w:r>
            <w:r>
              <w:rPr>
                <w:rFonts w:hint="default" w:ascii="Times New Roman" w:hAnsi="Times New Roman" w:eastAsia="宋体" w:cs="Times New Roman"/>
                <w:bCs/>
                <w:color w:val="auto"/>
                <w:sz w:val="24"/>
                <w:lang w:val="en-US" w:eastAsia="zh-CN"/>
              </w:rPr>
              <w:t>通过自动线循环热风炉进行固化。固化过程其内控制温度为180℃左右，固化时间为20</w:t>
            </w:r>
            <w:r>
              <w:rPr>
                <w:rFonts w:hint="default" w:ascii="Times New Roman" w:hAnsi="Times New Roman" w:cs="Times New Roman"/>
                <w:bCs/>
                <w:color w:val="auto"/>
                <w:sz w:val="24"/>
                <w:lang w:val="en-US" w:eastAsia="zh-CN"/>
              </w:rPr>
              <w:t>分钟</w:t>
            </w:r>
            <w:r>
              <w:rPr>
                <w:rFonts w:hint="default" w:ascii="Times New Roman" w:hAnsi="Times New Roman" w:eastAsia="宋体" w:cs="Times New Roman"/>
                <w:bCs/>
                <w:color w:val="auto"/>
                <w:sz w:val="24"/>
                <w:lang w:val="en-US" w:eastAsia="zh-CN"/>
              </w:rPr>
              <w:t>，一天固化6次（自动线与面包式烘烤炉不同时工作），配备用液化天然气（LNG）燃烧产生的热量进行加热（间接加热）。固化过程就是使粉状涂层熔化、流平、固化，最终形成涂层黏附于金属组件表面，当工件烘烤固化后（达到预定时间后）加热系统会自动关闭。该工序会产生挥发性有机废气和</w:t>
            </w:r>
            <w:r>
              <w:rPr>
                <w:rFonts w:hint="default" w:ascii="Times New Roman" w:hAnsi="Times New Roman" w:cs="Times New Roman"/>
                <w:bCs/>
                <w:color w:val="auto"/>
                <w:sz w:val="24"/>
                <w:lang w:val="en-US" w:eastAsia="zh-CN"/>
              </w:rPr>
              <w:t>液化天然气（LNG）</w:t>
            </w:r>
            <w:r>
              <w:rPr>
                <w:rFonts w:hint="default" w:ascii="Times New Roman" w:hAnsi="Times New Roman" w:eastAsia="宋体" w:cs="Times New Roman"/>
                <w:bCs/>
                <w:color w:val="auto"/>
                <w:sz w:val="24"/>
                <w:lang w:val="en-US" w:eastAsia="zh-CN"/>
              </w:rPr>
              <w:t>燃烧废气。</w:t>
            </w:r>
          </w:p>
          <w:p w14:paraId="44BB773E">
            <w:pPr>
              <w:spacing w:line="360" w:lineRule="auto"/>
              <w:ind w:firstLine="480" w:firstLineChars="200"/>
              <w:jc w:val="left"/>
              <w:rPr>
                <w:rFonts w:hint="default" w:ascii="Times New Roman" w:hAnsi="Times New Roman" w:cs="Times New Roman"/>
                <w:color w:val="auto"/>
                <w:kern w:val="0"/>
                <w:sz w:val="24"/>
                <w:lang w:eastAsia="zh-CN"/>
              </w:rPr>
            </w:pP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7</w:t>
            </w:r>
            <w:r>
              <w:rPr>
                <w:rFonts w:hint="default" w:ascii="Times New Roman" w:hAnsi="Times New Roman" w:cs="Times New Roman"/>
                <w:color w:val="auto"/>
                <w:kern w:val="0"/>
                <w:sz w:val="24"/>
                <w:lang w:eastAsia="zh-CN"/>
              </w:rPr>
              <w:t>）成品：固化后即为成品，暂存至待此批次完工后交付客户。</w:t>
            </w:r>
          </w:p>
          <w:p w14:paraId="054E912D">
            <w:pPr>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8</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水性喷漆：经加工好的工件约有400套件需要喷漆处理，</w:t>
            </w:r>
            <w:r>
              <w:rPr>
                <w:rFonts w:hint="default" w:ascii="Times New Roman" w:hAnsi="Times New Roman" w:cs="Times New Roman"/>
                <w:color w:val="auto"/>
                <w:kern w:val="0"/>
                <w:sz w:val="24"/>
              </w:rPr>
              <w:t>本项目</w:t>
            </w:r>
            <w:r>
              <w:rPr>
                <w:rFonts w:hint="default" w:ascii="Times New Roman" w:hAnsi="Times New Roman" w:cs="Times New Roman"/>
                <w:color w:val="auto"/>
                <w:kern w:val="0"/>
                <w:sz w:val="24"/>
                <w:lang w:val="en-US" w:eastAsia="zh-CN"/>
              </w:rPr>
              <w:t>设置固定密闭一体式喷漆房</w:t>
            </w:r>
            <w:r>
              <w:rPr>
                <w:rFonts w:hint="default" w:ascii="Times New Roman" w:hAnsi="Times New Roman" w:cs="Times New Roman"/>
                <w:color w:val="auto"/>
                <w:sz w:val="24"/>
                <w:highlight w:val="none"/>
              </w:rPr>
              <w:t>进行喷漆</w:t>
            </w:r>
            <w:r>
              <w:rPr>
                <w:rFonts w:hint="default" w:ascii="Times New Roman" w:hAnsi="Times New Roman" w:eastAsia="宋体" w:cs="Times New Roman"/>
                <w:color w:val="auto"/>
                <w:kern w:val="0"/>
                <w:sz w:val="24"/>
                <w:lang w:val="en-US" w:eastAsia="zh-CN"/>
              </w:rPr>
              <w:t>，使用无气喷涂机手工喷涂。项目喷涂采用</w:t>
            </w:r>
            <w:r>
              <w:rPr>
                <w:rFonts w:hint="default" w:ascii="Times New Roman" w:hAnsi="Times New Roman" w:cs="Times New Roman"/>
                <w:color w:val="auto"/>
                <w:kern w:val="0"/>
                <w:sz w:val="24"/>
                <w:lang w:val="en-US" w:eastAsia="zh-CN"/>
              </w:rPr>
              <w:t>水性底漆+水性面漆进行</w:t>
            </w:r>
            <w:r>
              <w:rPr>
                <w:rFonts w:hint="default" w:ascii="Times New Roman" w:hAnsi="Times New Roman" w:eastAsia="宋体" w:cs="Times New Roman"/>
                <w:color w:val="auto"/>
                <w:kern w:val="0"/>
                <w:sz w:val="24"/>
                <w:lang w:val="en-US" w:eastAsia="zh-CN"/>
              </w:rPr>
              <w:t>喷涂，每次喷涂后进行</w:t>
            </w:r>
            <w:r>
              <w:rPr>
                <w:rFonts w:hint="default" w:ascii="Times New Roman" w:hAnsi="Times New Roman" w:cs="Times New Roman"/>
                <w:color w:val="auto"/>
                <w:kern w:val="0"/>
                <w:sz w:val="24"/>
                <w:lang w:val="en-US" w:eastAsia="zh-CN"/>
              </w:rPr>
              <w:t>自然晾干，喷漆房每次喷涂有效运行时间为6小时（喷漆时间1h，晾干5h）。</w:t>
            </w:r>
            <w:r>
              <w:rPr>
                <w:rFonts w:hint="default" w:ascii="Times New Roman" w:hAnsi="Times New Roman" w:eastAsia="宋体" w:cs="Times New Roman"/>
                <w:color w:val="auto"/>
                <w:kern w:val="0"/>
                <w:sz w:val="24"/>
                <w:lang w:val="en-US" w:eastAsia="zh-CN"/>
              </w:rPr>
              <w:t>本项目采用成品水性</w:t>
            </w:r>
            <w:r>
              <w:rPr>
                <w:rFonts w:hint="default" w:ascii="Times New Roman" w:hAnsi="Times New Roman" w:cs="Times New Roman"/>
                <w:color w:val="auto"/>
                <w:kern w:val="0"/>
                <w:sz w:val="24"/>
                <w:lang w:val="en-US" w:eastAsia="zh-CN"/>
              </w:rPr>
              <w:t>漆</w:t>
            </w:r>
            <w:r>
              <w:rPr>
                <w:rFonts w:hint="default" w:ascii="Times New Roman" w:hAnsi="Times New Roman" w:eastAsia="宋体" w:cs="Times New Roman"/>
                <w:color w:val="auto"/>
                <w:kern w:val="0"/>
                <w:sz w:val="24"/>
                <w:lang w:val="en-US" w:eastAsia="zh-CN"/>
              </w:rPr>
              <w:t>料，不涉及调漆工序。因此，喷漆房产生废气主要污染物为漆雾和 VOCs</w:t>
            </w:r>
            <w:r>
              <w:rPr>
                <w:rFonts w:hint="default" w:ascii="Times New Roman" w:hAnsi="Times New Roman" w:cs="Times New Roman"/>
                <w:color w:val="auto"/>
                <w:kern w:val="0"/>
                <w:sz w:val="24"/>
                <w:lang w:val="en-US" w:eastAsia="zh-CN"/>
              </w:rPr>
              <w:t>，以</w:t>
            </w:r>
            <w:r>
              <w:rPr>
                <w:rFonts w:hint="default" w:ascii="Times New Roman" w:hAnsi="Times New Roman" w:eastAsia="宋体" w:cs="Times New Roman"/>
                <w:color w:val="auto"/>
                <w:kern w:val="0"/>
                <w:sz w:val="24"/>
                <w:lang w:val="en-US" w:eastAsia="zh-CN"/>
              </w:rPr>
              <w:t>及散落在喷漆房内的漆渣。</w:t>
            </w:r>
          </w:p>
          <w:p w14:paraId="611852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w:t>
            </w:r>
            <w:r>
              <w:rPr>
                <w:rFonts w:hint="default" w:ascii="Times New Roman" w:hAnsi="Times New Roman" w:cs="Times New Roman"/>
                <w:color w:val="auto"/>
                <w:kern w:val="0"/>
                <w:sz w:val="24"/>
                <w:lang w:eastAsia="zh-CN"/>
              </w:rPr>
              <w:t>运行</w:t>
            </w:r>
            <w:r>
              <w:rPr>
                <w:rFonts w:hint="default" w:ascii="Times New Roman" w:hAnsi="Times New Roman" w:cs="Times New Roman"/>
                <w:color w:val="auto"/>
                <w:kern w:val="0"/>
                <w:sz w:val="24"/>
              </w:rPr>
              <w:t>过程中会产生</w:t>
            </w:r>
            <w:r>
              <w:rPr>
                <w:rFonts w:hint="default" w:ascii="Times New Roman" w:hAnsi="Times New Roman" w:cs="Times New Roman"/>
                <w:bCs/>
                <w:color w:val="auto"/>
                <w:sz w:val="24"/>
              </w:rPr>
              <w:t>一般固废（</w:t>
            </w:r>
            <w:r>
              <w:rPr>
                <w:rFonts w:hint="default" w:ascii="Times New Roman" w:hAnsi="Times New Roman" w:cs="Times New Roman"/>
                <w:bCs/>
                <w:color w:val="auto"/>
                <w:sz w:val="24"/>
                <w:lang w:eastAsia="zh-CN"/>
              </w:rPr>
              <w:t>废边角料、</w:t>
            </w:r>
            <w:r>
              <w:rPr>
                <w:rFonts w:hint="default" w:ascii="Times New Roman" w:hAnsi="Times New Roman" w:cs="Times New Roman"/>
                <w:bCs/>
                <w:color w:val="auto"/>
                <w:sz w:val="24"/>
                <w:lang w:val="en-US" w:eastAsia="zh-CN"/>
              </w:rPr>
              <w:t>收尘灰、废钢丸、喷粉废粉、漆渣、废纸盒、废漆桶等</w:t>
            </w:r>
            <w:r>
              <w:rPr>
                <w:rFonts w:hint="default" w:ascii="Times New Roman" w:hAnsi="Times New Roman" w:cs="Times New Roman"/>
                <w:bCs/>
                <w:color w:val="auto"/>
                <w:sz w:val="24"/>
              </w:rPr>
              <w:t>）及危险废物（废</w:t>
            </w:r>
            <w:r>
              <w:rPr>
                <w:rFonts w:hint="default" w:ascii="Times New Roman" w:hAnsi="Times New Roman" w:cs="Times New Roman"/>
                <w:bCs/>
                <w:color w:val="auto"/>
                <w:sz w:val="24"/>
                <w:lang w:val="en-US" w:eastAsia="zh-CN"/>
              </w:rPr>
              <w:t>活性炭、废润滑油、</w:t>
            </w:r>
            <w:r>
              <w:rPr>
                <w:rFonts w:hint="default" w:ascii="Times New Roman" w:hAnsi="Times New Roman" w:cs="Times New Roman"/>
                <w:bCs/>
                <w:color w:val="auto"/>
                <w:sz w:val="24"/>
                <w:lang w:eastAsia="zh-CN"/>
              </w:rPr>
              <w:t>废油桶、</w:t>
            </w:r>
            <w:r>
              <w:rPr>
                <w:rFonts w:hint="default" w:ascii="Times New Roman" w:hAnsi="Times New Roman" w:cs="Times New Roman"/>
                <w:bCs/>
                <w:color w:val="auto"/>
                <w:sz w:val="24"/>
                <w:lang w:val="en-US" w:eastAsia="zh-CN"/>
              </w:rPr>
              <w:t>废含油抹布手套</w:t>
            </w:r>
            <w:r>
              <w:rPr>
                <w:rFonts w:hint="default" w:ascii="Times New Roman" w:hAnsi="Times New Roman" w:cs="Times New Roman"/>
                <w:bCs/>
                <w:color w:val="auto"/>
                <w:sz w:val="24"/>
                <w:lang w:eastAsia="zh-CN"/>
              </w:rPr>
              <w:t>等</w:t>
            </w:r>
            <w:r>
              <w:rPr>
                <w:rFonts w:hint="default" w:ascii="Times New Roman" w:hAnsi="Times New Roman" w:cs="Times New Roman"/>
                <w:bCs/>
                <w:color w:val="auto"/>
                <w:sz w:val="24"/>
              </w:rPr>
              <w:t>）</w:t>
            </w:r>
            <w:r>
              <w:rPr>
                <w:rFonts w:hint="default" w:ascii="Times New Roman" w:hAnsi="Times New Roman" w:cs="Times New Roman"/>
                <w:color w:val="auto"/>
                <w:kern w:val="0"/>
                <w:sz w:val="24"/>
              </w:rPr>
              <w:t>。</w:t>
            </w:r>
          </w:p>
          <w:p w14:paraId="3BBF263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各污染物来源途径见表2-</w:t>
            </w:r>
            <w:r>
              <w:rPr>
                <w:rFonts w:hint="default" w:ascii="Times New Roman" w:hAnsi="Times New Roman" w:cs="Times New Roman"/>
                <w:bCs/>
                <w:color w:val="auto"/>
                <w:sz w:val="24"/>
                <w:lang w:val="en-US" w:eastAsia="zh-CN"/>
              </w:rPr>
              <w:t>9</w:t>
            </w:r>
            <w:r>
              <w:rPr>
                <w:rFonts w:hint="default" w:ascii="Times New Roman" w:hAnsi="Times New Roman" w:cs="Times New Roman"/>
                <w:bCs/>
                <w:color w:val="auto"/>
                <w:sz w:val="24"/>
              </w:rPr>
              <w:t>。</w:t>
            </w:r>
          </w:p>
          <w:p w14:paraId="7000A117">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default" w:ascii="Times New Roman" w:hAnsi="Times New Roman" w:cs="Times New Roman"/>
                <w:b/>
                <w:bCs/>
                <w:color w:val="auto"/>
                <w:sz w:val="21"/>
                <w:szCs w:val="21"/>
                <w:lang w:val="en-US" w:eastAsia="zh-CN"/>
              </w:rPr>
              <w:t xml:space="preserve">9   </w:t>
            </w:r>
            <w:r>
              <w:rPr>
                <w:rFonts w:hint="default" w:ascii="Times New Roman" w:hAnsi="Times New Roman" w:eastAsia="宋体" w:cs="Times New Roman"/>
                <w:b/>
                <w:bCs/>
                <w:color w:val="auto"/>
                <w:sz w:val="21"/>
                <w:szCs w:val="21"/>
                <w:lang w:val="en-US" w:eastAsia="zh-CN"/>
              </w:rPr>
              <w:t>主要污染物一览表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24"/>
              <w:gridCol w:w="1099"/>
              <w:gridCol w:w="2039"/>
              <w:gridCol w:w="2408"/>
              <w:gridCol w:w="1250"/>
              <w:gridCol w:w="1211"/>
            </w:tblGrid>
            <w:tr w14:paraId="45229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96" w:type="dxa"/>
                  <w:gridSpan w:val="2"/>
                  <w:noWrap w:val="0"/>
                  <w:vAlign w:val="center"/>
                </w:tcPr>
                <w:p w14:paraId="25C9CEFD">
                  <w:pPr>
                    <w:pStyle w:val="127"/>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污染</w:t>
                  </w:r>
                  <w:r>
                    <w:rPr>
                      <w:rFonts w:hint="default" w:ascii="Times New Roman" w:hAnsi="Times New Roman" w:cs="Times New Roman"/>
                      <w:b/>
                      <w:bCs/>
                      <w:color w:val="auto"/>
                      <w:sz w:val="21"/>
                      <w:szCs w:val="21"/>
                    </w:rPr>
                    <w:t>类型</w:t>
                  </w:r>
                </w:p>
              </w:tc>
              <w:tc>
                <w:tcPr>
                  <w:tcW w:w="2005" w:type="dxa"/>
                  <w:noWrap w:val="0"/>
                  <w:vAlign w:val="center"/>
                </w:tcPr>
                <w:p w14:paraId="4B4B4085">
                  <w:pPr>
                    <w:pStyle w:val="127"/>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产生工序</w:t>
                  </w:r>
                </w:p>
              </w:tc>
              <w:tc>
                <w:tcPr>
                  <w:tcW w:w="2368" w:type="dxa"/>
                  <w:noWrap w:val="0"/>
                  <w:vAlign w:val="center"/>
                </w:tcPr>
                <w:p w14:paraId="75BA23EB">
                  <w:pPr>
                    <w:pStyle w:val="127"/>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主要污染物</w:t>
                  </w:r>
                </w:p>
              </w:tc>
              <w:tc>
                <w:tcPr>
                  <w:tcW w:w="1229" w:type="dxa"/>
                  <w:noWrap w:val="0"/>
                  <w:vAlign w:val="center"/>
                </w:tcPr>
                <w:p w14:paraId="6959E550">
                  <w:pPr>
                    <w:pStyle w:val="127"/>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产生位置</w:t>
                  </w:r>
                </w:p>
              </w:tc>
              <w:tc>
                <w:tcPr>
                  <w:tcW w:w="1191" w:type="dxa"/>
                  <w:noWrap w:val="0"/>
                  <w:vAlign w:val="center"/>
                </w:tcPr>
                <w:p w14:paraId="648E6EF9">
                  <w:pPr>
                    <w:pStyle w:val="127"/>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排放方式</w:t>
                  </w:r>
                </w:p>
              </w:tc>
            </w:tr>
            <w:tr w14:paraId="35F8D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restart"/>
                  <w:noWrap w:val="0"/>
                  <w:vAlign w:val="center"/>
                </w:tcPr>
                <w:p w14:paraId="4D5BAA5E">
                  <w:pPr>
                    <w:pStyle w:val="127"/>
                    <w:kinsoku w:val="0"/>
                    <w:overflowPunct w:val="0"/>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废气</w:t>
                  </w:r>
                </w:p>
              </w:tc>
              <w:tc>
                <w:tcPr>
                  <w:tcW w:w="1081" w:type="dxa"/>
                  <w:vMerge w:val="restart"/>
                  <w:noWrap w:val="0"/>
                  <w:vAlign w:val="center"/>
                </w:tcPr>
                <w:p w14:paraId="5EBD00FD">
                  <w:pPr>
                    <w:pStyle w:val="127"/>
                    <w:kinsoku w:val="0"/>
                    <w:overflowPunct w:val="0"/>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生产废气</w:t>
                  </w:r>
                </w:p>
              </w:tc>
              <w:tc>
                <w:tcPr>
                  <w:tcW w:w="2005" w:type="dxa"/>
                  <w:noWrap w:val="0"/>
                  <w:vAlign w:val="center"/>
                </w:tcPr>
                <w:p w14:paraId="5D4DC9DB">
                  <w:pPr>
                    <w:pStyle w:val="127"/>
                    <w:kinsoku w:val="0"/>
                    <w:overflowPunct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eastAsia="zh-CN"/>
                    </w:rPr>
                    <w:t>切割、</w:t>
                  </w:r>
                  <w:r>
                    <w:rPr>
                      <w:rFonts w:hint="default" w:ascii="Times New Roman" w:hAnsi="Times New Roman" w:cs="Times New Roman"/>
                      <w:b w:val="0"/>
                      <w:bCs w:val="0"/>
                      <w:color w:val="auto"/>
                      <w:sz w:val="21"/>
                      <w:szCs w:val="21"/>
                      <w:lang w:val="en-US" w:eastAsia="zh-CN"/>
                    </w:rPr>
                    <w:t>焊接、修磨、抛丸</w:t>
                  </w:r>
                  <w:r>
                    <w:rPr>
                      <w:rFonts w:hint="default" w:ascii="Times New Roman" w:hAnsi="Times New Roman" w:cs="Times New Roman"/>
                      <w:b w:val="0"/>
                      <w:bCs w:val="0"/>
                      <w:color w:val="auto"/>
                      <w:sz w:val="21"/>
                      <w:szCs w:val="21"/>
                      <w:lang w:eastAsia="zh-CN"/>
                    </w:rPr>
                    <w:t>工序</w:t>
                  </w:r>
                </w:p>
              </w:tc>
              <w:tc>
                <w:tcPr>
                  <w:tcW w:w="2368" w:type="dxa"/>
                  <w:noWrap w:val="0"/>
                  <w:vAlign w:val="center"/>
                </w:tcPr>
                <w:p w14:paraId="36F2CC32">
                  <w:pPr>
                    <w:pStyle w:val="127"/>
                    <w:kinsoku w:val="0"/>
                    <w:overflowPunct w:val="0"/>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颗粒物</w:t>
                  </w:r>
                </w:p>
              </w:tc>
              <w:tc>
                <w:tcPr>
                  <w:tcW w:w="1229" w:type="dxa"/>
                  <w:noWrap w:val="0"/>
                  <w:vAlign w:val="center"/>
                </w:tcPr>
                <w:p w14:paraId="507180DE">
                  <w:pPr>
                    <w:pStyle w:val="127"/>
                    <w:kinsoku w:val="0"/>
                    <w:overflowPunct w:val="0"/>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生产车间</w:t>
                  </w:r>
                </w:p>
              </w:tc>
              <w:tc>
                <w:tcPr>
                  <w:tcW w:w="1191" w:type="dxa"/>
                  <w:noWrap w:val="0"/>
                  <w:vAlign w:val="center"/>
                </w:tcPr>
                <w:p w14:paraId="5B0422CC">
                  <w:pPr>
                    <w:pStyle w:val="127"/>
                    <w:kinsoku w:val="0"/>
                    <w:overflowPunct w:val="0"/>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有组织，</w:t>
                  </w:r>
                  <w:r>
                    <w:rPr>
                      <w:rFonts w:hint="default" w:ascii="Times New Roman" w:hAnsi="Times New Roman" w:cs="Times New Roman"/>
                      <w:b w:val="0"/>
                      <w:bCs w:val="0"/>
                      <w:color w:val="auto"/>
                      <w:sz w:val="21"/>
                      <w:szCs w:val="21"/>
                      <w:lang w:eastAsia="zh-CN"/>
                    </w:rPr>
                    <w:t>间歇</w:t>
                  </w:r>
                </w:p>
              </w:tc>
            </w:tr>
            <w:tr w14:paraId="68650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4966D60E">
                  <w:pPr>
                    <w:pStyle w:val="127"/>
                    <w:kinsoku w:val="0"/>
                    <w:overflowPunct w:val="0"/>
                    <w:rPr>
                      <w:rFonts w:hint="default" w:ascii="Times New Roman" w:hAnsi="Times New Roman" w:cs="Times New Roman"/>
                      <w:b w:val="0"/>
                      <w:bCs w:val="0"/>
                      <w:color w:val="auto"/>
                      <w:sz w:val="21"/>
                      <w:szCs w:val="21"/>
                      <w:lang w:eastAsia="zh-CN"/>
                    </w:rPr>
                  </w:pPr>
                </w:p>
              </w:tc>
              <w:tc>
                <w:tcPr>
                  <w:tcW w:w="1081" w:type="dxa"/>
                  <w:vMerge w:val="continue"/>
                  <w:noWrap w:val="0"/>
                  <w:vAlign w:val="center"/>
                </w:tcPr>
                <w:p w14:paraId="7AE6D031">
                  <w:pPr>
                    <w:pStyle w:val="127"/>
                    <w:kinsoku w:val="0"/>
                    <w:overflowPunct w:val="0"/>
                    <w:rPr>
                      <w:rFonts w:hint="default" w:ascii="Times New Roman" w:hAnsi="Times New Roman" w:cs="Times New Roman"/>
                      <w:b w:val="0"/>
                      <w:bCs w:val="0"/>
                      <w:color w:val="auto"/>
                      <w:sz w:val="21"/>
                      <w:szCs w:val="21"/>
                      <w:lang w:eastAsia="zh-CN"/>
                    </w:rPr>
                  </w:pPr>
                </w:p>
              </w:tc>
              <w:tc>
                <w:tcPr>
                  <w:tcW w:w="2005" w:type="dxa"/>
                  <w:noWrap w:val="0"/>
                  <w:vAlign w:val="center"/>
                </w:tcPr>
                <w:p w14:paraId="326AB2EC">
                  <w:pPr>
                    <w:pStyle w:val="127"/>
                    <w:kinsoku w:val="0"/>
                    <w:overflowPunct w:val="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喷粉</w:t>
                  </w:r>
                </w:p>
              </w:tc>
              <w:tc>
                <w:tcPr>
                  <w:tcW w:w="2368" w:type="dxa"/>
                  <w:noWrap w:val="0"/>
                  <w:vAlign w:val="center"/>
                </w:tcPr>
                <w:p w14:paraId="4636E5EF">
                  <w:pPr>
                    <w:pStyle w:val="127"/>
                    <w:kinsoku w:val="0"/>
                    <w:overflowPunct w:val="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颗粒物</w:t>
                  </w:r>
                </w:p>
              </w:tc>
              <w:tc>
                <w:tcPr>
                  <w:tcW w:w="1229" w:type="dxa"/>
                  <w:noWrap w:val="0"/>
                  <w:vAlign w:val="center"/>
                </w:tcPr>
                <w:p w14:paraId="6534E1D5">
                  <w:pPr>
                    <w:kinsoku w:val="0"/>
                    <w:overflowPunct w:val="0"/>
                    <w:jc w:val="center"/>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生产车间</w:t>
                  </w:r>
                </w:p>
              </w:tc>
              <w:tc>
                <w:tcPr>
                  <w:tcW w:w="1191" w:type="dxa"/>
                  <w:noWrap w:val="0"/>
                  <w:vAlign w:val="center"/>
                </w:tcPr>
                <w:p w14:paraId="1C13280C">
                  <w:pPr>
                    <w:kinsoku w:val="0"/>
                    <w:overflowPunct w:val="0"/>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无组织，</w:t>
                  </w:r>
                  <w:r>
                    <w:rPr>
                      <w:rFonts w:hint="default" w:ascii="Times New Roman" w:hAnsi="Times New Roman" w:cs="Times New Roman"/>
                      <w:b w:val="0"/>
                      <w:bCs w:val="0"/>
                      <w:color w:val="auto"/>
                      <w:sz w:val="21"/>
                      <w:szCs w:val="21"/>
                      <w:lang w:eastAsia="zh-CN"/>
                    </w:rPr>
                    <w:t>间歇</w:t>
                  </w:r>
                </w:p>
              </w:tc>
            </w:tr>
            <w:tr w14:paraId="091B6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6A8431BE">
                  <w:pPr>
                    <w:pStyle w:val="127"/>
                    <w:kinsoku w:val="0"/>
                    <w:overflowPunct w:val="0"/>
                    <w:rPr>
                      <w:rFonts w:hint="default" w:ascii="Times New Roman" w:hAnsi="Times New Roman" w:cs="Times New Roman"/>
                      <w:b w:val="0"/>
                      <w:bCs w:val="0"/>
                      <w:color w:val="auto"/>
                      <w:sz w:val="21"/>
                      <w:szCs w:val="21"/>
                      <w:lang w:eastAsia="zh-CN"/>
                    </w:rPr>
                  </w:pPr>
                </w:p>
              </w:tc>
              <w:tc>
                <w:tcPr>
                  <w:tcW w:w="1081" w:type="dxa"/>
                  <w:vMerge w:val="continue"/>
                  <w:noWrap w:val="0"/>
                  <w:vAlign w:val="center"/>
                </w:tcPr>
                <w:p w14:paraId="5D55A9C9">
                  <w:pPr>
                    <w:pStyle w:val="127"/>
                    <w:kinsoku w:val="0"/>
                    <w:overflowPunct w:val="0"/>
                    <w:rPr>
                      <w:rFonts w:hint="default" w:ascii="Times New Roman" w:hAnsi="Times New Roman" w:cs="Times New Roman"/>
                      <w:b w:val="0"/>
                      <w:bCs w:val="0"/>
                      <w:color w:val="auto"/>
                      <w:sz w:val="21"/>
                      <w:szCs w:val="21"/>
                      <w:lang w:eastAsia="zh-CN"/>
                    </w:rPr>
                  </w:pPr>
                </w:p>
              </w:tc>
              <w:tc>
                <w:tcPr>
                  <w:tcW w:w="2005" w:type="dxa"/>
                  <w:noWrap w:val="0"/>
                  <w:vAlign w:val="center"/>
                </w:tcPr>
                <w:p w14:paraId="2397D795">
                  <w:pPr>
                    <w:pStyle w:val="127"/>
                    <w:kinsoku w:val="0"/>
                    <w:overflowPunct w:val="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液化天然气（LNG）燃烧</w:t>
                  </w:r>
                </w:p>
              </w:tc>
              <w:tc>
                <w:tcPr>
                  <w:tcW w:w="2368" w:type="dxa"/>
                  <w:noWrap w:val="0"/>
                  <w:vAlign w:val="center"/>
                </w:tcPr>
                <w:p w14:paraId="205D3ABA">
                  <w:pPr>
                    <w:pStyle w:val="127"/>
                    <w:kinsoku w:val="0"/>
                    <w:overflowPunct w:val="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颗粒物、二氧化硫、氮氧化物</w:t>
                  </w:r>
                </w:p>
              </w:tc>
              <w:tc>
                <w:tcPr>
                  <w:tcW w:w="1229" w:type="dxa"/>
                  <w:noWrap w:val="0"/>
                  <w:vAlign w:val="center"/>
                </w:tcPr>
                <w:p w14:paraId="5E81718F">
                  <w:pPr>
                    <w:kinsoku w:val="0"/>
                    <w:overflowPunct w:val="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生产车间</w:t>
                  </w:r>
                </w:p>
              </w:tc>
              <w:tc>
                <w:tcPr>
                  <w:tcW w:w="1191" w:type="dxa"/>
                  <w:noWrap w:val="0"/>
                  <w:vAlign w:val="center"/>
                </w:tcPr>
                <w:p w14:paraId="65423E8D">
                  <w:pPr>
                    <w:kinsoku w:val="0"/>
                    <w:overflowPunct w:val="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有组织、间歇</w:t>
                  </w:r>
                </w:p>
              </w:tc>
            </w:tr>
            <w:tr w14:paraId="18438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7903B450">
                  <w:pPr>
                    <w:pStyle w:val="127"/>
                    <w:kinsoku w:val="0"/>
                    <w:overflowPunct w:val="0"/>
                    <w:rPr>
                      <w:rFonts w:hint="default" w:ascii="Times New Roman" w:hAnsi="Times New Roman" w:cs="Times New Roman"/>
                      <w:b w:val="0"/>
                      <w:bCs w:val="0"/>
                      <w:color w:val="auto"/>
                      <w:sz w:val="21"/>
                      <w:szCs w:val="21"/>
                      <w:lang w:eastAsia="zh-CN"/>
                    </w:rPr>
                  </w:pPr>
                </w:p>
              </w:tc>
              <w:tc>
                <w:tcPr>
                  <w:tcW w:w="1081" w:type="dxa"/>
                  <w:vMerge w:val="continue"/>
                  <w:noWrap w:val="0"/>
                  <w:vAlign w:val="center"/>
                </w:tcPr>
                <w:p w14:paraId="4B2ADDB1">
                  <w:pPr>
                    <w:pStyle w:val="127"/>
                    <w:kinsoku w:val="0"/>
                    <w:overflowPunct w:val="0"/>
                    <w:rPr>
                      <w:rFonts w:hint="default" w:ascii="Times New Roman" w:hAnsi="Times New Roman" w:cs="Times New Roman"/>
                      <w:b w:val="0"/>
                      <w:bCs w:val="0"/>
                      <w:color w:val="auto"/>
                      <w:sz w:val="21"/>
                      <w:szCs w:val="21"/>
                      <w:lang w:eastAsia="zh-CN"/>
                    </w:rPr>
                  </w:pPr>
                </w:p>
              </w:tc>
              <w:tc>
                <w:tcPr>
                  <w:tcW w:w="2005" w:type="dxa"/>
                  <w:noWrap w:val="0"/>
                  <w:vAlign w:val="center"/>
                </w:tcPr>
                <w:p w14:paraId="7E17DF09">
                  <w:pPr>
                    <w:pStyle w:val="127"/>
                    <w:kinsoku w:val="0"/>
                    <w:overflowPunct w:val="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固化</w:t>
                  </w:r>
                </w:p>
              </w:tc>
              <w:tc>
                <w:tcPr>
                  <w:tcW w:w="2368" w:type="dxa"/>
                  <w:noWrap w:val="0"/>
                  <w:vAlign w:val="center"/>
                </w:tcPr>
                <w:p w14:paraId="26B12F45">
                  <w:pPr>
                    <w:pStyle w:val="127"/>
                    <w:kinsoku w:val="0"/>
                    <w:overflowPunct w:val="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非甲烷总烃</w:t>
                  </w:r>
                </w:p>
              </w:tc>
              <w:tc>
                <w:tcPr>
                  <w:tcW w:w="1229" w:type="dxa"/>
                  <w:noWrap w:val="0"/>
                  <w:vAlign w:val="center"/>
                </w:tcPr>
                <w:p w14:paraId="0010C321">
                  <w:pPr>
                    <w:kinsoku w:val="0"/>
                    <w:overflowPunct w:val="0"/>
                    <w:jc w:val="center"/>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生产车间</w:t>
                  </w:r>
                </w:p>
              </w:tc>
              <w:tc>
                <w:tcPr>
                  <w:tcW w:w="1191" w:type="dxa"/>
                  <w:noWrap w:val="0"/>
                  <w:vAlign w:val="center"/>
                </w:tcPr>
                <w:p w14:paraId="1A129977">
                  <w:pPr>
                    <w:kinsoku w:val="0"/>
                    <w:overflowPunct w:val="0"/>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有组织、间歇</w:t>
                  </w:r>
                </w:p>
              </w:tc>
            </w:tr>
            <w:tr w14:paraId="3396B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13438EBD">
                  <w:pPr>
                    <w:pStyle w:val="127"/>
                    <w:kinsoku w:val="0"/>
                    <w:overflowPunct w:val="0"/>
                    <w:rPr>
                      <w:rFonts w:hint="default" w:ascii="Times New Roman" w:hAnsi="Times New Roman" w:cs="Times New Roman"/>
                      <w:b w:val="0"/>
                      <w:bCs w:val="0"/>
                      <w:color w:val="auto"/>
                      <w:sz w:val="21"/>
                      <w:szCs w:val="21"/>
                      <w:lang w:eastAsia="zh-CN"/>
                    </w:rPr>
                  </w:pPr>
                </w:p>
              </w:tc>
              <w:tc>
                <w:tcPr>
                  <w:tcW w:w="1081" w:type="dxa"/>
                  <w:vMerge w:val="continue"/>
                  <w:noWrap w:val="0"/>
                  <w:vAlign w:val="center"/>
                </w:tcPr>
                <w:p w14:paraId="2DC31DD5">
                  <w:pPr>
                    <w:pStyle w:val="127"/>
                    <w:kinsoku w:val="0"/>
                    <w:overflowPunct w:val="0"/>
                    <w:rPr>
                      <w:rFonts w:hint="default" w:ascii="Times New Roman" w:hAnsi="Times New Roman" w:cs="Times New Roman"/>
                      <w:b w:val="0"/>
                      <w:bCs w:val="0"/>
                      <w:color w:val="auto"/>
                      <w:sz w:val="21"/>
                      <w:szCs w:val="21"/>
                      <w:lang w:eastAsia="zh-CN"/>
                    </w:rPr>
                  </w:pPr>
                </w:p>
              </w:tc>
              <w:tc>
                <w:tcPr>
                  <w:tcW w:w="2005" w:type="dxa"/>
                  <w:noWrap w:val="0"/>
                  <w:vAlign w:val="center"/>
                </w:tcPr>
                <w:p w14:paraId="49A424DC">
                  <w:pPr>
                    <w:pStyle w:val="127"/>
                    <w:kinsoku w:val="0"/>
                    <w:overflowPunct w:val="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喷漆</w:t>
                  </w:r>
                </w:p>
              </w:tc>
              <w:tc>
                <w:tcPr>
                  <w:tcW w:w="2368" w:type="dxa"/>
                  <w:noWrap w:val="0"/>
                  <w:vAlign w:val="center"/>
                </w:tcPr>
                <w:p w14:paraId="789F77B0">
                  <w:pPr>
                    <w:pStyle w:val="127"/>
                    <w:kinsoku w:val="0"/>
                    <w:overflowPunct w:val="0"/>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color w:val="auto"/>
                      <w:kern w:val="0"/>
                      <w:szCs w:val="21"/>
                      <w:highlight w:val="none"/>
                      <w:lang w:val="en-US" w:eastAsia="zh-CN"/>
                    </w:rPr>
                    <w:t>颗粒物、非甲烷总烃</w:t>
                  </w:r>
                </w:p>
              </w:tc>
              <w:tc>
                <w:tcPr>
                  <w:tcW w:w="1229" w:type="dxa"/>
                  <w:noWrap w:val="0"/>
                  <w:vAlign w:val="center"/>
                </w:tcPr>
                <w:p w14:paraId="3CA50F29">
                  <w:pPr>
                    <w:kinsoku w:val="0"/>
                    <w:overflowPunct w:val="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生产车间</w:t>
                  </w:r>
                </w:p>
              </w:tc>
              <w:tc>
                <w:tcPr>
                  <w:tcW w:w="1191" w:type="dxa"/>
                  <w:noWrap w:val="0"/>
                  <w:vAlign w:val="center"/>
                </w:tcPr>
                <w:p w14:paraId="23387373">
                  <w:pPr>
                    <w:kinsoku w:val="0"/>
                    <w:overflowPunct w:val="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有组织、间歇</w:t>
                  </w:r>
                </w:p>
              </w:tc>
            </w:tr>
            <w:tr w14:paraId="30112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restart"/>
                  <w:noWrap w:val="0"/>
                  <w:vAlign w:val="center"/>
                </w:tcPr>
                <w:p w14:paraId="46E31A57">
                  <w:pPr>
                    <w:pStyle w:val="127"/>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1081" w:type="dxa"/>
                  <w:vMerge w:val="restart"/>
                  <w:noWrap w:val="0"/>
                  <w:vAlign w:val="center"/>
                </w:tcPr>
                <w:p w14:paraId="1B25C5C9">
                  <w:pPr>
                    <w:pStyle w:val="127"/>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一般工业</w:t>
                  </w:r>
                </w:p>
                <w:p w14:paraId="25A353E2">
                  <w:pPr>
                    <w:pStyle w:val="127"/>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固废</w:t>
                  </w:r>
                </w:p>
              </w:tc>
              <w:tc>
                <w:tcPr>
                  <w:tcW w:w="2005" w:type="dxa"/>
                  <w:noWrap w:val="0"/>
                  <w:vAlign w:val="center"/>
                </w:tcPr>
                <w:p w14:paraId="691A445C">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切割</w:t>
                  </w:r>
                </w:p>
              </w:tc>
              <w:tc>
                <w:tcPr>
                  <w:tcW w:w="2368" w:type="dxa"/>
                  <w:noWrap w:val="0"/>
                  <w:vAlign w:val="center"/>
                </w:tcPr>
                <w:p w14:paraId="5779F10D">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金属边角料</w:t>
                  </w:r>
                </w:p>
              </w:tc>
              <w:tc>
                <w:tcPr>
                  <w:tcW w:w="1229" w:type="dxa"/>
                  <w:noWrap w:val="0"/>
                  <w:vAlign w:val="center"/>
                </w:tcPr>
                <w:p w14:paraId="232E06E7">
                  <w:pPr>
                    <w:pStyle w:val="127"/>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1191" w:type="dxa"/>
                  <w:noWrap w:val="0"/>
                  <w:vAlign w:val="center"/>
                </w:tcPr>
                <w:p w14:paraId="6AB36EA3">
                  <w:pPr>
                    <w:pStyle w:val="127"/>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室内，间歇</w:t>
                  </w:r>
                </w:p>
              </w:tc>
            </w:tr>
            <w:tr w14:paraId="3C419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05EC7BFD">
                  <w:pPr>
                    <w:pStyle w:val="127"/>
                    <w:kinsoku w:val="0"/>
                    <w:overflowPunct w:val="0"/>
                    <w:rPr>
                      <w:rFonts w:hint="default" w:ascii="Times New Roman" w:hAnsi="Times New Roman" w:cs="Times New Roman"/>
                      <w:color w:val="auto"/>
                      <w:sz w:val="21"/>
                      <w:szCs w:val="21"/>
                    </w:rPr>
                  </w:pPr>
                </w:p>
              </w:tc>
              <w:tc>
                <w:tcPr>
                  <w:tcW w:w="1081" w:type="dxa"/>
                  <w:vMerge w:val="continue"/>
                  <w:noWrap w:val="0"/>
                  <w:vAlign w:val="center"/>
                </w:tcPr>
                <w:p w14:paraId="63BF0446">
                  <w:pPr>
                    <w:pStyle w:val="127"/>
                    <w:kinsoku w:val="0"/>
                    <w:overflowPunct w:val="0"/>
                    <w:rPr>
                      <w:rFonts w:hint="default" w:ascii="Times New Roman" w:hAnsi="Times New Roman" w:cs="Times New Roman"/>
                      <w:color w:val="auto"/>
                      <w:sz w:val="21"/>
                      <w:szCs w:val="21"/>
                      <w:lang w:eastAsia="zh-CN"/>
                    </w:rPr>
                  </w:pPr>
                </w:p>
              </w:tc>
              <w:tc>
                <w:tcPr>
                  <w:tcW w:w="2005" w:type="dxa"/>
                  <w:noWrap w:val="0"/>
                  <w:vAlign w:val="center"/>
                </w:tcPr>
                <w:p w14:paraId="5705093D">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喷粉</w:t>
                  </w:r>
                </w:p>
              </w:tc>
              <w:tc>
                <w:tcPr>
                  <w:tcW w:w="2368" w:type="dxa"/>
                  <w:noWrap w:val="0"/>
                  <w:vAlign w:val="center"/>
                </w:tcPr>
                <w:p w14:paraId="25A85877">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废粉</w:t>
                  </w:r>
                </w:p>
              </w:tc>
              <w:tc>
                <w:tcPr>
                  <w:tcW w:w="1229" w:type="dxa"/>
                  <w:noWrap w:val="0"/>
                  <w:vAlign w:val="center"/>
                </w:tcPr>
                <w:p w14:paraId="3093BAEC">
                  <w:pPr>
                    <w:pStyle w:val="127"/>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1191" w:type="dxa"/>
                  <w:noWrap w:val="0"/>
                  <w:vAlign w:val="center"/>
                </w:tcPr>
                <w:p w14:paraId="0346275C">
                  <w:pPr>
                    <w:pStyle w:val="127"/>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室内，间歇</w:t>
                  </w:r>
                </w:p>
              </w:tc>
            </w:tr>
            <w:tr w14:paraId="3E9EF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716DCE85">
                  <w:pPr>
                    <w:pStyle w:val="127"/>
                    <w:kinsoku w:val="0"/>
                    <w:overflowPunct w:val="0"/>
                    <w:rPr>
                      <w:rFonts w:hint="default" w:ascii="Times New Roman" w:hAnsi="Times New Roman" w:cs="Times New Roman"/>
                      <w:color w:val="auto"/>
                      <w:sz w:val="21"/>
                      <w:szCs w:val="21"/>
                    </w:rPr>
                  </w:pPr>
                </w:p>
              </w:tc>
              <w:tc>
                <w:tcPr>
                  <w:tcW w:w="1081" w:type="dxa"/>
                  <w:vMerge w:val="continue"/>
                  <w:noWrap w:val="0"/>
                  <w:vAlign w:val="center"/>
                </w:tcPr>
                <w:p w14:paraId="4E422F56">
                  <w:pPr>
                    <w:pStyle w:val="127"/>
                    <w:kinsoku w:val="0"/>
                    <w:overflowPunct w:val="0"/>
                    <w:jc w:val="both"/>
                    <w:rPr>
                      <w:rFonts w:hint="default" w:ascii="Times New Roman" w:hAnsi="Times New Roman" w:cs="Times New Roman"/>
                      <w:color w:val="auto"/>
                      <w:sz w:val="21"/>
                      <w:szCs w:val="21"/>
                      <w:lang w:eastAsia="zh-CN"/>
                    </w:rPr>
                  </w:pPr>
                </w:p>
              </w:tc>
              <w:tc>
                <w:tcPr>
                  <w:tcW w:w="2005" w:type="dxa"/>
                  <w:noWrap w:val="0"/>
                  <w:vAlign w:val="center"/>
                </w:tcPr>
                <w:p w14:paraId="78A18D49">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抛丸、焊接、修磨</w:t>
                  </w:r>
                </w:p>
              </w:tc>
              <w:tc>
                <w:tcPr>
                  <w:tcW w:w="2368" w:type="dxa"/>
                  <w:noWrap w:val="0"/>
                  <w:vAlign w:val="center"/>
                </w:tcPr>
                <w:p w14:paraId="19D802F7">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废钢丸、收尘灰</w:t>
                  </w:r>
                </w:p>
              </w:tc>
              <w:tc>
                <w:tcPr>
                  <w:tcW w:w="1229" w:type="dxa"/>
                  <w:noWrap w:val="0"/>
                  <w:vAlign w:val="center"/>
                </w:tcPr>
                <w:p w14:paraId="51B0D245">
                  <w:pPr>
                    <w:pStyle w:val="127"/>
                    <w:kinsoku w:val="0"/>
                    <w:overflowPunct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生产车间</w:t>
                  </w:r>
                </w:p>
              </w:tc>
              <w:tc>
                <w:tcPr>
                  <w:tcW w:w="1191" w:type="dxa"/>
                  <w:noWrap w:val="0"/>
                  <w:vAlign w:val="center"/>
                </w:tcPr>
                <w:p w14:paraId="2CA75BEB">
                  <w:pPr>
                    <w:pStyle w:val="127"/>
                    <w:kinsoku w:val="0"/>
                    <w:overflowPunct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室内、间歇</w:t>
                  </w:r>
                </w:p>
              </w:tc>
            </w:tr>
            <w:tr w14:paraId="5DC62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28D9A257">
                  <w:pPr>
                    <w:pStyle w:val="127"/>
                    <w:kinsoku w:val="0"/>
                    <w:overflowPunct w:val="0"/>
                    <w:rPr>
                      <w:rFonts w:hint="default" w:ascii="Times New Roman" w:hAnsi="Times New Roman" w:cs="Times New Roman"/>
                      <w:color w:val="auto"/>
                      <w:sz w:val="21"/>
                      <w:szCs w:val="21"/>
                    </w:rPr>
                  </w:pPr>
                </w:p>
              </w:tc>
              <w:tc>
                <w:tcPr>
                  <w:tcW w:w="1081" w:type="dxa"/>
                  <w:vMerge w:val="continue"/>
                  <w:noWrap w:val="0"/>
                  <w:vAlign w:val="center"/>
                </w:tcPr>
                <w:p w14:paraId="0D2BF0BF">
                  <w:pPr>
                    <w:pStyle w:val="127"/>
                    <w:kinsoku w:val="0"/>
                    <w:overflowPunct w:val="0"/>
                    <w:jc w:val="both"/>
                    <w:rPr>
                      <w:rFonts w:hint="default" w:ascii="Times New Roman" w:hAnsi="Times New Roman" w:cs="Times New Roman"/>
                      <w:color w:val="auto"/>
                      <w:sz w:val="21"/>
                      <w:szCs w:val="21"/>
                      <w:lang w:eastAsia="zh-CN"/>
                    </w:rPr>
                  </w:pPr>
                </w:p>
              </w:tc>
              <w:tc>
                <w:tcPr>
                  <w:tcW w:w="2005" w:type="dxa"/>
                  <w:noWrap w:val="0"/>
                  <w:vAlign w:val="center"/>
                </w:tcPr>
                <w:p w14:paraId="64318F62">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喷漆</w:t>
                  </w:r>
                </w:p>
              </w:tc>
              <w:tc>
                <w:tcPr>
                  <w:tcW w:w="2368" w:type="dxa"/>
                  <w:noWrap w:val="0"/>
                  <w:vAlign w:val="center"/>
                </w:tcPr>
                <w:p w14:paraId="58F5FA7F">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漆渣、废纸盒、废漆桶等</w:t>
                  </w:r>
                </w:p>
              </w:tc>
              <w:tc>
                <w:tcPr>
                  <w:tcW w:w="1229" w:type="dxa"/>
                  <w:noWrap w:val="0"/>
                  <w:vAlign w:val="center"/>
                </w:tcPr>
                <w:p w14:paraId="065E8E01">
                  <w:pPr>
                    <w:pStyle w:val="127"/>
                    <w:kinsoku w:val="0"/>
                    <w:overflowPunct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生产车间</w:t>
                  </w:r>
                </w:p>
              </w:tc>
              <w:tc>
                <w:tcPr>
                  <w:tcW w:w="1191" w:type="dxa"/>
                  <w:noWrap w:val="0"/>
                  <w:vAlign w:val="center"/>
                </w:tcPr>
                <w:p w14:paraId="20A3F4F4">
                  <w:pPr>
                    <w:pStyle w:val="127"/>
                    <w:kinsoku w:val="0"/>
                    <w:overflowPunct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室内、间歇</w:t>
                  </w:r>
                </w:p>
              </w:tc>
            </w:tr>
            <w:tr w14:paraId="155D8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7F7A47CE">
                  <w:pPr>
                    <w:pStyle w:val="127"/>
                    <w:kinsoku w:val="0"/>
                    <w:overflowPunct w:val="0"/>
                    <w:rPr>
                      <w:rFonts w:hint="default" w:ascii="Times New Roman" w:hAnsi="Times New Roman" w:cs="Times New Roman"/>
                      <w:color w:val="auto"/>
                      <w:sz w:val="21"/>
                      <w:szCs w:val="21"/>
                    </w:rPr>
                  </w:pPr>
                </w:p>
              </w:tc>
              <w:tc>
                <w:tcPr>
                  <w:tcW w:w="1081" w:type="dxa"/>
                  <w:vMerge w:val="restart"/>
                  <w:noWrap w:val="0"/>
                  <w:vAlign w:val="center"/>
                </w:tcPr>
                <w:p w14:paraId="7D01A93C">
                  <w:pPr>
                    <w:pStyle w:val="127"/>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危险废物</w:t>
                  </w:r>
                </w:p>
              </w:tc>
              <w:tc>
                <w:tcPr>
                  <w:tcW w:w="2005" w:type="dxa"/>
                  <w:noWrap w:val="0"/>
                  <w:vAlign w:val="center"/>
                </w:tcPr>
                <w:p w14:paraId="0294436E">
                  <w:pPr>
                    <w:pStyle w:val="127"/>
                    <w:kinsoku w:val="0"/>
                    <w:overflowPunct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废气处理</w:t>
                  </w:r>
                </w:p>
              </w:tc>
              <w:tc>
                <w:tcPr>
                  <w:tcW w:w="2368" w:type="dxa"/>
                  <w:noWrap w:val="0"/>
                  <w:vAlign w:val="center"/>
                </w:tcPr>
                <w:p w14:paraId="29656B3A">
                  <w:pPr>
                    <w:pStyle w:val="127"/>
                    <w:kinsoku w:val="0"/>
                    <w:overflowPunct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废活性炭</w:t>
                  </w:r>
                </w:p>
              </w:tc>
              <w:tc>
                <w:tcPr>
                  <w:tcW w:w="1229" w:type="dxa"/>
                  <w:noWrap w:val="0"/>
                  <w:vAlign w:val="center"/>
                </w:tcPr>
                <w:p w14:paraId="294DF699">
                  <w:pPr>
                    <w:pStyle w:val="127"/>
                    <w:kinsoku w:val="0"/>
                    <w:overflowPunct w:val="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生产车间</w:t>
                  </w:r>
                </w:p>
              </w:tc>
              <w:tc>
                <w:tcPr>
                  <w:tcW w:w="1191" w:type="dxa"/>
                  <w:noWrap w:val="0"/>
                  <w:vAlign w:val="center"/>
                </w:tcPr>
                <w:p w14:paraId="67488B93">
                  <w:pPr>
                    <w:pStyle w:val="127"/>
                    <w:kinsoku w:val="0"/>
                    <w:overflowPunct w:val="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r w14:paraId="151EF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10CB9B3D">
                  <w:pPr>
                    <w:pStyle w:val="127"/>
                    <w:kinsoku w:val="0"/>
                    <w:overflowPunct w:val="0"/>
                    <w:rPr>
                      <w:rFonts w:hint="default" w:ascii="Times New Roman" w:hAnsi="Times New Roman" w:cs="Times New Roman"/>
                      <w:color w:val="auto"/>
                      <w:sz w:val="21"/>
                      <w:szCs w:val="21"/>
                    </w:rPr>
                  </w:pPr>
                </w:p>
              </w:tc>
              <w:tc>
                <w:tcPr>
                  <w:tcW w:w="1081" w:type="dxa"/>
                  <w:vMerge w:val="continue"/>
                  <w:noWrap w:val="0"/>
                  <w:vAlign w:val="center"/>
                </w:tcPr>
                <w:p w14:paraId="5A7C7F63">
                  <w:pPr>
                    <w:pStyle w:val="127"/>
                    <w:kinsoku w:val="0"/>
                    <w:overflowPunct w:val="0"/>
                    <w:rPr>
                      <w:rFonts w:hint="default" w:ascii="Times New Roman" w:hAnsi="Times New Roman" w:cs="Times New Roman"/>
                      <w:color w:val="auto"/>
                      <w:sz w:val="21"/>
                      <w:szCs w:val="21"/>
                      <w:lang w:eastAsia="zh-CN"/>
                    </w:rPr>
                  </w:pPr>
                </w:p>
              </w:tc>
              <w:tc>
                <w:tcPr>
                  <w:tcW w:w="2005" w:type="dxa"/>
                  <w:noWrap w:val="0"/>
                  <w:vAlign w:val="center"/>
                </w:tcPr>
                <w:p w14:paraId="06D9AA5A">
                  <w:pPr>
                    <w:pStyle w:val="127"/>
                    <w:kinsoku w:val="0"/>
                    <w:overflowPunct w:val="0"/>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全厂</w:t>
                  </w:r>
                </w:p>
              </w:tc>
              <w:tc>
                <w:tcPr>
                  <w:tcW w:w="2368" w:type="dxa"/>
                  <w:noWrap w:val="0"/>
                  <w:vAlign w:val="center"/>
                </w:tcPr>
                <w:p w14:paraId="28CE0CDB">
                  <w:pPr>
                    <w:pStyle w:val="127"/>
                    <w:kinsoku w:val="0"/>
                    <w:overflowPunct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废润滑油、废油桶、含油抹布手套</w:t>
                  </w:r>
                </w:p>
              </w:tc>
              <w:tc>
                <w:tcPr>
                  <w:tcW w:w="1229" w:type="dxa"/>
                  <w:noWrap w:val="0"/>
                  <w:vAlign w:val="center"/>
                </w:tcPr>
                <w:p w14:paraId="3972CB51">
                  <w:pPr>
                    <w:pStyle w:val="127"/>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1191" w:type="dxa"/>
                  <w:noWrap w:val="0"/>
                  <w:vAlign w:val="center"/>
                </w:tcPr>
                <w:p w14:paraId="0EBAA5E8">
                  <w:pPr>
                    <w:pStyle w:val="127"/>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r w14:paraId="18455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96" w:type="dxa"/>
                  <w:gridSpan w:val="2"/>
                  <w:noWrap w:val="0"/>
                  <w:vAlign w:val="center"/>
                </w:tcPr>
                <w:p w14:paraId="670FF351">
                  <w:pPr>
                    <w:pStyle w:val="127"/>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005" w:type="dxa"/>
                  <w:noWrap w:val="0"/>
                  <w:vAlign w:val="center"/>
                </w:tcPr>
                <w:p w14:paraId="1A9500BA">
                  <w:pPr>
                    <w:pStyle w:val="127"/>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设备运转</w:t>
                  </w:r>
                </w:p>
              </w:tc>
              <w:tc>
                <w:tcPr>
                  <w:tcW w:w="2368" w:type="dxa"/>
                  <w:noWrap w:val="0"/>
                  <w:vAlign w:val="center"/>
                </w:tcPr>
                <w:p w14:paraId="1D60C850">
                  <w:pPr>
                    <w:pStyle w:val="127"/>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1229" w:type="dxa"/>
                  <w:noWrap w:val="0"/>
                  <w:vAlign w:val="center"/>
                </w:tcPr>
                <w:p w14:paraId="3210E0D0">
                  <w:pPr>
                    <w:pStyle w:val="127"/>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生产车间</w:t>
                  </w:r>
                </w:p>
              </w:tc>
              <w:tc>
                <w:tcPr>
                  <w:tcW w:w="1191" w:type="dxa"/>
                  <w:noWrap w:val="0"/>
                  <w:vAlign w:val="center"/>
                </w:tcPr>
                <w:p w14:paraId="0296A3B5">
                  <w:pPr>
                    <w:pStyle w:val="127"/>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bl>
          <w:p w14:paraId="2E00C49A">
            <w:pPr>
              <w:adjustRightInd w:val="0"/>
              <w:snapToGrid w:val="0"/>
              <w:rPr>
                <w:rFonts w:hint="default" w:ascii="Times New Roman" w:hAnsi="Times New Roman" w:cs="Times New Roman"/>
                <w:bCs/>
                <w:color w:val="auto"/>
                <w:szCs w:val="21"/>
              </w:rPr>
            </w:pPr>
          </w:p>
        </w:tc>
      </w:tr>
      <w:tr w14:paraId="48246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6" w:hRule="atLeast"/>
          <w:jc w:val="center"/>
        </w:trPr>
        <w:tc>
          <w:tcPr>
            <w:tcW w:w="425" w:type="dxa"/>
            <w:noWrap w:val="0"/>
            <w:vAlign w:val="center"/>
          </w:tcPr>
          <w:p w14:paraId="1798AB60">
            <w:pPr>
              <w:pStyle w:val="27"/>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8778" w:type="dxa"/>
            <w:tcBorders>
              <w:bottom w:val="single" w:color="auto" w:sz="4" w:space="0"/>
            </w:tcBorders>
            <w:noWrap w:val="0"/>
            <w:vAlign w:val="center"/>
          </w:tcPr>
          <w:p w14:paraId="6B8D1553">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本项目租赁</w:t>
            </w:r>
            <w:r>
              <w:rPr>
                <w:rFonts w:hint="default" w:ascii="Times New Roman" w:hAnsi="Times New Roman" w:cs="Times New Roman"/>
                <w:bCs/>
                <w:color w:val="auto"/>
                <w:sz w:val="24"/>
                <w:lang w:val="en-US" w:eastAsia="zh-CN"/>
              </w:rPr>
              <w:t>已建成的标准化厂房进行生产</w:t>
            </w:r>
            <w:r>
              <w:rPr>
                <w:rFonts w:hint="default" w:ascii="Times New Roman" w:hAnsi="Times New Roman" w:eastAsia="宋体" w:cs="Times New Roman"/>
                <w:bCs/>
                <w:color w:val="auto"/>
                <w:sz w:val="24"/>
                <w:lang w:val="en-US" w:eastAsia="zh-CN"/>
              </w:rPr>
              <w:t>，根据现场勘查，本项目厂区内已全部硬化处理，无原有环境污染情况</w:t>
            </w:r>
            <w:r>
              <w:rPr>
                <w:rFonts w:hint="default" w:ascii="Times New Roman" w:hAnsi="Times New Roman" w:cs="Times New Roman"/>
                <w:bCs/>
                <w:color w:val="auto"/>
                <w:sz w:val="24"/>
                <w:lang w:val="en-US" w:eastAsia="zh-CN"/>
              </w:rPr>
              <w:t>。</w:t>
            </w:r>
          </w:p>
          <w:p w14:paraId="5D85C488">
            <w:pPr>
              <w:rPr>
                <w:rFonts w:hint="default" w:ascii="Times New Roman" w:hAnsi="Times New Roman" w:cs="Times New Roman"/>
                <w:lang w:val="en-US" w:eastAsia="zh-CN"/>
              </w:rPr>
            </w:pPr>
          </w:p>
          <w:p w14:paraId="238D599F">
            <w:pPr>
              <w:pStyle w:val="24"/>
              <w:rPr>
                <w:rFonts w:hint="default" w:ascii="Times New Roman" w:hAnsi="Times New Roman" w:cs="Times New Roman"/>
                <w:lang w:val="en-US" w:eastAsia="zh-CN"/>
              </w:rPr>
            </w:pPr>
          </w:p>
        </w:tc>
      </w:tr>
    </w:tbl>
    <w:p w14:paraId="6DBB43BF">
      <w:pPr>
        <w:pStyle w:val="27"/>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A9C2ABF">
      <w:pPr>
        <w:pStyle w:val="27"/>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14:paraId="471D1221">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32"/>
        <w:tblW w:w="93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939"/>
      </w:tblGrid>
      <w:tr w14:paraId="50683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noWrap w:val="0"/>
            <w:vAlign w:val="center"/>
          </w:tcPr>
          <w:p w14:paraId="0886A2D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区域</w:t>
            </w:r>
          </w:p>
          <w:p w14:paraId="16168764">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4D6C2B3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质量</w:t>
            </w:r>
          </w:p>
          <w:p w14:paraId="2B99375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现状</w:t>
            </w:r>
          </w:p>
        </w:tc>
        <w:tc>
          <w:tcPr>
            <w:tcW w:w="8939" w:type="dxa"/>
            <w:noWrap w:val="0"/>
            <w:vAlign w:val="center"/>
          </w:tcPr>
          <w:p w14:paraId="133E61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一、区域环境质量现状</w:t>
            </w:r>
          </w:p>
          <w:p w14:paraId="601B882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1.环境空气质量现状</w:t>
            </w:r>
          </w:p>
          <w:p w14:paraId="03A7473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lang w:eastAsia="zh-CN"/>
              </w:rPr>
              <w:t>常规污染物</w:t>
            </w:r>
          </w:p>
          <w:p w14:paraId="1E199A8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eastAsia="zh-CN"/>
              </w:rPr>
              <w:t>环境影响评价技术导则 大气环境</w:t>
            </w:r>
            <w:r>
              <w:rPr>
                <w:rFonts w:hint="default" w:ascii="Times New Roman" w:hAnsi="Times New Roman" w:eastAsia="宋体" w:cs="Times New Roman"/>
                <w:color w:val="auto"/>
                <w:sz w:val="24"/>
                <w:szCs w:val="24"/>
              </w:rPr>
              <w:t>》（HJ2.2-2018）6.2.1.2“采用评价范围内国家或地方环境空气质量监测网中评价基准年连续1年的监测数据，或采用生态环境主管部门公开发布的环境空气质量现状数据”。项目所在区域</w:t>
            </w:r>
            <w:r>
              <w:rPr>
                <w:rFonts w:hint="default" w:ascii="Times New Roman" w:hAnsi="Times New Roman" w:cs="Times New Roman"/>
                <w:color w:val="auto"/>
                <w:sz w:val="24"/>
                <w:szCs w:val="24"/>
                <w:lang w:eastAsia="zh-CN"/>
              </w:rPr>
              <w:t>属于</w:t>
            </w:r>
            <w:r>
              <w:rPr>
                <w:rFonts w:hint="default" w:ascii="Times New Roman" w:hAnsi="Times New Roman" w:eastAsia="宋体" w:cs="Times New Roman"/>
                <w:color w:val="auto"/>
                <w:sz w:val="24"/>
                <w:szCs w:val="24"/>
              </w:rPr>
              <w:t>环境空气质量二类功能区，执行《环境空气质量标准》（GB3095-2012）及其2018年修改单中的二级标准。</w:t>
            </w:r>
          </w:p>
          <w:p w14:paraId="4C6E5530">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查明项目所在地大气环境质量，本次评价基本污染物环境质量现状采用宝鸡市生态环境局办公室发布的《2025年1~12月份各县（区）空气质量状况统计》中陈仓区的统计数据，来分析项目所在地的大气环境质量现状，监测结果整理后见下表。</w:t>
            </w:r>
          </w:p>
          <w:p w14:paraId="6D14A73E">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  区域空气质量现状评价表</w:t>
            </w:r>
          </w:p>
          <w:tbl>
            <w:tblPr>
              <w:tblStyle w:val="32"/>
              <w:tblW w:w="8376"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854"/>
              <w:gridCol w:w="3159"/>
              <w:gridCol w:w="1139"/>
              <w:gridCol w:w="1125"/>
              <w:gridCol w:w="981"/>
              <w:gridCol w:w="1118"/>
            </w:tblGrid>
            <w:tr w14:paraId="7255B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4" w:hRule="atLeast"/>
              </w:trPr>
              <w:tc>
                <w:tcPr>
                  <w:tcW w:w="509" w:type="pct"/>
                  <w:tcBorders>
                    <w:tl2br w:val="nil"/>
                    <w:tr2bl w:val="nil"/>
                  </w:tcBorders>
                  <w:shd w:val="clear" w:color="auto" w:fill="FFFFFF" w:themeFill="background1"/>
                  <w:vAlign w:val="center"/>
                </w:tcPr>
                <w:p w14:paraId="2832C93C">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885" w:type="pct"/>
                  <w:tcBorders>
                    <w:tl2br w:val="nil"/>
                    <w:tr2bl w:val="nil"/>
                  </w:tcBorders>
                  <w:shd w:val="clear" w:color="auto" w:fill="FFFFFF" w:themeFill="background1"/>
                  <w:vAlign w:val="center"/>
                </w:tcPr>
                <w:p w14:paraId="1DE80B37">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年评价指标</w:t>
                  </w:r>
                </w:p>
              </w:tc>
              <w:tc>
                <w:tcPr>
                  <w:tcW w:w="679" w:type="pct"/>
                  <w:tcBorders>
                    <w:tl2br w:val="nil"/>
                    <w:tr2bl w:val="nil"/>
                  </w:tcBorders>
                  <w:shd w:val="clear" w:color="auto" w:fill="FFFFFF" w:themeFill="background1"/>
                  <w:vAlign w:val="center"/>
                </w:tcPr>
                <w:p w14:paraId="78D38452">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现状浓度（μg/m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671" w:type="pct"/>
                  <w:tcBorders>
                    <w:tl2br w:val="nil"/>
                    <w:tr2bl w:val="nil"/>
                  </w:tcBorders>
                  <w:shd w:val="clear" w:color="auto" w:fill="FFFFFF" w:themeFill="background1"/>
                  <w:vAlign w:val="center"/>
                </w:tcPr>
                <w:p w14:paraId="0B48108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标准值（μg/m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585" w:type="pct"/>
                  <w:tcBorders>
                    <w:tl2br w:val="nil"/>
                    <w:tr2bl w:val="nil"/>
                  </w:tcBorders>
                  <w:shd w:val="clear" w:color="auto" w:fill="FFFFFF" w:themeFill="background1"/>
                  <w:vAlign w:val="center"/>
                </w:tcPr>
                <w:p w14:paraId="15FF3DD6">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占标率（%）</w:t>
                  </w:r>
                </w:p>
              </w:tc>
              <w:tc>
                <w:tcPr>
                  <w:tcW w:w="667" w:type="pct"/>
                  <w:tcBorders>
                    <w:tl2br w:val="nil"/>
                    <w:tr2bl w:val="nil"/>
                  </w:tcBorders>
                  <w:shd w:val="clear" w:color="auto" w:fill="FFFFFF" w:themeFill="background1"/>
                  <w:vAlign w:val="center"/>
                </w:tcPr>
                <w:p w14:paraId="575BC49C">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14:paraId="42FF8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6" w:hRule="atLeast"/>
              </w:trPr>
              <w:tc>
                <w:tcPr>
                  <w:tcW w:w="509" w:type="pct"/>
                  <w:tcBorders>
                    <w:tl2br w:val="nil"/>
                    <w:tr2bl w:val="nil"/>
                  </w:tcBorders>
                  <w:shd w:val="clear" w:color="auto" w:fill="FFFFFF" w:themeFill="background1"/>
                  <w:vAlign w:val="center"/>
                </w:tcPr>
                <w:p w14:paraId="318B1DC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1885" w:type="pct"/>
                  <w:tcBorders>
                    <w:tl2br w:val="nil"/>
                    <w:tr2bl w:val="nil"/>
                  </w:tcBorders>
                  <w:shd w:val="clear" w:color="auto" w:fill="FFFFFF" w:themeFill="background1"/>
                  <w:vAlign w:val="center"/>
                </w:tcPr>
                <w:p w14:paraId="08744E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年平均浓度</w:t>
                  </w:r>
                </w:p>
              </w:tc>
              <w:tc>
                <w:tcPr>
                  <w:tcW w:w="679" w:type="pct"/>
                  <w:tcBorders>
                    <w:tl2br w:val="nil"/>
                    <w:tr2bl w:val="nil"/>
                  </w:tcBorders>
                  <w:shd w:val="clear" w:color="auto" w:fill="FFFFFF" w:themeFill="background1"/>
                  <w:vAlign w:val="center"/>
                </w:tcPr>
                <w:p w14:paraId="212411B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w:t>
                  </w:r>
                </w:p>
              </w:tc>
              <w:tc>
                <w:tcPr>
                  <w:tcW w:w="671" w:type="pct"/>
                  <w:tcBorders>
                    <w:tl2br w:val="nil"/>
                    <w:tr2bl w:val="nil"/>
                  </w:tcBorders>
                  <w:shd w:val="clear" w:color="auto" w:fill="FFFFFF" w:themeFill="background1"/>
                  <w:vAlign w:val="center"/>
                </w:tcPr>
                <w:p w14:paraId="5219376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585" w:type="pct"/>
                  <w:tcBorders>
                    <w:tl2br w:val="nil"/>
                    <w:tr2bl w:val="nil"/>
                  </w:tcBorders>
                  <w:shd w:val="clear" w:color="auto" w:fill="FFFFFF" w:themeFill="background1"/>
                  <w:vAlign w:val="center"/>
                </w:tcPr>
                <w:p w14:paraId="77D8D43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101.7</w:t>
                  </w:r>
                </w:p>
              </w:tc>
              <w:tc>
                <w:tcPr>
                  <w:tcW w:w="667" w:type="pct"/>
                  <w:tcBorders>
                    <w:tl2br w:val="nil"/>
                    <w:tr2bl w:val="nil"/>
                  </w:tcBorders>
                  <w:shd w:val="clear" w:color="auto" w:fill="FFFFFF" w:themeFill="background1"/>
                  <w:vAlign w:val="center"/>
                </w:tcPr>
                <w:p w14:paraId="7D97B25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不</w:t>
                  </w:r>
                  <w:r>
                    <w:rPr>
                      <w:rFonts w:hint="default" w:ascii="Times New Roman" w:hAnsi="Times New Roman" w:eastAsia="宋体" w:cs="Times New Roman"/>
                      <w:color w:val="auto"/>
                      <w:sz w:val="21"/>
                      <w:szCs w:val="21"/>
                      <w:highlight w:val="none"/>
                    </w:rPr>
                    <w:t>达标</w:t>
                  </w:r>
                </w:p>
              </w:tc>
            </w:tr>
            <w:tr w14:paraId="7EA4C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6" w:hRule="atLeast"/>
              </w:trPr>
              <w:tc>
                <w:tcPr>
                  <w:tcW w:w="509" w:type="pct"/>
                  <w:tcBorders>
                    <w:tl2br w:val="nil"/>
                    <w:tr2bl w:val="nil"/>
                  </w:tcBorders>
                  <w:shd w:val="clear" w:color="auto" w:fill="FFFFFF" w:themeFill="background1"/>
                  <w:vAlign w:val="center"/>
                </w:tcPr>
                <w:p w14:paraId="049CFE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1885" w:type="pct"/>
                  <w:tcBorders>
                    <w:tl2br w:val="nil"/>
                    <w:tr2bl w:val="nil"/>
                  </w:tcBorders>
                  <w:shd w:val="clear" w:color="auto" w:fill="FFFFFF" w:themeFill="background1"/>
                  <w:vAlign w:val="center"/>
                </w:tcPr>
                <w:p w14:paraId="0528CB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年平均浓度</w:t>
                  </w:r>
                </w:p>
              </w:tc>
              <w:tc>
                <w:tcPr>
                  <w:tcW w:w="679" w:type="pct"/>
                  <w:tcBorders>
                    <w:tl2br w:val="nil"/>
                    <w:tr2bl w:val="nil"/>
                  </w:tcBorders>
                  <w:shd w:val="clear" w:color="auto" w:fill="FFFFFF" w:themeFill="background1"/>
                  <w:vAlign w:val="center"/>
                </w:tcPr>
                <w:p w14:paraId="7C15BE6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35.2</w:t>
                  </w:r>
                </w:p>
              </w:tc>
              <w:tc>
                <w:tcPr>
                  <w:tcW w:w="671" w:type="pct"/>
                  <w:tcBorders>
                    <w:tl2br w:val="nil"/>
                    <w:tr2bl w:val="nil"/>
                  </w:tcBorders>
                  <w:shd w:val="clear" w:color="auto" w:fill="FFFFFF" w:themeFill="background1"/>
                  <w:vAlign w:val="center"/>
                </w:tcPr>
                <w:p w14:paraId="53CEF09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585" w:type="pct"/>
                  <w:tcBorders>
                    <w:tl2br w:val="nil"/>
                    <w:tr2bl w:val="nil"/>
                  </w:tcBorders>
                  <w:shd w:val="clear" w:color="auto" w:fill="FFFFFF" w:themeFill="background1"/>
                  <w:vAlign w:val="center"/>
                </w:tcPr>
                <w:p w14:paraId="24C1102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117.3</w:t>
                  </w:r>
                </w:p>
              </w:tc>
              <w:tc>
                <w:tcPr>
                  <w:tcW w:w="667" w:type="pct"/>
                  <w:tcBorders>
                    <w:tl2br w:val="nil"/>
                    <w:tr2bl w:val="nil"/>
                  </w:tcBorders>
                  <w:shd w:val="clear" w:color="auto" w:fill="FFFFFF" w:themeFill="background1"/>
                  <w:vAlign w:val="center"/>
                </w:tcPr>
                <w:p w14:paraId="0EC53F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不达标</w:t>
                  </w:r>
                </w:p>
              </w:tc>
            </w:tr>
            <w:tr w14:paraId="5FD77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6" w:hRule="atLeast"/>
              </w:trPr>
              <w:tc>
                <w:tcPr>
                  <w:tcW w:w="509" w:type="pct"/>
                  <w:tcBorders>
                    <w:tl2br w:val="nil"/>
                    <w:tr2bl w:val="nil"/>
                  </w:tcBorders>
                  <w:shd w:val="clear" w:color="auto" w:fill="FFFFFF" w:themeFill="background1"/>
                  <w:vAlign w:val="center"/>
                </w:tcPr>
                <w:p w14:paraId="4B7801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885" w:type="pct"/>
                  <w:tcBorders>
                    <w:tl2br w:val="nil"/>
                    <w:tr2bl w:val="nil"/>
                  </w:tcBorders>
                  <w:shd w:val="clear" w:color="auto" w:fill="FFFFFF" w:themeFill="background1"/>
                  <w:vAlign w:val="center"/>
                </w:tcPr>
                <w:p w14:paraId="680F27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年平均浓度</w:t>
                  </w:r>
                </w:p>
              </w:tc>
              <w:tc>
                <w:tcPr>
                  <w:tcW w:w="679" w:type="pct"/>
                  <w:tcBorders>
                    <w:tl2br w:val="nil"/>
                    <w:tr2bl w:val="nil"/>
                  </w:tcBorders>
                  <w:shd w:val="clear" w:color="auto" w:fill="FFFFFF" w:themeFill="background1"/>
                  <w:vAlign w:val="center"/>
                </w:tcPr>
                <w:p w14:paraId="13B957B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671" w:type="pct"/>
                  <w:tcBorders>
                    <w:tl2br w:val="nil"/>
                    <w:tr2bl w:val="nil"/>
                  </w:tcBorders>
                  <w:shd w:val="clear" w:color="auto" w:fill="FFFFFF" w:themeFill="background1"/>
                  <w:vAlign w:val="center"/>
                </w:tcPr>
                <w:p w14:paraId="28775E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585" w:type="pct"/>
                  <w:tcBorders>
                    <w:tl2br w:val="nil"/>
                    <w:tr2bl w:val="nil"/>
                  </w:tcBorders>
                  <w:shd w:val="clear" w:color="auto" w:fill="FFFFFF" w:themeFill="background1"/>
                  <w:vAlign w:val="center"/>
                </w:tcPr>
                <w:p w14:paraId="443523E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28.3</w:t>
                  </w:r>
                </w:p>
              </w:tc>
              <w:tc>
                <w:tcPr>
                  <w:tcW w:w="667" w:type="pct"/>
                  <w:tcBorders>
                    <w:tl2br w:val="nil"/>
                    <w:tr2bl w:val="nil"/>
                  </w:tcBorders>
                  <w:shd w:val="clear" w:color="auto" w:fill="FFFFFF" w:themeFill="background1"/>
                  <w:vAlign w:val="center"/>
                </w:tcPr>
                <w:p w14:paraId="0750261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3F164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6" w:hRule="atLeast"/>
              </w:trPr>
              <w:tc>
                <w:tcPr>
                  <w:tcW w:w="509" w:type="pct"/>
                  <w:tcBorders>
                    <w:tl2br w:val="nil"/>
                    <w:tr2bl w:val="nil"/>
                  </w:tcBorders>
                  <w:shd w:val="clear" w:color="auto" w:fill="FFFFFF" w:themeFill="background1"/>
                  <w:vAlign w:val="center"/>
                </w:tcPr>
                <w:p w14:paraId="20AE77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1885" w:type="pct"/>
                  <w:tcBorders>
                    <w:tl2br w:val="nil"/>
                    <w:tr2bl w:val="nil"/>
                  </w:tcBorders>
                  <w:shd w:val="clear" w:color="auto" w:fill="FFFFFF" w:themeFill="background1"/>
                  <w:vAlign w:val="center"/>
                </w:tcPr>
                <w:p w14:paraId="196119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年平均浓度</w:t>
                  </w:r>
                </w:p>
              </w:tc>
              <w:tc>
                <w:tcPr>
                  <w:tcW w:w="679" w:type="pct"/>
                  <w:tcBorders>
                    <w:tl2br w:val="nil"/>
                    <w:tr2bl w:val="nil"/>
                  </w:tcBorders>
                  <w:shd w:val="clear" w:color="auto" w:fill="FFFFFF" w:themeFill="background1"/>
                  <w:vAlign w:val="center"/>
                </w:tcPr>
                <w:p w14:paraId="1BC250C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w:t>
                  </w:r>
                </w:p>
              </w:tc>
              <w:tc>
                <w:tcPr>
                  <w:tcW w:w="671" w:type="pct"/>
                  <w:tcBorders>
                    <w:tl2br w:val="nil"/>
                    <w:tr2bl w:val="nil"/>
                  </w:tcBorders>
                  <w:shd w:val="clear" w:color="auto" w:fill="FFFFFF" w:themeFill="background1"/>
                  <w:vAlign w:val="center"/>
                </w:tcPr>
                <w:p w14:paraId="5273C61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585" w:type="pct"/>
                  <w:tcBorders>
                    <w:tl2br w:val="nil"/>
                    <w:tr2bl w:val="nil"/>
                  </w:tcBorders>
                  <w:shd w:val="clear" w:color="auto" w:fill="FFFFFF" w:themeFill="background1"/>
                  <w:vAlign w:val="center"/>
                </w:tcPr>
                <w:p w14:paraId="5402C14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67.5</w:t>
                  </w:r>
                </w:p>
              </w:tc>
              <w:tc>
                <w:tcPr>
                  <w:tcW w:w="667" w:type="pct"/>
                  <w:tcBorders>
                    <w:tl2br w:val="nil"/>
                    <w:tr2bl w:val="nil"/>
                  </w:tcBorders>
                  <w:shd w:val="clear" w:color="auto" w:fill="FFFFFF" w:themeFill="background1"/>
                  <w:vAlign w:val="center"/>
                </w:tcPr>
                <w:p w14:paraId="11B9EC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26385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44" w:hRule="atLeast"/>
              </w:trPr>
              <w:tc>
                <w:tcPr>
                  <w:tcW w:w="509" w:type="pct"/>
                  <w:tcBorders>
                    <w:tl2br w:val="nil"/>
                    <w:tr2bl w:val="nil"/>
                  </w:tcBorders>
                  <w:shd w:val="clear" w:color="auto" w:fill="FFFFFF" w:themeFill="background1"/>
                  <w:vAlign w:val="center"/>
                </w:tcPr>
                <w:p w14:paraId="2A83D6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1885" w:type="pct"/>
                  <w:tcBorders>
                    <w:tl2br w:val="nil"/>
                    <w:tr2bl w:val="nil"/>
                  </w:tcBorders>
                  <w:shd w:val="clear" w:color="auto" w:fill="FFFFFF" w:themeFill="background1"/>
                  <w:vAlign w:val="center"/>
                </w:tcPr>
                <w:p w14:paraId="5B4AD8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24小时平均第95百分位数</w:t>
                  </w:r>
                </w:p>
              </w:tc>
              <w:tc>
                <w:tcPr>
                  <w:tcW w:w="679" w:type="pct"/>
                  <w:tcBorders>
                    <w:tl2br w:val="nil"/>
                    <w:tr2bl w:val="nil"/>
                  </w:tcBorders>
                  <w:shd w:val="clear" w:color="auto" w:fill="FFFFFF" w:themeFill="background1"/>
                  <w:vAlign w:val="center"/>
                </w:tcPr>
                <w:p w14:paraId="0460012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w:t>
                  </w:r>
                </w:p>
              </w:tc>
              <w:tc>
                <w:tcPr>
                  <w:tcW w:w="671" w:type="pct"/>
                  <w:tcBorders>
                    <w:tl2br w:val="nil"/>
                    <w:tr2bl w:val="nil"/>
                  </w:tcBorders>
                  <w:shd w:val="clear" w:color="auto" w:fill="FFFFFF" w:themeFill="background1"/>
                  <w:vAlign w:val="center"/>
                </w:tcPr>
                <w:p w14:paraId="7A4A80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4000</w:t>
                  </w:r>
                </w:p>
              </w:tc>
              <w:tc>
                <w:tcPr>
                  <w:tcW w:w="585" w:type="pct"/>
                  <w:tcBorders>
                    <w:tl2br w:val="nil"/>
                    <w:tr2bl w:val="nil"/>
                  </w:tcBorders>
                  <w:shd w:val="clear" w:color="auto" w:fill="FFFFFF" w:themeFill="background1"/>
                  <w:vAlign w:val="center"/>
                </w:tcPr>
                <w:p w14:paraId="3672BBE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667" w:type="pct"/>
                  <w:tcBorders>
                    <w:tl2br w:val="nil"/>
                    <w:tr2bl w:val="nil"/>
                  </w:tcBorders>
                  <w:shd w:val="clear" w:color="auto" w:fill="FFFFFF" w:themeFill="background1"/>
                  <w:vAlign w:val="center"/>
                </w:tcPr>
                <w:p w14:paraId="5BA7AE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3D62D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75" w:hRule="atLeast"/>
              </w:trPr>
              <w:tc>
                <w:tcPr>
                  <w:tcW w:w="509" w:type="pct"/>
                  <w:tcBorders>
                    <w:tl2br w:val="nil"/>
                    <w:tr2bl w:val="nil"/>
                  </w:tcBorders>
                  <w:shd w:val="clear" w:color="auto" w:fill="FFFFFF" w:themeFill="background1"/>
                  <w:vAlign w:val="center"/>
                </w:tcPr>
                <w:p w14:paraId="6C37DF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O3</w:t>
                  </w:r>
                </w:p>
              </w:tc>
              <w:tc>
                <w:tcPr>
                  <w:tcW w:w="1885" w:type="pct"/>
                  <w:tcBorders>
                    <w:tl2br w:val="nil"/>
                    <w:tr2bl w:val="nil"/>
                  </w:tcBorders>
                  <w:shd w:val="clear" w:color="auto" w:fill="FFFFFF" w:themeFill="background1"/>
                  <w:vAlign w:val="center"/>
                </w:tcPr>
                <w:p w14:paraId="4C7D6B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日最大8小时平均第90百分位数</w:t>
                  </w:r>
                </w:p>
              </w:tc>
              <w:tc>
                <w:tcPr>
                  <w:tcW w:w="679" w:type="pct"/>
                  <w:tcBorders>
                    <w:tl2br w:val="nil"/>
                    <w:tr2bl w:val="nil"/>
                  </w:tcBorders>
                  <w:shd w:val="clear" w:color="auto" w:fill="FFFFFF" w:themeFill="background1"/>
                  <w:vAlign w:val="center"/>
                </w:tcPr>
                <w:p w14:paraId="53FAF4C5">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48</w:t>
                  </w:r>
                </w:p>
              </w:tc>
              <w:tc>
                <w:tcPr>
                  <w:tcW w:w="671" w:type="pct"/>
                  <w:tcBorders>
                    <w:tl2br w:val="nil"/>
                    <w:tr2bl w:val="nil"/>
                  </w:tcBorders>
                  <w:shd w:val="clear" w:color="auto" w:fill="FFFFFF" w:themeFill="background1"/>
                  <w:vAlign w:val="center"/>
                </w:tcPr>
                <w:p w14:paraId="5F0959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585" w:type="pct"/>
                  <w:tcBorders>
                    <w:tl2br w:val="nil"/>
                    <w:tr2bl w:val="nil"/>
                  </w:tcBorders>
                  <w:shd w:val="clear" w:color="auto" w:fill="FFFFFF" w:themeFill="background1"/>
                  <w:vAlign w:val="center"/>
                </w:tcPr>
                <w:p w14:paraId="3A9F9DD3">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92.5</w:t>
                  </w:r>
                </w:p>
              </w:tc>
              <w:tc>
                <w:tcPr>
                  <w:tcW w:w="667" w:type="pct"/>
                  <w:tcBorders>
                    <w:tl2br w:val="nil"/>
                    <w:tr2bl w:val="nil"/>
                  </w:tcBorders>
                  <w:shd w:val="clear" w:color="auto" w:fill="FFFFFF" w:themeFill="background1"/>
                  <w:vAlign w:val="center"/>
                </w:tcPr>
                <w:p w14:paraId="18A5B0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4B0C78B3">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由上述统计结果可知，202</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年陈仓区环境空气中的SO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和NO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均达到《环境空气质量标准》（GB3095-2026）表1中过渡阶段浓度限值的二级标准，PM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均超过《环境空气质量标准》（GB3095-2026）表1中过渡阶段浓度限值的二级标准。因此，项目所在地区域为不达标区。</w:t>
            </w:r>
          </w:p>
          <w:p w14:paraId="3AB01695">
            <w:pPr>
              <w:widowControl/>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②特征污染物：</w:t>
            </w:r>
          </w:p>
          <w:p w14:paraId="6A15BF30">
            <w:pPr>
              <w:widowControl/>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为了解项目所在地区环境空气中特征因子TSP现状，本次环评</w:t>
            </w:r>
            <w:r>
              <w:rPr>
                <w:rFonts w:hint="default" w:ascii="Times New Roman" w:hAnsi="Times New Roman" w:cs="Times New Roman"/>
                <w:color w:val="auto"/>
                <w:sz w:val="24"/>
                <w:szCs w:val="24"/>
                <w:lang w:val="en-US" w:eastAsia="zh-CN"/>
              </w:rPr>
              <w:t>中</w:t>
            </w:r>
            <w:r>
              <w:rPr>
                <w:rFonts w:hint="default" w:ascii="Times New Roman" w:hAnsi="Times New Roman" w:cs="Times New Roman"/>
                <w:color w:val="auto"/>
                <w:sz w:val="24"/>
                <w:szCs w:val="24"/>
                <w:lang w:eastAsia="zh-CN"/>
              </w:rPr>
              <w:t>TSP</w:t>
            </w:r>
            <w:r>
              <w:rPr>
                <w:rFonts w:hint="default" w:ascii="Times New Roman" w:hAnsi="Times New Roman" w:cs="Times New Roman"/>
                <w:color w:val="auto"/>
                <w:sz w:val="24"/>
                <w:szCs w:val="32"/>
              </w:rPr>
              <w:t>引用</w:t>
            </w:r>
            <w:r>
              <w:rPr>
                <w:rFonts w:hint="default" w:ascii="Times New Roman" w:hAnsi="Times New Roman" w:eastAsia="宋体" w:cs="Times New Roman"/>
                <w:color w:val="auto"/>
                <w:sz w:val="24"/>
                <w:highlight w:val="none"/>
                <w:lang w:eastAsia="zh-CN"/>
              </w:rPr>
              <w:t>陕西</w:t>
            </w:r>
            <w:r>
              <w:rPr>
                <w:rFonts w:hint="default" w:ascii="Times New Roman" w:hAnsi="Times New Roman" w:eastAsia="宋体" w:cs="Times New Roman"/>
                <w:color w:val="auto"/>
                <w:sz w:val="24"/>
                <w:highlight w:val="none"/>
                <w:lang w:val="en-US" w:eastAsia="zh-CN"/>
              </w:rPr>
              <w:t>明铖检测技术有限公司</w:t>
            </w:r>
            <w:r>
              <w:rPr>
                <w:rFonts w:hint="default" w:ascii="Times New Roman" w:hAnsi="Times New Roman" w:eastAsia="宋体" w:cs="Times New Roman"/>
                <w:color w:val="auto"/>
                <w:sz w:val="24"/>
                <w:highlight w:val="none"/>
                <w:lang w:eastAsia="zh-CN"/>
              </w:rPr>
              <w:t>于202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年</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月</w:t>
            </w:r>
            <w:r>
              <w:rPr>
                <w:rFonts w:hint="default" w:ascii="Times New Roman" w:hAnsi="Times New Roman" w:eastAsia="宋体" w:cs="Times New Roman"/>
                <w:color w:val="auto"/>
                <w:sz w:val="24"/>
                <w:highlight w:val="none"/>
                <w:lang w:val="en-US" w:eastAsia="zh-CN"/>
              </w:rPr>
              <w:t>27</w:t>
            </w:r>
            <w:r>
              <w:rPr>
                <w:rFonts w:hint="default" w:ascii="Times New Roman" w:hAnsi="Times New Roman" w:eastAsia="宋体" w:cs="Times New Roman"/>
                <w:color w:val="auto"/>
                <w:sz w:val="24"/>
                <w:highlight w:val="none"/>
                <w:lang w:eastAsia="zh-CN"/>
              </w:rPr>
              <w:t>日—</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eastAsia="zh-CN"/>
              </w:rPr>
              <w:t>月</w:t>
            </w:r>
            <w:r>
              <w:rPr>
                <w:rFonts w:hint="default" w:ascii="Times New Roman" w:hAnsi="Times New Roman" w:eastAsia="宋体" w:cs="Times New Roman"/>
                <w:color w:val="auto"/>
                <w:sz w:val="24"/>
                <w:highlight w:val="none"/>
                <w:lang w:val="en-US" w:eastAsia="zh-CN"/>
              </w:rPr>
              <w:t>29</w:t>
            </w:r>
            <w:r>
              <w:rPr>
                <w:rFonts w:hint="default" w:ascii="Times New Roman" w:hAnsi="Times New Roman" w:eastAsia="宋体" w:cs="Times New Roman"/>
                <w:color w:val="auto"/>
                <w:sz w:val="24"/>
                <w:highlight w:val="none"/>
                <w:lang w:eastAsia="zh-CN"/>
              </w:rPr>
              <w:t>日对《</w:t>
            </w:r>
            <w:r>
              <w:rPr>
                <w:rFonts w:hint="default" w:ascii="Times New Roman" w:hAnsi="Times New Roman" w:eastAsia="宋体" w:cs="Times New Roman"/>
                <w:color w:val="auto"/>
                <w:sz w:val="24"/>
                <w:lang w:val="en-US" w:eastAsia="zh-CN"/>
              </w:rPr>
              <w:t>陕西盛安恒固环保建材有限公司路基水稳层及商品混凝土生产线建设项目环境影响报告表</w:t>
            </w:r>
            <w:r>
              <w:rPr>
                <w:rFonts w:hint="default" w:ascii="Times New Roman" w:hAnsi="Times New Roman" w:eastAsia="宋体" w:cs="Times New Roman"/>
                <w:color w:val="auto"/>
                <w:sz w:val="24"/>
                <w:highlight w:val="none"/>
                <w:lang w:eastAsia="zh-CN"/>
              </w:rPr>
              <w:t>》中TSP监测数据，</w:t>
            </w:r>
            <w:r>
              <w:rPr>
                <w:rFonts w:hint="default" w:ascii="Times New Roman" w:hAnsi="Times New Roman" w:eastAsia="宋体" w:cs="Times New Roman"/>
                <w:color w:val="auto"/>
                <w:sz w:val="24"/>
                <w:highlight w:val="none"/>
                <w:lang w:val="en-US" w:eastAsia="zh-CN"/>
              </w:rPr>
              <w:t>该项目地位于本项目东南</w:t>
            </w:r>
            <w:r>
              <w:rPr>
                <w:rFonts w:hint="default" w:ascii="Times New Roman" w:hAnsi="Times New Roman" w:eastAsia="宋体" w:cs="Times New Roman"/>
                <w:color w:val="auto"/>
                <w:sz w:val="24"/>
                <w:szCs w:val="32"/>
                <w:lang w:val="en-US" w:eastAsia="zh-CN"/>
              </w:rPr>
              <w:t>侧</w:t>
            </w:r>
            <w:r>
              <w:rPr>
                <w:rFonts w:hint="default" w:ascii="Times New Roman" w:hAnsi="Times New Roman" w:cs="Times New Roman"/>
                <w:color w:val="auto"/>
                <w:sz w:val="24"/>
                <w:szCs w:val="32"/>
                <w:lang w:val="en-US" w:eastAsia="zh-CN"/>
              </w:rPr>
              <w:t>1.503</w:t>
            </w:r>
            <w:r>
              <w:rPr>
                <w:rFonts w:hint="default" w:ascii="Times New Roman" w:hAnsi="Times New Roman" w:cs="Times New Roman"/>
                <w:color w:val="auto"/>
                <w:sz w:val="24"/>
                <w:szCs w:val="32"/>
              </w:rPr>
              <w:t>km</w:t>
            </w:r>
            <w:r>
              <w:rPr>
                <w:rFonts w:hint="default" w:ascii="Times New Roman" w:hAnsi="Times New Roman" w:cs="Times New Roman"/>
                <w:color w:val="auto"/>
                <w:sz w:val="24"/>
                <w:szCs w:val="24"/>
                <w:lang w:eastAsia="zh-CN"/>
              </w:rPr>
              <w:t>处，为项目周边</w:t>
            </w:r>
            <w:r>
              <w:rPr>
                <w:rFonts w:hint="default" w:ascii="Times New Roman" w:hAnsi="Times New Roman" w:cs="Times New Roman"/>
                <w:color w:val="auto"/>
                <w:sz w:val="24"/>
                <w:szCs w:val="24"/>
                <w:lang w:val="en-US" w:eastAsia="zh-CN"/>
              </w:rPr>
              <w:t>5km范围内近3年的现有检测数据，符合要求。</w:t>
            </w:r>
            <w:r>
              <w:rPr>
                <w:rFonts w:hint="default" w:ascii="Times New Roman" w:hAnsi="Times New Roman" w:cs="Times New Roman"/>
                <w:color w:val="auto"/>
                <w:sz w:val="24"/>
                <w:szCs w:val="24"/>
                <w:lang w:eastAsia="zh-CN"/>
              </w:rPr>
              <w:t>监测结果见下表3-2：</w:t>
            </w:r>
          </w:p>
          <w:p w14:paraId="7ECA91FD">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表3-2  </w:t>
            </w:r>
            <w:r>
              <w:rPr>
                <w:rFonts w:hint="default" w:ascii="Times New Roman" w:hAnsi="Times New Roman" w:cs="Times New Roman"/>
                <w:b/>
                <w:bCs/>
                <w:color w:val="auto"/>
                <w:sz w:val="21"/>
                <w:szCs w:val="21"/>
                <w:lang w:val="en-US" w:eastAsia="zh-CN"/>
              </w:rPr>
              <w:t>TSP</w:t>
            </w:r>
            <w:r>
              <w:rPr>
                <w:rFonts w:hint="default" w:ascii="Times New Roman" w:hAnsi="Times New Roman" w:eastAsia="宋体" w:cs="Times New Roman"/>
                <w:b/>
                <w:bCs/>
                <w:color w:val="auto"/>
                <w:sz w:val="21"/>
                <w:szCs w:val="21"/>
                <w:lang w:val="en-US" w:eastAsia="zh-CN"/>
              </w:rPr>
              <w:t>环境质量现状监测结果     单位：mg/m³</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081"/>
              <w:gridCol w:w="2000"/>
              <w:gridCol w:w="1226"/>
              <w:gridCol w:w="1164"/>
              <w:gridCol w:w="1091"/>
              <w:gridCol w:w="732"/>
            </w:tblGrid>
            <w:tr w14:paraId="0607D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blHeader/>
                <w:jc w:val="center"/>
              </w:trPr>
              <w:tc>
                <w:tcPr>
                  <w:tcW w:w="2263" w:type="dxa"/>
                  <w:gridSpan w:val="2"/>
                  <w:tcBorders>
                    <w:tl2br w:val="nil"/>
                    <w:tr2bl w:val="nil"/>
                  </w:tcBorders>
                  <w:noWrap w:val="0"/>
                  <w:vAlign w:val="center"/>
                </w:tcPr>
                <w:p w14:paraId="17A4A23A">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评价因子</w:t>
                  </w:r>
                </w:p>
              </w:tc>
              <w:tc>
                <w:tcPr>
                  <w:tcW w:w="2000" w:type="dxa"/>
                  <w:tcBorders>
                    <w:tl2br w:val="nil"/>
                    <w:tr2bl w:val="nil"/>
                  </w:tcBorders>
                  <w:noWrap w:val="0"/>
                  <w:vAlign w:val="center"/>
                </w:tcPr>
                <w:p w14:paraId="4DAEE1FB">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监测日期</w:t>
                  </w:r>
                </w:p>
              </w:tc>
              <w:tc>
                <w:tcPr>
                  <w:tcW w:w="1226" w:type="dxa"/>
                  <w:tcBorders>
                    <w:tl2br w:val="nil"/>
                    <w:tr2bl w:val="nil"/>
                  </w:tcBorders>
                  <w:noWrap w:val="0"/>
                  <w:vAlign w:val="center"/>
                </w:tcPr>
                <w:p w14:paraId="2EB59F5F">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监测值</w:t>
                  </w:r>
                  <w:r>
                    <w:rPr>
                      <w:rFonts w:hint="default" w:ascii="Times New Roman" w:hAnsi="Times New Roman" w:cs="Times New Roman"/>
                      <w:bCs/>
                      <w:color w:val="auto"/>
                      <w:sz w:val="21"/>
                      <w:szCs w:val="21"/>
                      <w:lang w:val="en-US" w:eastAsia="zh-CN"/>
                    </w:rPr>
                    <w:t>范围</w:t>
                  </w:r>
                  <w:r>
                    <w:rPr>
                      <w:rFonts w:hint="default" w:ascii="Times New Roman" w:hAnsi="Times New Roman" w:cs="Times New Roman"/>
                      <w:color w:val="auto"/>
                      <w:sz w:val="21"/>
                      <w:szCs w:val="21"/>
                    </w:rPr>
                    <w:t>（μg/</w:t>
                  </w:r>
                  <w:r>
                    <w:rPr>
                      <w:rFonts w:hint="default" w:ascii="Times New Roman" w:hAnsi="Times New Roman" w:cs="Times New Roman"/>
                      <w:color w:val="auto"/>
                      <w:sz w:val="21"/>
                      <w:szCs w:val="21"/>
                      <w:lang w:eastAsia="zh-CN"/>
                    </w:rPr>
                    <w:t>m³</w:t>
                  </w:r>
                  <w:r>
                    <w:rPr>
                      <w:rFonts w:hint="default" w:ascii="Times New Roman" w:hAnsi="Times New Roman" w:cs="Times New Roman"/>
                      <w:color w:val="auto"/>
                      <w:sz w:val="21"/>
                      <w:szCs w:val="21"/>
                    </w:rPr>
                    <w:t>）</w:t>
                  </w:r>
                </w:p>
              </w:tc>
              <w:tc>
                <w:tcPr>
                  <w:tcW w:w="1164" w:type="dxa"/>
                  <w:tcBorders>
                    <w:tl2br w:val="nil"/>
                    <w:tr2bl w:val="nil"/>
                  </w:tcBorders>
                  <w:noWrap w:val="0"/>
                  <w:vAlign w:val="center"/>
                </w:tcPr>
                <w:p w14:paraId="6B93B3F3">
                  <w:pPr>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标准值（μg/</w:t>
                  </w:r>
                  <w:r>
                    <w:rPr>
                      <w:rFonts w:hint="default" w:ascii="Times New Roman" w:hAnsi="Times New Roman" w:cs="Times New Roman"/>
                      <w:color w:val="auto"/>
                      <w:sz w:val="21"/>
                      <w:szCs w:val="21"/>
                      <w:lang w:eastAsia="zh-CN"/>
                    </w:rPr>
                    <w:t>m³</w:t>
                  </w:r>
                  <w:r>
                    <w:rPr>
                      <w:rFonts w:hint="default" w:ascii="Times New Roman" w:hAnsi="Times New Roman" w:cs="Times New Roman"/>
                      <w:color w:val="auto"/>
                      <w:sz w:val="21"/>
                      <w:szCs w:val="21"/>
                    </w:rPr>
                    <w:t>）</w:t>
                  </w:r>
                </w:p>
              </w:tc>
              <w:tc>
                <w:tcPr>
                  <w:tcW w:w="1091" w:type="dxa"/>
                  <w:tcBorders>
                    <w:tl2br w:val="nil"/>
                    <w:tr2bl w:val="nil"/>
                  </w:tcBorders>
                  <w:noWrap w:val="0"/>
                  <w:vAlign w:val="center"/>
                </w:tcPr>
                <w:p w14:paraId="0E286FB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最大占标率（%）</w:t>
                  </w:r>
                </w:p>
              </w:tc>
              <w:tc>
                <w:tcPr>
                  <w:tcW w:w="732" w:type="dxa"/>
                  <w:tcBorders>
                    <w:tl2br w:val="nil"/>
                    <w:tr2bl w:val="nil"/>
                  </w:tcBorders>
                  <w:noWrap w:val="0"/>
                  <w:vAlign w:val="center"/>
                </w:tcPr>
                <w:p w14:paraId="5FBBED9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达标情况</w:t>
                  </w:r>
                </w:p>
              </w:tc>
            </w:tr>
            <w:tr w14:paraId="2BF26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82" w:type="dxa"/>
                  <w:tcBorders>
                    <w:tl2br w:val="nil"/>
                    <w:tr2bl w:val="nil"/>
                  </w:tcBorders>
                  <w:noWrap w:val="0"/>
                  <w:vAlign w:val="center"/>
                </w:tcPr>
                <w:p w14:paraId="7512C21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TSP</w:t>
                  </w:r>
                </w:p>
              </w:tc>
              <w:tc>
                <w:tcPr>
                  <w:tcW w:w="1081" w:type="dxa"/>
                  <w:tcBorders>
                    <w:tl2br w:val="nil"/>
                    <w:tr2bl w:val="nil"/>
                  </w:tcBorders>
                  <w:noWrap w:val="0"/>
                  <w:vAlign w:val="center"/>
                </w:tcPr>
                <w:p w14:paraId="237EE19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24h平均值</w:t>
                  </w:r>
                </w:p>
              </w:tc>
              <w:tc>
                <w:tcPr>
                  <w:tcW w:w="2000" w:type="dxa"/>
                  <w:tcBorders>
                    <w:tl2br w:val="nil"/>
                    <w:tr2bl w:val="nil"/>
                  </w:tcBorders>
                  <w:noWrap w:val="0"/>
                  <w:vAlign w:val="center"/>
                </w:tcPr>
                <w:p w14:paraId="7B6F249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5.5.24-2025.5.29</w:t>
                  </w:r>
                </w:p>
              </w:tc>
              <w:tc>
                <w:tcPr>
                  <w:tcW w:w="1226" w:type="dxa"/>
                  <w:tcBorders>
                    <w:tl2br w:val="nil"/>
                    <w:tr2bl w:val="nil"/>
                  </w:tcBorders>
                  <w:noWrap w:val="0"/>
                  <w:vAlign w:val="center"/>
                </w:tcPr>
                <w:p w14:paraId="32407903">
                  <w:pPr>
                    <w:jc w:val="center"/>
                    <w:rPr>
                      <w:rFonts w:hint="default" w:ascii="Times New Roman" w:hAnsi="Times New Roman" w:cs="Times New Roman"/>
                      <w:bCs/>
                      <w:color w:val="auto"/>
                      <w:sz w:val="21"/>
                      <w:szCs w:val="21"/>
                      <w:lang w:val="en-US"/>
                    </w:rPr>
                  </w:pPr>
                  <w:r>
                    <w:rPr>
                      <w:rFonts w:hint="default" w:ascii="Times New Roman" w:hAnsi="Times New Roman" w:eastAsia="宋体" w:cs="Times New Roman"/>
                      <w:b w:val="0"/>
                      <w:bCs w:val="0"/>
                      <w:color w:val="auto"/>
                      <w:sz w:val="21"/>
                      <w:szCs w:val="21"/>
                      <w:lang w:val="en-US" w:eastAsia="zh-CN"/>
                    </w:rPr>
                    <w:t>59-75</w:t>
                  </w:r>
                </w:p>
              </w:tc>
              <w:tc>
                <w:tcPr>
                  <w:tcW w:w="1164" w:type="dxa"/>
                  <w:tcBorders>
                    <w:tl2br w:val="nil"/>
                    <w:tr2bl w:val="nil"/>
                  </w:tcBorders>
                  <w:noWrap w:val="0"/>
                  <w:vAlign w:val="center"/>
                </w:tcPr>
                <w:p w14:paraId="64A22164">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300</w:t>
                  </w:r>
                </w:p>
              </w:tc>
              <w:tc>
                <w:tcPr>
                  <w:tcW w:w="1091" w:type="dxa"/>
                  <w:tcBorders>
                    <w:tl2br w:val="nil"/>
                    <w:tr2bl w:val="nil"/>
                  </w:tcBorders>
                  <w:noWrap w:val="0"/>
                  <w:vAlign w:val="center"/>
                </w:tcPr>
                <w:p w14:paraId="214ABA56">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25.0</w:t>
                  </w:r>
                </w:p>
              </w:tc>
              <w:tc>
                <w:tcPr>
                  <w:tcW w:w="732" w:type="dxa"/>
                  <w:tcBorders>
                    <w:tl2br w:val="nil"/>
                    <w:tr2bl w:val="nil"/>
                  </w:tcBorders>
                  <w:noWrap w:val="0"/>
                  <w:vAlign w:val="center"/>
                </w:tcPr>
                <w:p w14:paraId="27DCFC62">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w:t>
                  </w:r>
                </w:p>
              </w:tc>
            </w:tr>
          </w:tbl>
          <w:p w14:paraId="701B11E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黑体" w:cs="Times New Roman"/>
                <w:bCs/>
                <w:color w:val="auto"/>
                <w:sz w:val="24"/>
                <w:szCs w:val="28"/>
                <w:lang w:val="en-US" w:eastAsia="zh-CN"/>
              </w:rPr>
            </w:pPr>
            <w:r>
              <w:rPr>
                <w:rFonts w:hint="default" w:ascii="Times New Roman" w:hAnsi="Times New Roman" w:cs="Times New Roman"/>
                <w:color w:val="auto"/>
                <w:sz w:val="24"/>
                <w:szCs w:val="24"/>
                <w:lang w:val="en-US" w:eastAsia="zh-CN"/>
              </w:rPr>
              <w:t>由监测结果可以看出，监测期间区域TSP24小时浓度为59μg/m³~75μg/m³之间，满足《环境空气质量标准》</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GB3095-2012</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表2中环境空气污染物其他项目浓度限值。</w:t>
            </w:r>
          </w:p>
          <w:p w14:paraId="4CF8788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黑体" w:cs="Times New Roman"/>
                <w:bCs/>
                <w:color w:val="auto"/>
                <w:sz w:val="24"/>
                <w:szCs w:val="28"/>
                <w:lang w:val="en-US" w:eastAsia="zh-CN"/>
              </w:rPr>
            </w:pPr>
            <w:r>
              <w:rPr>
                <w:rFonts w:hint="default" w:ascii="Times New Roman" w:hAnsi="Times New Roman" w:cs="Times New Roman"/>
              </w:rPr>
              <w:drawing>
                <wp:inline distT="0" distB="0" distL="114300" distR="114300">
                  <wp:extent cx="5382895" cy="3314065"/>
                  <wp:effectExtent l="0" t="0" r="825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382895" cy="3314065"/>
                          </a:xfrm>
                          <a:prstGeom prst="rect">
                            <a:avLst/>
                          </a:prstGeom>
                          <a:noFill/>
                          <a:ln>
                            <a:noFill/>
                          </a:ln>
                        </pic:spPr>
                      </pic:pic>
                    </a:graphicData>
                  </a:graphic>
                </wp:inline>
              </w:drawing>
            </w:r>
          </w:p>
          <w:p w14:paraId="39982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图3-1  现状监测数据引用位置图</w:t>
            </w:r>
          </w:p>
          <w:p w14:paraId="76F2EF6E">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000000" w:themeColor="text1"/>
                <w:kern w:val="0"/>
                <w:sz w:val="24"/>
                <w:szCs w:val="24"/>
                <w:vertAlign w:val="baseline"/>
                <w:lang w:val="en-US" w:eastAsia="zh-CN" w:bidi="ar"/>
                <w14:textFill>
                  <w14:solidFill>
                    <w14:schemeClr w14:val="tx1"/>
                  </w14:solidFill>
                </w14:textFill>
              </w:rPr>
              <w:t>地表水环境</w:t>
            </w:r>
          </w:p>
          <w:p w14:paraId="539962A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本项目地表水环境现状评价引用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《宝鸡市生态环境质量报告书》（2024年）中距离项目较近的</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千河入渭口断面</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质量数据。</w:t>
            </w:r>
          </w:p>
          <w:p w14:paraId="26A157B6">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表3-3   地表水环境现状情况</w:t>
            </w:r>
          </w:p>
          <w:tbl>
            <w:tblPr>
              <w:tblStyle w:val="33"/>
              <w:tblW w:w="8619"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901"/>
              <w:gridCol w:w="861"/>
              <w:gridCol w:w="678"/>
              <w:gridCol w:w="806"/>
              <w:gridCol w:w="961"/>
              <w:gridCol w:w="658"/>
              <w:gridCol w:w="721"/>
              <w:gridCol w:w="832"/>
              <w:gridCol w:w="826"/>
            </w:tblGrid>
            <w:tr w14:paraId="3C96F6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375" w:type="dxa"/>
                  <w:vMerge w:val="restart"/>
                  <w:tcBorders>
                    <w:tl2br w:val="nil"/>
                    <w:tr2bl w:val="nil"/>
                  </w:tcBorders>
                  <w:vAlign w:val="center"/>
                </w:tcPr>
                <w:p w14:paraId="780E54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断面名称</w:t>
                  </w:r>
                </w:p>
              </w:tc>
              <w:tc>
                <w:tcPr>
                  <w:tcW w:w="901" w:type="dxa"/>
                  <w:vMerge w:val="restart"/>
                  <w:tcBorders>
                    <w:tl2br w:val="nil"/>
                    <w:tr2bl w:val="nil"/>
                  </w:tcBorders>
                  <w:vAlign w:val="center"/>
                </w:tcPr>
                <w:p w14:paraId="556275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断面</w:t>
                  </w:r>
                </w:p>
                <w:p w14:paraId="76354F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类别</w:t>
                  </w:r>
                </w:p>
              </w:tc>
              <w:tc>
                <w:tcPr>
                  <w:tcW w:w="6343" w:type="dxa"/>
                  <w:gridSpan w:val="8"/>
                  <w:tcBorders>
                    <w:tl2br w:val="nil"/>
                    <w:tr2bl w:val="nil"/>
                  </w:tcBorders>
                  <w:vAlign w:val="center"/>
                </w:tcPr>
                <w:p w14:paraId="28CDA6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指标年均值（mg/L）</w:t>
                  </w:r>
                </w:p>
              </w:tc>
            </w:tr>
            <w:tr w14:paraId="2ECF5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75" w:type="dxa"/>
                  <w:vMerge w:val="continue"/>
                  <w:tcBorders>
                    <w:tl2br w:val="nil"/>
                    <w:tr2bl w:val="nil"/>
                  </w:tcBorders>
                  <w:vAlign w:val="center"/>
                </w:tcPr>
                <w:p w14:paraId="5BB06C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901" w:type="dxa"/>
                  <w:vMerge w:val="continue"/>
                  <w:tcBorders>
                    <w:tl2br w:val="nil"/>
                    <w:tr2bl w:val="nil"/>
                  </w:tcBorders>
                  <w:vAlign w:val="center"/>
                </w:tcPr>
                <w:p w14:paraId="6DED23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61" w:type="dxa"/>
                  <w:tcBorders>
                    <w:tl2br w:val="nil"/>
                    <w:tr2bl w:val="nil"/>
                  </w:tcBorders>
                  <w:vAlign w:val="center"/>
                </w:tcPr>
                <w:p w14:paraId="021416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pH</w:t>
                  </w:r>
                </w:p>
              </w:tc>
              <w:tc>
                <w:tcPr>
                  <w:tcW w:w="678" w:type="dxa"/>
                  <w:tcBorders>
                    <w:tl2br w:val="nil"/>
                    <w:tr2bl w:val="nil"/>
                  </w:tcBorders>
                  <w:vAlign w:val="center"/>
                </w:tcPr>
                <w:p w14:paraId="7F1079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溶解氧</w:t>
                  </w:r>
                </w:p>
              </w:tc>
              <w:tc>
                <w:tcPr>
                  <w:tcW w:w="806" w:type="dxa"/>
                  <w:tcBorders>
                    <w:tl2br w:val="nil"/>
                    <w:tr2bl w:val="nil"/>
                  </w:tcBorders>
                  <w:vAlign w:val="center"/>
                </w:tcPr>
                <w:p w14:paraId="656E78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高锰酸盐指数</w:t>
                  </w:r>
                </w:p>
              </w:tc>
              <w:tc>
                <w:tcPr>
                  <w:tcW w:w="961" w:type="dxa"/>
                  <w:tcBorders>
                    <w:tl2br w:val="nil"/>
                    <w:tr2bl w:val="nil"/>
                  </w:tcBorders>
                  <w:vAlign w:val="center"/>
                </w:tcPr>
                <w:p w14:paraId="28DDDF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五日生化需氧量</w:t>
                  </w:r>
                </w:p>
              </w:tc>
              <w:tc>
                <w:tcPr>
                  <w:tcW w:w="658" w:type="dxa"/>
                  <w:tcBorders>
                    <w:tl2br w:val="nil"/>
                    <w:tr2bl w:val="nil"/>
                  </w:tcBorders>
                  <w:vAlign w:val="center"/>
                </w:tcPr>
                <w:p w14:paraId="6376A6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氨氮</w:t>
                  </w:r>
                </w:p>
              </w:tc>
              <w:tc>
                <w:tcPr>
                  <w:tcW w:w="721" w:type="dxa"/>
                  <w:tcBorders>
                    <w:tl2br w:val="nil"/>
                    <w:tr2bl w:val="nil"/>
                  </w:tcBorders>
                  <w:vAlign w:val="center"/>
                </w:tcPr>
                <w:p w14:paraId="04F1F2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化学需氧量</w:t>
                  </w:r>
                </w:p>
              </w:tc>
              <w:tc>
                <w:tcPr>
                  <w:tcW w:w="832" w:type="dxa"/>
                  <w:tcBorders>
                    <w:tl2br w:val="nil"/>
                    <w:tr2bl w:val="nil"/>
                  </w:tcBorders>
                  <w:vAlign w:val="center"/>
                </w:tcPr>
                <w:p w14:paraId="156BEB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总磷</w:t>
                  </w:r>
                </w:p>
              </w:tc>
              <w:tc>
                <w:tcPr>
                  <w:tcW w:w="826" w:type="dxa"/>
                  <w:tcBorders>
                    <w:tl2br w:val="nil"/>
                    <w:tr2bl w:val="nil"/>
                  </w:tcBorders>
                  <w:vAlign w:val="center"/>
                </w:tcPr>
                <w:p w14:paraId="1757B4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氟化物</w:t>
                  </w:r>
                </w:p>
              </w:tc>
            </w:tr>
            <w:tr w14:paraId="7B704B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375" w:type="dxa"/>
                  <w:tcBorders>
                    <w:tl2br w:val="nil"/>
                    <w:tr2bl w:val="nil"/>
                  </w:tcBorders>
                  <w:vAlign w:val="center"/>
                </w:tcPr>
                <w:p w14:paraId="322984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千河入渭口</w:t>
                  </w:r>
                </w:p>
              </w:tc>
              <w:tc>
                <w:tcPr>
                  <w:tcW w:w="901" w:type="dxa"/>
                  <w:tcBorders>
                    <w:tl2br w:val="nil"/>
                    <w:tr2bl w:val="nil"/>
                  </w:tcBorders>
                  <w:vAlign w:val="center"/>
                </w:tcPr>
                <w:p w14:paraId="71B666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Ⅳ类</w:t>
                  </w:r>
                </w:p>
              </w:tc>
              <w:tc>
                <w:tcPr>
                  <w:tcW w:w="861" w:type="dxa"/>
                  <w:tcBorders>
                    <w:tl2br w:val="nil"/>
                    <w:tr2bl w:val="nil"/>
                  </w:tcBorders>
                  <w:vAlign w:val="center"/>
                </w:tcPr>
                <w:p w14:paraId="2D6CCB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8.3</w:t>
                  </w:r>
                </w:p>
              </w:tc>
              <w:tc>
                <w:tcPr>
                  <w:tcW w:w="678" w:type="dxa"/>
                  <w:tcBorders>
                    <w:tl2br w:val="nil"/>
                    <w:tr2bl w:val="nil"/>
                  </w:tcBorders>
                  <w:vAlign w:val="center"/>
                </w:tcPr>
                <w:p w14:paraId="273A44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9.0</w:t>
                  </w:r>
                </w:p>
              </w:tc>
              <w:tc>
                <w:tcPr>
                  <w:tcW w:w="806" w:type="dxa"/>
                  <w:tcBorders>
                    <w:tl2br w:val="nil"/>
                    <w:tr2bl w:val="nil"/>
                  </w:tcBorders>
                  <w:vAlign w:val="center"/>
                </w:tcPr>
                <w:p w14:paraId="32F5A8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2.0</w:t>
                  </w:r>
                </w:p>
              </w:tc>
              <w:tc>
                <w:tcPr>
                  <w:tcW w:w="961" w:type="dxa"/>
                  <w:tcBorders>
                    <w:tl2br w:val="nil"/>
                    <w:tr2bl w:val="nil"/>
                  </w:tcBorders>
                  <w:vAlign w:val="center"/>
                </w:tcPr>
                <w:p w14:paraId="14A156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1.8</w:t>
                  </w:r>
                </w:p>
              </w:tc>
              <w:tc>
                <w:tcPr>
                  <w:tcW w:w="658" w:type="dxa"/>
                  <w:tcBorders>
                    <w:tl2br w:val="nil"/>
                    <w:tr2bl w:val="nil"/>
                  </w:tcBorders>
                  <w:vAlign w:val="center"/>
                </w:tcPr>
                <w:p w14:paraId="1366FB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0.35</w:t>
                  </w:r>
                </w:p>
              </w:tc>
              <w:tc>
                <w:tcPr>
                  <w:tcW w:w="721" w:type="dxa"/>
                  <w:tcBorders>
                    <w:tl2br w:val="nil"/>
                    <w:tr2bl w:val="nil"/>
                  </w:tcBorders>
                  <w:vAlign w:val="center"/>
                </w:tcPr>
                <w:p w14:paraId="2B2F70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12.2</w:t>
                  </w:r>
                </w:p>
              </w:tc>
              <w:tc>
                <w:tcPr>
                  <w:tcW w:w="832" w:type="dxa"/>
                  <w:tcBorders>
                    <w:tl2br w:val="nil"/>
                    <w:tr2bl w:val="nil"/>
                  </w:tcBorders>
                  <w:vAlign w:val="center"/>
                </w:tcPr>
                <w:p w14:paraId="28B881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0.064</w:t>
                  </w:r>
                </w:p>
              </w:tc>
              <w:tc>
                <w:tcPr>
                  <w:tcW w:w="826" w:type="dxa"/>
                  <w:tcBorders>
                    <w:tl2br w:val="nil"/>
                    <w:tr2bl w:val="nil"/>
                  </w:tcBorders>
                  <w:vAlign w:val="center"/>
                </w:tcPr>
                <w:p w14:paraId="1C56AB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w:t>
                  </w:r>
                </w:p>
              </w:tc>
            </w:tr>
            <w:tr w14:paraId="703D0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375" w:type="dxa"/>
                  <w:tcBorders>
                    <w:tl2br w:val="nil"/>
                    <w:tr2bl w:val="nil"/>
                  </w:tcBorders>
                  <w:vAlign w:val="center"/>
                </w:tcPr>
                <w:p w14:paraId="2F0EC2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GB3838-2002标准限值</w:t>
                  </w:r>
                </w:p>
              </w:tc>
              <w:tc>
                <w:tcPr>
                  <w:tcW w:w="901" w:type="dxa"/>
                  <w:tcBorders>
                    <w:tl2br w:val="nil"/>
                    <w:tr2bl w:val="nil"/>
                  </w:tcBorders>
                  <w:vAlign w:val="center"/>
                </w:tcPr>
                <w:p w14:paraId="2F9123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Ⅳ类</w:t>
                  </w:r>
                </w:p>
              </w:tc>
              <w:tc>
                <w:tcPr>
                  <w:tcW w:w="861" w:type="dxa"/>
                  <w:tcBorders>
                    <w:tl2br w:val="nil"/>
                    <w:tr2bl w:val="nil"/>
                  </w:tcBorders>
                  <w:vAlign w:val="center"/>
                </w:tcPr>
                <w:p w14:paraId="66FE7C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6~9</w:t>
                  </w:r>
                </w:p>
              </w:tc>
              <w:tc>
                <w:tcPr>
                  <w:tcW w:w="678" w:type="dxa"/>
                  <w:tcBorders>
                    <w:tl2br w:val="nil"/>
                    <w:tr2bl w:val="nil"/>
                  </w:tcBorders>
                  <w:vAlign w:val="center"/>
                </w:tcPr>
                <w:p w14:paraId="2AD0E9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w:t>
                  </w:r>
                </w:p>
              </w:tc>
              <w:tc>
                <w:tcPr>
                  <w:tcW w:w="806" w:type="dxa"/>
                  <w:tcBorders>
                    <w:tl2br w:val="nil"/>
                    <w:tr2bl w:val="nil"/>
                  </w:tcBorders>
                  <w:vAlign w:val="center"/>
                </w:tcPr>
                <w:p w14:paraId="23F85E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10</w:t>
                  </w:r>
                </w:p>
              </w:tc>
              <w:tc>
                <w:tcPr>
                  <w:tcW w:w="961" w:type="dxa"/>
                  <w:tcBorders>
                    <w:tl2br w:val="nil"/>
                    <w:tr2bl w:val="nil"/>
                  </w:tcBorders>
                  <w:vAlign w:val="center"/>
                </w:tcPr>
                <w:p w14:paraId="43457D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6</w:t>
                  </w:r>
                </w:p>
              </w:tc>
              <w:tc>
                <w:tcPr>
                  <w:tcW w:w="658" w:type="dxa"/>
                  <w:tcBorders>
                    <w:tl2br w:val="nil"/>
                    <w:tr2bl w:val="nil"/>
                  </w:tcBorders>
                  <w:vAlign w:val="center"/>
                </w:tcPr>
                <w:p w14:paraId="491C12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1.5</w:t>
                  </w:r>
                </w:p>
              </w:tc>
              <w:tc>
                <w:tcPr>
                  <w:tcW w:w="721" w:type="dxa"/>
                  <w:tcBorders>
                    <w:tl2br w:val="nil"/>
                    <w:tr2bl w:val="nil"/>
                  </w:tcBorders>
                  <w:vAlign w:val="center"/>
                </w:tcPr>
                <w:p w14:paraId="04882E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30</w:t>
                  </w:r>
                </w:p>
              </w:tc>
              <w:tc>
                <w:tcPr>
                  <w:tcW w:w="832" w:type="dxa"/>
                  <w:tcBorders>
                    <w:tl2br w:val="nil"/>
                    <w:tr2bl w:val="nil"/>
                  </w:tcBorders>
                  <w:vAlign w:val="center"/>
                </w:tcPr>
                <w:p w14:paraId="253C4D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0.3</w:t>
                  </w:r>
                </w:p>
              </w:tc>
              <w:tc>
                <w:tcPr>
                  <w:tcW w:w="826" w:type="dxa"/>
                  <w:tcBorders>
                    <w:tl2br w:val="nil"/>
                    <w:tr2bl w:val="nil"/>
                  </w:tcBorders>
                  <w:vAlign w:val="center"/>
                </w:tcPr>
                <w:p w14:paraId="4BB74D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cs="Times New Roman"/>
                      <w:b w:val="0"/>
                      <w:bCs w:val="0"/>
                      <w:color w:val="000000" w:themeColor="text1"/>
                      <w:kern w:val="0"/>
                      <w:sz w:val="21"/>
                      <w:szCs w:val="21"/>
                      <w:vertAlign w:val="baseline"/>
                      <w:lang w:val="en-US" w:eastAsia="zh-CN" w:bidi="ar"/>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1.5</w:t>
                  </w:r>
                </w:p>
              </w:tc>
            </w:tr>
            <w:tr w14:paraId="396919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276" w:type="dxa"/>
                  <w:gridSpan w:val="2"/>
                  <w:tcBorders>
                    <w:tl2br w:val="nil"/>
                    <w:tr2bl w:val="nil"/>
                  </w:tcBorders>
                  <w:vAlign w:val="center"/>
                </w:tcPr>
                <w:p w14:paraId="16E3E5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达标情况</w:t>
                  </w:r>
                </w:p>
              </w:tc>
              <w:tc>
                <w:tcPr>
                  <w:tcW w:w="861" w:type="dxa"/>
                  <w:tcBorders>
                    <w:tl2br w:val="nil"/>
                    <w:tr2bl w:val="nil"/>
                  </w:tcBorders>
                  <w:vAlign w:val="center"/>
                </w:tcPr>
                <w:p w14:paraId="0E5A38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678" w:type="dxa"/>
                  <w:tcBorders>
                    <w:tl2br w:val="nil"/>
                    <w:tr2bl w:val="nil"/>
                  </w:tcBorders>
                  <w:vAlign w:val="center"/>
                </w:tcPr>
                <w:p w14:paraId="08B523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806" w:type="dxa"/>
                  <w:tcBorders>
                    <w:tl2br w:val="nil"/>
                    <w:tr2bl w:val="nil"/>
                  </w:tcBorders>
                  <w:vAlign w:val="center"/>
                </w:tcPr>
                <w:p w14:paraId="68DA1F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961" w:type="dxa"/>
                  <w:tcBorders>
                    <w:tl2br w:val="nil"/>
                    <w:tr2bl w:val="nil"/>
                  </w:tcBorders>
                  <w:vAlign w:val="center"/>
                </w:tcPr>
                <w:p w14:paraId="750CFB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658" w:type="dxa"/>
                  <w:tcBorders>
                    <w:tl2br w:val="nil"/>
                    <w:tr2bl w:val="nil"/>
                  </w:tcBorders>
                  <w:vAlign w:val="center"/>
                </w:tcPr>
                <w:p w14:paraId="44FE0D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721" w:type="dxa"/>
                  <w:tcBorders>
                    <w:tl2br w:val="nil"/>
                    <w:tr2bl w:val="nil"/>
                  </w:tcBorders>
                  <w:vAlign w:val="center"/>
                </w:tcPr>
                <w:p w14:paraId="183386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832" w:type="dxa"/>
                  <w:tcBorders>
                    <w:tl2br w:val="nil"/>
                    <w:tr2bl w:val="nil"/>
                  </w:tcBorders>
                  <w:vAlign w:val="center"/>
                </w:tcPr>
                <w:p w14:paraId="4880C5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c>
                <w:tcPr>
                  <w:tcW w:w="826" w:type="dxa"/>
                  <w:tcBorders>
                    <w:tl2br w:val="nil"/>
                    <w:tr2bl w:val="nil"/>
                  </w:tcBorders>
                  <w:vAlign w:val="center"/>
                </w:tcPr>
                <w:p w14:paraId="1E386B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达标</w:t>
                  </w:r>
                </w:p>
              </w:tc>
            </w:tr>
          </w:tbl>
          <w:p w14:paraId="632600EC">
            <w:pPr>
              <w:keepNext w:val="0"/>
              <w:keepLines w:val="0"/>
              <w:pageBreakBefore w:val="0"/>
              <w:widowControl/>
              <w:kinsoku/>
              <w:wordWrap/>
              <w:overflowPunct/>
              <w:topLinePunct w:val="0"/>
              <w:autoSpaceDE/>
              <w:autoSpaceDN/>
              <w:bidi w:val="0"/>
              <w:adjustRightInd/>
              <w:snapToGrid/>
              <w:spacing w:line="360" w:lineRule="auto"/>
              <w:ind w:left="-107" w:leftChars="-51" w:right="-107" w:rightChars="-51" w:firstLine="480" w:firstLineChars="200"/>
              <w:jc w:val="both"/>
              <w:textAlignment w:val="auto"/>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由表3-2可知，千河入渭口断面水质满足</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《地表水环境质量标准》（GB3838-2002）</w:t>
            </w:r>
            <w:r>
              <w:rPr>
                <w:rFonts w:hint="default"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Ⅳ类标准要求。</w:t>
            </w:r>
          </w:p>
          <w:p w14:paraId="63623B83">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声环境质量现状</w:t>
            </w:r>
          </w:p>
          <w:p w14:paraId="1B3B2D81">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360" w:lineRule="auto"/>
              <w:ind w:right="0" w:rightChars="0"/>
              <w:jc w:val="center"/>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本项目厂界外50m范围无声环境保护目标，无需开展声环境质量现状调查。</w:t>
            </w:r>
          </w:p>
          <w:p w14:paraId="44C56EB7">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360" w:lineRule="auto"/>
              <w:ind w:right="0" w:rightChars="0"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.土壤、地下水质量现状</w:t>
            </w:r>
          </w:p>
          <w:p w14:paraId="07AA4135">
            <w:pPr>
              <w:keepNext/>
              <w:keepLines/>
              <w:spacing w:line="360" w:lineRule="auto"/>
              <w:ind w:firstLine="480" w:firstLineChars="200"/>
              <w:jc w:val="left"/>
              <w:outlineLv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根据项目生产工艺特点，本次环评结合项目污染源分布情况，项目所在区域地面以及生产厂房地面均采取了分区防渗及拦挡措施</w:t>
            </w:r>
            <w:r>
              <w:rPr>
                <w:rFonts w:hint="default" w:ascii="Times New Roman" w:hAnsi="Times New Roman" w:cs="Times New Roman"/>
                <w:color w:val="auto"/>
                <w:sz w:val="24"/>
                <w:szCs w:val="24"/>
                <w:lang w:val="en-US" w:eastAsia="zh-CN"/>
              </w:rPr>
              <w:t>，且本项目生产车间均已硬化，不存在污染途径。</w:t>
            </w:r>
          </w:p>
        </w:tc>
      </w:tr>
      <w:tr w14:paraId="59C21A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24" w:type="dxa"/>
            <w:noWrap w:val="0"/>
            <w:vAlign w:val="center"/>
          </w:tcPr>
          <w:p w14:paraId="781C315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7CC4F092">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14:paraId="15FA5E33">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目标</w:t>
            </w:r>
          </w:p>
        </w:tc>
        <w:tc>
          <w:tcPr>
            <w:tcW w:w="8939" w:type="dxa"/>
            <w:noWrap w:val="0"/>
            <w:vAlign w:val="center"/>
          </w:tcPr>
          <w:p w14:paraId="4306AA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主要环境保护目标（列出名单及保护级别）</w:t>
            </w:r>
          </w:p>
          <w:p w14:paraId="2A9A24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1.</w:t>
            </w:r>
            <w:r>
              <w:rPr>
                <w:rFonts w:hint="default" w:ascii="Times New Roman" w:hAnsi="Times New Roman" w:eastAsia="宋体" w:cs="Times New Roman"/>
                <w:color w:val="auto"/>
                <w:sz w:val="24"/>
                <w:szCs w:val="24"/>
              </w:rPr>
              <w:t>大气环境：</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厂界外500米范围内存在居住区</w:t>
            </w:r>
            <w:r>
              <w:rPr>
                <w:rFonts w:hint="default" w:ascii="Times New Roman" w:hAnsi="Times New Roman" w:eastAsia="宋体" w:cs="Times New Roman"/>
                <w:color w:val="auto"/>
                <w:sz w:val="24"/>
                <w:szCs w:val="24"/>
                <w:lang w:eastAsia="zh-CN"/>
              </w:rPr>
              <w:t>、学校</w:t>
            </w:r>
            <w:r>
              <w:rPr>
                <w:rFonts w:hint="default" w:ascii="Times New Roman" w:hAnsi="Times New Roman" w:eastAsia="宋体" w:cs="Times New Roman"/>
                <w:color w:val="auto"/>
                <w:sz w:val="24"/>
                <w:szCs w:val="24"/>
              </w:rPr>
              <w:t>等保护目标。</w:t>
            </w:r>
          </w:p>
          <w:p w14:paraId="6C2F20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2.</w:t>
            </w:r>
            <w:r>
              <w:rPr>
                <w:rFonts w:hint="default" w:ascii="Times New Roman" w:hAnsi="Times New Roman" w:eastAsia="宋体" w:cs="Times New Roman"/>
                <w:color w:val="auto"/>
                <w:sz w:val="24"/>
                <w:szCs w:val="24"/>
              </w:rPr>
              <w:t>声环境：</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厂界外50m范围内</w:t>
            </w:r>
            <w:r>
              <w:rPr>
                <w:rFonts w:hint="default" w:ascii="Times New Roman" w:hAnsi="Times New Roman" w:cs="Times New Roman"/>
                <w:color w:val="auto"/>
                <w:sz w:val="24"/>
                <w:szCs w:val="24"/>
                <w:lang w:val="en-US" w:eastAsia="zh-CN"/>
              </w:rPr>
              <w:t>无</w:t>
            </w:r>
            <w:r>
              <w:rPr>
                <w:rFonts w:hint="default" w:ascii="Times New Roman" w:hAnsi="Times New Roman" w:eastAsia="宋体" w:cs="Times New Roman"/>
                <w:color w:val="auto"/>
                <w:sz w:val="24"/>
                <w:szCs w:val="24"/>
              </w:rPr>
              <w:t>声环境保护目标。</w:t>
            </w:r>
          </w:p>
          <w:p w14:paraId="2C394E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3.</w:t>
            </w:r>
            <w:r>
              <w:rPr>
                <w:rFonts w:hint="default" w:ascii="Times New Roman" w:hAnsi="Times New Roman" w:eastAsia="宋体" w:cs="Times New Roman"/>
                <w:color w:val="auto"/>
                <w:sz w:val="24"/>
                <w:szCs w:val="24"/>
                <w:lang w:val="en-US" w:eastAsia="zh-CN"/>
              </w:rPr>
              <w:t>电磁辐射：本项目不属于新建或扩建广播电台、差转台、电视塔台、卫星地球上行站、雷达等电磁辐射类项目，无需对电磁辐射现状开展监测与评价。</w:t>
            </w:r>
          </w:p>
          <w:p w14:paraId="4393E0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rPr>
              <w:t>地下水</w:t>
            </w:r>
            <w:r>
              <w:rPr>
                <w:rFonts w:hint="default" w:ascii="Times New Roman" w:hAnsi="Times New Roman" w:eastAsia="宋体" w:cs="Times New Roman"/>
                <w:color w:val="auto"/>
                <w:sz w:val="24"/>
                <w:szCs w:val="24"/>
                <w:lang w:eastAsia="zh-CN"/>
              </w:rPr>
              <w:t>土壤</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本项目生产车间内进行混凝土硬化，且周边</w:t>
            </w:r>
            <w:r>
              <w:rPr>
                <w:rFonts w:hint="default" w:ascii="Times New Roman" w:hAnsi="Times New Roman" w:eastAsia="宋体" w:cs="Times New Roman"/>
                <w:color w:val="auto"/>
                <w:sz w:val="24"/>
                <w:szCs w:val="24"/>
              </w:rPr>
              <w:t>无地下水集中式饮用水水源和热水、矿泉水、温泉等特殊地下水资源。</w:t>
            </w:r>
          </w:p>
          <w:p w14:paraId="5165C8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生态环境：本项目</w:t>
            </w:r>
            <w:r>
              <w:rPr>
                <w:rFonts w:hint="default" w:ascii="Times New Roman" w:hAnsi="Times New Roman" w:eastAsia="宋体" w:cs="Times New Roman"/>
                <w:color w:val="auto"/>
                <w:sz w:val="24"/>
                <w:szCs w:val="24"/>
                <w:lang w:eastAsia="zh-CN"/>
              </w:rPr>
              <w:t>位于陈仓区科技工业园区，不</w:t>
            </w:r>
            <w:r>
              <w:rPr>
                <w:rFonts w:hint="default" w:ascii="Times New Roman" w:hAnsi="Times New Roman" w:cs="Times New Roman"/>
                <w:color w:val="auto"/>
                <w:sz w:val="24"/>
                <w:szCs w:val="24"/>
                <w:lang w:eastAsia="zh-CN"/>
              </w:rPr>
              <w:t>含</w:t>
            </w:r>
            <w:r>
              <w:rPr>
                <w:rFonts w:hint="default" w:ascii="Times New Roman" w:hAnsi="Times New Roman" w:eastAsia="宋体" w:cs="Times New Roman"/>
                <w:color w:val="auto"/>
                <w:sz w:val="24"/>
                <w:szCs w:val="24"/>
              </w:rPr>
              <w:t>生态环境保护目标。</w:t>
            </w:r>
          </w:p>
          <w:p w14:paraId="5FE9B4C8">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b/>
                <w:color w:val="auto"/>
                <w:sz w:val="24"/>
              </w:rPr>
            </w:pPr>
            <w:r>
              <w:rPr>
                <w:rFonts w:hint="default" w:ascii="Times New Roman" w:hAnsi="Times New Roman" w:eastAsia="宋体" w:cs="Times New Roman"/>
                <w:b/>
                <w:bCs/>
                <w:color w:val="auto"/>
                <w:sz w:val="21"/>
                <w:szCs w:val="21"/>
                <w:lang w:val="en-US" w:eastAsia="zh-CN"/>
              </w:rPr>
              <w:t>表3-4  环境保护目标情况</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438"/>
              <w:gridCol w:w="1450"/>
              <w:gridCol w:w="1501"/>
              <w:gridCol w:w="748"/>
              <w:gridCol w:w="635"/>
              <w:gridCol w:w="798"/>
              <w:gridCol w:w="733"/>
              <w:gridCol w:w="734"/>
            </w:tblGrid>
            <w:tr w14:paraId="375B5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7" w:type="dxa"/>
                  <w:vMerge w:val="restart"/>
                  <w:tcBorders>
                    <w:tl2br w:val="nil"/>
                    <w:tr2bl w:val="nil"/>
                  </w:tcBorders>
                  <w:noWrap w:val="0"/>
                  <w:vAlign w:val="center"/>
                </w:tcPr>
                <w:p w14:paraId="539C7BAE">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w:t>
                  </w:r>
                </w:p>
                <w:p w14:paraId="0D7AC781">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要素</w:t>
                  </w:r>
                </w:p>
              </w:tc>
              <w:tc>
                <w:tcPr>
                  <w:tcW w:w="1438" w:type="dxa"/>
                  <w:vMerge w:val="restart"/>
                  <w:tcBorders>
                    <w:tl2br w:val="nil"/>
                    <w:tr2bl w:val="nil"/>
                  </w:tcBorders>
                  <w:noWrap w:val="0"/>
                  <w:vAlign w:val="center"/>
                </w:tcPr>
                <w:p w14:paraId="3F3F5A5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2951" w:type="dxa"/>
                  <w:gridSpan w:val="2"/>
                  <w:tcBorders>
                    <w:tl2br w:val="nil"/>
                    <w:tr2bl w:val="nil"/>
                  </w:tcBorders>
                  <w:noWrap w:val="0"/>
                  <w:vAlign w:val="center"/>
                </w:tcPr>
                <w:p w14:paraId="76794843">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坐标/°</w:t>
                  </w:r>
                </w:p>
              </w:tc>
              <w:tc>
                <w:tcPr>
                  <w:tcW w:w="748" w:type="dxa"/>
                  <w:vMerge w:val="restart"/>
                  <w:tcBorders>
                    <w:tl2br w:val="nil"/>
                    <w:tr2bl w:val="nil"/>
                  </w:tcBorders>
                  <w:noWrap w:val="0"/>
                  <w:vAlign w:val="center"/>
                </w:tcPr>
                <w:p w14:paraId="26B1EA0A">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w:t>
                  </w:r>
                </w:p>
                <w:p w14:paraId="4D679F96">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对象</w:t>
                  </w:r>
                </w:p>
              </w:tc>
              <w:tc>
                <w:tcPr>
                  <w:tcW w:w="635" w:type="dxa"/>
                  <w:vMerge w:val="restart"/>
                  <w:tcBorders>
                    <w:tl2br w:val="nil"/>
                    <w:tr2bl w:val="nil"/>
                  </w:tcBorders>
                  <w:noWrap w:val="0"/>
                  <w:vAlign w:val="center"/>
                </w:tcPr>
                <w:p w14:paraId="10A5BBD3">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保护内容</w:t>
                  </w:r>
                </w:p>
              </w:tc>
              <w:tc>
                <w:tcPr>
                  <w:tcW w:w="798" w:type="dxa"/>
                  <w:vMerge w:val="restart"/>
                  <w:tcBorders>
                    <w:tl2br w:val="nil"/>
                    <w:tr2bl w:val="nil"/>
                  </w:tcBorders>
                  <w:noWrap w:val="0"/>
                  <w:vAlign w:val="center"/>
                </w:tcPr>
                <w:p w14:paraId="1E71F6D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环境功能区</w:t>
                  </w:r>
                </w:p>
              </w:tc>
              <w:tc>
                <w:tcPr>
                  <w:tcW w:w="733" w:type="dxa"/>
                  <w:vMerge w:val="restart"/>
                  <w:tcBorders>
                    <w:tl2br w:val="nil"/>
                    <w:tr2bl w:val="nil"/>
                  </w:tcBorders>
                  <w:noWrap w:val="0"/>
                  <w:vAlign w:val="center"/>
                </w:tcPr>
                <w:p w14:paraId="050560AE">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相对厂址方位</w:t>
                  </w:r>
                </w:p>
              </w:tc>
              <w:tc>
                <w:tcPr>
                  <w:tcW w:w="734" w:type="dxa"/>
                  <w:vMerge w:val="restart"/>
                  <w:tcBorders>
                    <w:tl2br w:val="nil"/>
                    <w:tr2bl w:val="nil"/>
                  </w:tcBorders>
                  <w:noWrap w:val="0"/>
                  <w:vAlign w:val="center"/>
                </w:tcPr>
                <w:p w14:paraId="4E93F34B">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pacing w:val="-20"/>
                      <w:sz w:val="21"/>
                      <w:szCs w:val="21"/>
                    </w:rPr>
                    <w:t>相对厂界距离/m</w:t>
                  </w:r>
                </w:p>
              </w:tc>
            </w:tr>
            <w:tr w14:paraId="4AA66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7" w:type="dxa"/>
                  <w:vMerge w:val="continue"/>
                  <w:tcBorders>
                    <w:tl2br w:val="nil"/>
                    <w:tr2bl w:val="nil"/>
                  </w:tcBorders>
                  <w:noWrap w:val="0"/>
                  <w:vAlign w:val="center"/>
                </w:tcPr>
                <w:p w14:paraId="3E3F45A9">
                  <w:pPr>
                    <w:adjustRightInd w:val="0"/>
                    <w:snapToGrid w:val="0"/>
                    <w:jc w:val="center"/>
                    <w:rPr>
                      <w:rFonts w:hint="default" w:ascii="Times New Roman" w:hAnsi="Times New Roman" w:cs="Times New Roman"/>
                      <w:color w:val="auto"/>
                      <w:sz w:val="21"/>
                      <w:szCs w:val="21"/>
                    </w:rPr>
                  </w:pPr>
                </w:p>
              </w:tc>
              <w:tc>
                <w:tcPr>
                  <w:tcW w:w="1438" w:type="dxa"/>
                  <w:vMerge w:val="continue"/>
                  <w:tcBorders>
                    <w:tl2br w:val="nil"/>
                    <w:tr2bl w:val="nil"/>
                  </w:tcBorders>
                  <w:noWrap w:val="0"/>
                  <w:vAlign w:val="center"/>
                </w:tcPr>
                <w:p w14:paraId="6479EF4C">
                  <w:pPr>
                    <w:adjustRightInd w:val="0"/>
                    <w:snapToGrid w:val="0"/>
                    <w:jc w:val="center"/>
                    <w:rPr>
                      <w:rFonts w:hint="default" w:ascii="Times New Roman" w:hAnsi="Times New Roman" w:cs="Times New Roman"/>
                      <w:color w:val="auto"/>
                      <w:sz w:val="21"/>
                      <w:szCs w:val="21"/>
                    </w:rPr>
                  </w:pPr>
                </w:p>
              </w:tc>
              <w:tc>
                <w:tcPr>
                  <w:tcW w:w="1450" w:type="dxa"/>
                  <w:tcBorders>
                    <w:tl2br w:val="nil"/>
                    <w:tr2bl w:val="nil"/>
                  </w:tcBorders>
                  <w:noWrap w:val="0"/>
                  <w:vAlign w:val="center"/>
                </w:tcPr>
                <w:p w14:paraId="6BCC04F8">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E</w:t>
                  </w:r>
                </w:p>
              </w:tc>
              <w:tc>
                <w:tcPr>
                  <w:tcW w:w="1501" w:type="dxa"/>
                  <w:tcBorders>
                    <w:tl2br w:val="nil"/>
                    <w:tr2bl w:val="nil"/>
                  </w:tcBorders>
                  <w:noWrap w:val="0"/>
                  <w:vAlign w:val="center"/>
                </w:tcPr>
                <w:p w14:paraId="641DAA6E">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w:t>
                  </w:r>
                </w:p>
              </w:tc>
              <w:tc>
                <w:tcPr>
                  <w:tcW w:w="748" w:type="dxa"/>
                  <w:vMerge w:val="continue"/>
                  <w:tcBorders>
                    <w:tl2br w:val="nil"/>
                    <w:tr2bl w:val="nil"/>
                  </w:tcBorders>
                  <w:noWrap w:val="0"/>
                  <w:vAlign w:val="center"/>
                </w:tcPr>
                <w:p w14:paraId="427169D6">
                  <w:pPr>
                    <w:adjustRightInd w:val="0"/>
                    <w:snapToGrid w:val="0"/>
                    <w:jc w:val="center"/>
                    <w:rPr>
                      <w:rFonts w:hint="default" w:ascii="Times New Roman" w:hAnsi="Times New Roman" w:cs="Times New Roman"/>
                      <w:color w:val="auto"/>
                      <w:sz w:val="21"/>
                      <w:szCs w:val="21"/>
                    </w:rPr>
                  </w:pPr>
                </w:p>
              </w:tc>
              <w:tc>
                <w:tcPr>
                  <w:tcW w:w="635" w:type="dxa"/>
                  <w:vMerge w:val="continue"/>
                  <w:tcBorders>
                    <w:tl2br w:val="nil"/>
                    <w:tr2bl w:val="nil"/>
                  </w:tcBorders>
                  <w:noWrap w:val="0"/>
                  <w:vAlign w:val="center"/>
                </w:tcPr>
                <w:p w14:paraId="1C1556DD">
                  <w:pPr>
                    <w:adjustRightInd w:val="0"/>
                    <w:snapToGrid w:val="0"/>
                    <w:jc w:val="center"/>
                    <w:rPr>
                      <w:rFonts w:hint="default" w:ascii="Times New Roman" w:hAnsi="Times New Roman" w:cs="Times New Roman"/>
                      <w:color w:val="auto"/>
                      <w:sz w:val="21"/>
                      <w:szCs w:val="21"/>
                    </w:rPr>
                  </w:pPr>
                </w:p>
              </w:tc>
              <w:tc>
                <w:tcPr>
                  <w:tcW w:w="798" w:type="dxa"/>
                  <w:vMerge w:val="continue"/>
                  <w:tcBorders>
                    <w:tl2br w:val="nil"/>
                    <w:tr2bl w:val="nil"/>
                  </w:tcBorders>
                  <w:noWrap w:val="0"/>
                  <w:vAlign w:val="center"/>
                </w:tcPr>
                <w:p w14:paraId="303C1F2D">
                  <w:pPr>
                    <w:adjustRightInd w:val="0"/>
                    <w:snapToGrid w:val="0"/>
                    <w:jc w:val="center"/>
                    <w:rPr>
                      <w:rFonts w:hint="default" w:ascii="Times New Roman" w:hAnsi="Times New Roman" w:cs="Times New Roman"/>
                      <w:color w:val="auto"/>
                      <w:sz w:val="21"/>
                      <w:szCs w:val="21"/>
                    </w:rPr>
                  </w:pPr>
                </w:p>
              </w:tc>
              <w:tc>
                <w:tcPr>
                  <w:tcW w:w="733" w:type="dxa"/>
                  <w:vMerge w:val="continue"/>
                  <w:tcBorders>
                    <w:tl2br w:val="nil"/>
                    <w:tr2bl w:val="nil"/>
                  </w:tcBorders>
                  <w:noWrap w:val="0"/>
                  <w:vAlign w:val="center"/>
                </w:tcPr>
                <w:p w14:paraId="34BAD0DF">
                  <w:pPr>
                    <w:adjustRightInd w:val="0"/>
                    <w:snapToGrid w:val="0"/>
                    <w:jc w:val="center"/>
                    <w:rPr>
                      <w:rFonts w:hint="default" w:ascii="Times New Roman" w:hAnsi="Times New Roman" w:cs="Times New Roman"/>
                      <w:color w:val="auto"/>
                      <w:sz w:val="21"/>
                      <w:szCs w:val="21"/>
                    </w:rPr>
                  </w:pPr>
                </w:p>
              </w:tc>
              <w:tc>
                <w:tcPr>
                  <w:tcW w:w="734" w:type="dxa"/>
                  <w:vMerge w:val="continue"/>
                  <w:tcBorders>
                    <w:tl2br w:val="nil"/>
                    <w:tr2bl w:val="nil"/>
                  </w:tcBorders>
                  <w:noWrap w:val="0"/>
                  <w:vAlign w:val="center"/>
                </w:tcPr>
                <w:p w14:paraId="10DBACE8">
                  <w:pPr>
                    <w:adjustRightInd w:val="0"/>
                    <w:snapToGrid w:val="0"/>
                    <w:jc w:val="center"/>
                    <w:rPr>
                      <w:rFonts w:hint="default" w:ascii="Times New Roman" w:hAnsi="Times New Roman" w:cs="Times New Roman"/>
                      <w:color w:val="auto"/>
                      <w:sz w:val="21"/>
                      <w:szCs w:val="21"/>
                    </w:rPr>
                  </w:pPr>
                </w:p>
              </w:tc>
            </w:tr>
            <w:tr w14:paraId="692A4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7" w:type="dxa"/>
                  <w:tcBorders>
                    <w:tl2br w:val="nil"/>
                    <w:tr2bl w:val="nil"/>
                  </w:tcBorders>
                  <w:noWrap w:val="0"/>
                  <w:vAlign w:val="center"/>
                </w:tcPr>
                <w:p w14:paraId="0206941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p w14:paraId="48FD7B7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空气</w:t>
                  </w:r>
                </w:p>
              </w:tc>
              <w:tc>
                <w:tcPr>
                  <w:tcW w:w="1438" w:type="dxa"/>
                  <w:tcBorders>
                    <w:tl2br w:val="nil"/>
                    <w:tr2bl w:val="nil"/>
                  </w:tcBorders>
                  <w:noWrap w:val="0"/>
                  <w:vAlign w:val="center"/>
                </w:tcPr>
                <w:p w14:paraId="4ECEDCA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底店村</w:t>
                  </w:r>
                </w:p>
              </w:tc>
              <w:tc>
                <w:tcPr>
                  <w:tcW w:w="1450" w:type="dxa"/>
                  <w:tcBorders>
                    <w:tl2br w:val="nil"/>
                    <w:tr2bl w:val="nil"/>
                  </w:tcBorders>
                  <w:noWrap w:val="0"/>
                  <w:vAlign w:val="center"/>
                </w:tcPr>
                <w:p w14:paraId="0B6BF240">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107.2952358</w:t>
                  </w:r>
                </w:p>
              </w:tc>
              <w:tc>
                <w:tcPr>
                  <w:tcW w:w="1501" w:type="dxa"/>
                  <w:tcBorders>
                    <w:tl2br w:val="nil"/>
                    <w:tr2bl w:val="nil"/>
                  </w:tcBorders>
                  <w:noWrap w:val="0"/>
                  <w:vAlign w:val="center"/>
                </w:tcPr>
                <w:p w14:paraId="1B6A3DC6">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34.3690109</w:t>
                  </w:r>
                </w:p>
              </w:tc>
              <w:tc>
                <w:tcPr>
                  <w:tcW w:w="748" w:type="dxa"/>
                  <w:tcBorders>
                    <w:tl2br w:val="nil"/>
                    <w:tr2bl w:val="nil"/>
                  </w:tcBorders>
                  <w:noWrap w:val="0"/>
                  <w:vAlign w:val="center"/>
                </w:tcPr>
                <w:p w14:paraId="63DAB89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村民</w:t>
                  </w:r>
                </w:p>
              </w:tc>
              <w:tc>
                <w:tcPr>
                  <w:tcW w:w="635" w:type="dxa"/>
                  <w:tcBorders>
                    <w:tl2br w:val="nil"/>
                    <w:tr2bl w:val="nil"/>
                  </w:tcBorders>
                  <w:noWrap w:val="0"/>
                  <w:vAlign w:val="center"/>
                </w:tcPr>
                <w:p w14:paraId="7B21842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人群健康</w:t>
                  </w:r>
                </w:p>
              </w:tc>
              <w:tc>
                <w:tcPr>
                  <w:tcW w:w="798" w:type="dxa"/>
                  <w:tcBorders>
                    <w:tl2br w:val="nil"/>
                    <w:tr2bl w:val="nil"/>
                  </w:tcBorders>
                  <w:noWrap w:val="0"/>
                  <w:vAlign w:val="center"/>
                </w:tcPr>
                <w:p w14:paraId="30A8E03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二类区</w:t>
                  </w:r>
                </w:p>
              </w:tc>
              <w:tc>
                <w:tcPr>
                  <w:tcW w:w="733" w:type="dxa"/>
                  <w:tcBorders>
                    <w:tl2br w:val="nil"/>
                    <w:tr2bl w:val="nil"/>
                  </w:tcBorders>
                  <w:noWrap w:val="0"/>
                  <w:vAlign w:val="center"/>
                </w:tcPr>
                <w:p w14:paraId="680C8D62">
                  <w:pPr>
                    <w:pStyle w:val="28"/>
                    <w:rPr>
                      <w:rFonts w:hint="default" w:ascii="Times New Roman" w:hAnsi="Times New Roman" w:cs="Times New Roman"/>
                      <w:bCs w:val="0"/>
                      <w:color w:val="auto"/>
                      <w:sz w:val="21"/>
                      <w:szCs w:val="21"/>
                    </w:rPr>
                  </w:pPr>
                  <w:r>
                    <w:rPr>
                      <w:rFonts w:hint="default" w:ascii="Times New Roman" w:hAnsi="Times New Roman" w:cs="Times New Roman"/>
                      <w:bCs w:val="0"/>
                      <w:color w:val="auto"/>
                      <w:sz w:val="21"/>
                      <w:szCs w:val="21"/>
                    </w:rPr>
                    <w:t>NW</w:t>
                  </w:r>
                </w:p>
              </w:tc>
              <w:tc>
                <w:tcPr>
                  <w:tcW w:w="734" w:type="dxa"/>
                  <w:tcBorders>
                    <w:tl2br w:val="nil"/>
                    <w:tr2bl w:val="nil"/>
                  </w:tcBorders>
                  <w:noWrap w:val="0"/>
                  <w:vAlign w:val="center"/>
                </w:tcPr>
                <w:p w14:paraId="56501485">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333</w:t>
                  </w:r>
                </w:p>
              </w:tc>
            </w:tr>
          </w:tbl>
          <w:p w14:paraId="5497EC65">
            <w:pPr>
              <w:widowControl/>
              <w:adjustRightInd w:val="0"/>
              <w:snapToGrid w:val="0"/>
              <w:spacing w:line="360" w:lineRule="auto"/>
              <w:ind w:firstLine="482"/>
              <w:rPr>
                <w:rFonts w:hint="default" w:ascii="Times New Roman" w:hAnsi="Times New Roman" w:cs="Times New Roman"/>
                <w:color w:val="auto"/>
                <w:kern w:val="0"/>
                <w:szCs w:val="21"/>
              </w:rPr>
            </w:pPr>
          </w:p>
        </w:tc>
      </w:tr>
      <w:tr w14:paraId="32DA31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noWrap w:val="0"/>
            <w:tcMar>
              <w:left w:w="28" w:type="dxa"/>
              <w:right w:w="28" w:type="dxa"/>
            </w:tcMar>
            <w:vAlign w:val="center"/>
          </w:tcPr>
          <w:p w14:paraId="60C9ED6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14:paraId="5054595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14:paraId="0AEBEF63">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14:paraId="4C42B9C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14:paraId="0EDEE03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939" w:type="dxa"/>
            <w:noWrap w:val="0"/>
            <w:vAlign w:val="center"/>
          </w:tcPr>
          <w:p w14:paraId="1E068ACA">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1</w:t>
            </w:r>
            <w:r>
              <w:rPr>
                <w:rFonts w:hint="default" w:ascii="Times New Roman" w:hAnsi="Times New Roman" w:eastAsia="宋体" w:cs="Times New Roman"/>
                <w:b/>
                <w:bCs/>
                <w:color w:val="auto"/>
                <w:kern w:val="2"/>
                <w:sz w:val="24"/>
                <w:szCs w:val="24"/>
                <w:lang w:val="en-US" w:eastAsia="zh-CN" w:bidi="ar-SA"/>
              </w:rPr>
              <w:t>.大气排放标准</w:t>
            </w:r>
          </w:p>
          <w:p w14:paraId="0C0166E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lang w:eastAsia="zh-CN"/>
              </w:rPr>
              <w:t>切割、</w:t>
            </w:r>
            <w:r>
              <w:rPr>
                <w:rFonts w:hint="default" w:ascii="Times New Roman" w:hAnsi="Times New Roman" w:eastAsia="宋体" w:cs="Times New Roman"/>
                <w:color w:val="auto"/>
                <w:sz w:val="24"/>
                <w:lang w:val="en-US" w:eastAsia="zh-CN"/>
              </w:rPr>
              <w:t>焊接</w:t>
            </w:r>
            <w:r>
              <w:rPr>
                <w:rFonts w:hint="default" w:ascii="Times New Roman" w:hAnsi="Times New Roman" w:cs="Times New Roman"/>
                <w:color w:val="auto"/>
                <w:sz w:val="24"/>
                <w:lang w:val="en-US" w:eastAsia="zh-CN"/>
              </w:rPr>
              <w:t>、修磨</w:t>
            </w:r>
            <w:r>
              <w:rPr>
                <w:rFonts w:hint="default" w:ascii="Times New Roman" w:hAnsi="Times New Roman" w:eastAsia="宋体" w:cs="Times New Roman"/>
                <w:color w:val="auto"/>
                <w:sz w:val="24"/>
                <w:lang w:val="en-US" w:eastAsia="zh-CN"/>
              </w:rPr>
              <w:t>、抛丸</w:t>
            </w:r>
            <w:r>
              <w:rPr>
                <w:rFonts w:hint="default" w:ascii="Times New Roman" w:hAnsi="Times New Roman" w:eastAsia="宋体" w:cs="Times New Roman"/>
                <w:color w:val="auto"/>
                <w:sz w:val="24"/>
                <w:lang w:eastAsia="zh-CN"/>
              </w:rPr>
              <w:t>工序、</w:t>
            </w:r>
            <w:r>
              <w:rPr>
                <w:rFonts w:hint="default" w:ascii="Times New Roman" w:hAnsi="Times New Roman" w:cs="Times New Roman"/>
                <w:color w:val="auto"/>
                <w:sz w:val="24"/>
                <w:lang w:val="en-US" w:eastAsia="zh-CN"/>
              </w:rPr>
              <w:t>喷粉、喷漆</w:t>
            </w:r>
            <w:r>
              <w:rPr>
                <w:rFonts w:hint="default" w:ascii="Times New Roman" w:hAnsi="Times New Roman" w:eastAsia="宋体" w:cs="Times New Roman"/>
                <w:color w:val="auto"/>
                <w:sz w:val="24"/>
                <w:lang w:eastAsia="zh-CN"/>
              </w:rPr>
              <w:t>工序产生的颗粒物执行《</w:t>
            </w:r>
            <w:r>
              <w:rPr>
                <w:rFonts w:hint="default" w:ascii="Times New Roman" w:hAnsi="Times New Roman" w:eastAsia="宋体" w:cs="Times New Roman"/>
                <w:color w:val="auto"/>
                <w:sz w:val="24"/>
                <w:lang w:val="en-US" w:eastAsia="zh-CN"/>
              </w:rPr>
              <w:t>大气污染物综合排放标准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GB16297-1996</w:t>
            </w:r>
            <w:r>
              <w:rPr>
                <w:rFonts w:hint="default" w:ascii="Times New Roman" w:hAnsi="Times New Roman" w:eastAsia="宋体" w:cs="Times New Roman"/>
                <w:color w:val="auto"/>
                <w:sz w:val="24"/>
                <w:lang w:eastAsia="zh-CN"/>
              </w:rPr>
              <w:t>）表</w:t>
            </w:r>
            <w:r>
              <w:rPr>
                <w:rFonts w:hint="default" w:ascii="Times New Roman" w:hAnsi="Times New Roman" w:eastAsia="宋体" w:cs="Times New Roman"/>
                <w:color w:val="auto"/>
                <w:sz w:val="24"/>
                <w:lang w:val="en-US" w:eastAsia="zh-CN"/>
              </w:rPr>
              <w:t>2中排放限值要求及无组织排放监控浓度限值；</w:t>
            </w:r>
          </w:p>
          <w:p w14:paraId="6356F4E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固化、喷漆工序</w:t>
            </w:r>
            <w:r>
              <w:rPr>
                <w:rFonts w:hint="default" w:ascii="Times New Roman" w:hAnsi="Times New Roman" w:eastAsia="宋体" w:cs="Times New Roman"/>
                <w:color w:val="auto"/>
                <w:sz w:val="24"/>
                <w:szCs w:val="24"/>
              </w:rPr>
              <w:t>产生</w:t>
            </w:r>
            <w:r>
              <w:rPr>
                <w:rFonts w:hint="default" w:ascii="Times New Roman" w:hAnsi="Times New Roman" w:cs="Times New Roman"/>
                <w:color w:val="auto"/>
                <w:sz w:val="24"/>
                <w:szCs w:val="24"/>
                <w:lang w:eastAsia="zh-CN"/>
              </w:rPr>
              <w:t>的</w:t>
            </w:r>
            <w:r>
              <w:rPr>
                <w:rFonts w:hint="default" w:ascii="Times New Roman" w:hAnsi="Times New Roman" w:cs="Times New Roman"/>
                <w:color w:val="auto"/>
                <w:sz w:val="24"/>
                <w:szCs w:val="24"/>
                <w:lang w:val="en-US" w:eastAsia="zh-CN"/>
              </w:rPr>
              <w:t>有机废气（</w:t>
            </w:r>
            <w:r>
              <w:rPr>
                <w:rFonts w:hint="default" w:ascii="Times New Roman" w:hAnsi="Times New Roman" w:cs="Times New Roman"/>
                <w:color w:val="auto"/>
                <w:sz w:val="24"/>
                <w:szCs w:val="24"/>
                <w:lang w:eastAsia="zh-CN"/>
              </w:rPr>
              <w:t>非甲烷总烃</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rPr>
              <w:t>有组织</w:t>
            </w:r>
            <w:r>
              <w:rPr>
                <w:rFonts w:hint="default" w:ascii="Times New Roman" w:hAnsi="Times New Roman" w:eastAsia="宋体" w:cs="Times New Roman"/>
                <w:color w:val="auto"/>
                <w:sz w:val="24"/>
                <w:szCs w:val="24"/>
                <w:lang w:val="en-US" w:eastAsia="zh-CN"/>
              </w:rPr>
              <w:t>废气</w:t>
            </w:r>
            <w:r>
              <w:rPr>
                <w:rFonts w:hint="default" w:ascii="Times New Roman" w:hAnsi="Times New Roman" w:cs="Times New Roman"/>
                <w:color w:val="auto"/>
                <w:sz w:val="24"/>
                <w:szCs w:val="24"/>
                <w:lang w:eastAsia="zh-CN"/>
              </w:rPr>
              <w:t>执行《挥发性有机物排放控制标准》（DB61/T1061-2017）表 1 中表面涂装行业排放浓度限值，</w:t>
            </w:r>
            <w:r>
              <w:rPr>
                <w:rFonts w:hint="default" w:ascii="Times New Roman" w:hAnsi="Times New Roman" w:cs="Times New Roman"/>
                <w:color w:val="auto"/>
                <w:sz w:val="24"/>
                <w:szCs w:val="24"/>
                <w:lang w:val="en-US" w:eastAsia="zh-CN"/>
              </w:rPr>
              <w:t>有机废气（</w:t>
            </w:r>
            <w:r>
              <w:rPr>
                <w:rFonts w:hint="default" w:ascii="Times New Roman" w:hAnsi="Times New Roman" w:cs="Times New Roman"/>
                <w:color w:val="auto"/>
                <w:sz w:val="24"/>
                <w:szCs w:val="24"/>
                <w:lang w:eastAsia="zh-CN"/>
              </w:rPr>
              <w:t>非甲烷总烃</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无组织厂区内执行《挥发性有机物无组织排放控制标准》（GB37822-2019）中相关标准，</w:t>
            </w:r>
            <w:r>
              <w:rPr>
                <w:rFonts w:hint="default" w:ascii="Times New Roman" w:hAnsi="Times New Roman" w:cs="Times New Roman"/>
                <w:color w:val="auto"/>
                <w:sz w:val="24"/>
                <w:szCs w:val="24"/>
                <w:lang w:val="en-US" w:eastAsia="zh-CN"/>
              </w:rPr>
              <w:t>厂界</w:t>
            </w:r>
            <w:r>
              <w:rPr>
                <w:rFonts w:hint="default" w:ascii="Times New Roman" w:hAnsi="Times New Roman" w:cs="Times New Roman"/>
                <w:color w:val="auto"/>
                <w:sz w:val="24"/>
                <w:szCs w:val="24"/>
                <w:lang w:eastAsia="zh-CN"/>
              </w:rPr>
              <w:t>执行《挥发性有机物排放控制标准》（DB61/T1061-2017）中厂界排放标准；</w:t>
            </w:r>
          </w:p>
          <w:p w14:paraId="360F841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本项目固化室热风循环炉（含燃料燃烧机组）为间接加热，其原理类似于锅炉，因此液化天然气（LNG）燃烧废气（颗粒物、氮氧化物、SO</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）参照执行《锅炉大气污染物排放标准》（DB61-1226-2018）表3排放浓度限值，烟气黑度参照执行《锅炉大气污染物排放标准》（GB13271-2014）表3排放限值，</w:t>
            </w:r>
            <w:r>
              <w:rPr>
                <w:rFonts w:hint="default" w:ascii="Times New Roman" w:hAnsi="Times New Roman" w:eastAsia="宋体" w:cs="Times New Roman"/>
                <w:color w:val="auto"/>
                <w:sz w:val="24"/>
                <w:szCs w:val="24"/>
                <w:lang w:val="en-US" w:eastAsia="zh-CN"/>
              </w:rPr>
              <w:t>具体见表3-</w:t>
            </w:r>
            <w:r>
              <w:rPr>
                <w:rFonts w:hint="default" w:ascii="Times New Roman" w:hAnsi="Times New Roman" w:cs="Times New Roman"/>
                <w:color w:val="auto"/>
                <w:sz w:val="24"/>
                <w:szCs w:val="24"/>
                <w:lang w:val="en-US" w:eastAsia="zh-CN"/>
              </w:rPr>
              <w:t>5、3-6</w:t>
            </w:r>
            <w:r>
              <w:rPr>
                <w:rFonts w:hint="default" w:ascii="Times New Roman" w:hAnsi="Times New Roman" w:eastAsia="宋体" w:cs="Times New Roman"/>
                <w:color w:val="auto"/>
                <w:sz w:val="24"/>
                <w:szCs w:val="24"/>
                <w:lang w:val="en-US" w:eastAsia="zh-CN"/>
              </w:rPr>
              <w:t>：</w:t>
            </w:r>
          </w:p>
          <w:p w14:paraId="039E5E3A">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default" w:ascii="Times New Roman" w:hAnsi="Times New Roman"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有组织废气污染物执行标准</w:t>
            </w:r>
          </w:p>
          <w:tbl>
            <w:tblPr>
              <w:tblStyle w:val="3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511"/>
              <w:gridCol w:w="1125"/>
              <w:gridCol w:w="885"/>
              <w:gridCol w:w="917"/>
              <w:gridCol w:w="1260"/>
              <w:gridCol w:w="2991"/>
            </w:tblGrid>
            <w:tr w14:paraId="59D73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9" w:type="pct"/>
                  <w:vMerge w:val="restart"/>
                  <w:shd w:val="clear" w:color="auto" w:fill="auto"/>
                  <w:noWrap w:val="0"/>
                  <w:vAlign w:val="center"/>
                </w:tcPr>
                <w:p w14:paraId="0E0D4835">
                  <w:pPr>
                    <w:pStyle w:val="27"/>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废气类别</w:t>
                  </w:r>
                </w:p>
              </w:tc>
              <w:tc>
                <w:tcPr>
                  <w:tcW w:w="647" w:type="pct"/>
                  <w:vMerge w:val="restart"/>
                  <w:shd w:val="clear" w:color="auto" w:fill="auto"/>
                  <w:noWrap w:val="0"/>
                  <w:vAlign w:val="center"/>
                </w:tcPr>
                <w:p w14:paraId="78915B6E">
                  <w:pPr>
                    <w:pStyle w:val="27"/>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509" w:type="pct"/>
                  <w:vMerge w:val="restart"/>
                  <w:shd w:val="clear" w:color="auto" w:fill="auto"/>
                  <w:noWrap w:val="0"/>
                  <w:vAlign w:val="center"/>
                </w:tcPr>
                <w:p w14:paraId="5691EC7D">
                  <w:pPr>
                    <w:pStyle w:val="27"/>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最高允许排放浓度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mg/</w:t>
                  </w:r>
                  <w:r>
                    <w:rPr>
                      <w:rFonts w:hint="default" w:ascii="Times New Roman" w:hAnsi="Times New Roman" w:cs="Times New Roman"/>
                      <w:b/>
                      <w:bCs/>
                      <w:color w:val="auto"/>
                      <w:sz w:val="21"/>
                      <w:szCs w:val="21"/>
                      <w:lang w:eastAsia="zh-CN"/>
                    </w:rPr>
                    <w:t>m³</w:t>
                  </w:r>
                  <w:r>
                    <w:rPr>
                      <w:rFonts w:hint="default" w:ascii="Times New Roman" w:hAnsi="Times New Roman" w:eastAsia="宋体" w:cs="Times New Roman"/>
                      <w:b/>
                      <w:bCs/>
                      <w:color w:val="auto"/>
                      <w:sz w:val="21"/>
                      <w:szCs w:val="21"/>
                      <w:lang w:eastAsia="zh-CN"/>
                    </w:rPr>
                    <w:t>）</w:t>
                  </w:r>
                </w:p>
              </w:tc>
              <w:tc>
                <w:tcPr>
                  <w:tcW w:w="1252" w:type="pct"/>
                  <w:gridSpan w:val="2"/>
                  <w:shd w:val="clear" w:color="auto" w:fill="auto"/>
                  <w:noWrap w:val="0"/>
                  <w:vAlign w:val="center"/>
                </w:tcPr>
                <w:p w14:paraId="4827209E">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最高允许排放速率</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kg/h</w:t>
                  </w:r>
                  <w:r>
                    <w:rPr>
                      <w:rFonts w:hint="default" w:ascii="Times New Roman" w:hAnsi="Times New Roman" w:eastAsia="宋体" w:cs="Times New Roman"/>
                      <w:b/>
                      <w:bCs/>
                      <w:color w:val="auto"/>
                      <w:sz w:val="21"/>
                      <w:szCs w:val="21"/>
                      <w:lang w:eastAsia="zh-CN"/>
                    </w:rPr>
                    <w:t>）</w:t>
                  </w:r>
                </w:p>
              </w:tc>
              <w:tc>
                <w:tcPr>
                  <w:tcW w:w="1721" w:type="pct"/>
                  <w:vMerge w:val="restart"/>
                  <w:shd w:val="clear" w:color="auto" w:fill="auto"/>
                  <w:noWrap w:val="0"/>
                  <w:vAlign w:val="center"/>
                </w:tcPr>
                <w:p w14:paraId="0258FE05">
                  <w:pPr>
                    <w:pStyle w:val="27"/>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执行标准</w:t>
                  </w:r>
                </w:p>
              </w:tc>
            </w:tr>
            <w:tr w14:paraId="3A21C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869" w:type="pct"/>
                  <w:vMerge w:val="continue"/>
                  <w:shd w:val="clear" w:color="auto" w:fill="auto"/>
                  <w:noWrap w:val="0"/>
                  <w:vAlign w:val="center"/>
                </w:tcPr>
                <w:p w14:paraId="122EDC64">
                  <w:pPr>
                    <w:pStyle w:val="27"/>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p>
              </w:tc>
              <w:tc>
                <w:tcPr>
                  <w:tcW w:w="647" w:type="pct"/>
                  <w:vMerge w:val="continue"/>
                  <w:shd w:val="clear" w:color="auto" w:fill="auto"/>
                  <w:noWrap w:val="0"/>
                  <w:vAlign w:val="center"/>
                </w:tcPr>
                <w:p w14:paraId="01656211">
                  <w:pPr>
                    <w:pStyle w:val="27"/>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p>
              </w:tc>
              <w:tc>
                <w:tcPr>
                  <w:tcW w:w="509" w:type="pct"/>
                  <w:vMerge w:val="continue"/>
                  <w:shd w:val="clear" w:color="auto" w:fill="auto"/>
                  <w:noWrap w:val="0"/>
                  <w:vAlign w:val="center"/>
                </w:tcPr>
                <w:p w14:paraId="4F966C8E">
                  <w:pPr>
                    <w:pStyle w:val="27"/>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p>
              </w:tc>
              <w:tc>
                <w:tcPr>
                  <w:tcW w:w="527" w:type="pct"/>
                  <w:shd w:val="clear" w:color="auto" w:fill="auto"/>
                  <w:noWrap w:val="0"/>
                  <w:vAlign w:val="center"/>
                </w:tcPr>
                <w:p w14:paraId="720125E9">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排气筒高度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lang w:eastAsia="zh-CN"/>
                    </w:rPr>
                    <w:t>）</w:t>
                  </w:r>
                </w:p>
              </w:tc>
              <w:tc>
                <w:tcPr>
                  <w:tcW w:w="725" w:type="pct"/>
                  <w:shd w:val="clear" w:color="auto" w:fill="auto"/>
                  <w:noWrap w:val="0"/>
                  <w:vAlign w:val="center"/>
                </w:tcPr>
                <w:p w14:paraId="11A290DC">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二级</w:t>
                  </w:r>
                </w:p>
              </w:tc>
              <w:tc>
                <w:tcPr>
                  <w:tcW w:w="1721" w:type="pct"/>
                  <w:vMerge w:val="continue"/>
                  <w:shd w:val="clear" w:color="auto" w:fill="auto"/>
                  <w:noWrap w:val="0"/>
                  <w:vAlign w:val="center"/>
                </w:tcPr>
                <w:p w14:paraId="55B197F0">
                  <w:pPr>
                    <w:pStyle w:val="27"/>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p>
              </w:tc>
            </w:tr>
            <w:tr w14:paraId="56985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869" w:type="pct"/>
                  <w:shd w:val="clear" w:color="auto" w:fill="auto"/>
                  <w:noWrap w:val="0"/>
                  <w:vAlign w:val="center"/>
                </w:tcPr>
                <w:p w14:paraId="5C94A43E">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切割、焊接、修磨抛丸</w:t>
                  </w:r>
                </w:p>
              </w:tc>
              <w:tc>
                <w:tcPr>
                  <w:tcW w:w="647" w:type="pct"/>
                  <w:shd w:val="clear" w:color="auto" w:fill="auto"/>
                  <w:noWrap w:val="0"/>
                  <w:vAlign w:val="center"/>
                </w:tcPr>
                <w:p w14:paraId="3C44E4C3">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509" w:type="pct"/>
                  <w:vMerge w:val="restart"/>
                  <w:shd w:val="clear" w:color="auto" w:fill="auto"/>
                  <w:noWrap w:val="0"/>
                  <w:vAlign w:val="center"/>
                </w:tcPr>
                <w:p w14:paraId="0095FA84">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120</w:t>
                  </w:r>
                </w:p>
              </w:tc>
              <w:tc>
                <w:tcPr>
                  <w:tcW w:w="527" w:type="pct"/>
                  <w:vMerge w:val="restart"/>
                  <w:shd w:val="clear" w:color="auto" w:fill="auto"/>
                  <w:noWrap w:val="0"/>
                  <w:vAlign w:val="center"/>
                </w:tcPr>
                <w:p w14:paraId="32BFC89F">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15</w:t>
                  </w:r>
                </w:p>
              </w:tc>
              <w:tc>
                <w:tcPr>
                  <w:tcW w:w="725" w:type="pct"/>
                  <w:shd w:val="clear" w:color="auto" w:fill="auto"/>
                  <w:noWrap w:val="0"/>
                  <w:vAlign w:val="center"/>
                </w:tcPr>
                <w:p w14:paraId="31FC0059">
                  <w:pPr>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721" w:type="pct"/>
                  <w:vMerge w:val="restart"/>
                  <w:shd w:val="clear" w:color="auto" w:fill="auto"/>
                  <w:noWrap w:val="0"/>
                  <w:vAlign w:val="center"/>
                </w:tcPr>
                <w:p w14:paraId="6B29AD78">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val="0"/>
                      <w:bCs w:val="0"/>
                      <w:color w:val="auto"/>
                      <w:sz w:val="21"/>
                      <w:szCs w:val="21"/>
                      <w:lang w:val="en-US" w:eastAsia="zh-CN"/>
                    </w:rPr>
                    <w:t>《大气污染物综合排放标准》（GB16297-1996）表2</w:t>
                  </w:r>
                </w:p>
              </w:tc>
            </w:tr>
            <w:tr w14:paraId="18B67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869" w:type="pct"/>
                  <w:shd w:val="clear" w:color="auto" w:fill="auto"/>
                  <w:noWrap w:val="0"/>
                  <w:vAlign w:val="center"/>
                </w:tcPr>
                <w:p w14:paraId="437600E8">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喷粉</w:t>
                  </w:r>
                </w:p>
              </w:tc>
              <w:tc>
                <w:tcPr>
                  <w:tcW w:w="647" w:type="pct"/>
                  <w:shd w:val="clear" w:color="auto" w:fill="auto"/>
                  <w:noWrap w:val="0"/>
                  <w:vAlign w:val="center"/>
                </w:tcPr>
                <w:p w14:paraId="52D71EA2">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509" w:type="pct"/>
                  <w:vMerge w:val="continue"/>
                  <w:shd w:val="clear" w:color="auto" w:fill="auto"/>
                  <w:noWrap w:val="0"/>
                  <w:vAlign w:val="center"/>
                </w:tcPr>
                <w:p w14:paraId="08913A59">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527" w:type="pct"/>
                  <w:vMerge w:val="continue"/>
                  <w:shd w:val="clear" w:color="auto" w:fill="auto"/>
                  <w:noWrap w:val="0"/>
                  <w:vAlign w:val="center"/>
                </w:tcPr>
                <w:p w14:paraId="223C1C69">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725" w:type="pct"/>
                  <w:shd w:val="clear" w:color="auto" w:fill="auto"/>
                  <w:noWrap w:val="0"/>
                  <w:vAlign w:val="center"/>
                </w:tcPr>
                <w:p w14:paraId="395B1512">
                  <w:pPr>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721" w:type="pct"/>
                  <w:vMerge w:val="continue"/>
                  <w:shd w:val="clear" w:color="auto" w:fill="auto"/>
                  <w:noWrap w:val="0"/>
                  <w:vAlign w:val="center"/>
                </w:tcPr>
                <w:p w14:paraId="6492B9CE">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r>
            <w:tr w14:paraId="7E1EA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869" w:type="pct"/>
                  <w:shd w:val="clear" w:color="auto" w:fill="auto"/>
                  <w:noWrap w:val="0"/>
                  <w:vAlign w:val="center"/>
                </w:tcPr>
                <w:p w14:paraId="2A2E344C">
                  <w:pPr>
                    <w:pStyle w:val="27"/>
                    <w:autoSpaceDE w:val="0"/>
                    <w:adjustRightInd w:val="0"/>
                    <w:snapToGrid w:val="0"/>
                    <w:spacing w:before="0" w:beforeAutospacing="0" w:after="0" w:afterAutospacing="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喷漆</w:t>
                  </w:r>
                </w:p>
              </w:tc>
              <w:tc>
                <w:tcPr>
                  <w:tcW w:w="647" w:type="pct"/>
                  <w:shd w:val="clear" w:color="auto" w:fill="auto"/>
                  <w:noWrap w:val="0"/>
                  <w:vAlign w:val="center"/>
                </w:tcPr>
                <w:p w14:paraId="68410806">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509" w:type="pct"/>
                  <w:vMerge w:val="continue"/>
                  <w:shd w:val="clear" w:color="auto" w:fill="auto"/>
                  <w:noWrap w:val="0"/>
                  <w:vAlign w:val="center"/>
                </w:tcPr>
                <w:p w14:paraId="19CE9479">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527" w:type="pct"/>
                  <w:vMerge w:val="continue"/>
                  <w:shd w:val="clear" w:color="auto" w:fill="auto"/>
                  <w:noWrap w:val="0"/>
                  <w:vAlign w:val="center"/>
                </w:tcPr>
                <w:p w14:paraId="6AB40323">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725" w:type="pct"/>
                  <w:shd w:val="clear" w:color="auto" w:fill="auto"/>
                  <w:noWrap w:val="0"/>
                  <w:vAlign w:val="center"/>
                </w:tcPr>
                <w:p w14:paraId="7759F7C5">
                  <w:pPr>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721" w:type="pct"/>
                  <w:vMerge w:val="continue"/>
                  <w:shd w:val="clear" w:color="auto" w:fill="auto"/>
                  <w:noWrap w:val="0"/>
                  <w:vAlign w:val="center"/>
                </w:tcPr>
                <w:p w14:paraId="1F3B4AD0">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r>
            <w:tr w14:paraId="68F2E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869" w:type="pct"/>
                  <w:shd w:val="clear" w:color="auto" w:fill="auto"/>
                  <w:noWrap w:val="0"/>
                  <w:vAlign w:val="center"/>
                </w:tcPr>
                <w:p w14:paraId="3B8968C6">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固化</w:t>
                  </w:r>
                </w:p>
              </w:tc>
              <w:tc>
                <w:tcPr>
                  <w:tcW w:w="647" w:type="pct"/>
                  <w:vMerge w:val="restart"/>
                  <w:shd w:val="clear" w:color="auto" w:fill="auto"/>
                  <w:noWrap w:val="0"/>
                  <w:vAlign w:val="center"/>
                </w:tcPr>
                <w:p w14:paraId="782551EC">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509" w:type="pct"/>
                  <w:vMerge w:val="restart"/>
                  <w:shd w:val="clear" w:color="auto" w:fill="auto"/>
                  <w:noWrap w:val="0"/>
                  <w:vAlign w:val="center"/>
                </w:tcPr>
                <w:p w14:paraId="73423917">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527" w:type="pct"/>
                  <w:vMerge w:val="restart"/>
                  <w:shd w:val="clear" w:color="auto" w:fill="auto"/>
                  <w:noWrap w:val="0"/>
                  <w:vAlign w:val="center"/>
                </w:tcPr>
                <w:p w14:paraId="78D6C1AF">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25" w:type="pct"/>
                  <w:vMerge w:val="restart"/>
                  <w:shd w:val="clear" w:color="auto" w:fill="auto"/>
                  <w:noWrap w:val="0"/>
                  <w:vAlign w:val="center"/>
                </w:tcPr>
                <w:p w14:paraId="3F6AC9FD">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21" w:type="pct"/>
                  <w:vMerge w:val="restart"/>
                  <w:shd w:val="clear" w:color="auto" w:fill="auto"/>
                  <w:noWrap w:val="0"/>
                  <w:vAlign w:val="center"/>
                </w:tcPr>
                <w:p w14:paraId="6D42BB10">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《挥发性有机物排放控制标准》（DB61/T1061-2017）表1 中表面涂装行业排放浓度限值</w:t>
                  </w:r>
                </w:p>
              </w:tc>
            </w:tr>
            <w:tr w14:paraId="73682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869" w:type="pct"/>
                  <w:shd w:val="clear" w:color="auto" w:fill="auto"/>
                  <w:noWrap w:val="0"/>
                  <w:vAlign w:val="center"/>
                </w:tcPr>
                <w:p w14:paraId="195787D8">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喷漆</w:t>
                  </w:r>
                </w:p>
              </w:tc>
              <w:tc>
                <w:tcPr>
                  <w:tcW w:w="647" w:type="pct"/>
                  <w:vMerge w:val="continue"/>
                  <w:shd w:val="clear" w:color="auto" w:fill="auto"/>
                  <w:noWrap w:val="0"/>
                  <w:vAlign w:val="center"/>
                </w:tcPr>
                <w:p w14:paraId="0FD9CDD2">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509" w:type="pct"/>
                  <w:vMerge w:val="continue"/>
                  <w:shd w:val="clear" w:color="auto" w:fill="auto"/>
                  <w:noWrap w:val="0"/>
                  <w:vAlign w:val="center"/>
                </w:tcPr>
                <w:p w14:paraId="7F925F36">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527" w:type="pct"/>
                  <w:vMerge w:val="continue"/>
                  <w:shd w:val="clear" w:color="auto" w:fill="auto"/>
                  <w:noWrap w:val="0"/>
                  <w:vAlign w:val="center"/>
                </w:tcPr>
                <w:p w14:paraId="01C4E950">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725" w:type="pct"/>
                  <w:vMerge w:val="continue"/>
                  <w:shd w:val="clear" w:color="auto" w:fill="auto"/>
                  <w:noWrap w:val="0"/>
                  <w:vAlign w:val="center"/>
                </w:tcPr>
                <w:p w14:paraId="13E6ABBE">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1721" w:type="pct"/>
                  <w:vMerge w:val="continue"/>
                  <w:shd w:val="clear" w:color="auto" w:fill="auto"/>
                  <w:noWrap w:val="0"/>
                  <w:vAlign w:val="center"/>
                </w:tcPr>
                <w:p w14:paraId="52AB8A3E">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r>
            <w:tr w14:paraId="1FA1E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869" w:type="pct"/>
                  <w:vMerge w:val="restart"/>
                  <w:shd w:val="clear" w:color="auto" w:fill="auto"/>
                  <w:noWrap w:val="0"/>
                  <w:vAlign w:val="center"/>
                </w:tcPr>
                <w:p w14:paraId="1A83E7BB">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液化天然气（LNG）</w:t>
                  </w:r>
                  <w:r>
                    <w:rPr>
                      <w:rFonts w:hint="default" w:ascii="Times New Roman" w:hAnsi="Times New Roman" w:eastAsia="宋体" w:cs="Times New Roman"/>
                      <w:color w:val="auto"/>
                      <w:sz w:val="21"/>
                      <w:szCs w:val="21"/>
                      <w:lang w:val="en-US" w:eastAsia="zh-CN"/>
                    </w:rPr>
                    <w:t>燃烧废气</w:t>
                  </w:r>
                </w:p>
              </w:tc>
              <w:tc>
                <w:tcPr>
                  <w:tcW w:w="647" w:type="pct"/>
                  <w:shd w:val="clear" w:color="auto" w:fill="auto"/>
                  <w:noWrap w:val="0"/>
                  <w:vAlign w:val="center"/>
                </w:tcPr>
                <w:p w14:paraId="000EA7B5">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509" w:type="pct"/>
                  <w:shd w:val="clear" w:color="auto" w:fill="auto"/>
                  <w:noWrap w:val="0"/>
                  <w:vAlign w:val="center"/>
                </w:tcPr>
                <w:p w14:paraId="6DE48D97">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527" w:type="pct"/>
                  <w:shd w:val="clear" w:color="auto" w:fill="auto"/>
                  <w:noWrap w:val="0"/>
                  <w:vAlign w:val="center"/>
                </w:tcPr>
                <w:p w14:paraId="2CEE00FD">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25" w:type="pct"/>
                  <w:shd w:val="clear" w:color="auto" w:fill="auto"/>
                  <w:noWrap w:val="0"/>
                  <w:vAlign w:val="center"/>
                </w:tcPr>
                <w:p w14:paraId="55671293">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21" w:type="pct"/>
                  <w:vMerge w:val="restart"/>
                  <w:shd w:val="clear" w:color="auto" w:fill="auto"/>
                  <w:noWrap w:val="0"/>
                  <w:vAlign w:val="center"/>
                </w:tcPr>
                <w:p w14:paraId="3A7A3204">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kern w:val="0"/>
                      <w:sz w:val="21"/>
                      <w:szCs w:val="21"/>
                    </w:rPr>
                    <w:t>《锅炉大气污染物排放标准》（DB61/1226-2018）中表3标准</w:t>
                  </w:r>
                </w:p>
              </w:tc>
            </w:tr>
            <w:tr w14:paraId="4DCF9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869" w:type="pct"/>
                  <w:vMerge w:val="continue"/>
                  <w:shd w:val="clear" w:color="auto" w:fill="auto"/>
                  <w:noWrap w:val="0"/>
                  <w:vAlign w:val="center"/>
                </w:tcPr>
                <w:p w14:paraId="2C28FFE0">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647" w:type="pct"/>
                  <w:shd w:val="clear" w:color="auto" w:fill="auto"/>
                  <w:noWrap w:val="0"/>
                  <w:vAlign w:val="center"/>
                </w:tcPr>
                <w:p w14:paraId="21FA0F12">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tc>
              <w:tc>
                <w:tcPr>
                  <w:tcW w:w="509" w:type="pct"/>
                  <w:shd w:val="clear" w:color="auto" w:fill="auto"/>
                  <w:noWrap w:val="0"/>
                  <w:vAlign w:val="center"/>
                </w:tcPr>
                <w:p w14:paraId="4B99109F">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w:t>
                  </w:r>
                </w:p>
              </w:tc>
              <w:tc>
                <w:tcPr>
                  <w:tcW w:w="527" w:type="pct"/>
                  <w:shd w:val="clear" w:color="auto" w:fill="auto"/>
                  <w:noWrap w:val="0"/>
                  <w:vAlign w:val="center"/>
                </w:tcPr>
                <w:p w14:paraId="75E60D23">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25" w:type="pct"/>
                  <w:shd w:val="clear" w:color="auto" w:fill="auto"/>
                  <w:noWrap w:val="0"/>
                  <w:vAlign w:val="center"/>
                </w:tcPr>
                <w:p w14:paraId="13CAAB20">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21" w:type="pct"/>
                  <w:vMerge w:val="continue"/>
                  <w:shd w:val="clear" w:color="auto" w:fill="auto"/>
                  <w:noWrap w:val="0"/>
                  <w:vAlign w:val="center"/>
                </w:tcPr>
                <w:p w14:paraId="521EEFB4">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r>
            <w:tr w14:paraId="2B0AF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869" w:type="pct"/>
                  <w:vMerge w:val="continue"/>
                  <w:shd w:val="clear" w:color="auto" w:fill="auto"/>
                  <w:noWrap w:val="0"/>
                  <w:vAlign w:val="center"/>
                </w:tcPr>
                <w:p w14:paraId="4516B576">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647" w:type="pct"/>
                  <w:shd w:val="clear" w:color="auto" w:fill="auto"/>
                  <w:noWrap w:val="0"/>
                  <w:vAlign w:val="center"/>
                </w:tcPr>
                <w:p w14:paraId="3599E16E">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tc>
              <w:tc>
                <w:tcPr>
                  <w:tcW w:w="509" w:type="pct"/>
                  <w:shd w:val="clear" w:color="auto" w:fill="auto"/>
                  <w:noWrap w:val="0"/>
                  <w:vAlign w:val="center"/>
                </w:tcPr>
                <w:p w14:paraId="6FB9EBAD">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150</w:t>
                  </w:r>
                </w:p>
              </w:tc>
              <w:tc>
                <w:tcPr>
                  <w:tcW w:w="527" w:type="pct"/>
                  <w:shd w:val="clear" w:color="auto" w:fill="auto"/>
                  <w:noWrap w:val="0"/>
                  <w:vAlign w:val="center"/>
                </w:tcPr>
                <w:p w14:paraId="20C532C7">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25" w:type="pct"/>
                  <w:shd w:val="clear" w:color="auto" w:fill="auto"/>
                  <w:noWrap w:val="0"/>
                  <w:vAlign w:val="center"/>
                </w:tcPr>
                <w:p w14:paraId="47525811">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21" w:type="pct"/>
                  <w:vMerge w:val="continue"/>
                  <w:shd w:val="clear" w:color="auto" w:fill="auto"/>
                  <w:noWrap w:val="0"/>
                  <w:vAlign w:val="center"/>
                </w:tcPr>
                <w:p w14:paraId="776EBAFA">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r>
            <w:tr w14:paraId="49291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869" w:type="pct"/>
                  <w:vMerge w:val="continue"/>
                  <w:shd w:val="clear" w:color="auto" w:fill="auto"/>
                  <w:noWrap w:val="0"/>
                  <w:vAlign w:val="center"/>
                </w:tcPr>
                <w:p w14:paraId="3BE47810">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c>
                <w:tcPr>
                  <w:tcW w:w="647" w:type="pct"/>
                  <w:shd w:val="clear" w:color="auto" w:fill="auto"/>
                  <w:noWrap w:val="0"/>
                  <w:vAlign w:val="center"/>
                </w:tcPr>
                <w:p w14:paraId="67B73004">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林格曼黑度</w:t>
                  </w:r>
                </w:p>
              </w:tc>
              <w:tc>
                <w:tcPr>
                  <w:tcW w:w="1761" w:type="pct"/>
                  <w:gridSpan w:val="3"/>
                  <w:shd w:val="clear" w:color="auto" w:fill="auto"/>
                  <w:noWrap w:val="0"/>
                  <w:vAlign w:val="center"/>
                </w:tcPr>
                <w:p w14:paraId="43AAD4A7">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≤1级</w:t>
                  </w:r>
                </w:p>
              </w:tc>
              <w:tc>
                <w:tcPr>
                  <w:tcW w:w="1721" w:type="pct"/>
                  <w:vMerge w:val="continue"/>
                  <w:shd w:val="clear" w:color="auto" w:fill="auto"/>
                  <w:noWrap w:val="0"/>
                  <w:vAlign w:val="center"/>
                </w:tcPr>
                <w:p w14:paraId="01EFF94D">
                  <w:pPr>
                    <w:pStyle w:val="27"/>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p>
              </w:tc>
            </w:tr>
          </w:tbl>
          <w:p w14:paraId="52EFD803">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default" w:ascii="Times New Roman" w:hAnsi="Times New Roman"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无组织废气污染物执行标准</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581"/>
              <w:gridCol w:w="2875"/>
              <w:gridCol w:w="1395"/>
              <w:gridCol w:w="1110"/>
              <w:gridCol w:w="1730"/>
            </w:tblGrid>
            <w:tr w14:paraId="4C94F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909" w:type="pct"/>
                  <w:tcBorders>
                    <w:tl2br w:val="nil"/>
                    <w:tr2bl w:val="nil"/>
                  </w:tcBorders>
                  <w:noWrap w:val="0"/>
                  <w:vAlign w:val="center"/>
                </w:tcPr>
                <w:p w14:paraId="44C9A064">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无组织废气</w:t>
                  </w:r>
                </w:p>
              </w:tc>
              <w:tc>
                <w:tcPr>
                  <w:tcW w:w="1654" w:type="pct"/>
                  <w:tcBorders>
                    <w:tl2br w:val="nil"/>
                    <w:tr2bl w:val="nil"/>
                  </w:tcBorders>
                  <w:noWrap w:val="0"/>
                  <w:vAlign w:val="center"/>
                </w:tcPr>
                <w:p w14:paraId="459061AF">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标准名称</w:t>
                  </w:r>
                </w:p>
              </w:tc>
              <w:tc>
                <w:tcPr>
                  <w:tcW w:w="802" w:type="pct"/>
                  <w:tcBorders>
                    <w:tl2br w:val="nil"/>
                    <w:tr2bl w:val="nil"/>
                  </w:tcBorders>
                  <w:noWrap w:val="0"/>
                  <w:vAlign w:val="center"/>
                </w:tcPr>
                <w:p w14:paraId="577B3ABE">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污染物</w:t>
                  </w:r>
                </w:p>
              </w:tc>
              <w:tc>
                <w:tcPr>
                  <w:tcW w:w="638" w:type="pct"/>
                  <w:tcBorders>
                    <w:tl2br w:val="nil"/>
                    <w:tr2bl w:val="nil"/>
                  </w:tcBorders>
                  <w:noWrap w:val="0"/>
                  <w:vAlign w:val="center"/>
                </w:tcPr>
                <w:p w14:paraId="6B7A5263">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监控点</w:t>
                  </w:r>
                </w:p>
              </w:tc>
              <w:tc>
                <w:tcPr>
                  <w:tcW w:w="995" w:type="pct"/>
                  <w:tcBorders>
                    <w:tl2br w:val="nil"/>
                    <w:tr2bl w:val="nil"/>
                  </w:tcBorders>
                  <w:noWrap w:val="0"/>
                  <w:vAlign w:val="center"/>
                </w:tcPr>
                <w:p w14:paraId="45CF277C">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无组织排放监控浓度限值（</w:t>
                  </w:r>
                  <w:r>
                    <w:rPr>
                      <w:rFonts w:hint="default" w:ascii="Times New Roman" w:hAnsi="Times New Roman" w:eastAsia="宋体" w:cs="Times New Roman"/>
                      <w:b/>
                      <w:bCs/>
                      <w:color w:val="auto"/>
                      <w:sz w:val="18"/>
                      <w:szCs w:val="18"/>
                      <w:lang w:val="en-US" w:eastAsia="zh-CN"/>
                    </w:rPr>
                    <w:t>mg/m³</w:t>
                  </w:r>
                  <w:r>
                    <w:rPr>
                      <w:rFonts w:hint="default" w:ascii="Times New Roman" w:hAnsi="Times New Roman" w:eastAsia="宋体" w:cs="Times New Roman"/>
                      <w:b/>
                      <w:bCs/>
                      <w:color w:val="auto"/>
                      <w:lang w:val="en-US" w:eastAsia="zh-CN"/>
                    </w:rPr>
                    <w:t>）</w:t>
                  </w:r>
                </w:p>
              </w:tc>
            </w:tr>
            <w:tr w14:paraId="41548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909" w:type="pct"/>
                  <w:vMerge w:val="restart"/>
                  <w:tcBorders>
                    <w:tl2br w:val="nil"/>
                    <w:tr2bl w:val="nil"/>
                  </w:tcBorders>
                  <w:noWrap w:val="0"/>
                  <w:vAlign w:val="center"/>
                </w:tcPr>
                <w:p w14:paraId="7A61454C">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厂界无组织</w:t>
                  </w:r>
                </w:p>
              </w:tc>
              <w:tc>
                <w:tcPr>
                  <w:tcW w:w="1654" w:type="pct"/>
                  <w:tcBorders>
                    <w:tl2br w:val="nil"/>
                    <w:tr2bl w:val="nil"/>
                  </w:tcBorders>
                  <w:noWrap w:val="0"/>
                  <w:vAlign w:val="center"/>
                </w:tcPr>
                <w:p w14:paraId="14643DD2">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大气污染物综合排放标准</w:t>
                  </w:r>
                  <w:r>
                    <w:rPr>
                      <w:rFonts w:hint="default" w:ascii="Times New Roman" w:hAnsi="Times New Roman" w:eastAsia="宋体" w:cs="Times New Roman"/>
                      <w:color w:val="auto"/>
                      <w:sz w:val="21"/>
                      <w:szCs w:val="21"/>
                    </w:rPr>
                    <w:t>》（GB</w:t>
                  </w:r>
                  <w:r>
                    <w:rPr>
                      <w:rFonts w:hint="default" w:ascii="Times New Roman" w:hAnsi="Times New Roman" w:eastAsia="宋体" w:cs="Times New Roman"/>
                      <w:color w:val="auto"/>
                      <w:sz w:val="21"/>
                      <w:szCs w:val="21"/>
                      <w:lang w:val="en-US" w:eastAsia="zh-CN"/>
                    </w:rPr>
                    <w:t>16297-1996</w:t>
                  </w:r>
                  <w:r>
                    <w:rPr>
                      <w:rFonts w:hint="default" w:ascii="Times New Roman" w:hAnsi="Times New Roman" w:eastAsia="宋体" w:cs="Times New Roman"/>
                      <w:color w:val="auto"/>
                      <w:sz w:val="21"/>
                      <w:szCs w:val="21"/>
                    </w:rPr>
                    <w:t>）</w:t>
                  </w:r>
                </w:p>
              </w:tc>
              <w:tc>
                <w:tcPr>
                  <w:tcW w:w="802" w:type="pct"/>
                  <w:tcBorders>
                    <w:tl2br w:val="nil"/>
                    <w:tr2bl w:val="nil"/>
                  </w:tcBorders>
                  <w:noWrap w:val="0"/>
                  <w:vAlign w:val="center"/>
                </w:tcPr>
                <w:p w14:paraId="356BFFAC">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w:t>
                  </w:r>
                </w:p>
              </w:tc>
              <w:tc>
                <w:tcPr>
                  <w:tcW w:w="638" w:type="pct"/>
                  <w:vMerge w:val="restart"/>
                  <w:tcBorders>
                    <w:tl2br w:val="nil"/>
                    <w:tr2bl w:val="nil"/>
                  </w:tcBorders>
                  <w:noWrap w:val="0"/>
                  <w:vAlign w:val="center"/>
                </w:tcPr>
                <w:p w14:paraId="548B2123">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周界外浓度</w:t>
                  </w:r>
                </w:p>
                <w:p w14:paraId="6845B4A8">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default" w:ascii="Times New Roman" w:hAnsi="Times New Roman" w:eastAsia="宋体" w:cs="Times New Roman"/>
                      <w:color w:val="auto"/>
                      <w:lang w:val="en-US" w:eastAsia="zh-CN"/>
                    </w:rPr>
                    <w:t>最高点</w:t>
                  </w:r>
                </w:p>
              </w:tc>
              <w:tc>
                <w:tcPr>
                  <w:tcW w:w="995" w:type="pct"/>
                  <w:tcBorders>
                    <w:tl2br w:val="nil"/>
                    <w:tr2bl w:val="nil"/>
                  </w:tcBorders>
                  <w:noWrap w:val="0"/>
                  <w:vAlign w:val="center"/>
                </w:tcPr>
                <w:p w14:paraId="258B9459">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default" w:ascii="Times New Roman" w:hAnsi="Times New Roman" w:eastAsia="宋体" w:cs="Times New Roman"/>
                      <w:color w:val="auto"/>
                      <w:lang w:val="en-US" w:eastAsia="zh-CN"/>
                    </w:rPr>
                    <w:t>1</w:t>
                  </w:r>
                </w:p>
              </w:tc>
            </w:tr>
            <w:tr w14:paraId="763E2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909" w:type="pct"/>
                  <w:vMerge w:val="continue"/>
                  <w:tcBorders>
                    <w:tl2br w:val="nil"/>
                    <w:tr2bl w:val="nil"/>
                  </w:tcBorders>
                  <w:noWrap w:val="0"/>
                  <w:vAlign w:val="center"/>
                </w:tcPr>
                <w:p w14:paraId="18A6506C">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p>
              </w:tc>
              <w:tc>
                <w:tcPr>
                  <w:tcW w:w="1654" w:type="pct"/>
                  <w:tcBorders>
                    <w:tl2br w:val="nil"/>
                    <w:tr2bl w:val="nil"/>
                  </w:tcBorders>
                  <w:noWrap w:val="0"/>
                  <w:vAlign w:val="center"/>
                </w:tcPr>
                <w:p w14:paraId="73FF6B4B">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挥发性有机物排放控制标准》（DB61/T1061-2017）表3企业边界监控点浓度限值</w:t>
                  </w:r>
                </w:p>
              </w:tc>
              <w:tc>
                <w:tcPr>
                  <w:tcW w:w="802" w:type="pct"/>
                  <w:tcBorders>
                    <w:tl2br w:val="nil"/>
                    <w:tr2bl w:val="nil"/>
                  </w:tcBorders>
                  <w:noWrap w:val="0"/>
                  <w:vAlign w:val="center"/>
                </w:tcPr>
                <w:p w14:paraId="51BDBB2E">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638" w:type="pct"/>
                  <w:vMerge w:val="continue"/>
                  <w:tcBorders>
                    <w:tl2br w:val="nil"/>
                    <w:tr2bl w:val="nil"/>
                  </w:tcBorders>
                  <w:noWrap w:val="0"/>
                  <w:vAlign w:val="center"/>
                </w:tcPr>
                <w:p w14:paraId="236F68E6">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p>
              </w:tc>
              <w:tc>
                <w:tcPr>
                  <w:tcW w:w="995" w:type="pct"/>
                  <w:tcBorders>
                    <w:tl2br w:val="nil"/>
                    <w:tr2bl w:val="nil"/>
                  </w:tcBorders>
                  <w:noWrap w:val="0"/>
                  <w:vAlign w:val="center"/>
                </w:tcPr>
                <w:p w14:paraId="4E828B62">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r>
            <w:tr w14:paraId="52D08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909" w:type="pct"/>
                  <w:tcBorders>
                    <w:tl2br w:val="nil"/>
                    <w:tr2bl w:val="nil"/>
                  </w:tcBorders>
                  <w:noWrap w:val="0"/>
                  <w:vAlign w:val="center"/>
                </w:tcPr>
                <w:p w14:paraId="4A202210">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厂内无组织</w:t>
                  </w:r>
                </w:p>
              </w:tc>
              <w:tc>
                <w:tcPr>
                  <w:tcW w:w="1654" w:type="pct"/>
                  <w:tcBorders>
                    <w:tl2br w:val="nil"/>
                    <w:tr2bl w:val="nil"/>
                  </w:tcBorders>
                  <w:noWrap w:val="0"/>
                  <w:vAlign w:val="center"/>
                </w:tcPr>
                <w:p w14:paraId="106E6BAD">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《挥发性有机物无组织排放控制标准》GB37822-2019</w:t>
                  </w:r>
                </w:p>
              </w:tc>
              <w:tc>
                <w:tcPr>
                  <w:tcW w:w="802" w:type="pct"/>
                  <w:tcBorders>
                    <w:tl2br w:val="nil"/>
                    <w:tr2bl w:val="nil"/>
                  </w:tcBorders>
                  <w:noWrap w:val="0"/>
                  <w:vAlign w:val="center"/>
                </w:tcPr>
                <w:p w14:paraId="74A39381">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非甲烷总烃</w:t>
                  </w:r>
                </w:p>
              </w:tc>
              <w:tc>
                <w:tcPr>
                  <w:tcW w:w="638" w:type="pct"/>
                  <w:tcBorders>
                    <w:tl2br w:val="nil"/>
                    <w:tr2bl w:val="nil"/>
                  </w:tcBorders>
                  <w:noWrap w:val="0"/>
                  <w:vAlign w:val="center"/>
                </w:tcPr>
                <w:p w14:paraId="653B9736">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default" w:ascii="Times New Roman" w:hAnsi="Times New Roman" w:eastAsia="宋体" w:cs="Times New Roman"/>
                      <w:b w:val="0"/>
                      <w:color w:val="auto"/>
                      <w:kern w:val="0"/>
                      <w:sz w:val="21"/>
                      <w:szCs w:val="20"/>
                      <w:lang w:val="en-US" w:eastAsia="zh-CN" w:bidi="ar-SA"/>
                    </w:rPr>
                    <w:t>厂房外设置</w:t>
                  </w:r>
                </w:p>
                <w:p w14:paraId="6507D938">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default" w:ascii="Times New Roman" w:hAnsi="Times New Roman" w:eastAsia="宋体" w:cs="Times New Roman"/>
                      <w:b w:val="0"/>
                      <w:color w:val="auto"/>
                      <w:kern w:val="0"/>
                      <w:sz w:val="21"/>
                      <w:szCs w:val="20"/>
                      <w:lang w:val="en-US" w:eastAsia="zh-CN" w:bidi="ar-SA"/>
                    </w:rPr>
                    <w:t>监控点</w:t>
                  </w:r>
                </w:p>
              </w:tc>
              <w:tc>
                <w:tcPr>
                  <w:tcW w:w="995" w:type="pct"/>
                  <w:tcBorders>
                    <w:tl2br w:val="nil"/>
                    <w:tr2bl w:val="nil"/>
                  </w:tcBorders>
                  <w:noWrap w:val="0"/>
                  <w:vAlign w:val="center"/>
                </w:tcPr>
                <w:p w14:paraId="34AA80A8">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p w14:paraId="7DEB20C6">
                  <w:pPr>
                    <w:pStyle w:val="173"/>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（监控点处1h平均浓度值）</w:t>
                  </w:r>
                </w:p>
              </w:tc>
            </w:tr>
            <w:tr w14:paraId="1172C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5000" w:type="pct"/>
                  <w:gridSpan w:val="5"/>
                  <w:tcBorders>
                    <w:tl2br w:val="nil"/>
                    <w:tr2bl w:val="nil"/>
                  </w:tcBorders>
                  <w:noWrap w:val="0"/>
                  <w:vAlign w:val="center"/>
                </w:tcPr>
                <w:p w14:paraId="0FEDA885">
                  <w:pPr>
                    <w:pStyle w:val="173"/>
                    <w:keepNext w:val="0"/>
                    <w:keepLines w:val="0"/>
                    <w:pageBreakBefore w:val="0"/>
                    <w:widowControl w:val="0"/>
                    <w:kinsoku/>
                    <w:wordWrap/>
                    <w:overflowPunct/>
                    <w:topLinePunct w:val="0"/>
                    <w:autoSpaceDE/>
                    <w:autoSpaceDN/>
                    <w:bidi w:val="0"/>
                    <w:adjustRightInd/>
                    <w:snapToGrid w:val="0"/>
                    <w:ind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注：“10.2废气收集系统要求”，收集的废气中NMHC初始排放速率≥3 kg/h时，应配置VOCs处理设施，处理效率不应低于80%；对于重点地区，收集的废气中NMHC初始排放速率≥2 kg/h时，应配置VOCs处理设施，处理效率不应低于80%；采用的原辅材料符合国家有关低VOCs含量产品规定的除外。本项目采用喷漆</w:t>
                  </w:r>
                  <w:r>
                    <w:rPr>
                      <w:rFonts w:hint="eastAsia" w:ascii="Times New Roman" w:hAnsi="Times New Roman" w:cs="Times New Roman"/>
                      <w:color w:val="auto"/>
                      <w:lang w:val="en-US" w:eastAsia="zh-CN"/>
                    </w:rPr>
                    <w:t>需</w:t>
                  </w:r>
                  <w:r>
                    <w:rPr>
                      <w:rFonts w:hint="default" w:ascii="Times New Roman" w:hAnsi="Times New Roman" w:cs="Times New Roman"/>
                      <w:color w:val="auto"/>
                      <w:lang w:val="en-US" w:eastAsia="zh-CN"/>
                    </w:rPr>
                    <w:t>满足《工业防护涂料中有害物质限量》（GB30981-2020）及《低挥发性有机化合物含量涂料产品技术要求》（GB/T38597-2020）中相应VOC</w:t>
                  </w:r>
                  <w:r>
                    <w:rPr>
                      <w:rFonts w:hint="default" w:ascii="Times New Roman" w:hAnsi="Times New Roman" w:cs="Times New Roman"/>
                      <w:color w:val="auto"/>
                      <w:vertAlign w:val="subscript"/>
                      <w:lang w:val="en-US" w:eastAsia="zh-CN"/>
                    </w:rPr>
                    <w:t>S</w:t>
                  </w:r>
                  <w:r>
                    <w:rPr>
                      <w:rFonts w:hint="default" w:ascii="Times New Roman" w:hAnsi="Times New Roman" w:cs="Times New Roman"/>
                      <w:color w:val="auto"/>
                      <w:lang w:val="en-US" w:eastAsia="zh-CN"/>
                    </w:rPr>
                    <w:t>含量限量要求。</w:t>
                  </w:r>
                  <w:r>
                    <w:rPr>
                      <w:rFonts w:hint="default" w:ascii="Times New Roman" w:hAnsi="Times New Roman" w:cs="Times New Roman"/>
                      <w:b/>
                      <w:bCs/>
                      <w:color w:val="auto"/>
                      <w:lang w:val="en-US" w:eastAsia="zh-CN"/>
                    </w:rPr>
                    <w:t>因此，本项目废气处理设施（二级活性炭吸附箱）的处理效率不应低于80%。</w:t>
                  </w:r>
                </w:p>
              </w:tc>
            </w:tr>
          </w:tbl>
          <w:p w14:paraId="0FC9519F">
            <w:pPr>
              <w:adjustRightInd w:val="0"/>
              <w:snapToGrid w:val="0"/>
              <w:spacing w:line="360" w:lineRule="auto"/>
              <w:ind w:firstLine="480" w:firstLineChars="20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挥发性有机物无组织排放控制标准》（GB37822-2019）中同时，根据《重污染天气重点行业应急减排措施制定技术指南》（环办大气函〔2020〕（340）号）中工业涂装A级企业“排放限值”要求，在连续一年的监测数据中，车间或生产设施排气筒排放的NMHC为20mg/m³～30mg/m³，厂区内无组织排放监控点NMHC的小时平均浓度值不超过6mg/m³、任意一次浓度值不超过20mg/m³。</w:t>
            </w:r>
          </w:p>
          <w:p w14:paraId="38F6E3F2">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2.噪声排放标准</w:t>
            </w:r>
          </w:p>
          <w:p w14:paraId="69C017B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bookmarkStart w:id="2" w:name="_Hlk41382489"/>
            <w:r>
              <w:rPr>
                <w:rFonts w:hint="default" w:ascii="Times New Roman" w:hAnsi="Times New Roman" w:eastAsia="宋体" w:cs="Times New Roman"/>
                <w:color w:val="auto"/>
                <w:sz w:val="24"/>
                <w:lang w:val="en-US" w:eastAsia="zh-CN"/>
              </w:rPr>
              <w:t>本项目运</w:t>
            </w:r>
            <w:r>
              <w:rPr>
                <w:rFonts w:hint="default" w:ascii="Times New Roman" w:hAnsi="Times New Roman" w:cs="Times New Roman"/>
                <w:color w:val="auto"/>
                <w:sz w:val="24"/>
              </w:rPr>
              <w:t>营期</w:t>
            </w:r>
            <w:r>
              <w:rPr>
                <w:rFonts w:hint="default" w:ascii="Times New Roman" w:hAnsi="Times New Roman" w:cs="Times New Roman"/>
                <w:color w:val="auto"/>
                <w:sz w:val="24"/>
                <w:lang w:val="en-US" w:eastAsia="zh-CN"/>
              </w:rPr>
              <w:t>厂界</w:t>
            </w:r>
            <w:r>
              <w:rPr>
                <w:rFonts w:hint="default" w:ascii="Times New Roman" w:hAnsi="Times New Roman" w:cs="Times New Roman"/>
                <w:color w:val="auto"/>
                <w:sz w:val="24"/>
              </w:rPr>
              <w:t>噪声排放限值执行《工业企业厂界环境噪声排放标准》（GB12348-2008）</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类标准限值</w:t>
            </w:r>
            <w:bookmarkEnd w:id="2"/>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详见表3-</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w:t>
            </w:r>
          </w:p>
          <w:p w14:paraId="75063BFC">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b/>
                <w:color w:val="auto"/>
                <w:sz w:val="24"/>
              </w:rPr>
            </w:pPr>
            <w:bookmarkStart w:id="3" w:name="_Hlk41382497"/>
            <w:r>
              <w:rPr>
                <w:rFonts w:hint="default" w:ascii="Times New Roman" w:hAnsi="Times New Roman" w:eastAsia="宋体" w:cs="Times New Roman"/>
                <w:b/>
                <w:bCs/>
                <w:color w:val="auto"/>
                <w:sz w:val="21"/>
                <w:szCs w:val="21"/>
                <w:lang w:val="en-US" w:eastAsia="zh-CN"/>
              </w:rPr>
              <w:t>表3-</w:t>
            </w:r>
            <w:r>
              <w:rPr>
                <w:rFonts w:hint="default" w:ascii="Times New Roman" w:hAnsi="Times New Roman"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《工业企业厂界环境噪声排放标准》（GB12348-2008）单位dB（A）</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32"/>
              <w:gridCol w:w="4158"/>
            </w:tblGrid>
            <w:tr w14:paraId="61AEB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07" w:type="pct"/>
                  <w:noWrap w:val="0"/>
                  <w:vAlign w:val="center"/>
                </w:tcPr>
                <w:p w14:paraId="7EDDD892">
                  <w:pPr>
                    <w:widowControl/>
                    <w:autoSpaceDE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声环境功能区类别</w:t>
                  </w:r>
                </w:p>
              </w:tc>
              <w:tc>
                <w:tcPr>
                  <w:tcW w:w="2392" w:type="pct"/>
                  <w:noWrap w:val="0"/>
                  <w:vAlign w:val="center"/>
                </w:tcPr>
                <w:p w14:paraId="3A3479C7">
                  <w:pPr>
                    <w:widowControl/>
                    <w:autoSpaceDE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昼间</w:t>
                  </w:r>
                </w:p>
              </w:tc>
            </w:tr>
            <w:tr w14:paraId="5BE894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07" w:type="pct"/>
                  <w:noWrap w:val="0"/>
                  <w:vAlign w:val="center"/>
                </w:tcPr>
                <w:p w14:paraId="3E09C625">
                  <w:pPr>
                    <w:widowControl/>
                    <w:autoSpaceDE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2</w:t>
                  </w:r>
                  <w:r>
                    <w:rPr>
                      <w:rFonts w:hint="default" w:ascii="Times New Roman" w:hAnsi="Times New Roman" w:cs="Times New Roman"/>
                      <w:color w:val="auto"/>
                      <w:kern w:val="0"/>
                      <w:szCs w:val="21"/>
                    </w:rPr>
                    <w:t>类</w:t>
                  </w:r>
                </w:p>
              </w:tc>
              <w:tc>
                <w:tcPr>
                  <w:tcW w:w="2392" w:type="pct"/>
                  <w:noWrap w:val="0"/>
                  <w:vAlign w:val="center"/>
                </w:tcPr>
                <w:p w14:paraId="2567426F">
                  <w:pPr>
                    <w:widowControl/>
                    <w:autoSpaceDE w:val="0"/>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60</w:t>
                  </w:r>
                </w:p>
              </w:tc>
            </w:tr>
            <w:bookmarkEnd w:id="3"/>
          </w:tbl>
          <w:p w14:paraId="45F3213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3.固体废物</w:t>
            </w:r>
          </w:p>
          <w:p w14:paraId="78C14463">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固体废物的处理、处置均应满足《中华人民共和国固体废物污染环境防治法》中的有关规定要求。采用库房、包装工具（罐、桶、包装袋等）贮存一般工业固体废物过程的污染控制，其贮存过程应满足相应防渗漏、防雨淋、防扬尘等环境保护要求。</w:t>
            </w:r>
          </w:p>
          <w:p w14:paraId="3FDBDB35">
            <w:pPr>
              <w:adjustRightInd w:val="0"/>
              <w:snapToGrid w:val="0"/>
              <w:spacing w:line="360" w:lineRule="auto"/>
              <w:ind w:firstLine="480" w:firstLineChars="200"/>
              <w:jc w:val="left"/>
              <w:rPr>
                <w:rFonts w:hint="default" w:ascii="Times New Roman" w:hAnsi="Times New Roman" w:cs="Times New Roman"/>
                <w:color w:val="auto"/>
                <w:kern w:val="0"/>
                <w:szCs w:val="21"/>
              </w:rPr>
            </w:pPr>
            <w:r>
              <w:rPr>
                <w:rFonts w:hint="default" w:ascii="Times New Roman" w:hAnsi="Times New Roman" w:cs="Times New Roman"/>
                <w:color w:val="auto"/>
                <w:sz w:val="24"/>
              </w:rPr>
              <w:t>危险废物执行《危险废物贮存污染控制标准》（GB18597-2023）。</w:t>
            </w:r>
          </w:p>
        </w:tc>
      </w:tr>
      <w:tr w14:paraId="07A3C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424" w:type="dxa"/>
            <w:noWrap w:val="0"/>
            <w:vAlign w:val="center"/>
          </w:tcPr>
          <w:p w14:paraId="586AB41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总量</w:t>
            </w:r>
          </w:p>
          <w:p w14:paraId="581F391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控制</w:t>
            </w:r>
          </w:p>
          <w:p w14:paraId="25B897C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指标</w:t>
            </w:r>
          </w:p>
        </w:tc>
        <w:tc>
          <w:tcPr>
            <w:tcW w:w="8939" w:type="dxa"/>
            <w:noWrap w:val="0"/>
            <w:vAlign w:val="center"/>
          </w:tcPr>
          <w:p w14:paraId="211CBBB3">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根据《陕西省“十四五”生态环境保护规划》（陕政办发</w:t>
            </w:r>
            <w:r>
              <w:rPr>
                <w:rFonts w:hint="default" w:ascii="Times New Roman" w:hAnsi="Times New Roman" w:cs="Times New Roman"/>
                <w:color w:val="auto"/>
                <w:sz w:val="24"/>
                <w:lang w:eastAsia="zh-CN"/>
              </w:rPr>
              <w:t>〔2021〕25号</w:t>
            </w:r>
            <w:r>
              <w:rPr>
                <w:rFonts w:hint="default" w:ascii="Times New Roman" w:hAnsi="Times New Roman" w:cs="Times New Roman"/>
                <w:color w:val="auto"/>
                <w:sz w:val="24"/>
              </w:rPr>
              <w:t>）文件，对NO</w:t>
            </w:r>
            <w:r>
              <w:rPr>
                <w:rFonts w:hint="default" w:ascii="Times New Roman" w:hAnsi="Times New Roman" w:cs="Times New Roman"/>
                <w:color w:val="auto"/>
                <w:sz w:val="24"/>
                <w:vertAlign w:val="subscript"/>
              </w:rPr>
              <w:t>X</w:t>
            </w:r>
            <w:r>
              <w:rPr>
                <w:rFonts w:hint="default" w:ascii="Times New Roman" w:hAnsi="Times New Roman" w:cs="Times New Roman"/>
                <w:color w:val="auto"/>
                <w:sz w:val="24"/>
              </w:rPr>
              <w:t>、VOC</w:t>
            </w:r>
            <w:r>
              <w:rPr>
                <w:rFonts w:hint="default" w:ascii="Times New Roman" w:hAnsi="Times New Roman" w:cs="Times New Roman"/>
                <w:color w:val="auto"/>
                <w:sz w:val="24"/>
                <w:vertAlign w:val="subscript"/>
                <w:lang w:val="en-US" w:eastAsia="zh-CN"/>
              </w:rPr>
              <w:t>S</w:t>
            </w:r>
            <w:r>
              <w:rPr>
                <w:rFonts w:hint="default" w:ascii="Times New Roman" w:hAnsi="Times New Roman" w:cs="Times New Roman"/>
                <w:color w:val="auto"/>
                <w:sz w:val="24"/>
              </w:rPr>
              <w:t>、COD和NH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-N污染物排放实行总量控制和计划管理的规定。本项目建成后涉及废气因子主要为颗粒物、二氧化硫、氮氧化物和非甲烷总烃。</w:t>
            </w:r>
          </w:p>
          <w:p w14:paraId="4A0E35AF">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综上，本项目主要涉及的总量控制因子为氮氧化物和VOC</w:t>
            </w:r>
            <w:r>
              <w:rPr>
                <w:rFonts w:hint="default" w:ascii="Times New Roman" w:hAnsi="Times New Roman" w:cs="Times New Roman"/>
                <w:color w:val="auto"/>
                <w:sz w:val="24"/>
                <w:vertAlign w:val="subscript"/>
                <w:lang w:val="en-US" w:eastAsia="zh-CN"/>
              </w:rPr>
              <w:t>S</w:t>
            </w:r>
            <w:r>
              <w:rPr>
                <w:rFonts w:hint="default" w:ascii="Times New Roman" w:hAnsi="Times New Roman" w:cs="Times New Roman"/>
                <w:color w:val="auto"/>
                <w:sz w:val="24"/>
              </w:rPr>
              <w:t>，排放总量分别为0.</w:t>
            </w:r>
            <w:r>
              <w:rPr>
                <w:rFonts w:hint="default" w:ascii="Times New Roman" w:hAnsi="Times New Roman" w:cs="Times New Roman"/>
                <w:color w:val="auto"/>
                <w:sz w:val="24"/>
                <w:lang w:val="en-US" w:eastAsia="zh-CN"/>
              </w:rPr>
              <w:t>083</w:t>
            </w:r>
            <w:r>
              <w:rPr>
                <w:rFonts w:hint="default" w:ascii="Times New Roman" w:hAnsi="Times New Roman" w:cs="Times New Roman"/>
                <w:color w:val="auto"/>
                <w:sz w:val="24"/>
              </w:rPr>
              <w:t>t/a和</w:t>
            </w:r>
            <w:r>
              <w:rPr>
                <w:rFonts w:hint="default" w:ascii="Times New Roman" w:hAnsi="Times New Roman" w:cs="Times New Roman"/>
                <w:color w:val="auto"/>
                <w:sz w:val="24"/>
                <w:lang w:val="en-US" w:eastAsia="zh-CN"/>
              </w:rPr>
              <w:t>0.322</w:t>
            </w:r>
            <w:r>
              <w:rPr>
                <w:rFonts w:hint="default" w:ascii="Times New Roman" w:hAnsi="Times New Roman" w:cs="Times New Roman"/>
                <w:color w:val="auto"/>
                <w:sz w:val="24"/>
              </w:rPr>
              <w:t>t/a。具体总量指标最后以当地生态环境保护部门核定的总量为准。本项目总量通过排污权交易获得。</w:t>
            </w:r>
          </w:p>
          <w:p w14:paraId="52B00E5A">
            <w:pPr>
              <w:spacing w:line="360" w:lineRule="auto"/>
              <w:ind w:firstLine="480" w:firstLineChars="200"/>
              <w:jc w:val="both"/>
              <w:rPr>
                <w:rFonts w:hint="default" w:ascii="Times New Roman" w:hAnsi="Times New Roman" w:cs="Times New Roman"/>
                <w:color w:val="auto"/>
                <w:sz w:val="24"/>
              </w:rPr>
            </w:pPr>
          </w:p>
        </w:tc>
      </w:tr>
    </w:tbl>
    <w:p w14:paraId="46E85670">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32"/>
        <w:tblW w:w="93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0"/>
        <w:gridCol w:w="8767"/>
      </w:tblGrid>
      <w:tr w14:paraId="52E47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 w:type="dxa"/>
            <w:noWrap w:val="0"/>
            <w:tcMar>
              <w:left w:w="28" w:type="dxa"/>
              <w:right w:w="28" w:type="dxa"/>
            </w:tcMar>
            <w:vAlign w:val="center"/>
          </w:tcPr>
          <w:p w14:paraId="154DB0D1">
            <w:pPr>
              <w:pStyle w:val="2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14:paraId="4EB324BD">
            <w:pPr>
              <w:pStyle w:val="2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5C883C51">
            <w:pPr>
              <w:pStyle w:val="2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3A2B8848">
            <w:pPr>
              <w:pStyle w:val="2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3EA47BED">
            <w:pPr>
              <w:pStyle w:val="27"/>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767" w:type="dxa"/>
            <w:noWrap w:val="0"/>
            <w:vAlign w:val="center"/>
          </w:tcPr>
          <w:p w14:paraId="43BCE6A1">
            <w:pPr>
              <w:adjustRightInd w:val="0"/>
              <w:snapToGrid w:val="0"/>
              <w:spacing w:line="360" w:lineRule="auto"/>
              <w:ind w:firstLine="480" w:firstLineChars="200"/>
              <w:rPr>
                <w:rFonts w:hint="default" w:ascii="Times New Roman" w:hAnsi="Times New Roman" w:cs="Times New Roman"/>
                <w:bCs/>
                <w:color w:val="000000" w:themeColor="text1"/>
                <w:kern w:val="0"/>
                <w:sz w:val="24"/>
                <w:szCs w:val="24"/>
                <w14:textFill>
                  <w14:solidFill>
                    <w14:schemeClr w14:val="tx1"/>
                  </w14:solidFill>
                </w14:textFill>
              </w:rPr>
            </w:pPr>
            <w:r>
              <w:rPr>
                <w:rFonts w:hint="default" w:ascii="Times New Roman" w:hAnsi="Times New Roman" w:cs="Times New Roman"/>
                <w:bCs/>
                <w:color w:val="000000" w:themeColor="text1"/>
                <w:kern w:val="0"/>
                <w:sz w:val="24"/>
                <w:szCs w:val="24"/>
                <w14:textFill>
                  <w14:solidFill>
                    <w14:schemeClr w14:val="tx1"/>
                  </w14:solidFill>
                </w14:textFill>
              </w:rPr>
              <w:t>项目生产厂房已建成，施工过程主要是在已建好的标准厂房内布局调整、设备安装，项目施工期较短，施工过程污染物主要有施工废气、施工废水、噪声及固体废物。</w:t>
            </w:r>
          </w:p>
          <w:p w14:paraId="4995F874">
            <w:pPr>
              <w:adjustRightInd w:val="0"/>
              <w:snapToGrid w:val="0"/>
              <w:spacing w:line="360" w:lineRule="auto"/>
              <w:ind w:firstLine="482" w:firstLineChars="200"/>
              <w:rPr>
                <w:rFonts w:hint="default" w:ascii="Times New Roman" w:hAnsi="Times New Roman" w:cs="Times New Roman"/>
                <w:b/>
                <w:bCs w:val="0"/>
                <w:color w:val="000000" w:themeColor="text1"/>
                <w:kern w:val="0"/>
                <w:sz w:val="24"/>
                <w:szCs w:val="24"/>
                <w14:textFill>
                  <w14:solidFill>
                    <w14:schemeClr w14:val="tx1"/>
                  </w14:solidFill>
                </w14:textFill>
              </w:rPr>
            </w:pPr>
            <w:r>
              <w:rPr>
                <w:rFonts w:hint="eastAsia" w:ascii="Times New Roman" w:hAnsi="Times New Roman" w:cs="Times New Roman"/>
                <w:b/>
                <w:bCs w:val="0"/>
                <w:color w:val="000000" w:themeColor="text1"/>
                <w:kern w:val="0"/>
                <w:sz w:val="24"/>
                <w:szCs w:val="24"/>
                <w:lang w:eastAsia="zh-CN"/>
                <w14:textFill>
                  <w14:solidFill>
                    <w14:schemeClr w14:val="tx1"/>
                  </w14:solidFill>
                </w14:textFill>
              </w:rPr>
              <w:t>1.</w:t>
            </w:r>
            <w:r>
              <w:rPr>
                <w:rFonts w:hint="default" w:ascii="Times New Roman" w:hAnsi="Times New Roman" w:cs="Times New Roman"/>
                <w:b/>
                <w:bCs w:val="0"/>
                <w:color w:val="000000" w:themeColor="text1"/>
                <w:kern w:val="0"/>
                <w:sz w:val="24"/>
                <w:szCs w:val="24"/>
                <w14:textFill>
                  <w14:solidFill>
                    <w14:schemeClr w14:val="tx1"/>
                  </w14:solidFill>
                </w14:textFill>
              </w:rPr>
              <w:t>大气污染防治措施</w:t>
            </w:r>
          </w:p>
          <w:p w14:paraId="332D3B17">
            <w:pPr>
              <w:adjustRightInd w:val="0"/>
              <w:snapToGrid w:val="0"/>
              <w:spacing w:line="360" w:lineRule="auto"/>
              <w:ind w:firstLine="480" w:firstLineChars="200"/>
              <w:rPr>
                <w:rFonts w:hint="default" w:ascii="Times New Roman" w:hAnsi="Times New Roman" w:cs="Times New Roman"/>
                <w:bCs/>
                <w:color w:val="000000" w:themeColor="text1"/>
                <w:kern w:val="0"/>
                <w:sz w:val="24"/>
                <w:szCs w:val="24"/>
                <w14:textFill>
                  <w14:solidFill>
                    <w14:schemeClr w14:val="tx1"/>
                  </w14:solidFill>
                </w14:textFill>
              </w:rPr>
            </w:pPr>
            <w:r>
              <w:rPr>
                <w:rFonts w:hint="default" w:ascii="Times New Roman" w:hAnsi="Times New Roman" w:cs="Times New Roman"/>
                <w:bCs/>
                <w:color w:val="000000" w:themeColor="text1"/>
                <w:kern w:val="0"/>
                <w:sz w:val="24"/>
                <w:szCs w:val="24"/>
                <w14:textFill>
                  <w14:solidFill>
                    <w14:schemeClr w14:val="tx1"/>
                  </w14:solidFill>
                </w14:textFill>
              </w:rPr>
              <w:t>施工期间施工单位严格按照《陕西省大气污染防治条例》和《宝鸡市大气污染防治条例》等要求加强管理，限制设备及材料运输车辆车速，保持本项目及周边道路路面清洁，对沿线道路常洒水降尘。</w:t>
            </w:r>
          </w:p>
          <w:p w14:paraId="1D0958F1">
            <w:pPr>
              <w:adjustRightInd w:val="0"/>
              <w:snapToGrid w:val="0"/>
              <w:spacing w:line="360" w:lineRule="auto"/>
              <w:ind w:firstLine="480" w:firstLineChars="200"/>
              <w:rPr>
                <w:rFonts w:hint="default" w:ascii="Times New Roman" w:hAnsi="Times New Roman" w:cs="Times New Roman"/>
                <w:bCs/>
                <w:color w:val="000000" w:themeColor="text1"/>
                <w:kern w:val="0"/>
                <w:sz w:val="24"/>
                <w:szCs w:val="24"/>
                <w14:textFill>
                  <w14:solidFill>
                    <w14:schemeClr w14:val="tx1"/>
                  </w14:solidFill>
                </w14:textFill>
              </w:rPr>
            </w:pPr>
            <w:r>
              <w:rPr>
                <w:rFonts w:hint="default" w:ascii="Times New Roman" w:hAnsi="Times New Roman" w:cs="Times New Roman"/>
                <w:bCs/>
                <w:color w:val="000000" w:themeColor="text1"/>
                <w:kern w:val="0"/>
                <w:sz w:val="24"/>
                <w:szCs w:val="24"/>
                <w14:textFill>
                  <w14:solidFill>
                    <w14:schemeClr w14:val="tx1"/>
                  </w14:solidFill>
                </w14:textFill>
              </w:rPr>
              <w:t>施工期间，禁止使用国Ⅲ以下标准的叉车、吊车等非道路移动机械。同时加强施工车辆运行管理与维护保养，减少尾气排放对环境的污染。</w:t>
            </w:r>
          </w:p>
          <w:p w14:paraId="46D23CC6">
            <w:pPr>
              <w:adjustRightInd w:val="0"/>
              <w:snapToGrid w:val="0"/>
              <w:spacing w:line="360" w:lineRule="auto"/>
              <w:ind w:firstLine="482" w:firstLineChars="200"/>
              <w:rPr>
                <w:rFonts w:hint="default" w:ascii="Times New Roman" w:hAnsi="Times New Roman" w:cs="Times New Roman"/>
                <w:b/>
                <w:bCs w:val="0"/>
                <w:color w:val="000000" w:themeColor="text1"/>
                <w:kern w:val="0"/>
                <w:sz w:val="24"/>
                <w:szCs w:val="24"/>
                <w14:textFill>
                  <w14:solidFill>
                    <w14:schemeClr w14:val="tx1"/>
                  </w14:solidFill>
                </w14:textFill>
              </w:rPr>
            </w:pPr>
            <w:r>
              <w:rPr>
                <w:rFonts w:hint="eastAsia" w:ascii="Times New Roman" w:hAnsi="Times New Roman" w:cs="Times New Roman"/>
                <w:b/>
                <w:bCs w:val="0"/>
                <w:color w:val="000000" w:themeColor="text1"/>
                <w:kern w:val="0"/>
                <w:sz w:val="24"/>
                <w:szCs w:val="24"/>
                <w:lang w:eastAsia="zh-CN"/>
                <w14:textFill>
                  <w14:solidFill>
                    <w14:schemeClr w14:val="tx1"/>
                  </w14:solidFill>
                </w14:textFill>
              </w:rPr>
              <w:t>2.</w:t>
            </w:r>
            <w:r>
              <w:rPr>
                <w:rFonts w:hint="default" w:ascii="Times New Roman" w:hAnsi="Times New Roman" w:cs="Times New Roman"/>
                <w:b/>
                <w:bCs w:val="0"/>
                <w:color w:val="000000" w:themeColor="text1"/>
                <w:kern w:val="0"/>
                <w:sz w:val="24"/>
                <w:szCs w:val="24"/>
                <w14:textFill>
                  <w14:solidFill>
                    <w14:schemeClr w14:val="tx1"/>
                  </w14:solidFill>
                </w14:textFill>
              </w:rPr>
              <w:t>废水污染防治措施</w:t>
            </w:r>
          </w:p>
          <w:p w14:paraId="1C834E31">
            <w:pPr>
              <w:adjustRightInd w:val="0"/>
              <w:snapToGrid w:val="0"/>
              <w:spacing w:line="360" w:lineRule="auto"/>
              <w:ind w:firstLine="480" w:firstLineChars="200"/>
              <w:rPr>
                <w:rFonts w:hint="default" w:ascii="Times New Roman" w:hAnsi="Times New Roman" w:cs="Times New Roman"/>
                <w:bCs/>
                <w:color w:val="000000" w:themeColor="text1"/>
                <w:kern w:val="0"/>
                <w:sz w:val="24"/>
                <w:szCs w:val="24"/>
                <w14:textFill>
                  <w14:solidFill>
                    <w14:schemeClr w14:val="tx1"/>
                  </w14:solidFill>
                </w14:textFill>
              </w:rPr>
            </w:pPr>
            <w:r>
              <w:rPr>
                <w:rFonts w:hint="default" w:ascii="Times New Roman" w:hAnsi="Times New Roman" w:cs="Times New Roman"/>
                <w:bCs/>
                <w:color w:val="000000" w:themeColor="text1"/>
                <w:kern w:val="0"/>
                <w:sz w:val="24"/>
                <w:szCs w:val="24"/>
                <w14:textFill>
                  <w14:solidFill>
                    <w14:schemeClr w14:val="tx1"/>
                  </w14:solidFill>
                </w14:textFill>
              </w:rPr>
              <w:t>施工期产生的废水主要为设备安装人员产生的盥洗废水，项目设备安装约10人，用水量按25L/人∙d计，废水产生量按用水量的80%，项目施工期生活污水产生量为0.2</w:t>
            </w:r>
            <w:r>
              <w:rPr>
                <w:rFonts w:hint="default" w:ascii="Times New Roman" w:hAnsi="Times New Roman" w:cs="Times New Roman"/>
                <w:bCs/>
                <w:color w:val="000000" w:themeColor="text1"/>
                <w:kern w:val="0"/>
                <w:sz w:val="24"/>
                <w:szCs w:val="24"/>
                <w:lang w:eastAsia="zh-CN"/>
                <w14:textFill>
                  <w14:solidFill>
                    <w14:schemeClr w14:val="tx1"/>
                  </w14:solidFill>
                </w14:textFill>
              </w:rPr>
              <w:t>m³</w:t>
            </w:r>
            <w:r>
              <w:rPr>
                <w:rFonts w:hint="default" w:ascii="Times New Roman" w:hAnsi="Times New Roman" w:cs="Times New Roman"/>
                <w:bCs/>
                <w:color w:val="000000" w:themeColor="text1"/>
                <w:kern w:val="0"/>
                <w:sz w:val="24"/>
                <w:szCs w:val="24"/>
                <w14:textFill>
                  <w14:solidFill>
                    <w14:schemeClr w14:val="tx1"/>
                  </w14:solidFill>
                </w14:textFill>
              </w:rPr>
              <w:t>/d，生活污水利用租赁厂内处理设施。</w:t>
            </w:r>
          </w:p>
          <w:p w14:paraId="70E63C37">
            <w:pPr>
              <w:adjustRightInd w:val="0"/>
              <w:snapToGrid w:val="0"/>
              <w:spacing w:line="360" w:lineRule="auto"/>
              <w:ind w:firstLine="482" w:firstLineChars="200"/>
              <w:rPr>
                <w:rFonts w:hint="default" w:ascii="Times New Roman" w:hAnsi="Times New Roman" w:cs="Times New Roman"/>
                <w:b/>
                <w:bCs w:val="0"/>
                <w:color w:val="000000" w:themeColor="text1"/>
                <w:kern w:val="0"/>
                <w:sz w:val="24"/>
                <w:szCs w:val="24"/>
                <w14:textFill>
                  <w14:solidFill>
                    <w14:schemeClr w14:val="tx1"/>
                  </w14:solidFill>
                </w14:textFill>
              </w:rPr>
            </w:pPr>
            <w:r>
              <w:rPr>
                <w:rFonts w:hint="eastAsia" w:ascii="Times New Roman" w:hAnsi="Times New Roman" w:cs="Times New Roman"/>
                <w:b/>
                <w:bCs w:val="0"/>
                <w:color w:val="000000" w:themeColor="text1"/>
                <w:kern w:val="0"/>
                <w:sz w:val="24"/>
                <w:szCs w:val="24"/>
                <w:lang w:eastAsia="zh-CN"/>
                <w14:textFill>
                  <w14:solidFill>
                    <w14:schemeClr w14:val="tx1"/>
                  </w14:solidFill>
                </w14:textFill>
              </w:rPr>
              <w:t>3.</w:t>
            </w:r>
            <w:r>
              <w:rPr>
                <w:rFonts w:hint="default" w:ascii="Times New Roman" w:hAnsi="Times New Roman" w:cs="Times New Roman"/>
                <w:b/>
                <w:bCs w:val="0"/>
                <w:color w:val="000000" w:themeColor="text1"/>
                <w:kern w:val="0"/>
                <w:sz w:val="24"/>
                <w:szCs w:val="24"/>
                <w14:textFill>
                  <w14:solidFill>
                    <w14:schemeClr w14:val="tx1"/>
                  </w14:solidFill>
                </w14:textFill>
              </w:rPr>
              <w:t>噪声污染防治措施</w:t>
            </w:r>
          </w:p>
          <w:p w14:paraId="1576D4ED">
            <w:pPr>
              <w:adjustRightInd w:val="0"/>
              <w:snapToGrid w:val="0"/>
              <w:spacing w:line="360" w:lineRule="auto"/>
              <w:ind w:firstLine="480" w:firstLineChars="200"/>
              <w:rPr>
                <w:rFonts w:hint="default" w:ascii="Times New Roman" w:hAnsi="Times New Roman" w:cs="Times New Roman"/>
                <w:bCs/>
                <w:color w:val="000000" w:themeColor="text1"/>
                <w:kern w:val="0"/>
                <w:sz w:val="24"/>
                <w:szCs w:val="24"/>
                <w14:textFill>
                  <w14:solidFill>
                    <w14:schemeClr w14:val="tx1"/>
                  </w14:solidFill>
                </w14:textFill>
              </w:rPr>
            </w:pPr>
            <w:r>
              <w:rPr>
                <w:rFonts w:hint="default" w:ascii="Times New Roman" w:hAnsi="Times New Roman" w:cs="Times New Roman"/>
                <w:bCs/>
                <w:color w:val="000000" w:themeColor="text1"/>
                <w:kern w:val="0"/>
                <w:sz w:val="24"/>
                <w:szCs w:val="24"/>
                <w14:textFill>
                  <w14:solidFill>
                    <w14:schemeClr w14:val="tx1"/>
                  </w14:solidFill>
                </w14:textFill>
              </w:rPr>
              <w:t>（1）降低施工设备噪声：尽量采用低噪声设备；对动力机械、设备加强定期检修养护。</w:t>
            </w:r>
          </w:p>
          <w:p w14:paraId="6ECD9891">
            <w:pPr>
              <w:adjustRightInd w:val="0"/>
              <w:snapToGrid w:val="0"/>
              <w:spacing w:line="360" w:lineRule="auto"/>
              <w:ind w:firstLine="480" w:firstLineChars="200"/>
              <w:rPr>
                <w:rFonts w:hint="default" w:ascii="Times New Roman" w:hAnsi="Times New Roman" w:cs="Times New Roman"/>
                <w:bCs/>
                <w:color w:val="000000" w:themeColor="text1"/>
                <w:kern w:val="0"/>
                <w:sz w:val="24"/>
                <w:szCs w:val="24"/>
                <w14:textFill>
                  <w14:solidFill>
                    <w14:schemeClr w14:val="tx1"/>
                  </w14:solidFill>
                </w14:textFill>
              </w:rPr>
            </w:pPr>
            <w:r>
              <w:rPr>
                <w:rFonts w:hint="default" w:ascii="Times New Roman" w:hAnsi="Times New Roman" w:cs="Times New Roman"/>
                <w:bCs/>
                <w:color w:val="000000" w:themeColor="text1"/>
                <w:kern w:val="0"/>
                <w:sz w:val="24"/>
                <w:szCs w:val="24"/>
                <w14:textFill>
                  <w14:solidFill>
                    <w14:schemeClr w14:val="tx1"/>
                  </w14:solidFill>
                </w14:textFill>
              </w:rPr>
              <w:t>（2）降低人为噪声：按规定操作机械设备，尽量减少碰撞声音。</w:t>
            </w:r>
          </w:p>
          <w:p w14:paraId="7EF134F5">
            <w:pPr>
              <w:adjustRightInd w:val="0"/>
              <w:snapToGrid w:val="0"/>
              <w:spacing w:line="360" w:lineRule="auto"/>
              <w:ind w:firstLine="480" w:firstLineChars="200"/>
              <w:rPr>
                <w:rFonts w:hint="default" w:ascii="Times New Roman" w:hAnsi="Times New Roman" w:cs="Times New Roman"/>
                <w:bCs/>
                <w:color w:val="000000" w:themeColor="text1"/>
                <w:kern w:val="0"/>
                <w:sz w:val="24"/>
                <w:szCs w:val="24"/>
                <w14:textFill>
                  <w14:solidFill>
                    <w14:schemeClr w14:val="tx1"/>
                  </w14:solidFill>
                </w14:textFill>
              </w:rPr>
            </w:pPr>
            <w:r>
              <w:rPr>
                <w:rFonts w:hint="default" w:ascii="Times New Roman" w:hAnsi="Times New Roman" w:cs="Times New Roman"/>
                <w:bCs/>
                <w:color w:val="000000" w:themeColor="text1"/>
                <w:kern w:val="0"/>
                <w:sz w:val="24"/>
                <w:szCs w:val="24"/>
                <w14:textFill>
                  <w14:solidFill>
                    <w14:schemeClr w14:val="tx1"/>
                  </w14:solidFill>
                </w14:textFill>
              </w:rPr>
              <w:t>（3）控制汽车鸣笛，设置限速、禁鸣标志。</w:t>
            </w:r>
          </w:p>
          <w:p w14:paraId="49F5F563">
            <w:pPr>
              <w:adjustRightInd w:val="0"/>
              <w:snapToGrid w:val="0"/>
              <w:spacing w:line="360" w:lineRule="auto"/>
              <w:ind w:firstLine="480" w:firstLineChars="200"/>
              <w:rPr>
                <w:rFonts w:hint="default" w:ascii="Times New Roman" w:hAnsi="Times New Roman" w:cs="Times New Roman"/>
                <w:bCs/>
                <w:color w:val="000000" w:themeColor="text1"/>
                <w:kern w:val="0"/>
                <w:sz w:val="24"/>
                <w:szCs w:val="24"/>
                <w14:textFill>
                  <w14:solidFill>
                    <w14:schemeClr w14:val="tx1"/>
                  </w14:solidFill>
                </w14:textFill>
              </w:rPr>
            </w:pPr>
            <w:r>
              <w:rPr>
                <w:rFonts w:hint="default" w:ascii="Times New Roman" w:hAnsi="Times New Roman" w:cs="Times New Roman"/>
                <w:bCs/>
                <w:color w:val="000000" w:themeColor="text1"/>
                <w:kern w:val="0"/>
                <w:sz w:val="24"/>
                <w:szCs w:val="24"/>
                <w14:textFill>
                  <w14:solidFill>
                    <w14:schemeClr w14:val="tx1"/>
                  </w14:solidFill>
                </w14:textFill>
              </w:rPr>
              <w:t>（4）施工中严格按照《建筑施工场界环境噪声排放标准》（GB12523-2011）要求施工，合理安排施工时间，合理安排施工进度（白天中午12</w:t>
            </w:r>
            <w:r>
              <w:rPr>
                <w:rFonts w:hint="default" w:ascii="Times New Roman" w:hAnsi="Times New Roman" w:cs="Times New Roman"/>
                <w:bCs/>
                <w:color w:val="000000" w:themeColor="text1"/>
                <w:kern w:val="0"/>
                <w:sz w:val="24"/>
                <w:szCs w:val="24"/>
                <w:lang w:eastAsia="zh-CN"/>
                <w14:textFill>
                  <w14:solidFill>
                    <w14:schemeClr w14:val="tx1"/>
                  </w14:solidFill>
                </w14:textFill>
              </w:rPr>
              <w:t>:</w:t>
            </w:r>
            <w:r>
              <w:rPr>
                <w:rFonts w:hint="default" w:ascii="Times New Roman" w:hAnsi="Times New Roman" w:cs="Times New Roman"/>
                <w:bCs/>
                <w:color w:val="000000" w:themeColor="text1"/>
                <w:kern w:val="0"/>
                <w:sz w:val="24"/>
                <w:szCs w:val="24"/>
                <w14:textFill>
                  <w14:solidFill>
                    <w14:schemeClr w14:val="tx1"/>
                  </w14:solidFill>
                </w14:textFill>
              </w:rPr>
              <w:t>00至14</w:t>
            </w:r>
            <w:r>
              <w:rPr>
                <w:rFonts w:hint="default" w:ascii="Times New Roman" w:hAnsi="Times New Roman" w:cs="Times New Roman"/>
                <w:bCs/>
                <w:color w:val="000000" w:themeColor="text1"/>
                <w:kern w:val="0"/>
                <w:sz w:val="24"/>
                <w:szCs w:val="24"/>
                <w:lang w:eastAsia="zh-CN"/>
                <w14:textFill>
                  <w14:solidFill>
                    <w14:schemeClr w14:val="tx1"/>
                  </w14:solidFill>
                </w14:textFill>
              </w:rPr>
              <w:t>:</w:t>
            </w:r>
            <w:r>
              <w:rPr>
                <w:rFonts w:hint="default" w:ascii="Times New Roman" w:hAnsi="Times New Roman" w:cs="Times New Roman"/>
                <w:bCs/>
                <w:color w:val="000000" w:themeColor="text1"/>
                <w:kern w:val="0"/>
                <w:sz w:val="24"/>
                <w:szCs w:val="24"/>
                <w14:textFill>
                  <w14:solidFill>
                    <w14:schemeClr w14:val="tx1"/>
                  </w14:solidFill>
                </w14:textFill>
              </w:rPr>
              <w:t>00，夜间22</w:t>
            </w:r>
            <w:r>
              <w:rPr>
                <w:rFonts w:hint="default" w:ascii="Times New Roman" w:hAnsi="Times New Roman" w:cs="Times New Roman"/>
                <w:bCs/>
                <w:color w:val="000000" w:themeColor="text1"/>
                <w:kern w:val="0"/>
                <w:sz w:val="24"/>
                <w:szCs w:val="24"/>
                <w:lang w:eastAsia="zh-CN"/>
                <w14:textFill>
                  <w14:solidFill>
                    <w14:schemeClr w14:val="tx1"/>
                  </w14:solidFill>
                </w14:textFill>
              </w:rPr>
              <w:t>:</w:t>
            </w:r>
            <w:r>
              <w:rPr>
                <w:rFonts w:hint="default" w:ascii="Times New Roman" w:hAnsi="Times New Roman" w:cs="Times New Roman"/>
                <w:bCs/>
                <w:color w:val="000000" w:themeColor="text1"/>
                <w:kern w:val="0"/>
                <w:sz w:val="24"/>
                <w:szCs w:val="24"/>
                <w14:textFill>
                  <w14:solidFill>
                    <w14:schemeClr w14:val="tx1"/>
                  </w14:solidFill>
                </w14:textFill>
              </w:rPr>
              <w:t>00至次日6</w:t>
            </w:r>
            <w:r>
              <w:rPr>
                <w:rFonts w:hint="default" w:ascii="Times New Roman" w:hAnsi="Times New Roman" w:cs="Times New Roman"/>
                <w:bCs/>
                <w:color w:val="000000" w:themeColor="text1"/>
                <w:kern w:val="0"/>
                <w:sz w:val="24"/>
                <w:szCs w:val="24"/>
                <w:lang w:eastAsia="zh-CN"/>
                <w14:textFill>
                  <w14:solidFill>
                    <w14:schemeClr w14:val="tx1"/>
                  </w14:solidFill>
                </w14:textFill>
              </w:rPr>
              <w:t>:</w:t>
            </w:r>
            <w:r>
              <w:rPr>
                <w:rFonts w:hint="default" w:ascii="Times New Roman" w:hAnsi="Times New Roman" w:cs="Times New Roman"/>
                <w:bCs/>
                <w:color w:val="000000" w:themeColor="text1"/>
                <w:kern w:val="0"/>
                <w:sz w:val="24"/>
                <w:szCs w:val="24"/>
                <w14:textFill>
                  <w14:solidFill>
                    <w14:schemeClr w14:val="tx1"/>
                  </w14:solidFill>
                </w14:textFill>
              </w:rPr>
              <w:t>00禁止施工），尽量缩短高噪声施</w:t>
            </w:r>
            <w:r>
              <w:rPr>
                <w:rFonts w:hint="default" w:ascii="Times New Roman" w:hAnsi="Times New Roman" w:cs="Times New Roman"/>
                <w:bCs/>
                <w:color w:val="000000" w:themeColor="text1"/>
                <w:kern w:val="0"/>
                <w:sz w:val="24"/>
                <w:szCs w:val="24"/>
                <w:lang w:eastAsia="zh-CN"/>
                <w14:textFill>
                  <w14:solidFill>
                    <w14:schemeClr w14:val="tx1"/>
                  </w14:solidFill>
                </w14:textFill>
              </w:rPr>
              <w:t>工时</w:t>
            </w:r>
            <w:r>
              <w:rPr>
                <w:rFonts w:hint="default" w:ascii="Times New Roman" w:hAnsi="Times New Roman" w:cs="Times New Roman"/>
                <w:bCs/>
                <w:color w:val="000000" w:themeColor="text1"/>
                <w:kern w:val="0"/>
                <w:sz w:val="24"/>
                <w:szCs w:val="24"/>
                <w14:textFill>
                  <w14:solidFill>
                    <w14:schemeClr w14:val="tx1"/>
                  </w14:solidFill>
                </w14:textFill>
              </w:rPr>
              <w:t>段。</w:t>
            </w:r>
          </w:p>
          <w:p w14:paraId="4DD102C2">
            <w:pPr>
              <w:adjustRightInd w:val="0"/>
              <w:snapToGrid w:val="0"/>
              <w:spacing w:line="360" w:lineRule="auto"/>
              <w:ind w:firstLine="482" w:firstLineChars="200"/>
              <w:rPr>
                <w:rFonts w:hint="default" w:ascii="Times New Roman" w:hAnsi="Times New Roman" w:cs="Times New Roman"/>
                <w:b/>
                <w:bCs w:val="0"/>
                <w:color w:val="000000" w:themeColor="text1"/>
                <w:kern w:val="0"/>
                <w:sz w:val="24"/>
                <w:szCs w:val="24"/>
                <w14:textFill>
                  <w14:solidFill>
                    <w14:schemeClr w14:val="tx1"/>
                  </w14:solidFill>
                </w14:textFill>
              </w:rPr>
            </w:pPr>
            <w:r>
              <w:rPr>
                <w:rFonts w:hint="eastAsia" w:ascii="Times New Roman" w:hAnsi="Times New Roman" w:cs="Times New Roman"/>
                <w:b/>
                <w:bCs w:val="0"/>
                <w:color w:val="000000" w:themeColor="text1"/>
                <w:kern w:val="0"/>
                <w:sz w:val="24"/>
                <w:szCs w:val="24"/>
                <w:lang w:eastAsia="zh-CN"/>
                <w14:textFill>
                  <w14:solidFill>
                    <w14:schemeClr w14:val="tx1"/>
                  </w14:solidFill>
                </w14:textFill>
              </w:rPr>
              <w:t>4.</w:t>
            </w:r>
            <w:r>
              <w:rPr>
                <w:rFonts w:hint="default" w:ascii="Times New Roman" w:hAnsi="Times New Roman" w:cs="Times New Roman"/>
                <w:b/>
                <w:bCs w:val="0"/>
                <w:color w:val="000000" w:themeColor="text1"/>
                <w:kern w:val="0"/>
                <w:sz w:val="24"/>
                <w:szCs w:val="24"/>
                <w14:textFill>
                  <w14:solidFill>
                    <w14:schemeClr w14:val="tx1"/>
                  </w14:solidFill>
                </w14:textFill>
              </w:rPr>
              <w:t>固体废</w:t>
            </w:r>
            <w:bookmarkStart w:id="6" w:name="_GoBack"/>
            <w:bookmarkEnd w:id="6"/>
            <w:r>
              <w:rPr>
                <w:rFonts w:hint="default" w:ascii="Times New Roman" w:hAnsi="Times New Roman" w:cs="Times New Roman"/>
                <w:b/>
                <w:bCs w:val="0"/>
                <w:color w:val="000000" w:themeColor="text1"/>
                <w:kern w:val="0"/>
                <w:sz w:val="24"/>
                <w:szCs w:val="24"/>
                <w14:textFill>
                  <w14:solidFill>
                    <w14:schemeClr w14:val="tx1"/>
                  </w14:solidFill>
                </w14:textFill>
              </w:rPr>
              <w:t>物污染防治措施</w:t>
            </w:r>
          </w:p>
          <w:p w14:paraId="77B2107A">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bCs/>
                <w:color w:val="000000" w:themeColor="text1"/>
                <w:kern w:val="0"/>
                <w:sz w:val="24"/>
                <w:szCs w:val="24"/>
                <w14:textFill>
                  <w14:solidFill>
                    <w14:schemeClr w14:val="tx1"/>
                  </w14:solidFill>
                </w14:textFill>
              </w:rPr>
              <w:t>设备安装阶段会有固废产生，部分安装材料都有外包装，如木箱、纸箱、塑膜等，此类废物集中收集后外售给废品回收单位。施工人员生活垃圾按人均产生量0.5kg/d计算，施工期人数以10人计，则生活垃圾产生量为5kg/d，垃圾收集桶分类收集后，交由环卫部门处置。不会对周边环境产生影响。</w:t>
            </w:r>
          </w:p>
        </w:tc>
      </w:tr>
      <w:tr w14:paraId="0BE60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6" w:hRule="atLeast"/>
          <w:jc w:val="center"/>
        </w:trPr>
        <w:tc>
          <w:tcPr>
            <w:tcW w:w="570" w:type="dxa"/>
            <w:noWrap w:val="0"/>
            <w:tcMar>
              <w:left w:w="28" w:type="dxa"/>
              <w:right w:w="28" w:type="dxa"/>
            </w:tcMar>
            <w:vAlign w:val="center"/>
          </w:tcPr>
          <w:p w14:paraId="4874A1BD">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5F88A264">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436F2EAB">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2EC4A8B9">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3714B37D">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6D438957">
            <w:pPr>
              <w:pStyle w:val="27"/>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bCs/>
                <w:color w:val="auto"/>
                <w:szCs w:val="21"/>
              </w:rPr>
              <w:t>措施</w:t>
            </w:r>
          </w:p>
        </w:tc>
        <w:tc>
          <w:tcPr>
            <w:tcW w:w="8767" w:type="dxa"/>
            <w:noWrap w:val="0"/>
            <w:vAlign w:val="center"/>
          </w:tcPr>
          <w:p w14:paraId="48783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8"/>
                <w:szCs w:val="28"/>
                <w:lang w:val="en-US" w:eastAsia="zh-CN" w:bidi="ar-SA"/>
              </w:rPr>
              <w:t>一、运营期大气环境影响和保护措施</w:t>
            </w:r>
          </w:p>
          <w:p w14:paraId="7FC50E4E">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1.大气环境污染工序及源强分析</w:t>
            </w:r>
          </w:p>
          <w:p w14:paraId="35BA9B78">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）废气产排情况一览表</w:t>
            </w:r>
          </w:p>
          <w:p w14:paraId="6E83ACB2">
            <w:pPr>
              <w:pStyle w:val="18"/>
              <w:spacing w:after="0" w:line="360" w:lineRule="auto"/>
              <w:ind w:left="0" w:leftChars="0" w:firstLine="480" w:firstLineChars="200"/>
              <w:rPr>
                <w:rFonts w:hint="default" w:ascii="Times New Roman" w:hAnsi="Times New Roman" w:cs="Times New Roman"/>
                <w:kern w:val="0"/>
                <w:sz w:val="24"/>
                <w:lang w:val="zh-CN"/>
              </w:rPr>
            </w:pPr>
            <w:r>
              <w:rPr>
                <w:rFonts w:hint="default" w:ascii="Times New Roman" w:hAnsi="Times New Roman" w:cs="Times New Roman"/>
                <w:color w:val="auto"/>
                <w:kern w:val="0"/>
                <w:sz w:val="24"/>
              </w:rPr>
              <w:t>本项目运营过程中涉及的废气主要为切割、焊接、修磨、抛丸</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喷塑、固化、喷漆</w:t>
            </w:r>
            <w:r>
              <w:rPr>
                <w:rFonts w:hint="default" w:ascii="Times New Roman" w:hAnsi="Times New Roman" w:cs="Times New Roman"/>
                <w:color w:val="auto"/>
                <w:kern w:val="0"/>
                <w:sz w:val="24"/>
              </w:rPr>
              <w:t>工序</w:t>
            </w:r>
            <w:r>
              <w:rPr>
                <w:rFonts w:hint="default" w:ascii="Times New Roman" w:hAnsi="Times New Roman" w:cs="Times New Roman"/>
                <w:color w:val="auto"/>
                <w:kern w:val="0"/>
                <w:sz w:val="24"/>
                <w:lang w:val="en-US" w:eastAsia="zh-CN"/>
              </w:rPr>
              <w:t>废气</w:t>
            </w:r>
            <w:r>
              <w:rPr>
                <w:rFonts w:hint="default" w:ascii="Times New Roman" w:hAnsi="Times New Roman" w:cs="Times New Roman"/>
                <w:kern w:val="0"/>
                <w:sz w:val="24"/>
                <w:lang w:val="zh-CN"/>
              </w:rPr>
              <w:t>，废气污染物排放见表4-1。</w:t>
            </w:r>
          </w:p>
          <w:p w14:paraId="64049051">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表4-1</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项目废气产排情况一览表</w:t>
            </w:r>
          </w:p>
          <w:tbl>
            <w:tblPr>
              <w:tblStyle w:val="32"/>
              <w:tblW w:w="85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112"/>
              <w:gridCol w:w="1102"/>
              <w:gridCol w:w="59"/>
              <w:gridCol w:w="1044"/>
              <w:gridCol w:w="117"/>
              <w:gridCol w:w="2133"/>
              <w:gridCol w:w="189"/>
              <w:gridCol w:w="1066"/>
              <w:gridCol w:w="95"/>
              <w:gridCol w:w="1161"/>
            </w:tblGrid>
            <w:tr w14:paraId="206CB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11" w:type="pct"/>
                  <w:gridSpan w:val="2"/>
                  <w:tcBorders>
                    <w:tl2br w:val="nil"/>
                    <w:tr2bl w:val="nil"/>
                  </w:tcBorders>
                  <w:noWrap w:val="0"/>
                  <w:vAlign w:val="center"/>
                </w:tcPr>
                <w:p w14:paraId="6967BCCB">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产污环节</w:t>
                  </w:r>
                </w:p>
              </w:tc>
              <w:tc>
                <w:tcPr>
                  <w:tcW w:w="1294" w:type="pct"/>
                  <w:gridSpan w:val="3"/>
                  <w:tcBorders>
                    <w:tl2br w:val="nil"/>
                    <w:tr2bl w:val="nil"/>
                  </w:tcBorders>
                  <w:noWrap w:val="0"/>
                  <w:vAlign w:val="center"/>
                </w:tcPr>
                <w:p w14:paraId="5F0E16F8">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切割、焊接、修磨</w:t>
                  </w:r>
                </w:p>
              </w:tc>
              <w:tc>
                <w:tcPr>
                  <w:tcW w:w="1320" w:type="pct"/>
                  <w:gridSpan w:val="2"/>
                  <w:tcBorders>
                    <w:tl2br w:val="nil"/>
                    <w:tr2bl w:val="nil"/>
                  </w:tcBorders>
                  <w:noWrap w:val="0"/>
                  <w:vAlign w:val="center"/>
                </w:tcPr>
                <w:p w14:paraId="78853C33">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抛丸</w:t>
                  </w:r>
                </w:p>
              </w:tc>
              <w:tc>
                <w:tcPr>
                  <w:tcW w:w="1473" w:type="pct"/>
                  <w:gridSpan w:val="4"/>
                  <w:tcBorders>
                    <w:tl2br w:val="nil"/>
                    <w:tr2bl w:val="nil"/>
                  </w:tcBorders>
                  <w:noWrap w:val="0"/>
                  <w:vAlign w:val="center"/>
                </w:tcPr>
                <w:p w14:paraId="4DBDA53B">
                  <w:pPr>
                    <w:adjustRightInd w:val="0"/>
                    <w:snapToGrid w:val="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喷塑</w:t>
                  </w:r>
                </w:p>
              </w:tc>
            </w:tr>
            <w:tr w14:paraId="2E8A8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11" w:type="pct"/>
                  <w:gridSpan w:val="2"/>
                  <w:tcBorders>
                    <w:tl2br w:val="nil"/>
                    <w:tr2bl w:val="nil"/>
                  </w:tcBorders>
                  <w:noWrap w:val="0"/>
                  <w:vAlign w:val="center"/>
                </w:tcPr>
                <w:p w14:paraId="1CC1BC75">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1294" w:type="pct"/>
                  <w:gridSpan w:val="3"/>
                  <w:tcBorders>
                    <w:tl2br w:val="nil"/>
                    <w:tr2bl w:val="nil"/>
                  </w:tcBorders>
                  <w:noWrap w:val="0"/>
                  <w:vAlign w:val="center"/>
                </w:tcPr>
                <w:p w14:paraId="5B9F9AD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320" w:type="pct"/>
                  <w:gridSpan w:val="2"/>
                  <w:tcBorders>
                    <w:tl2br w:val="nil"/>
                    <w:tr2bl w:val="nil"/>
                  </w:tcBorders>
                  <w:noWrap w:val="0"/>
                  <w:vAlign w:val="center"/>
                </w:tcPr>
                <w:p w14:paraId="5BFFB9B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473" w:type="pct"/>
                  <w:gridSpan w:val="4"/>
                  <w:tcBorders>
                    <w:tl2br w:val="nil"/>
                    <w:tr2bl w:val="nil"/>
                  </w:tcBorders>
                  <w:noWrap w:val="0"/>
                  <w:vAlign w:val="center"/>
                </w:tcPr>
                <w:p w14:paraId="602F93D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r>
            <w:tr w14:paraId="13970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11" w:type="pct"/>
                  <w:gridSpan w:val="2"/>
                  <w:tcBorders>
                    <w:tl2br w:val="nil"/>
                    <w:tr2bl w:val="nil"/>
                  </w:tcBorders>
                  <w:noWrap w:val="0"/>
                  <w:vAlign w:val="center"/>
                </w:tcPr>
                <w:p w14:paraId="3E7C1CEE">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污染物产生量（t/a）</w:t>
                  </w:r>
                </w:p>
              </w:tc>
              <w:tc>
                <w:tcPr>
                  <w:tcW w:w="1294" w:type="pct"/>
                  <w:gridSpan w:val="3"/>
                  <w:tcBorders>
                    <w:tl2br w:val="nil"/>
                    <w:tr2bl w:val="nil"/>
                  </w:tcBorders>
                  <w:noWrap w:val="0"/>
                  <w:vAlign w:val="center"/>
                </w:tcPr>
                <w:p w14:paraId="0A8D683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21.67</w:t>
                  </w:r>
                </w:p>
              </w:tc>
              <w:tc>
                <w:tcPr>
                  <w:tcW w:w="1320" w:type="pct"/>
                  <w:gridSpan w:val="2"/>
                  <w:tcBorders>
                    <w:tl2br w:val="nil"/>
                    <w:tr2bl w:val="nil"/>
                  </w:tcBorders>
                  <w:noWrap w:val="0"/>
                  <w:vAlign w:val="center"/>
                </w:tcPr>
                <w:p w14:paraId="1C7E3B6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23.68</w:t>
                  </w:r>
                </w:p>
              </w:tc>
              <w:tc>
                <w:tcPr>
                  <w:tcW w:w="1473" w:type="pct"/>
                  <w:gridSpan w:val="4"/>
                  <w:tcBorders>
                    <w:tl2br w:val="nil"/>
                    <w:tr2bl w:val="nil"/>
                  </w:tcBorders>
                  <w:noWrap w:val="0"/>
                  <w:vAlign w:val="center"/>
                </w:tcPr>
                <w:p w14:paraId="41B12DA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7.205</w:t>
                  </w:r>
                </w:p>
              </w:tc>
            </w:tr>
            <w:tr w14:paraId="7ED83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11" w:type="pct"/>
                  <w:gridSpan w:val="2"/>
                  <w:tcBorders>
                    <w:tl2br w:val="nil"/>
                    <w:tr2bl w:val="nil"/>
                  </w:tcBorders>
                  <w:noWrap w:val="0"/>
                  <w:vAlign w:val="center"/>
                </w:tcPr>
                <w:p w14:paraId="5DF3F77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排放形式</w:t>
                  </w:r>
                </w:p>
              </w:tc>
              <w:tc>
                <w:tcPr>
                  <w:tcW w:w="646" w:type="pct"/>
                  <w:tcBorders>
                    <w:tl2br w:val="nil"/>
                    <w:tr2bl w:val="nil"/>
                  </w:tcBorders>
                  <w:noWrap w:val="0"/>
                  <w:vAlign w:val="center"/>
                </w:tcPr>
                <w:p w14:paraId="31EC063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w:t>
                  </w:r>
                </w:p>
              </w:tc>
              <w:tc>
                <w:tcPr>
                  <w:tcW w:w="647" w:type="pct"/>
                  <w:gridSpan w:val="2"/>
                  <w:tcBorders>
                    <w:tl2br w:val="nil"/>
                    <w:tr2bl w:val="nil"/>
                  </w:tcBorders>
                  <w:noWrap w:val="0"/>
                  <w:vAlign w:val="center"/>
                </w:tcPr>
                <w:p w14:paraId="4FC8ABF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c>
                <w:tcPr>
                  <w:tcW w:w="1320" w:type="pct"/>
                  <w:gridSpan w:val="2"/>
                  <w:tcBorders>
                    <w:tl2br w:val="nil"/>
                    <w:tr2bl w:val="nil"/>
                  </w:tcBorders>
                  <w:noWrap w:val="0"/>
                  <w:vAlign w:val="center"/>
                </w:tcPr>
                <w:p w14:paraId="63FFE97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w:t>
                  </w:r>
                </w:p>
              </w:tc>
              <w:tc>
                <w:tcPr>
                  <w:tcW w:w="736" w:type="pct"/>
                  <w:gridSpan w:val="2"/>
                  <w:tcBorders>
                    <w:tl2br w:val="nil"/>
                    <w:tr2bl w:val="nil"/>
                  </w:tcBorders>
                  <w:noWrap w:val="0"/>
                  <w:vAlign w:val="center"/>
                </w:tcPr>
                <w:p w14:paraId="07FF8F1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有组织</w:t>
                  </w:r>
                </w:p>
              </w:tc>
              <w:tc>
                <w:tcPr>
                  <w:tcW w:w="737" w:type="pct"/>
                  <w:gridSpan w:val="2"/>
                  <w:tcBorders>
                    <w:tl2br w:val="nil"/>
                    <w:tr2bl w:val="nil"/>
                  </w:tcBorders>
                  <w:noWrap w:val="0"/>
                  <w:vAlign w:val="center"/>
                </w:tcPr>
                <w:p w14:paraId="2B79D9B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r>
            <w:tr w14:paraId="79C6A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8" w:type="pct"/>
                  <w:vMerge w:val="restart"/>
                  <w:tcBorders>
                    <w:tl2br w:val="nil"/>
                    <w:tr2bl w:val="nil"/>
                  </w:tcBorders>
                  <w:noWrap w:val="0"/>
                  <w:vAlign w:val="center"/>
                </w:tcPr>
                <w:p w14:paraId="48591102">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治理设施</w:t>
                  </w:r>
                </w:p>
              </w:tc>
              <w:tc>
                <w:tcPr>
                  <w:tcW w:w="652" w:type="pct"/>
                  <w:tcBorders>
                    <w:tl2br w:val="nil"/>
                    <w:tr2bl w:val="nil"/>
                  </w:tcBorders>
                  <w:noWrap w:val="0"/>
                  <w:vAlign w:val="center"/>
                </w:tcPr>
                <w:p w14:paraId="2ABFA4EE">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处理设施</w:t>
                  </w:r>
                </w:p>
              </w:tc>
              <w:tc>
                <w:tcPr>
                  <w:tcW w:w="646" w:type="pct"/>
                  <w:tcBorders>
                    <w:tl2br w:val="nil"/>
                    <w:tr2bl w:val="nil"/>
                  </w:tcBorders>
                  <w:noWrap w:val="0"/>
                  <w:vAlign w:val="center"/>
                </w:tcPr>
                <w:p w14:paraId="6223BDC3">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滤筒除尘器</w:t>
                  </w:r>
                </w:p>
              </w:tc>
              <w:tc>
                <w:tcPr>
                  <w:tcW w:w="647" w:type="pct"/>
                  <w:gridSpan w:val="2"/>
                  <w:tcBorders>
                    <w:tl2br w:val="nil"/>
                    <w:tr2bl w:val="nil"/>
                  </w:tcBorders>
                  <w:noWrap w:val="0"/>
                  <w:vAlign w:val="center"/>
                </w:tcPr>
                <w:p w14:paraId="2FBF489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厂房阻隔</w:t>
                  </w:r>
                </w:p>
              </w:tc>
              <w:tc>
                <w:tcPr>
                  <w:tcW w:w="1320" w:type="pct"/>
                  <w:gridSpan w:val="2"/>
                  <w:tcBorders>
                    <w:tl2br w:val="nil"/>
                    <w:tr2bl w:val="nil"/>
                  </w:tcBorders>
                  <w:noWrap w:val="0"/>
                  <w:vAlign w:val="center"/>
                </w:tcPr>
                <w:p w14:paraId="687D465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自带袋式除尘+滤筒除尘器</w:t>
                  </w:r>
                </w:p>
              </w:tc>
              <w:tc>
                <w:tcPr>
                  <w:tcW w:w="736" w:type="pct"/>
                  <w:gridSpan w:val="2"/>
                  <w:tcBorders>
                    <w:tl2br w:val="nil"/>
                    <w:tr2bl w:val="nil"/>
                  </w:tcBorders>
                  <w:noWrap w:val="0"/>
                  <w:vAlign w:val="center"/>
                </w:tcPr>
                <w:p w14:paraId="036E8CA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滤筒除尘器</w:t>
                  </w:r>
                </w:p>
              </w:tc>
              <w:tc>
                <w:tcPr>
                  <w:tcW w:w="737" w:type="pct"/>
                  <w:gridSpan w:val="2"/>
                  <w:tcBorders>
                    <w:tl2br w:val="nil"/>
                    <w:tr2bl w:val="nil"/>
                  </w:tcBorders>
                  <w:noWrap w:val="0"/>
                  <w:vAlign w:val="center"/>
                </w:tcPr>
                <w:p w14:paraId="3953571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厂房阻隔</w:t>
                  </w:r>
                </w:p>
              </w:tc>
            </w:tr>
            <w:tr w14:paraId="01AB7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8" w:type="pct"/>
                  <w:vMerge w:val="continue"/>
                  <w:tcBorders>
                    <w:tl2br w:val="nil"/>
                    <w:tr2bl w:val="nil"/>
                  </w:tcBorders>
                  <w:noWrap w:val="0"/>
                  <w:vAlign w:val="center"/>
                </w:tcPr>
                <w:p w14:paraId="08DF5CF0">
                  <w:pPr>
                    <w:adjustRightInd w:val="0"/>
                    <w:snapToGrid w:val="0"/>
                    <w:jc w:val="center"/>
                    <w:rPr>
                      <w:rFonts w:hint="default" w:ascii="Times New Roman" w:hAnsi="Times New Roman" w:eastAsia="宋体" w:cs="Times New Roman"/>
                      <w:b/>
                      <w:bCs/>
                      <w:color w:val="auto"/>
                      <w:sz w:val="21"/>
                      <w:szCs w:val="21"/>
                    </w:rPr>
                  </w:pPr>
                </w:p>
              </w:tc>
              <w:tc>
                <w:tcPr>
                  <w:tcW w:w="652" w:type="pct"/>
                  <w:tcBorders>
                    <w:tl2br w:val="nil"/>
                    <w:tr2bl w:val="nil"/>
                  </w:tcBorders>
                  <w:noWrap w:val="0"/>
                  <w:vAlign w:val="center"/>
                </w:tcPr>
                <w:p w14:paraId="7E39C01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收集效率%</w:t>
                  </w:r>
                </w:p>
              </w:tc>
              <w:tc>
                <w:tcPr>
                  <w:tcW w:w="1294" w:type="pct"/>
                  <w:gridSpan w:val="3"/>
                  <w:tcBorders>
                    <w:tl2br w:val="nil"/>
                    <w:tr2bl w:val="nil"/>
                  </w:tcBorders>
                  <w:noWrap w:val="0"/>
                  <w:vAlign w:val="center"/>
                </w:tcPr>
                <w:p w14:paraId="01B4C8E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切割收集效率85%；焊接切割密闭房收集效率95%</w:t>
                  </w:r>
                </w:p>
              </w:tc>
              <w:tc>
                <w:tcPr>
                  <w:tcW w:w="1320" w:type="pct"/>
                  <w:gridSpan w:val="2"/>
                  <w:tcBorders>
                    <w:tl2br w:val="nil"/>
                    <w:tr2bl w:val="nil"/>
                  </w:tcBorders>
                  <w:noWrap w:val="0"/>
                  <w:vAlign w:val="center"/>
                </w:tcPr>
                <w:p w14:paraId="0BB6DD9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1473" w:type="pct"/>
                  <w:gridSpan w:val="4"/>
                  <w:tcBorders>
                    <w:tl2br w:val="nil"/>
                    <w:tr2bl w:val="nil"/>
                  </w:tcBorders>
                  <w:noWrap w:val="0"/>
                  <w:vAlign w:val="center"/>
                </w:tcPr>
                <w:p w14:paraId="62F9E4D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95</w:t>
                  </w:r>
                </w:p>
              </w:tc>
            </w:tr>
            <w:tr w14:paraId="7BE06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8" w:type="pct"/>
                  <w:vMerge w:val="continue"/>
                  <w:tcBorders>
                    <w:tl2br w:val="nil"/>
                    <w:tr2bl w:val="nil"/>
                  </w:tcBorders>
                  <w:noWrap w:val="0"/>
                  <w:vAlign w:val="center"/>
                </w:tcPr>
                <w:p w14:paraId="43E64A59">
                  <w:pPr>
                    <w:adjustRightInd w:val="0"/>
                    <w:snapToGrid w:val="0"/>
                    <w:jc w:val="center"/>
                    <w:rPr>
                      <w:rFonts w:hint="default" w:ascii="Times New Roman" w:hAnsi="Times New Roman" w:eastAsia="宋体" w:cs="Times New Roman"/>
                      <w:b/>
                      <w:bCs/>
                      <w:color w:val="auto"/>
                      <w:sz w:val="21"/>
                      <w:szCs w:val="21"/>
                    </w:rPr>
                  </w:pPr>
                </w:p>
              </w:tc>
              <w:tc>
                <w:tcPr>
                  <w:tcW w:w="652" w:type="pct"/>
                  <w:tcBorders>
                    <w:tl2br w:val="nil"/>
                    <w:tr2bl w:val="nil"/>
                  </w:tcBorders>
                  <w:noWrap w:val="0"/>
                  <w:vAlign w:val="center"/>
                </w:tcPr>
                <w:p w14:paraId="1DF5A0BB">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治理工艺去除率%</w:t>
                  </w:r>
                </w:p>
              </w:tc>
              <w:tc>
                <w:tcPr>
                  <w:tcW w:w="646" w:type="pct"/>
                  <w:tcBorders>
                    <w:tl2br w:val="nil"/>
                    <w:tr2bl w:val="nil"/>
                  </w:tcBorders>
                  <w:noWrap w:val="0"/>
                  <w:vAlign w:val="center"/>
                </w:tcPr>
                <w:p w14:paraId="4C17A18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95%</w:t>
                  </w:r>
                </w:p>
              </w:tc>
              <w:tc>
                <w:tcPr>
                  <w:tcW w:w="647" w:type="pct"/>
                  <w:gridSpan w:val="2"/>
                  <w:tcBorders>
                    <w:tl2br w:val="nil"/>
                    <w:tr2bl w:val="nil"/>
                  </w:tcBorders>
                  <w:noWrap w:val="0"/>
                  <w:vAlign w:val="center"/>
                </w:tcPr>
                <w:p w14:paraId="1CE12C2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320" w:type="pct"/>
                  <w:gridSpan w:val="2"/>
                  <w:tcBorders>
                    <w:tl2br w:val="nil"/>
                    <w:tr2bl w:val="nil"/>
                  </w:tcBorders>
                  <w:noWrap w:val="0"/>
                  <w:vAlign w:val="center"/>
                </w:tcPr>
                <w:p w14:paraId="572723D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自带袋式除尘器85%，滤筒除尘器95%</w:t>
                  </w:r>
                </w:p>
              </w:tc>
              <w:tc>
                <w:tcPr>
                  <w:tcW w:w="736" w:type="pct"/>
                  <w:gridSpan w:val="2"/>
                  <w:tcBorders>
                    <w:tl2br w:val="nil"/>
                    <w:tr2bl w:val="nil"/>
                  </w:tcBorders>
                  <w:noWrap w:val="0"/>
                  <w:vAlign w:val="center"/>
                </w:tcPr>
                <w:p w14:paraId="7686CB9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95%</w:t>
                  </w:r>
                </w:p>
              </w:tc>
              <w:tc>
                <w:tcPr>
                  <w:tcW w:w="737" w:type="pct"/>
                  <w:gridSpan w:val="2"/>
                  <w:tcBorders>
                    <w:tl2br w:val="nil"/>
                    <w:tr2bl w:val="nil"/>
                  </w:tcBorders>
                  <w:noWrap w:val="0"/>
                  <w:vAlign w:val="center"/>
                </w:tcPr>
                <w:p w14:paraId="703C70C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56E8F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8" w:type="pct"/>
                  <w:vMerge w:val="continue"/>
                  <w:tcBorders>
                    <w:tl2br w:val="nil"/>
                    <w:tr2bl w:val="nil"/>
                  </w:tcBorders>
                  <w:noWrap w:val="0"/>
                  <w:vAlign w:val="center"/>
                </w:tcPr>
                <w:p w14:paraId="0E3722D3">
                  <w:pPr>
                    <w:adjustRightInd w:val="0"/>
                    <w:snapToGrid w:val="0"/>
                    <w:jc w:val="center"/>
                    <w:rPr>
                      <w:rFonts w:hint="default" w:ascii="Times New Roman" w:hAnsi="Times New Roman" w:eastAsia="宋体" w:cs="Times New Roman"/>
                      <w:b/>
                      <w:bCs/>
                      <w:color w:val="auto"/>
                      <w:sz w:val="21"/>
                      <w:szCs w:val="21"/>
                    </w:rPr>
                  </w:pPr>
                </w:p>
              </w:tc>
              <w:tc>
                <w:tcPr>
                  <w:tcW w:w="652" w:type="pct"/>
                  <w:tcBorders>
                    <w:tl2br w:val="nil"/>
                    <w:tr2bl w:val="nil"/>
                  </w:tcBorders>
                  <w:noWrap w:val="0"/>
                  <w:vAlign w:val="center"/>
                </w:tcPr>
                <w:p w14:paraId="571D7F0E">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是否为可行技术</w:t>
                  </w:r>
                </w:p>
              </w:tc>
              <w:tc>
                <w:tcPr>
                  <w:tcW w:w="646" w:type="pct"/>
                  <w:tcBorders>
                    <w:tl2br w:val="nil"/>
                    <w:tr2bl w:val="nil"/>
                  </w:tcBorders>
                  <w:noWrap w:val="0"/>
                  <w:vAlign w:val="center"/>
                </w:tcPr>
                <w:p w14:paraId="11BF827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647" w:type="pct"/>
                  <w:gridSpan w:val="2"/>
                  <w:tcBorders>
                    <w:tl2br w:val="nil"/>
                    <w:tr2bl w:val="nil"/>
                  </w:tcBorders>
                  <w:noWrap w:val="0"/>
                  <w:vAlign w:val="center"/>
                </w:tcPr>
                <w:p w14:paraId="1C605F94">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20" w:type="pct"/>
                  <w:gridSpan w:val="2"/>
                  <w:tcBorders>
                    <w:tl2br w:val="nil"/>
                    <w:tr2bl w:val="nil"/>
                  </w:tcBorders>
                  <w:noWrap w:val="0"/>
                  <w:vAlign w:val="center"/>
                </w:tcPr>
                <w:p w14:paraId="4A57D958">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736" w:type="pct"/>
                  <w:gridSpan w:val="2"/>
                  <w:tcBorders>
                    <w:tl2br w:val="nil"/>
                    <w:tr2bl w:val="nil"/>
                  </w:tcBorders>
                  <w:noWrap w:val="0"/>
                  <w:vAlign w:val="center"/>
                </w:tcPr>
                <w:p w14:paraId="682491FF">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737" w:type="pct"/>
                  <w:gridSpan w:val="2"/>
                  <w:tcBorders>
                    <w:tl2br w:val="nil"/>
                    <w:tr2bl w:val="nil"/>
                  </w:tcBorders>
                  <w:noWrap w:val="0"/>
                  <w:vAlign w:val="center"/>
                </w:tcPr>
                <w:p w14:paraId="4FF24AD7">
                  <w:pPr>
                    <w:jc w:val="center"/>
                    <w:rPr>
                      <w:rFonts w:hint="default" w:ascii="Times New Roman" w:hAnsi="Times New Roman" w:eastAsia="宋体" w:cs="Times New Roman"/>
                      <w:color w:val="auto"/>
                      <w:sz w:val="21"/>
                      <w:szCs w:val="21"/>
                      <w:lang w:eastAsia="zh-CN"/>
                    </w:rPr>
                  </w:pPr>
                </w:p>
              </w:tc>
            </w:tr>
            <w:tr w14:paraId="67F41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11" w:type="pct"/>
                  <w:gridSpan w:val="2"/>
                  <w:tcBorders>
                    <w:tl2br w:val="nil"/>
                    <w:tr2bl w:val="nil"/>
                  </w:tcBorders>
                  <w:noWrap w:val="0"/>
                  <w:vAlign w:val="center"/>
                </w:tcPr>
                <w:p w14:paraId="4B8470D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污染物排放浓度（mg/</w:t>
                  </w:r>
                  <w:r>
                    <w:rPr>
                      <w:rFonts w:hint="default" w:ascii="Times New Roman" w:hAnsi="Times New Roman" w:cs="Times New Roman"/>
                      <w:b/>
                      <w:bCs/>
                      <w:color w:val="auto"/>
                      <w:sz w:val="21"/>
                      <w:szCs w:val="21"/>
                      <w:lang w:eastAsia="zh-CN"/>
                    </w:rPr>
                    <w:t>m³</w:t>
                  </w:r>
                  <w:r>
                    <w:rPr>
                      <w:rFonts w:hint="default" w:ascii="Times New Roman" w:hAnsi="Times New Roman" w:eastAsia="宋体" w:cs="Times New Roman"/>
                      <w:b/>
                      <w:bCs/>
                      <w:color w:val="auto"/>
                      <w:sz w:val="21"/>
                      <w:szCs w:val="21"/>
                    </w:rPr>
                    <w:t>）</w:t>
                  </w:r>
                </w:p>
              </w:tc>
              <w:tc>
                <w:tcPr>
                  <w:tcW w:w="646" w:type="pct"/>
                  <w:tcBorders>
                    <w:tl2br w:val="nil"/>
                    <w:tr2bl w:val="nil"/>
                  </w:tcBorders>
                  <w:noWrap w:val="0"/>
                  <w:vAlign w:val="center"/>
                </w:tcPr>
                <w:p w14:paraId="110277A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29.33</w:t>
                  </w:r>
                </w:p>
              </w:tc>
              <w:tc>
                <w:tcPr>
                  <w:tcW w:w="647" w:type="pct"/>
                  <w:gridSpan w:val="2"/>
                  <w:tcBorders>
                    <w:tl2br w:val="nil"/>
                    <w:tr2bl w:val="nil"/>
                  </w:tcBorders>
                  <w:noWrap w:val="0"/>
                  <w:vAlign w:val="center"/>
                </w:tcPr>
                <w:p w14:paraId="07050C5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20" w:type="pct"/>
                  <w:gridSpan w:val="2"/>
                  <w:tcBorders>
                    <w:tl2br w:val="nil"/>
                    <w:tr2bl w:val="nil"/>
                  </w:tcBorders>
                  <w:noWrap w:val="0"/>
                  <w:vAlign w:val="center"/>
                </w:tcPr>
                <w:p w14:paraId="3178BD0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736" w:type="pct"/>
                  <w:gridSpan w:val="2"/>
                  <w:tcBorders>
                    <w:tl2br w:val="nil"/>
                    <w:tr2bl w:val="nil"/>
                  </w:tcBorders>
                  <w:noWrap w:val="0"/>
                  <w:vAlign w:val="center"/>
                </w:tcPr>
                <w:p w14:paraId="006BD67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737" w:type="pct"/>
                  <w:gridSpan w:val="2"/>
                  <w:tcBorders>
                    <w:tl2br w:val="nil"/>
                    <w:tr2bl w:val="nil"/>
                  </w:tcBorders>
                  <w:noWrap w:val="0"/>
                  <w:vAlign w:val="center"/>
                </w:tcPr>
                <w:p w14:paraId="2CEBEFBF">
                  <w:pPr>
                    <w:jc w:val="center"/>
                    <w:rPr>
                      <w:rFonts w:hint="default" w:ascii="Times New Roman" w:hAnsi="Times New Roman" w:eastAsia="宋体" w:cs="Times New Roman"/>
                      <w:color w:val="auto"/>
                      <w:sz w:val="21"/>
                      <w:szCs w:val="21"/>
                      <w:lang w:val="en-US" w:eastAsia="zh-CN"/>
                    </w:rPr>
                  </w:pPr>
                </w:p>
              </w:tc>
            </w:tr>
            <w:tr w14:paraId="1357C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11" w:type="pct"/>
                  <w:gridSpan w:val="2"/>
                  <w:tcBorders>
                    <w:tl2br w:val="nil"/>
                    <w:tr2bl w:val="nil"/>
                  </w:tcBorders>
                  <w:noWrap w:val="0"/>
                  <w:vAlign w:val="center"/>
                </w:tcPr>
                <w:p w14:paraId="0F45A36E">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污染物排放速率（kg/h）</w:t>
                  </w:r>
                </w:p>
              </w:tc>
              <w:tc>
                <w:tcPr>
                  <w:tcW w:w="646" w:type="pct"/>
                  <w:tcBorders>
                    <w:tl2br w:val="nil"/>
                    <w:tr2bl w:val="nil"/>
                  </w:tcBorders>
                  <w:noWrap w:val="0"/>
                  <w:vAlign w:val="center"/>
                </w:tcPr>
                <w:p w14:paraId="7A0C7CF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0.587</w:t>
                  </w:r>
                </w:p>
              </w:tc>
              <w:tc>
                <w:tcPr>
                  <w:tcW w:w="647" w:type="pct"/>
                  <w:gridSpan w:val="2"/>
                  <w:tcBorders>
                    <w:tl2br w:val="nil"/>
                    <w:tr2bl w:val="nil"/>
                  </w:tcBorders>
                  <w:noWrap w:val="0"/>
                  <w:vAlign w:val="center"/>
                </w:tcPr>
                <w:p w14:paraId="76B7875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0.406</w:t>
                  </w:r>
                </w:p>
              </w:tc>
              <w:tc>
                <w:tcPr>
                  <w:tcW w:w="1320" w:type="pct"/>
                  <w:gridSpan w:val="2"/>
                  <w:tcBorders>
                    <w:tl2br w:val="nil"/>
                    <w:tr2bl w:val="nil"/>
                  </w:tcBorders>
                  <w:noWrap w:val="0"/>
                  <w:vAlign w:val="center"/>
                </w:tcPr>
                <w:p w14:paraId="76F59B3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0.148</w:t>
                  </w:r>
                </w:p>
              </w:tc>
              <w:tc>
                <w:tcPr>
                  <w:tcW w:w="736" w:type="pct"/>
                  <w:gridSpan w:val="2"/>
                  <w:tcBorders>
                    <w:tl2br w:val="nil"/>
                    <w:tr2bl w:val="nil"/>
                  </w:tcBorders>
                  <w:noWrap w:val="0"/>
                  <w:vAlign w:val="center"/>
                </w:tcPr>
                <w:p w14:paraId="1ADF3AB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0.228</w:t>
                  </w:r>
                </w:p>
              </w:tc>
              <w:tc>
                <w:tcPr>
                  <w:tcW w:w="737" w:type="pct"/>
                  <w:gridSpan w:val="2"/>
                  <w:tcBorders>
                    <w:tl2br w:val="nil"/>
                    <w:tr2bl w:val="nil"/>
                  </w:tcBorders>
                  <w:noWrap w:val="0"/>
                  <w:vAlign w:val="center"/>
                </w:tcPr>
                <w:p w14:paraId="3AF2978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0.072</w:t>
                  </w:r>
                </w:p>
              </w:tc>
            </w:tr>
            <w:tr w14:paraId="594E2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11" w:type="pct"/>
                  <w:gridSpan w:val="2"/>
                  <w:tcBorders>
                    <w:tl2br w:val="nil"/>
                    <w:tr2bl w:val="nil"/>
                  </w:tcBorders>
                  <w:noWrap w:val="0"/>
                  <w:vAlign w:val="center"/>
                </w:tcPr>
                <w:p w14:paraId="67AE370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污染物排放量（t/a）</w:t>
                  </w:r>
                </w:p>
              </w:tc>
              <w:tc>
                <w:tcPr>
                  <w:tcW w:w="646" w:type="pct"/>
                  <w:tcBorders>
                    <w:tl2br w:val="nil"/>
                    <w:tr2bl w:val="nil"/>
                  </w:tcBorders>
                  <w:noWrap w:val="0"/>
                  <w:vAlign w:val="center"/>
                </w:tcPr>
                <w:p w14:paraId="3A99E8D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1.056</w:t>
                  </w:r>
                </w:p>
              </w:tc>
              <w:tc>
                <w:tcPr>
                  <w:tcW w:w="647" w:type="pct"/>
                  <w:gridSpan w:val="2"/>
                  <w:tcBorders>
                    <w:tl2br w:val="nil"/>
                    <w:tr2bl w:val="nil"/>
                  </w:tcBorders>
                  <w:noWrap w:val="0"/>
                  <w:vAlign w:val="center"/>
                </w:tcPr>
                <w:p w14:paraId="3372A66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0.73</w:t>
                  </w:r>
                </w:p>
              </w:tc>
              <w:tc>
                <w:tcPr>
                  <w:tcW w:w="1320" w:type="pct"/>
                  <w:gridSpan w:val="2"/>
                  <w:tcBorders>
                    <w:tl2br w:val="nil"/>
                    <w:tr2bl w:val="nil"/>
                  </w:tcBorders>
                  <w:noWrap w:val="0"/>
                  <w:vAlign w:val="center"/>
                </w:tcPr>
                <w:p w14:paraId="4E0A854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0.178</w:t>
                  </w:r>
                </w:p>
              </w:tc>
              <w:tc>
                <w:tcPr>
                  <w:tcW w:w="736" w:type="pct"/>
                  <w:gridSpan w:val="2"/>
                  <w:tcBorders>
                    <w:tl2br w:val="nil"/>
                    <w:tr2bl w:val="nil"/>
                  </w:tcBorders>
                  <w:noWrap w:val="0"/>
                  <w:vAlign w:val="center"/>
                </w:tcPr>
                <w:p w14:paraId="163AB67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0.342</w:t>
                  </w:r>
                </w:p>
              </w:tc>
              <w:tc>
                <w:tcPr>
                  <w:tcW w:w="737" w:type="pct"/>
                  <w:gridSpan w:val="2"/>
                  <w:tcBorders>
                    <w:tl2br w:val="nil"/>
                    <w:tr2bl w:val="nil"/>
                  </w:tcBorders>
                  <w:noWrap w:val="0"/>
                  <w:vAlign w:val="center"/>
                </w:tcPr>
                <w:p w14:paraId="4E7B511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0.108</w:t>
                  </w:r>
                </w:p>
              </w:tc>
            </w:tr>
            <w:tr w14:paraId="04D21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8" w:type="pct"/>
                  <w:vMerge w:val="restart"/>
                  <w:tcBorders>
                    <w:tl2br w:val="nil"/>
                    <w:tr2bl w:val="nil"/>
                  </w:tcBorders>
                  <w:noWrap w:val="0"/>
                  <w:vAlign w:val="center"/>
                </w:tcPr>
                <w:p w14:paraId="5EC573F4">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排放口基本信息</w:t>
                  </w:r>
                </w:p>
              </w:tc>
              <w:tc>
                <w:tcPr>
                  <w:tcW w:w="652" w:type="pct"/>
                  <w:tcBorders>
                    <w:tl2br w:val="nil"/>
                    <w:tr2bl w:val="nil"/>
                  </w:tcBorders>
                  <w:noWrap w:val="0"/>
                  <w:vAlign w:val="center"/>
                </w:tcPr>
                <w:p w14:paraId="1FEC140E">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高度（m）</w:t>
                  </w:r>
                </w:p>
              </w:tc>
              <w:tc>
                <w:tcPr>
                  <w:tcW w:w="2615" w:type="pct"/>
                  <w:gridSpan w:val="5"/>
                  <w:tcBorders>
                    <w:tl2br w:val="nil"/>
                    <w:tr2bl w:val="nil"/>
                  </w:tcBorders>
                  <w:noWrap w:val="0"/>
                  <w:vAlign w:val="center"/>
                </w:tcPr>
                <w:p w14:paraId="021EF4F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2511" w:type="dxa"/>
                  <w:gridSpan w:val="4"/>
                  <w:tcBorders>
                    <w:tl2br w:val="nil"/>
                    <w:tr2bl w:val="nil"/>
                  </w:tcBorders>
                  <w:noWrap w:val="0"/>
                  <w:vAlign w:val="center"/>
                </w:tcPr>
                <w:p w14:paraId="159FCB8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r>
            <w:tr w14:paraId="0D4D8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8" w:type="pct"/>
                  <w:vMerge w:val="continue"/>
                  <w:tcBorders>
                    <w:tl2br w:val="nil"/>
                    <w:tr2bl w:val="nil"/>
                  </w:tcBorders>
                  <w:noWrap w:val="0"/>
                  <w:vAlign w:val="center"/>
                </w:tcPr>
                <w:p w14:paraId="51072576">
                  <w:pPr>
                    <w:adjustRightInd w:val="0"/>
                    <w:snapToGrid w:val="0"/>
                    <w:jc w:val="center"/>
                    <w:rPr>
                      <w:rFonts w:hint="default" w:ascii="Times New Roman" w:hAnsi="Times New Roman" w:eastAsia="宋体" w:cs="Times New Roman"/>
                      <w:b/>
                      <w:bCs/>
                      <w:color w:val="auto"/>
                      <w:sz w:val="21"/>
                      <w:szCs w:val="21"/>
                    </w:rPr>
                  </w:pPr>
                </w:p>
              </w:tc>
              <w:tc>
                <w:tcPr>
                  <w:tcW w:w="652" w:type="pct"/>
                  <w:tcBorders>
                    <w:tl2br w:val="nil"/>
                    <w:tr2bl w:val="nil"/>
                  </w:tcBorders>
                  <w:noWrap w:val="0"/>
                  <w:vAlign w:val="center"/>
                </w:tcPr>
                <w:p w14:paraId="6E2CF7D1">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排气筒内径（m）</w:t>
                  </w:r>
                </w:p>
              </w:tc>
              <w:tc>
                <w:tcPr>
                  <w:tcW w:w="2615" w:type="pct"/>
                  <w:gridSpan w:val="5"/>
                  <w:tcBorders>
                    <w:tl2br w:val="nil"/>
                    <w:tr2bl w:val="nil"/>
                  </w:tcBorders>
                  <w:noWrap w:val="0"/>
                  <w:vAlign w:val="center"/>
                </w:tcPr>
                <w:p w14:paraId="77E5F32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0.45</w:t>
                  </w:r>
                </w:p>
              </w:tc>
              <w:tc>
                <w:tcPr>
                  <w:tcW w:w="2511" w:type="dxa"/>
                  <w:gridSpan w:val="4"/>
                  <w:tcBorders>
                    <w:tl2br w:val="nil"/>
                    <w:tr2bl w:val="nil"/>
                  </w:tcBorders>
                  <w:noWrap w:val="0"/>
                  <w:vAlign w:val="center"/>
                </w:tcPr>
                <w:p w14:paraId="3B0C9DE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0.45</w:t>
                  </w:r>
                </w:p>
              </w:tc>
            </w:tr>
            <w:tr w14:paraId="54093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8" w:type="pct"/>
                  <w:vMerge w:val="continue"/>
                  <w:tcBorders>
                    <w:tl2br w:val="nil"/>
                    <w:tr2bl w:val="nil"/>
                  </w:tcBorders>
                  <w:noWrap w:val="0"/>
                  <w:vAlign w:val="center"/>
                </w:tcPr>
                <w:p w14:paraId="35B92B6A">
                  <w:pPr>
                    <w:adjustRightInd w:val="0"/>
                    <w:snapToGrid w:val="0"/>
                    <w:jc w:val="center"/>
                    <w:rPr>
                      <w:rFonts w:hint="default" w:ascii="Times New Roman" w:hAnsi="Times New Roman" w:eastAsia="宋体" w:cs="Times New Roman"/>
                      <w:b/>
                      <w:bCs/>
                      <w:color w:val="auto"/>
                      <w:sz w:val="21"/>
                      <w:szCs w:val="21"/>
                    </w:rPr>
                  </w:pPr>
                </w:p>
              </w:tc>
              <w:tc>
                <w:tcPr>
                  <w:tcW w:w="652" w:type="pct"/>
                  <w:tcBorders>
                    <w:tl2br w:val="nil"/>
                    <w:tr2bl w:val="nil"/>
                  </w:tcBorders>
                  <w:noWrap w:val="0"/>
                  <w:vAlign w:val="center"/>
                </w:tcPr>
                <w:p w14:paraId="1B9614B6">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温度（℃）</w:t>
                  </w:r>
                </w:p>
              </w:tc>
              <w:tc>
                <w:tcPr>
                  <w:tcW w:w="2615" w:type="pct"/>
                  <w:gridSpan w:val="5"/>
                  <w:tcBorders>
                    <w:tl2br w:val="nil"/>
                    <w:tr2bl w:val="nil"/>
                  </w:tcBorders>
                  <w:noWrap w:val="0"/>
                  <w:vAlign w:val="center"/>
                </w:tcPr>
                <w:p w14:paraId="70D9E79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常温</w:t>
                  </w:r>
                </w:p>
              </w:tc>
              <w:tc>
                <w:tcPr>
                  <w:tcW w:w="2511" w:type="dxa"/>
                  <w:gridSpan w:val="4"/>
                  <w:tcBorders>
                    <w:tl2br w:val="nil"/>
                    <w:tr2bl w:val="nil"/>
                  </w:tcBorders>
                  <w:noWrap w:val="0"/>
                  <w:vAlign w:val="center"/>
                </w:tcPr>
                <w:p w14:paraId="2405DF6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常温</w:t>
                  </w:r>
                </w:p>
              </w:tc>
            </w:tr>
            <w:tr w14:paraId="4CDA6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8" w:type="pct"/>
                  <w:vMerge w:val="continue"/>
                  <w:tcBorders>
                    <w:tl2br w:val="nil"/>
                    <w:tr2bl w:val="nil"/>
                  </w:tcBorders>
                  <w:noWrap w:val="0"/>
                  <w:vAlign w:val="center"/>
                </w:tcPr>
                <w:p w14:paraId="22174E87">
                  <w:pPr>
                    <w:adjustRightInd w:val="0"/>
                    <w:snapToGrid w:val="0"/>
                    <w:jc w:val="center"/>
                    <w:rPr>
                      <w:rFonts w:hint="default" w:ascii="Times New Roman" w:hAnsi="Times New Roman" w:eastAsia="宋体" w:cs="Times New Roman"/>
                      <w:b/>
                      <w:bCs/>
                      <w:color w:val="auto"/>
                      <w:sz w:val="21"/>
                      <w:szCs w:val="21"/>
                    </w:rPr>
                  </w:pPr>
                </w:p>
              </w:tc>
              <w:tc>
                <w:tcPr>
                  <w:tcW w:w="652" w:type="pct"/>
                  <w:tcBorders>
                    <w:tl2br w:val="nil"/>
                    <w:tr2bl w:val="nil"/>
                  </w:tcBorders>
                  <w:noWrap w:val="0"/>
                  <w:vAlign w:val="center"/>
                </w:tcPr>
                <w:p w14:paraId="127F6C63">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w:t>
                  </w:r>
                </w:p>
              </w:tc>
              <w:tc>
                <w:tcPr>
                  <w:tcW w:w="2615" w:type="pct"/>
                  <w:gridSpan w:val="5"/>
                  <w:tcBorders>
                    <w:tl2br w:val="nil"/>
                    <w:tr2bl w:val="nil"/>
                  </w:tcBorders>
                  <w:noWrap w:val="0"/>
                  <w:vAlign w:val="center"/>
                </w:tcPr>
                <w:p w14:paraId="0FAFC69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DA001</w:t>
                  </w:r>
                </w:p>
              </w:tc>
              <w:tc>
                <w:tcPr>
                  <w:tcW w:w="2511" w:type="dxa"/>
                  <w:gridSpan w:val="4"/>
                  <w:tcBorders>
                    <w:tl2br w:val="nil"/>
                    <w:tr2bl w:val="nil"/>
                  </w:tcBorders>
                  <w:noWrap w:val="0"/>
                  <w:vAlign w:val="center"/>
                </w:tcPr>
                <w:p w14:paraId="76BA8D2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default" w:ascii="Times New Roman" w:hAnsi="Times New Roman" w:cs="Times New Roman"/>
                      <w:color w:val="auto"/>
                      <w:sz w:val="21"/>
                      <w:szCs w:val="21"/>
                      <w:lang w:val="en-US" w:eastAsia="zh-CN"/>
                    </w:rPr>
                    <w:t>2</w:t>
                  </w:r>
                </w:p>
              </w:tc>
            </w:tr>
            <w:tr w14:paraId="46AB7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8" w:type="pct"/>
                  <w:vMerge w:val="continue"/>
                  <w:tcBorders>
                    <w:tl2br w:val="nil"/>
                    <w:tr2bl w:val="nil"/>
                  </w:tcBorders>
                  <w:noWrap w:val="0"/>
                  <w:vAlign w:val="center"/>
                </w:tcPr>
                <w:p w14:paraId="08E87AB7">
                  <w:pPr>
                    <w:adjustRightInd w:val="0"/>
                    <w:snapToGrid w:val="0"/>
                    <w:jc w:val="center"/>
                    <w:rPr>
                      <w:rFonts w:hint="default" w:ascii="Times New Roman" w:hAnsi="Times New Roman" w:eastAsia="宋体" w:cs="Times New Roman"/>
                      <w:b/>
                      <w:bCs/>
                      <w:color w:val="auto"/>
                      <w:sz w:val="21"/>
                      <w:szCs w:val="21"/>
                    </w:rPr>
                  </w:pPr>
                </w:p>
              </w:tc>
              <w:tc>
                <w:tcPr>
                  <w:tcW w:w="652" w:type="pct"/>
                  <w:tcBorders>
                    <w:tl2br w:val="nil"/>
                    <w:tr2bl w:val="nil"/>
                  </w:tcBorders>
                  <w:noWrap w:val="0"/>
                  <w:vAlign w:val="center"/>
                </w:tcPr>
                <w:p w14:paraId="43A25E0C">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类型</w:t>
                  </w:r>
                </w:p>
              </w:tc>
              <w:tc>
                <w:tcPr>
                  <w:tcW w:w="2615" w:type="pct"/>
                  <w:gridSpan w:val="5"/>
                  <w:tcBorders>
                    <w:tl2br w:val="nil"/>
                    <w:tr2bl w:val="nil"/>
                  </w:tcBorders>
                  <w:noWrap w:val="0"/>
                  <w:vAlign w:val="center"/>
                </w:tcPr>
                <w:p w14:paraId="0503486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一般排放口</w:t>
                  </w:r>
                </w:p>
              </w:tc>
              <w:tc>
                <w:tcPr>
                  <w:tcW w:w="2511" w:type="dxa"/>
                  <w:gridSpan w:val="4"/>
                  <w:tcBorders>
                    <w:tl2br w:val="nil"/>
                    <w:tr2bl w:val="nil"/>
                  </w:tcBorders>
                  <w:noWrap w:val="0"/>
                  <w:vAlign w:val="center"/>
                </w:tcPr>
                <w:p w14:paraId="550979F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一般排放口</w:t>
                  </w:r>
                </w:p>
              </w:tc>
            </w:tr>
            <w:tr w14:paraId="61879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8" w:type="pct"/>
                  <w:vMerge w:val="restart"/>
                  <w:tcBorders>
                    <w:tl2br w:val="nil"/>
                    <w:tr2bl w:val="nil"/>
                  </w:tcBorders>
                  <w:noWrap w:val="0"/>
                  <w:vAlign w:val="center"/>
                </w:tcPr>
                <w:p w14:paraId="6EACFCD6">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排放标准</w:t>
                  </w:r>
                </w:p>
              </w:tc>
              <w:tc>
                <w:tcPr>
                  <w:tcW w:w="652" w:type="pct"/>
                  <w:tcBorders>
                    <w:tl2br w:val="nil"/>
                    <w:tr2bl w:val="nil"/>
                  </w:tcBorders>
                  <w:noWrap w:val="0"/>
                  <w:vAlign w:val="center"/>
                </w:tcPr>
                <w:p w14:paraId="18B9151B">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标准名称</w:t>
                  </w:r>
                </w:p>
              </w:tc>
              <w:tc>
                <w:tcPr>
                  <w:tcW w:w="4088" w:type="pct"/>
                  <w:gridSpan w:val="9"/>
                  <w:tcBorders>
                    <w:tl2br w:val="nil"/>
                    <w:tr2bl w:val="nil"/>
                  </w:tcBorders>
                  <w:noWrap w:val="0"/>
                  <w:vAlign w:val="center"/>
                </w:tcPr>
                <w:p w14:paraId="3D4FFA1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《大气污染物综合排放标准》（GB16297-1996）表</w:t>
                  </w:r>
                  <w:r>
                    <w:rPr>
                      <w:rFonts w:hint="default" w:ascii="Times New Roman" w:hAnsi="Times New Roman" w:eastAsia="宋体" w:cs="Times New Roman"/>
                      <w:color w:val="auto"/>
                      <w:sz w:val="21"/>
                      <w:szCs w:val="21"/>
                      <w:lang w:val="en-US" w:eastAsia="zh-CN"/>
                    </w:rPr>
                    <w:t>2</w:t>
                  </w:r>
                </w:p>
              </w:tc>
            </w:tr>
            <w:tr w14:paraId="330B5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8" w:type="pct"/>
                  <w:vMerge w:val="continue"/>
                  <w:tcBorders>
                    <w:tl2br w:val="nil"/>
                    <w:tr2bl w:val="nil"/>
                  </w:tcBorders>
                  <w:noWrap w:val="0"/>
                  <w:vAlign w:val="center"/>
                </w:tcPr>
                <w:p w14:paraId="27086F14">
                  <w:pPr>
                    <w:adjustRightInd w:val="0"/>
                    <w:snapToGrid w:val="0"/>
                    <w:jc w:val="center"/>
                    <w:rPr>
                      <w:rFonts w:hint="default" w:ascii="Times New Roman" w:hAnsi="Times New Roman" w:cs="Times New Roman"/>
                      <w:b/>
                      <w:bCs/>
                      <w:sz w:val="21"/>
                      <w:szCs w:val="21"/>
                    </w:rPr>
                  </w:pPr>
                </w:p>
              </w:tc>
              <w:tc>
                <w:tcPr>
                  <w:tcW w:w="652" w:type="pct"/>
                  <w:tcBorders>
                    <w:tl2br w:val="nil"/>
                    <w:tr2bl w:val="nil"/>
                  </w:tcBorders>
                  <w:noWrap w:val="0"/>
                  <w:vAlign w:val="center"/>
                </w:tcPr>
                <w:p w14:paraId="6D63782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浓度限值（mg/m³）</w:t>
                  </w:r>
                </w:p>
              </w:tc>
              <w:tc>
                <w:tcPr>
                  <w:tcW w:w="681" w:type="pct"/>
                  <w:gridSpan w:val="2"/>
                  <w:tcBorders>
                    <w:tl2br w:val="nil"/>
                    <w:tr2bl w:val="nil"/>
                  </w:tcBorders>
                  <w:noWrap w:val="0"/>
                  <w:vAlign w:val="center"/>
                </w:tcPr>
                <w:p w14:paraId="6D62B34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681" w:type="pct"/>
                  <w:gridSpan w:val="2"/>
                  <w:tcBorders>
                    <w:tl2br w:val="nil"/>
                    <w:tr2bl w:val="nil"/>
                  </w:tcBorders>
                  <w:noWrap w:val="0"/>
                  <w:vAlign w:val="center"/>
                </w:tcPr>
                <w:p w14:paraId="57EA9EE1">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362" w:type="pct"/>
                  <w:gridSpan w:val="2"/>
                  <w:tcBorders>
                    <w:tl2br w:val="nil"/>
                    <w:tr2bl w:val="nil"/>
                  </w:tcBorders>
                  <w:noWrap w:val="0"/>
                  <w:vAlign w:val="center"/>
                </w:tcPr>
                <w:p w14:paraId="66759BD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681" w:type="pct"/>
                  <w:gridSpan w:val="2"/>
                  <w:tcBorders>
                    <w:tl2br w:val="nil"/>
                    <w:tr2bl w:val="nil"/>
                  </w:tcBorders>
                  <w:noWrap w:val="0"/>
                  <w:vAlign w:val="center"/>
                </w:tcPr>
                <w:p w14:paraId="5E83B35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681" w:type="pct"/>
                  <w:tcBorders>
                    <w:tl2br w:val="nil"/>
                    <w:tr2bl w:val="nil"/>
                  </w:tcBorders>
                  <w:noWrap w:val="0"/>
                  <w:vAlign w:val="center"/>
                </w:tcPr>
                <w:p w14:paraId="38967410">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9A66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8" w:type="pct"/>
                  <w:vMerge w:val="continue"/>
                  <w:tcBorders>
                    <w:tl2br w:val="nil"/>
                    <w:tr2bl w:val="nil"/>
                  </w:tcBorders>
                  <w:noWrap w:val="0"/>
                  <w:vAlign w:val="center"/>
                </w:tcPr>
                <w:p w14:paraId="0778863F">
                  <w:pPr>
                    <w:adjustRightInd w:val="0"/>
                    <w:snapToGrid w:val="0"/>
                    <w:jc w:val="center"/>
                    <w:rPr>
                      <w:rFonts w:hint="default" w:ascii="Times New Roman" w:hAnsi="Times New Roman" w:eastAsia="宋体" w:cs="Times New Roman"/>
                      <w:b/>
                      <w:bCs/>
                      <w:color w:val="auto"/>
                      <w:sz w:val="21"/>
                      <w:szCs w:val="21"/>
                    </w:rPr>
                  </w:pPr>
                </w:p>
              </w:tc>
              <w:tc>
                <w:tcPr>
                  <w:tcW w:w="652" w:type="pct"/>
                  <w:tcBorders>
                    <w:tl2br w:val="nil"/>
                    <w:tr2bl w:val="nil"/>
                  </w:tcBorders>
                  <w:noWrap w:val="0"/>
                  <w:vAlign w:val="center"/>
                </w:tcPr>
                <w:p w14:paraId="7133AD8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速率限值（kg/h）</w:t>
                  </w:r>
                </w:p>
              </w:tc>
              <w:tc>
                <w:tcPr>
                  <w:tcW w:w="681" w:type="pct"/>
                  <w:gridSpan w:val="2"/>
                  <w:tcBorders>
                    <w:tl2br w:val="nil"/>
                    <w:tr2bl w:val="nil"/>
                  </w:tcBorders>
                  <w:noWrap w:val="0"/>
                  <w:vAlign w:val="center"/>
                </w:tcPr>
                <w:p w14:paraId="41B6211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w:t>
                  </w:r>
                </w:p>
              </w:tc>
              <w:tc>
                <w:tcPr>
                  <w:tcW w:w="681" w:type="pct"/>
                  <w:gridSpan w:val="2"/>
                  <w:tcBorders>
                    <w:tl2br w:val="nil"/>
                    <w:tr2bl w:val="nil"/>
                  </w:tcBorders>
                  <w:noWrap w:val="0"/>
                  <w:vAlign w:val="center"/>
                </w:tcPr>
                <w:p w14:paraId="023FD1F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362" w:type="pct"/>
                  <w:gridSpan w:val="2"/>
                  <w:tcBorders>
                    <w:tl2br w:val="nil"/>
                    <w:tr2bl w:val="nil"/>
                  </w:tcBorders>
                  <w:noWrap w:val="0"/>
                  <w:vAlign w:val="center"/>
                </w:tcPr>
                <w:p w14:paraId="598C378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w:t>
                  </w:r>
                </w:p>
              </w:tc>
              <w:tc>
                <w:tcPr>
                  <w:tcW w:w="681" w:type="pct"/>
                  <w:gridSpan w:val="2"/>
                  <w:tcBorders>
                    <w:tl2br w:val="nil"/>
                    <w:tr2bl w:val="nil"/>
                  </w:tcBorders>
                  <w:noWrap w:val="0"/>
                  <w:vAlign w:val="center"/>
                </w:tcPr>
                <w:p w14:paraId="14FBF0C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3.5</w:t>
                  </w:r>
                </w:p>
              </w:tc>
              <w:tc>
                <w:tcPr>
                  <w:tcW w:w="681" w:type="pct"/>
                  <w:tcBorders>
                    <w:tl2br w:val="nil"/>
                    <w:tr2bl w:val="nil"/>
                  </w:tcBorders>
                  <w:noWrap w:val="0"/>
                  <w:vAlign w:val="center"/>
                </w:tcPr>
                <w:p w14:paraId="6DBC054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w:t>
                  </w:r>
                </w:p>
              </w:tc>
            </w:tr>
          </w:tbl>
          <w:p w14:paraId="2A806760">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p>
          <w:p w14:paraId="0FC88511">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1"/>
                <w:szCs w:val="21"/>
                <w:lang w:val="en-US" w:eastAsia="zh-CN"/>
              </w:rPr>
              <w:t>续表4-1  项目废气产排情况一览表</w:t>
            </w:r>
          </w:p>
          <w:tbl>
            <w:tblPr>
              <w:tblStyle w:val="32"/>
              <w:tblW w:w="85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205"/>
              <w:gridCol w:w="706"/>
              <w:gridCol w:w="16"/>
              <w:gridCol w:w="691"/>
              <w:gridCol w:w="754"/>
              <w:gridCol w:w="707"/>
              <w:gridCol w:w="1"/>
              <w:gridCol w:w="738"/>
              <w:gridCol w:w="723"/>
              <w:gridCol w:w="823"/>
              <w:gridCol w:w="9"/>
              <w:gridCol w:w="825"/>
              <w:gridCol w:w="7"/>
              <w:gridCol w:w="834"/>
            </w:tblGrid>
            <w:tr w14:paraId="5124B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8" w:type="pct"/>
                  <w:gridSpan w:val="2"/>
                  <w:tcBorders>
                    <w:tl2br w:val="nil"/>
                    <w:tr2bl w:val="nil"/>
                  </w:tcBorders>
                  <w:noWrap w:val="0"/>
                  <w:vAlign w:val="center"/>
                </w:tcPr>
                <w:p w14:paraId="1ADA223E">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产污环节</w:t>
                  </w:r>
                </w:p>
              </w:tc>
              <w:tc>
                <w:tcPr>
                  <w:tcW w:w="1687" w:type="pct"/>
                  <w:gridSpan w:val="6"/>
                  <w:tcBorders>
                    <w:tl2br w:val="nil"/>
                    <w:tr2bl w:val="nil"/>
                  </w:tcBorders>
                  <w:noWrap w:val="0"/>
                  <w:vAlign w:val="center"/>
                </w:tcPr>
                <w:p w14:paraId="5DFA27C0">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喷漆</w:t>
                  </w:r>
                </w:p>
              </w:tc>
              <w:tc>
                <w:tcPr>
                  <w:tcW w:w="857" w:type="pct"/>
                  <w:gridSpan w:val="2"/>
                  <w:tcBorders>
                    <w:tl2br w:val="nil"/>
                    <w:tr2bl w:val="nil"/>
                  </w:tcBorders>
                  <w:noWrap w:val="0"/>
                  <w:vAlign w:val="center"/>
                </w:tcPr>
                <w:p w14:paraId="17F3DC6E">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固化</w:t>
                  </w:r>
                </w:p>
              </w:tc>
              <w:tc>
                <w:tcPr>
                  <w:tcW w:w="1466" w:type="pct"/>
                  <w:gridSpan w:val="5"/>
                  <w:tcBorders>
                    <w:tl2br w:val="nil"/>
                    <w:tr2bl w:val="nil"/>
                  </w:tcBorders>
                  <w:noWrap w:val="0"/>
                  <w:vAlign w:val="center"/>
                </w:tcPr>
                <w:p w14:paraId="77A6E963">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燃烧</w:t>
                  </w:r>
                </w:p>
              </w:tc>
            </w:tr>
            <w:tr w14:paraId="289080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8" w:type="pct"/>
                  <w:gridSpan w:val="2"/>
                  <w:tcBorders>
                    <w:tl2br w:val="nil"/>
                    <w:tr2bl w:val="nil"/>
                  </w:tcBorders>
                  <w:noWrap w:val="0"/>
                  <w:vAlign w:val="center"/>
                </w:tcPr>
                <w:p w14:paraId="524E810B">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829" w:type="pct"/>
                  <w:gridSpan w:val="3"/>
                  <w:tcBorders>
                    <w:tl2br w:val="nil"/>
                    <w:tr2bl w:val="nil"/>
                  </w:tcBorders>
                  <w:noWrap w:val="0"/>
                  <w:vAlign w:val="center"/>
                </w:tcPr>
                <w:p w14:paraId="120976FD">
                  <w:pPr>
                    <w:adjustRightInd w:val="0"/>
                    <w:snapToGrid w:val="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highlight w:val="none"/>
                      <w:lang w:eastAsia="zh-CN"/>
                    </w:rPr>
                    <w:t>漆雾</w:t>
                  </w:r>
                </w:p>
              </w:tc>
              <w:tc>
                <w:tcPr>
                  <w:tcW w:w="858" w:type="pct"/>
                  <w:gridSpan w:val="3"/>
                  <w:tcBorders>
                    <w:tl2br w:val="nil"/>
                    <w:tr2bl w:val="nil"/>
                  </w:tcBorders>
                  <w:noWrap w:val="0"/>
                  <w:vAlign w:val="center"/>
                </w:tcPr>
                <w:p w14:paraId="26D5AE83">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0"/>
                      <w:sz w:val="21"/>
                      <w:szCs w:val="21"/>
                      <w:highlight w:val="none"/>
                      <w:lang w:val="en-US" w:eastAsia="zh-CN"/>
                    </w:rPr>
                    <w:t>非甲烷总烃</w:t>
                  </w:r>
                </w:p>
              </w:tc>
              <w:tc>
                <w:tcPr>
                  <w:tcW w:w="857" w:type="pct"/>
                  <w:gridSpan w:val="2"/>
                  <w:tcBorders>
                    <w:tl2br w:val="nil"/>
                    <w:tr2bl w:val="nil"/>
                  </w:tcBorders>
                  <w:noWrap w:val="0"/>
                  <w:vAlign w:val="center"/>
                </w:tcPr>
                <w:p w14:paraId="3B0EA396">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非甲烷总烃</w:t>
                  </w:r>
                </w:p>
              </w:tc>
              <w:tc>
                <w:tcPr>
                  <w:tcW w:w="483" w:type="pct"/>
                  <w:tcBorders>
                    <w:tl2br w:val="nil"/>
                    <w:tr2bl w:val="nil"/>
                  </w:tcBorders>
                  <w:noWrap w:val="0"/>
                  <w:vAlign w:val="center"/>
                </w:tcPr>
                <w:p w14:paraId="5B2507CE">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颗粒物</w:t>
                  </w:r>
                </w:p>
              </w:tc>
              <w:tc>
                <w:tcPr>
                  <w:tcW w:w="489" w:type="pct"/>
                  <w:gridSpan w:val="2"/>
                  <w:tcBorders>
                    <w:tl2br w:val="nil"/>
                    <w:tr2bl w:val="nil"/>
                  </w:tcBorders>
                  <w:noWrap w:val="0"/>
                  <w:vAlign w:val="center"/>
                </w:tcPr>
                <w:p w14:paraId="06EB1B06">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二氧化硫</w:t>
                  </w:r>
                </w:p>
              </w:tc>
              <w:tc>
                <w:tcPr>
                  <w:tcW w:w="493" w:type="pct"/>
                  <w:gridSpan w:val="2"/>
                  <w:tcBorders>
                    <w:tl2br w:val="nil"/>
                    <w:tr2bl w:val="nil"/>
                  </w:tcBorders>
                  <w:noWrap w:val="0"/>
                  <w:vAlign w:val="center"/>
                </w:tcPr>
                <w:p w14:paraId="69366C9A">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氮氧化物</w:t>
                  </w:r>
                </w:p>
              </w:tc>
            </w:tr>
            <w:tr w14:paraId="2B5E8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8" w:type="pct"/>
                  <w:gridSpan w:val="2"/>
                  <w:tcBorders>
                    <w:tl2br w:val="nil"/>
                    <w:tr2bl w:val="nil"/>
                  </w:tcBorders>
                  <w:noWrap w:val="0"/>
                  <w:vAlign w:val="center"/>
                </w:tcPr>
                <w:p w14:paraId="682AFAA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污染物产生量（t/a）</w:t>
                  </w:r>
                </w:p>
              </w:tc>
              <w:tc>
                <w:tcPr>
                  <w:tcW w:w="829" w:type="pct"/>
                  <w:gridSpan w:val="3"/>
                  <w:tcBorders>
                    <w:tl2br w:val="nil"/>
                    <w:tr2bl w:val="nil"/>
                  </w:tcBorders>
                  <w:noWrap w:val="0"/>
                  <w:vAlign w:val="center"/>
                </w:tcPr>
                <w:p w14:paraId="2B42687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0.315</w:t>
                  </w:r>
                </w:p>
              </w:tc>
              <w:tc>
                <w:tcPr>
                  <w:tcW w:w="858" w:type="pct"/>
                  <w:gridSpan w:val="3"/>
                  <w:tcBorders>
                    <w:tl2br w:val="nil"/>
                    <w:tr2bl w:val="nil"/>
                  </w:tcBorders>
                  <w:noWrap w:val="0"/>
                  <w:vAlign w:val="center"/>
                </w:tcPr>
                <w:p w14:paraId="0D039A5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0.713</w:t>
                  </w:r>
                </w:p>
              </w:tc>
              <w:tc>
                <w:tcPr>
                  <w:tcW w:w="857" w:type="pct"/>
                  <w:gridSpan w:val="2"/>
                  <w:tcBorders>
                    <w:tl2br w:val="nil"/>
                    <w:tr2bl w:val="nil"/>
                  </w:tcBorders>
                  <w:noWrap w:val="0"/>
                  <w:vAlign w:val="center"/>
                </w:tcPr>
                <w:p w14:paraId="3DCC05B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1.108</w:t>
                  </w:r>
                </w:p>
              </w:tc>
              <w:tc>
                <w:tcPr>
                  <w:tcW w:w="483" w:type="pct"/>
                  <w:tcBorders>
                    <w:tl2br w:val="nil"/>
                    <w:tr2bl w:val="nil"/>
                  </w:tcBorders>
                  <w:noWrap w:val="0"/>
                  <w:vAlign w:val="center"/>
                </w:tcPr>
                <w:p w14:paraId="15F83E1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0.0001</w:t>
                  </w:r>
                </w:p>
              </w:tc>
              <w:tc>
                <w:tcPr>
                  <w:tcW w:w="489" w:type="pct"/>
                  <w:gridSpan w:val="2"/>
                  <w:tcBorders>
                    <w:tl2br w:val="nil"/>
                    <w:tr2bl w:val="nil"/>
                  </w:tcBorders>
                  <w:noWrap w:val="0"/>
                  <w:vAlign w:val="center"/>
                </w:tcPr>
                <w:p w14:paraId="3CDB32E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0.0021</w:t>
                  </w:r>
                </w:p>
              </w:tc>
              <w:tc>
                <w:tcPr>
                  <w:tcW w:w="493" w:type="pct"/>
                  <w:gridSpan w:val="2"/>
                  <w:tcBorders>
                    <w:tl2br w:val="nil"/>
                    <w:tr2bl w:val="nil"/>
                  </w:tcBorders>
                  <w:noWrap w:val="0"/>
                  <w:vAlign w:val="center"/>
                </w:tcPr>
                <w:p w14:paraId="74AAD2D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0.083</w:t>
                  </w:r>
                </w:p>
              </w:tc>
            </w:tr>
            <w:tr w14:paraId="7D533E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8" w:type="pct"/>
                  <w:gridSpan w:val="2"/>
                  <w:tcBorders>
                    <w:tl2br w:val="nil"/>
                    <w:tr2bl w:val="nil"/>
                  </w:tcBorders>
                  <w:noWrap w:val="0"/>
                  <w:vAlign w:val="center"/>
                </w:tcPr>
                <w:p w14:paraId="36514459">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排放形式</w:t>
                  </w:r>
                </w:p>
              </w:tc>
              <w:tc>
                <w:tcPr>
                  <w:tcW w:w="423" w:type="pct"/>
                  <w:gridSpan w:val="2"/>
                  <w:tcBorders>
                    <w:tl2br w:val="nil"/>
                    <w:tr2bl w:val="nil"/>
                  </w:tcBorders>
                  <w:noWrap w:val="0"/>
                  <w:vAlign w:val="center"/>
                </w:tcPr>
                <w:p w14:paraId="48A02105">
                  <w:pPr>
                    <w:adjustRightInd w:val="0"/>
                    <w:snapToGrid w:val="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有</w:t>
                  </w:r>
                  <w:r>
                    <w:rPr>
                      <w:rFonts w:hint="default" w:ascii="Times New Roman" w:hAnsi="Times New Roman" w:eastAsia="宋体" w:cs="Times New Roman"/>
                      <w:b w:val="0"/>
                      <w:bCs w:val="0"/>
                      <w:color w:val="auto"/>
                      <w:sz w:val="21"/>
                      <w:szCs w:val="21"/>
                      <w:lang w:eastAsia="zh-CN"/>
                    </w:rPr>
                    <w:t>组织</w:t>
                  </w:r>
                </w:p>
              </w:tc>
              <w:tc>
                <w:tcPr>
                  <w:tcW w:w="405" w:type="pct"/>
                  <w:tcBorders>
                    <w:tl2br w:val="nil"/>
                    <w:tr2bl w:val="nil"/>
                  </w:tcBorders>
                  <w:noWrap w:val="0"/>
                  <w:vAlign w:val="center"/>
                </w:tcPr>
                <w:p w14:paraId="021421FC">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无组织</w:t>
                  </w:r>
                </w:p>
              </w:tc>
              <w:tc>
                <w:tcPr>
                  <w:tcW w:w="442" w:type="pct"/>
                  <w:tcBorders>
                    <w:tl2br w:val="nil"/>
                    <w:tr2bl w:val="nil"/>
                  </w:tcBorders>
                  <w:noWrap w:val="0"/>
                  <w:vAlign w:val="center"/>
                </w:tcPr>
                <w:p w14:paraId="0667C0AF">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有</w:t>
                  </w:r>
                  <w:r>
                    <w:rPr>
                      <w:rFonts w:hint="default" w:ascii="Times New Roman" w:hAnsi="Times New Roman" w:eastAsia="宋体" w:cs="Times New Roman"/>
                      <w:b w:val="0"/>
                      <w:bCs w:val="0"/>
                      <w:color w:val="auto"/>
                      <w:sz w:val="21"/>
                      <w:szCs w:val="21"/>
                      <w:lang w:eastAsia="zh-CN"/>
                    </w:rPr>
                    <w:t>组织</w:t>
                  </w:r>
                </w:p>
              </w:tc>
              <w:tc>
                <w:tcPr>
                  <w:tcW w:w="415" w:type="pct"/>
                  <w:gridSpan w:val="2"/>
                  <w:tcBorders>
                    <w:tl2br w:val="nil"/>
                    <w:tr2bl w:val="nil"/>
                  </w:tcBorders>
                  <w:noWrap w:val="0"/>
                  <w:vAlign w:val="center"/>
                </w:tcPr>
                <w:p w14:paraId="2F6B77C1">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无组织</w:t>
                  </w:r>
                </w:p>
              </w:tc>
              <w:tc>
                <w:tcPr>
                  <w:tcW w:w="433" w:type="pct"/>
                  <w:tcBorders>
                    <w:tl2br w:val="nil"/>
                    <w:tr2bl w:val="nil"/>
                  </w:tcBorders>
                  <w:noWrap w:val="0"/>
                  <w:vAlign w:val="center"/>
                </w:tcPr>
                <w:p w14:paraId="71C40554">
                  <w:pPr>
                    <w:adjustRightInd w:val="0"/>
                    <w:snapToGrid w:val="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有</w:t>
                  </w:r>
                  <w:r>
                    <w:rPr>
                      <w:rFonts w:hint="default" w:ascii="Times New Roman" w:hAnsi="Times New Roman" w:eastAsia="宋体" w:cs="Times New Roman"/>
                      <w:b w:val="0"/>
                      <w:bCs w:val="0"/>
                      <w:color w:val="auto"/>
                      <w:sz w:val="21"/>
                      <w:szCs w:val="21"/>
                      <w:lang w:eastAsia="zh-CN"/>
                    </w:rPr>
                    <w:t>组织</w:t>
                  </w:r>
                </w:p>
              </w:tc>
              <w:tc>
                <w:tcPr>
                  <w:tcW w:w="424" w:type="pct"/>
                  <w:tcBorders>
                    <w:tl2br w:val="nil"/>
                    <w:tr2bl w:val="nil"/>
                  </w:tcBorders>
                  <w:noWrap w:val="0"/>
                  <w:vAlign w:val="center"/>
                </w:tcPr>
                <w:p w14:paraId="7562CAC2">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无组织</w:t>
                  </w:r>
                </w:p>
              </w:tc>
              <w:tc>
                <w:tcPr>
                  <w:tcW w:w="483" w:type="pct"/>
                  <w:tcBorders>
                    <w:tl2br w:val="nil"/>
                    <w:tr2bl w:val="nil"/>
                  </w:tcBorders>
                  <w:noWrap w:val="0"/>
                  <w:vAlign w:val="center"/>
                </w:tcPr>
                <w:p w14:paraId="1A2E6E7D">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有组织</w:t>
                  </w:r>
                </w:p>
              </w:tc>
              <w:tc>
                <w:tcPr>
                  <w:tcW w:w="489" w:type="pct"/>
                  <w:gridSpan w:val="2"/>
                  <w:tcBorders>
                    <w:tl2br w:val="nil"/>
                    <w:tr2bl w:val="nil"/>
                  </w:tcBorders>
                  <w:noWrap w:val="0"/>
                  <w:vAlign w:val="center"/>
                </w:tcPr>
                <w:p w14:paraId="2301CAE4">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有组织</w:t>
                  </w:r>
                </w:p>
              </w:tc>
              <w:tc>
                <w:tcPr>
                  <w:tcW w:w="493" w:type="pct"/>
                  <w:gridSpan w:val="2"/>
                  <w:tcBorders>
                    <w:tl2br w:val="nil"/>
                    <w:tr2bl w:val="nil"/>
                  </w:tcBorders>
                  <w:noWrap w:val="0"/>
                  <w:vAlign w:val="center"/>
                </w:tcPr>
                <w:p w14:paraId="3F87564D">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有组织</w:t>
                  </w:r>
                </w:p>
              </w:tc>
            </w:tr>
            <w:tr w14:paraId="5120C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0" w:type="pct"/>
                  <w:vMerge w:val="restart"/>
                  <w:tcBorders>
                    <w:tl2br w:val="nil"/>
                    <w:tr2bl w:val="nil"/>
                  </w:tcBorders>
                  <w:noWrap w:val="0"/>
                  <w:vAlign w:val="center"/>
                </w:tcPr>
                <w:p w14:paraId="007D4C11">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治理设施</w:t>
                  </w:r>
                </w:p>
              </w:tc>
              <w:tc>
                <w:tcPr>
                  <w:tcW w:w="707" w:type="pct"/>
                  <w:tcBorders>
                    <w:tl2br w:val="nil"/>
                    <w:tr2bl w:val="nil"/>
                  </w:tcBorders>
                  <w:noWrap w:val="0"/>
                  <w:vAlign w:val="center"/>
                </w:tcPr>
                <w:p w14:paraId="20013AB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处理设施</w:t>
                  </w:r>
                </w:p>
              </w:tc>
              <w:tc>
                <w:tcPr>
                  <w:tcW w:w="1687" w:type="pct"/>
                  <w:gridSpan w:val="6"/>
                  <w:tcBorders>
                    <w:tl2br w:val="nil"/>
                    <w:tr2bl w:val="nil"/>
                  </w:tcBorders>
                  <w:noWrap w:val="0"/>
                  <w:vAlign w:val="center"/>
                </w:tcPr>
                <w:p w14:paraId="786F40D8">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负压收集+干式纸盒+过滤棉+二级活性炭吸附</w:t>
                  </w:r>
                </w:p>
              </w:tc>
              <w:tc>
                <w:tcPr>
                  <w:tcW w:w="857" w:type="pct"/>
                  <w:gridSpan w:val="2"/>
                  <w:tcBorders>
                    <w:tl2br w:val="nil"/>
                    <w:tr2bl w:val="nil"/>
                  </w:tcBorders>
                  <w:noWrap w:val="0"/>
                  <w:vAlign w:val="center"/>
                </w:tcPr>
                <w:p w14:paraId="09EB1353">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二级活性炭</w:t>
                  </w:r>
                </w:p>
              </w:tc>
              <w:tc>
                <w:tcPr>
                  <w:tcW w:w="1466" w:type="pct"/>
                  <w:gridSpan w:val="5"/>
                  <w:tcBorders>
                    <w:tl2br w:val="nil"/>
                    <w:tr2bl w:val="nil"/>
                  </w:tcBorders>
                  <w:noWrap w:val="0"/>
                  <w:vAlign w:val="center"/>
                </w:tcPr>
                <w:p w14:paraId="7A281686">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低氮燃烧</w:t>
                  </w:r>
                </w:p>
              </w:tc>
            </w:tr>
            <w:tr w14:paraId="62D9E9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0" w:type="pct"/>
                  <w:vMerge w:val="continue"/>
                  <w:tcBorders>
                    <w:tl2br w:val="nil"/>
                    <w:tr2bl w:val="nil"/>
                  </w:tcBorders>
                  <w:noWrap w:val="0"/>
                  <w:vAlign w:val="center"/>
                </w:tcPr>
                <w:p w14:paraId="4C0A54F6">
                  <w:pPr>
                    <w:adjustRightInd w:val="0"/>
                    <w:snapToGrid w:val="0"/>
                    <w:jc w:val="center"/>
                    <w:rPr>
                      <w:rFonts w:hint="default" w:ascii="Times New Roman" w:hAnsi="Times New Roman" w:eastAsia="宋体" w:cs="Times New Roman"/>
                      <w:b/>
                      <w:bCs/>
                      <w:color w:val="auto"/>
                      <w:sz w:val="21"/>
                      <w:szCs w:val="21"/>
                    </w:rPr>
                  </w:pPr>
                </w:p>
              </w:tc>
              <w:tc>
                <w:tcPr>
                  <w:tcW w:w="707" w:type="pct"/>
                  <w:tcBorders>
                    <w:tl2br w:val="nil"/>
                    <w:tr2bl w:val="nil"/>
                  </w:tcBorders>
                  <w:noWrap w:val="0"/>
                  <w:vAlign w:val="center"/>
                </w:tcPr>
                <w:p w14:paraId="38AD046D">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收集效率%</w:t>
                  </w:r>
                </w:p>
              </w:tc>
              <w:tc>
                <w:tcPr>
                  <w:tcW w:w="423" w:type="pct"/>
                  <w:gridSpan w:val="2"/>
                  <w:tcBorders>
                    <w:tl2br w:val="nil"/>
                    <w:tr2bl w:val="nil"/>
                  </w:tcBorders>
                  <w:noWrap w:val="0"/>
                  <w:vAlign w:val="center"/>
                </w:tcPr>
                <w:p w14:paraId="37DCA936">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95</w:t>
                  </w:r>
                </w:p>
              </w:tc>
              <w:tc>
                <w:tcPr>
                  <w:tcW w:w="405" w:type="pct"/>
                  <w:tcBorders>
                    <w:tl2br w:val="nil"/>
                    <w:tr2bl w:val="nil"/>
                  </w:tcBorders>
                  <w:noWrap w:val="0"/>
                  <w:vAlign w:val="center"/>
                </w:tcPr>
                <w:p w14:paraId="3ABF2C15">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442" w:type="pct"/>
                  <w:tcBorders>
                    <w:tl2br w:val="nil"/>
                    <w:tr2bl w:val="nil"/>
                  </w:tcBorders>
                  <w:noWrap w:val="0"/>
                  <w:vAlign w:val="center"/>
                </w:tcPr>
                <w:p w14:paraId="208D6F39">
                  <w:pPr>
                    <w:adjustRightInd w:val="0"/>
                    <w:snapToGrid w:val="0"/>
                    <w:jc w:val="center"/>
                    <w:rPr>
                      <w:rFonts w:hint="default" w:ascii="Times New Roman" w:hAnsi="Times New Roman" w:eastAsia="宋体" w:cs="Times New Roman"/>
                      <w:b w:val="0"/>
                      <w:bCs w:val="0"/>
                      <w:color w:val="auto"/>
                      <w:sz w:val="21"/>
                      <w:szCs w:val="21"/>
                      <w:lang w:val="en-US" w:eastAsia="zh-CN"/>
                    </w:rPr>
                  </w:pPr>
                </w:p>
              </w:tc>
              <w:tc>
                <w:tcPr>
                  <w:tcW w:w="415" w:type="pct"/>
                  <w:gridSpan w:val="2"/>
                  <w:tcBorders>
                    <w:tl2br w:val="nil"/>
                    <w:tr2bl w:val="nil"/>
                  </w:tcBorders>
                  <w:noWrap w:val="0"/>
                  <w:vAlign w:val="center"/>
                </w:tcPr>
                <w:p w14:paraId="30C13C27">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433" w:type="pct"/>
                  <w:tcBorders>
                    <w:tl2br w:val="nil"/>
                    <w:tr2bl w:val="nil"/>
                  </w:tcBorders>
                  <w:noWrap w:val="0"/>
                  <w:vAlign w:val="center"/>
                </w:tcPr>
                <w:p w14:paraId="742305FB">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85</w:t>
                  </w:r>
                </w:p>
              </w:tc>
              <w:tc>
                <w:tcPr>
                  <w:tcW w:w="424" w:type="pct"/>
                  <w:tcBorders>
                    <w:tl2br w:val="nil"/>
                    <w:tr2bl w:val="nil"/>
                  </w:tcBorders>
                  <w:noWrap w:val="0"/>
                  <w:vAlign w:val="center"/>
                </w:tcPr>
                <w:p w14:paraId="3EB4A75F">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483" w:type="pct"/>
                  <w:tcBorders>
                    <w:tl2br w:val="nil"/>
                    <w:tr2bl w:val="nil"/>
                  </w:tcBorders>
                  <w:noWrap w:val="0"/>
                  <w:vAlign w:val="center"/>
                </w:tcPr>
                <w:p w14:paraId="78F38289">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489" w:type="pct"/>
                  <w:gridSpan w:val="2"/>
                  <w:tcBorders>
                    <w:tl2br w:val="nil"/>
                    <w:tr2bl w:val="nil"/>
                  </w:tcBorders>
                  <w:noWrap w:val="0"/>
                  <w:vAlign w:val="center"/>
                </w:tcPr>
                <w:p w14:paraId="0335880A">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493" w:type="pct"/>
                  <w:gridSpan w:val="2"/>
                  <w:tcBorders>
                    <w:tl2br w:val="nil"/>
                    <w:tr2bl w:val="nil"/>
                  </w:tcBorders>
                  <w:noWrap w:val="0"/>
                  <w:vAlign w:val="center"/>
                </w:tcPr>
                <w:p w14:paraId="60E4B515">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7D376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0" w:type="pct"/>
                  <w:vMerge w:val="continue"/>
                  <w:tcBorders>
                    <w:tl2br w:val="nil"/>
                    <w:tr2bl w:val="nil"/>
                  </w:tcBorders>
                  <w:noWrap w:val="0"/>
                  <w:vAlign w:val="center"/>
                </w:tcPr>
                <w:p w14:paraId="7FAD707F">
                  <w:pPr>
                    <w:adjustRightInd w:val="0"/>
                    <w:snapToGrid w:val="0"/>
                    <w:jc w:val="center"/>
                    <w:rPr>
                      <w:rFonts w:hint="default" w:ascii="Times New Roman" w:hAnsi="Times New Roman" w:eastAsia="宋体" w:cs="Times New Roman"/>
                      <w:b/>
                      <w:bCs/>
                      <w:color w:val="auto"/>
                      <w:sz w:val="21"/>
                      <w:szCs w:val="21"/>
                    </w:rPr>
                  </w:pPr>
                </w:p>
              </w:tc>
              <w:tc>
                <w:tcPr>
                  <w:tcW w:w="707" w:type="pct"/>
                  <w:tcBorders>
                    <w:tl2br w:val="nil"/>
                    <w:tr2bl w:val="nil"/>
                  </w:tcBorders>
                  <w:noWrap w:val="0"/>
                  <w:vAlign w:val="center"/>
                </w:tcPr>
                <w:p w14:paraId="69540928">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治理工艺去除率%</w:t>
                  </w:r>
                </w:p>
              </w:tc>
              <w:tc>
                <w:tcPr>
                  <w:tcW w:w="423" w:type="pct"/>
                  <w:gridSpan w:val="2"/>
                  <w:tcBorders>
                    <w:tl2br w:val="nil"/>
                    <w:tr2bl w:val="nil"/>
                  </w:tcBorders>
                  <w:noWrap w:val="0"/>
                  <w:vAlign w:val="center"/>
                </w:tcPr>
                <w:p w14:paraId="257E2264">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95</w:t>
                  </w:r>
                </w:p>
              </w:tc>
              <w:tc>
                <w:tcPr>
                  <w:tcW w:w="405" w:type="pct"/>
                  <w:tcBorders>
                    <w:tl2br w:val="nil"/>
                    <w:tr2bl w:val="nil"/>
                  </w:tcBorders>
                  <w:noWrap w:val="0"/>
                  <w:vAlign w:val="center"/>
                </w:tcPr>
                <w:p w14:paraId="4A04B057">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442" w:type="pct"/>
                  <w:tcBorders>
                    <w:tl2br w:val="nil"/>
                    <w:tr2bl w:val="nil"/>
                  </w:tcBorders>
                  <w:noWrap w:val="0"/>
                  <w:vAlign w:val="center"/>
                </w:tcPr>
                <w:p w14:paraId="07F1E926">
                  <w:pPr>
                    <w:adjustRightInd w:val="0"/>
                    <w:snapToGrid w:val="0"/>
                    <w:jc w:val="center"/>
                    <w:rPr>
                      <w:rFonts w:hint="default" w:ascii="Times New Roman" w:hAnsi="Times New Roman" w:eastAsia="宋体" w:cs="Times New Roman"/>
                      <w:b w:val="0"/>
                      <w:bCs w:val="0"/>
                      <w:color w:val="auto"/>
                      <w:sz w:val="21"/>
                      <w:szCs w:val="21"/>
                      <w:lang w:val="en-US" w:eastAsia="zh-CN"/>
                    </w:rPr>
                  </w:pPr>
                </w:p>
              </w:tc>
              <w:tc>
                <w:tcPr>
                  <w:tcW w:w="415" w:type="pct"/>
                  <w:gridSpan w:val="2"/>
                  <w:tcBorders>
                    <w:tl2br w:val="nil"/>
                    <w:tr2bl w:val="nil"/>
                  </w:tcBorders>
                  <w:noWrap w:val="0"/>
                  <w:vAlign w:val="center"/>
                </w:tcPr>
                <w:p w14:paraId="63FECA6C">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433" w:type="pct"/>
                  <w:tcBorders>
                    <w:tl2br w:val="nil"/>
                    <w:tr2bl w:val="nil"/>
                  </w:tcBorders>
                  <w:noWrap w:val="0"/>
                  <w:vAlign w:val="center"/>
                </w:tcPr>
                <w:p w14:paraId="50BD0185">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50</w:t>
                  </w:r>
                </w:p>
              </w:tc>
              <w:tc>
                <w:tcPr>
                  <w:tcW w:w="424" w:type="pct"/>
                  <w:tcBorders>
                    <w:tl2br w:val="nil"/>
                    <w:tr2bl w:val="nil"/>
                  </w:tcBorders>
                  <w:noWrap w:val="0"/>
                  <w:vAlign w:val="center"/>
                </w:tcPr>
                <w:p w14:paraId="2F0C4C90">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483" w:type="pct"/>
                  <w:tcBorders>
                    <w:tl2br w:val="nil"/>
                    <w:tr2bl w:val="nil"/>
                  </w:tcBorders>
                  <w:noWrap w:val="0"/>
                  <w:vAlign w:val="center"/>
                </w:tcPr>
                <w:p w14:paraId="69575979">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489" w:type="pct"/>
                  <w:gridSpan w:val="2"/>
                  <w:tcBorders>
                    <w:tl2br w:val="nil"/>
                    <w:tr2bl w:val="nil"/>
                  </w:tcBorders>
                  <w:noWrap w:val="0"/>
                  <w:vAlign w:val="center"/>
                </w:tcPr>
                <w:p w14:paraId="19844104">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493" w:type="pct"/>
                  <w:gridSpan w:val="2"/>
                  <w:tcBorders>
                    <w:tl2br w:val="nil"/>
                    <w:tr2bl w:val="nil"/>
                  </w:tcBorders>
                  <w:noWrap w:val="0"/>
                  <w:vAlign w:val="center"/>
                </w:tcPr>
                <w:p w14:paraId="47014E67">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66C70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0" w:type="pct"/>
                  <w:vMerge w:val="continue"/>
                  <w:tcBorders>
                    <w:tl2br w:val="nil"/>
                    <w:tr2bl w:val="nil"/>
                  </w:tcBorders>
                  <w:noWrap w:val="0"/>
                  <w:vAlign w:val="center"/>
                </w:tcPr>
                <w:p w14:paraId="497D7334">
                  <w:pPr>
                    <w:adjustRightInd w:val="0"/>
                    <w:snapToGrid w:val="0"/>
                    <w:jc w:val="center"/>
                    <w:rPr>
                      <w:rFonts w:hint="default" w:ascii="Times New Roman" w:hAnsi="Times New Roman" w:eastAsia="宋体" w:cs="Times New Roman"/>
                      <w:b/>
                      <w:bCs/>
                      <w:color w:val="auto"/>
                      <w:sz w:val="21"/>
                      <w:szCs w:val="21"/>
                    </w:rPr>
                  </w:pPr>
                </w:p>
              </w:tc>
              <w:tc>
                <w:tcPr>
                  <w:tcW w:w="707" w:type="pct"/>
                  <w:tcBorders>
                    <w:tl2br w:val="nil"/>
                    <w:tr2bl w:val="nil"/>
                  </w:tcBorders>
                  <w:noWrap w:val="0"/>
                  <w:vAlign w:val="center"/>
                </w:tcPr>
                <w:p w14:paraId="7385AF7F">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是否为可行技术</w:t>
                  </w:r>
                </w:p>
              </w:tc>
              <w:tc>
                <w:tcPr>
                  <w:tcW w:w="423" w:type="pct"/>
                  <w:gridSpan w:val="2"/>
                  <w:tcBorders>
                    <w:tl2br w:val="nil"/>
                    <w:tr2bl w:val="nil"/>
                  </w:tcBorders>
                  <w:noWrap w:val="0"/>
                  <w:vAlign w:val="center"/>
                </w:tcPr>
                <w:p w14:paraId="1EC56C0C">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是</w:t>
                  </w:r>
                </w:p>
              </w:tc>
              <w:tc>
                <w:tcPr>
                  <w:tcW w:w="405" w:type="pct"/>
                  <w:tcBorders>
                    <w:tl2br w:val="nil"/>
                    <w:tr2bl w:val="nil"/>
                  </w:tcBorders>
                  <w:noWrap w:val="0"/>
                  <w:vAlign w:val="center"/>
                </w:tcPr>
                <w:p w14:paraId="3C9A6EFC">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442" w:type="pct"/>
                  <w:tcBorders>
                    <w:tl2br w:val="nil"/>
                    <w:tr2bl w:val="nil"/>
                  </w:tcBorders>
                  <w:noWrap w:val="0"/>
                  <w:vAlign w:val="center"/>
                </w:tcPr>
                <w:p w14:paraId="718ACA86">
                  <w:pPr>
                    <w:adjustRightInd w:val="0"/>
                    <w:snapToGrid w:val="0"/>
                    <w:jc w:val="center"/>
                    <w:rPr>
                      <w:rFonts w:hint="default" w:ascii="Times New Roman" w:hAnsi="Times New Roman" w:eastAsia="宋体" w:cs="Times New Roman"/>
                      <w:b w:val="0"/>
                      <w:bCs w:val="0"/>
                      <w:color w:val="auto"/>
                      <w:sz w:val="21"/>
                      <w:szCs w:val="21"/>
                    </w:rPr>
                  </w:pPr>
                </w:p>
              </w:tc>
              <w:tc>
                <w:tcPr>
                  <w:tcW w:w="415" w:type="pct"/>
                  <w:gridSpan w:val="2"/>
                  <w:tcBorders>
                    <w:tl2br w:val="nil"/>
                    <w:tr2bl w:val="nil"/>
                  </w:tcBorders>
                  <w:noWrap w:val="0"/>
                  <w:vAlign w:val="center"/>
                </w:tcPr>
                <w:p w14:paraId="31E45616">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433" w:type="pct"/>
                  <w:tcBorders>
                    <w:tl2br w:val="nil"/>
                    <w:tr2bl w:val="nil"/>
                  </w:tcBorders>
                  <w:noWrap w:val="0"/>
                  <w:vAlign w:val="center"/>
                </w:tcPr>
                <w:p w14:paraId="689D15D7">
                  <w:pPr>
                    <w:adjustRightInd w:val="0"/>
                    <w:snapToGrid w:val="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是</w:t>
                  </w:r>
                </w:p>
              </w:tc>
              <w:tc>
                <w:tcPr>
                  <w:tcW w:w="424" w:type="pct"/>
                  <w:tcBorders>
                    <w:tl2br w:val="nil"/>
                    <w:tr2bl w:val="nil"/>
                  </w:tcBorders>
                  <w:noWrap w:val="0"/>
                  <w:vAlign w:val="center"/>
                </w:tcPr>
                <w:p w14:paraId="54E30737">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483" w:type="pct"/>
                  <w:tcBorders>
                    <w:tl2br w:val="nil"/>
                    <w:tr2bl w:val="nil"/>
                  </w:tcBorders>
                  <w:noWrap w:val="0"/>
                  <w:vAlign w:val="center"/>
                </w:tcPr>
                <w:p w14:paraId="5769F92E">
                  <w:pPr>
                    <w:adjustRightInd w:val="0"/>
                    <w:snapToGrid w:val="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w:t>
                  </w:r>
                </w:p>
              </w:tc>
              <w:tc>
                <w:tcPr>
                  <w:tcW w:w="489" w:type="pct"/>
                  <w:gridSpan w:val="2"/>
                  <w:tcBorders>
                    <w:tl2br w:val="nil"/>
                    <w:tr2bl w:val="nil"/>
                  </w:tcBorders>
                  <w:noWrap w:val="0"/>
                  <w:vAlign w:val="center"/>
                </w:tcPr>
                <w:p w14:paraId="69A85B4B">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493" w:type="pct"/>
                  <w:gridSpan w:val="2"/>
                  <w:tcBorders>
                    <w:tl2br w:val="nil"/>
                    <w:tr2bl w:val="nil"/>
                  </w:tcBorders>
                  <w:noWrap w:val="0"/>
                  <w:vAlign w:val="center"/>
                </w:tcPr>
                <w:p w14:paraId="008BF19D">
                  <w:pPr>
                    <w:adjustRightInd w:val="0"/>
                    <w:snapToGrid w:val="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w:t>
                  </w:r>
                </w:p>
              </w:tc>
            </w:tr>
            <w:tr w14:paraId="32C22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8" w:type="pct"/>
                  <w:gridSpan w:val="2"/>
                  <w:tcBorders>
                    <w:tl2br w:val="nil"/>
                    <w:tr2bl w:val="nil"/>
                  </w:tcBorders>
                  <w:noWrap w:val="0"/>
                  <w:vAlign w:val="center"/>
                </w:tcPr>
                <w:p w14:paraId="103EEBAD">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污染物排放浓度（mg/</w:t>
                  </w:r>
                  <w:r>
                    <w:rPr>
                      <w:rFonts w:hint="default" w:ascii="Times New Roman" w:hAnsi="Times New Roman" w:cs="Times New Roman"/>
                      <w:b/>
                      <w:bCs/>
                      <w:color w:val="auto"/>
                      <w:sz w:val="21"/>
                      <w:szCs w:val="21"/>
                      <w:lang w:eastAsia="zh-CN"/>
                    </w:rPr>
                    <w:t>m³</w:t>
                  </w:r>
                  <w:r>
                    <w:rPr>
                      <w:rFonts w:hint="default" w:ascii="Times New Roman" w:hAnsi="Times New Roman" w:eastAsia="宋体" w:cs="Times New Roman"/>
                      <w:b/>
                      <w:bCs/>
                      <w:color w:val="auto"/>
                      <w:sz w:val="21"/>
                      <w:szCs w:val="21"/>
                    </w:rPr>
                    <w:t>）</w:t>
                  </w:r>
                </w:p>
              </w:tc>
              <w:tc>
                <w:tcPr>
                  <w:tcW w:w="423" w:type="pct"/>
                  <w:gridSpan w:val="2"/>
                  <w:tcBorders>
                    <w:tl2br w:val="nil"/>
                    <w:tr2bl w:val="nil"/>
                  </w:tcBorders>
                  <w:noWrap w:val="0"/>
                  <w:vAlign w:val="center"/>
                </w:tcPr>
                <w:p w14:paraId="08F5B4AF">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4.988</w:t>
                  </w:r>
                </w:p>
              </w:tc>
              <w:tc>
                <w:tcPr>
                  <w:tcW w:w="405" w:type="pct"/>
                  <w:tcBorders>
                    <w:tl2br w:val="nil"/>
                    <w:tr2bl w:val="nil"/>
                  </w:tcBorders>
                  <w:noWrap w:val="0"/>
                  <w:vAlign w:val="center"/>
                </w:tcPr>
                <w:p w14:paraId="6C8DA96C">
                  <w:pPr>
                    <w:keepNext w:val="0"/>
                    <w:keepLines w:val="0"/>
                    <w:widowControl/>
                    <w:suppressLineNumbers w:val="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442" w:type="pct"/>
                  <w:tcBorders>
                    <w:tl2br w:val="nil"/>
                    <w:tr2bl w:val="nil"/>
                  </w:tcBorders>
                  <w:noWrap w:val="0"/>
                  <w:vAlign w:val="center"/>
                </w:tcPr>
                <w:p w14:paraId="7DE4953B">
                  <w:pPr>
                    <w:keepNext w:val="0"/>
                    <w:keepLines w:val="0"/>
                    <w:widowControl/>
                    <w:suppressLineNumbers w:val="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28.22</w:t>
                  </w:r>
                </w:p>
              </w:tc>
              <w:tc>
                <w:tcPr>
                  <w:tcW w:w="415" w:type="pct"/>
                  <w:gridSpan w:val="2"/>
                  <w:tcBorders>
                    <w:tl2br w:val="nil"/>
                    <w:tr2bl w:val="nil"/>
                  </w:tcBorders>
                  <w:noWrap w:val="0"/>
                  <w:vAlign w:val="center"/>
                </w:tcPr>
                <w:p w14:paraId="6517B587">
                  <w:pPr>
                    <w:keepNext w:val="0"/>
                    <w:keepLines w:val="0"/>
                    <w:widowControl/>
                    <w:suppressLineNumbers w:val="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433" w:type="pct"/>
                  <w:tcBorders>
                    <w:tl2br w:val="nil"/>
                    <w:tr2bl w:val="nil"/>
                  </w:tcBorders>
                  <w:noWrap w:val="0"/>
                  <w:vAlign w:val="center"/>
                </w:tcPr>
                <w:p w14:paraId="78A9DC6F">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14.77</w:t>
                  </w:r>
                </w:p>
              </w:tc>
              <w:tc>
                <w:tcPr>
                  <w:tcW w:w="424" w:type="pct"/>
                  <w:tcBorders>
                    <w:tl2br w:val="nil"/>
                    <w:tr2bl w:val="nil"/>
                  </w:tcBorders>
                  <w:noWrap w:val="0"/>
                  <w:vAlign w:val="center"/>
                </w:tcPr>
                <w:p w14:paraId="6098146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w:t>
                  </w:r>
                </w:p>
              </w:tc>
              <w:tc>
                <w:tcPr>
                  <w:tcW w:w="823" w:type="dxa"/>
                  <w:tcBorders>
                    <w:tl2br w:val="nil"/>
                    <w:tr2bl w:val="nil"/>
                  </w:tcBorders>
                  <w:noWrap w:val="0"/>
                  <w:vAlign w:val="center"/>
                </w:tcPr>
                <w:p w14:paraId="15A5528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0.179</w:t>
                  </w:r>
                </w:p>
              </w:tc>
              <w:tc>
                <w:tcPr>
                  <w:tcW w:w="834" w:type="dxa"/>
                  <w:gridSpan w:val="2"/>
                  <w:tcBorders>
                    <w:tl2br w:val="nil"/>
                    <w:tr2bl w:val="nil"/>
                  </w:tcBorders>
                  <w:noWrap w:val="0"/>
                  <w:vAlign w:val="center"/>
                </w:tcPr>
                <w:p w14:paraId="56AFAA7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3.757</w:t>
                  </w:r>
                </w:p>
              </w:tc>
              <w:tc>
                <w:tcPr>
                  <w:tcW w:w="841" w:type="dxa"/>
                  <w:gridSpan w:val="2"/>
                  <w:tcBorders>
                    <w:tl2br w:val="nil"/>
                    <w:tr2bl w:val="nil"/>
                  </w:tcBorders>
                  <w:noWrap w:val="0"/>
                  <w:vAlign w:val="center"/>
                </w:tcPr>
                <w:p w14:paraId="46E243A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148.49</w:t>
                  </w:r>
                </w:p>
              </w:tc>
            </w:tr>
            <w:tr w14:paraId="7A1BA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8" w:type="pct"/>
                  <w:gridSpan w:val="2"/>
                  <w:tcBorders>
                    <w:tl2br w:val="nil"/>
                    <w:tr2bl w:val="nil"/>
                  </w:tcBorders>
                  <w:noWrap w:val="0"/>
                  <w:vAlign w:val="center"/>
                </w:tcPr>
                <w:p w14:paraId="6A50B81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污染物排放速率（kg/h）</w:t>
                  </w:r>
                </w:p>
              </w:tc>
              <w:tc>
                <w:tcPr>
                  <w:tcW w:w="423" w:type="pct"/>
                  <w:gridSpan w:val="2"/>
                  <w:tcBorders>
                    <w:tl2br w:val="nil"/>
                    <w:tr2bl w:val="nil"/>
                  </w:tcBorders>
                  <w:noWrap w:val="0"/>
                  <w:vAlign w:val="center"/>
                </w:tcPr>
                <w:p w14:paraId="2BC5B96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0.05</w:t>
                  </w:r>
                </w:p>
              </w:tc>
              <w:tc>
                <w:tcPr>
                  <w:tcW w:w="405" w:type="pct"/>
                  <w:tcBorders>
                    <w:tl2br w:val="nil"/>
                    <w:tr2bl w:val="nil"/>
                  </w:tcBorders>
                  <w:noWrap w:val="0"/>
                  <w:vAlign w:val="center"/>
                </w:tcPr>
                <w:p w14:paraId="11277B3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0.026</w:t>
                  </w:r>
                </w:p>
              </w:tc>
              <w:tc>
                <w:tcPr>
                  <w:tcW w:w="442" w:type="pct"/>
                  <w:tcBorders>
                    <w:tl2br w:val="nil"/>
                    <w:tr2bl w:val="nil"/>
                  </w:tcBorders>
                  <w:noWrap w:val="0"/>
                  <w:vAlign w:val="center"/>
                </w:tcPr>
                <w:p w14:paraId="53750E2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0.282</w:t>
                  </w:r>
                </w:p>
              </w:tc>
              <w:tc>
                <w:tcPr>
                  <w:tcW w:w="415" w:type="pct"/>
                  <w:gridSpan w:val="2"/>
                  <w:tcBorders>
                    <w:tl2br w:val="nil"/>
                    <w:tr2bl w:val="nil"/>
                  </w:tcBorders>
                  <w:noWrap w:val="0"/>
                  <w:vAlign w:val="center"/>
                </w:tcPr>
                <w:p w14:paraId="0389A2E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0.059</w:t>
                  </w:r>
                </w:p>
              </w:tc>
              <w:tc>
                <w:tcPr>
                  <w:tcW w:w="433" w:type="pct"/>
                  <w:tcBorders>
                    <w:tl2br w:val="nil"/>
                    <w:tr2bl w:val="nil"/>
                  </w:tcBorders>
                  <w:noWrap w:val="0"/>
                  <w:vAlign w:val="center"/>
                </w:tcPr>
                <w:p w14:paraId="1019B8C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0.148</w:t>
                  </w:r>
                </w:p>
              </w:tc>
              <w:tc>
                <w:tcPr>
                  <w:tcW w:w="424" w:type="pct"/>
                  <w:tcBorders>
                    <w:tl2br w:val="nil"/>
                    <w:tr2bl w:val="nil"/>
                  </w:tcBorders>
                  <w:noWrap w:val="0"/>
                  <w:vAlign w:val="center"/>
                </w:tcPr>
                <w:p w14:paraId="1A58E48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0.148</w:t>
                  </w:r>
                </w:p>
              </w:tc>
              <w:tc>
                <w:tcPr>
                  <w:tcW w:w="823" w:type="dxa"/>
                  <w:tcBorders>
                    <w:tl2br w:val="nil"/>
                    <w:tr2bl w:val="nil"/>
                  </w:tcBorders>
                  <w:noWrap w:val="0"/>
                  <w:vAlign w:val="center"/>
                </w:tcPr>
                <w:p w14:paraId="2FA2378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0.067</w:t>
                  </w:r>
                </w:p>
              </w:tc>
              <w:tc>
                <w:tcPr>
                  <w:tcW w:w="834" w:type="dxa"/>
                  <w:gridSpan w:val="2"/>
                  <w:tcBorders>
                    <w:tl2br w:val="nil"/>
                    <w:tr2bl w:val="nil"/>
                  </w:tcBorders>
                  <w:noWrap w:val="0"/>
                  <w:vAlign w:val="center"/>
                </w:tcPr>
                <w:p w14:paraId="70457D41">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841" w:type="dxa"/>
                  <w:gridSpan w:val="2"/>
                  <w:tcBorders>
                    <w:tl2br w:val="nil"/>
                    <w:tr2bl w:val="nil"/>
                  </w:tcBorders>
                  <w:noWrap w:val="0"/>
                  <w:vAlign w:val="center"/>
                </w:tcPr>
                <w:p w14:paraId="25F9953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55.337</w:t>
                  </w:r>
                </w:p>
              </w:tc>
            </w:tr>
            <w:tr w14:paraId="7248B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8" w:type="pct"/>
                  <w:gridSpan w:val="2"/>
                  <w:tcBorders>
                    <w:tl2br w:val="nil"/>
                    <w:tr2bl w:val="nil"/>
                  </w:tcBorders>
                  <w:noWrap w:val="0"/>
                  <w:vAlign w:val="center"/>
                </w:tcPr>
                <w:p w14:paraId="7515D0B5">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污染物排放量（t/a）</w:t>
                  </w:r>
                </w:p>
              </w:tc>
              <w:tc>
                <w:tcPr>
                  <w:tcW w:w="423" w:type="pct"/>
                  <w:gridSpan w:val="2"/>
                  <w:tcBorders>
                    <w:tl2br w:val="nil"/>
                    <w:tr2bl w:val="nil"/>
                  </w:tcBorders>
                  <w:noWrap w:val="0"/>
                  <w:vAlign w:val="center"/>
                </w:tcPr>
                <w:p w14:paraId="005115F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0.03</w:t>
                  </w:r>
                </w:p>
              </w:tc>
              <w:tc>
                <w:tcPr>
                  <w:tcW w:w="405" w:type="pct"/>
                  <w:tcBorders>
                    <w:tl2br w:val="nil"/>
                    <w:tr2bl w:val="nil"/>
                  </w:tcBorders>
                  <w:noWrap w:val="0"/>
                  <w:vAlign w:val="center"/>
                </w:tcPr>
                <w:p w14:paraId="64282B3A">
                  <w:pPr>
                    <w:keepNext w:val="0"/>
                    <w:keepLines w:val="0"/>
                    <w:widowControl/>
                    <w:suppressLineNumbers w:val="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0.016</w:t>
                  </w:r>
                </w:p>
              </w:tc>
              <w:tc>
                <w:tcPr>
                  <w:tcW w:w="442" w:type="pct"/>
                  <w:tcBorders>
                    <w:tl2br w:val="nil"/>
                    <w:tr2bl w:val="nil"/>
                  </w:tcBorders>
                  <w:noWrap w:val="0"/>
                  <w:vAlign w:val="center"/>
                </w:tcPr>
                <w:p w14:paraId="05370EB1">
                  <w:pPr>
                    <w:keepNext w:val="0"/>
                    <w:keepLines w:val="0"/>
                    <w:widowControl/>
                    <w:suppressLineNumbers w:val="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0.1</w:t>
                  </w:r>
                </w:p>
              </w:tc>
              <w:tc>
                <w:tcPr>
                  <w:tcW w:w="415" w:type="pct"/>
                  <w:gridSpan w:val="2"/>
                  <w:tcBorders>
                    <w:tl2br w:val="nil"/>
                    <w:tr2bl w:val="nil"/>
                  </w:tcBorders>
                  <w:noWrap w:val="0"/>
                  <w:vAlign w:val="center"/>
                </w:tcPr>
                <w:p w14:paraId="65026DC0">
                  <w:pPr>
                    <w:keepNext w:val="0"/>
                    <w:keepLines w:val="0"/>
                    <w:widowControl/>
                    <w:suppressLineNumbers w:val="0"/>
                    <w:jc w:val="center"/>
                    <w:textAlignment w:val="center"/>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0.036</w:t>
                  </w:r>
                </w:p>
              </w:tc>
              <w:tc>
                <w:tcPr>
                  <w:tcW w:w="433" w:type="pct"/>
                  <w:tcBorders>
                    <w:tl2br w:val="nil"/>
                    <w:tr2bl w:val="nil"/>
                  </w:tcBorders>
                  <w:noWrap w:val="0"/>
                  <w:vAlign w:val="center"/>
                </w:tcPr>
                <w:p w14:paraId="3227CBE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0.222</w:t>
                  </w:r>
                </w:p>
              </w:tc>
              <w:tc>
                <w:tcPr>
                  <w:tcW w:w="424" w:type="pct"/>
                  <w:tcBorders>
                    <w:tl2br w:val="nil"/>
                    <w:tr2bl w:val="nil"/>
                  </w:tcBorders>
                  <w:noWrap w:val="0"/>
                  <w:vAlign w:val="center"/>
                </w:tcPr>
                <w:p w14:paraId="5425614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0.222</w:t>
                  </w:r>
                </w:p>
              </w:tc>
              <w:tc>
                <w:tcPr>
                  <w:tcW w:w="823" w:type="dxa"/>
                  <w:tcBorders>
                    <w:tl2br w:val="nil"/>
                    <w:tr2bl w:val="nil"/>
                  </w:tcBorders>
                  <w:noWrap w:val="0"/>
                  <w:vAlign w:val="center"/>
                </w:tcPr>
                <w:p w14:paraId="6020ADD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0.0001</w:t>
                  </w:r>
                </w:p>
              </w:tc>
              <w:tc>
                <w:tcPr>
                  <w:tcW w:w="834" w:type="dxa"/>
                  <w:gridSpan w:val="2"/>
                  <w:tcBorders>
                    <w:tl2br w:val="nil"/>
                    <w:tr2bl w:val="nil"/>
                  </w:tcBorders>
                  <w:noWrap w:val="0"/>
                  <w:vAlign w:val="center"/>
                </w:tcPr>
                <w:p w14:paraId="38A1742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0.0021</w:t>
                  </w:r>
                </w:p>
              </w:tc>
              <w:tc>
                <w:tcPr>
                  <w:tcW w:w="841" w:type="dxa"/>
                  <w:gridSpan w:val="2"/>
                  <w:tcBorders>
                    <w:tl2br w:val="nil"/>
                    <w:tr2bl w:val="nil"/>
                  </w:tcBorders>
                  <w:noWrap w:val="0"/>
                  <w:vAlign w:val="center"/>
                </w:tcPr>
                <w:p w14:paraId="2BD42FA6">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0.083</w:t>
                  </w:r>
                </w:p>
              </w:tc>
            </w:tr>
            <w:tr w14:paraId="53CD9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0" w:type="pct"/>
                  <w:vMerge w:val="restart"/>
                  <w:tcBorders>
                    <w:tl2br w:val="nil"/>
                    <w:tr2bl w:val="nil"/>
                  </w:tcBorders>
                  <w:noWrap w:val="0"/>
                  <w:vAlign w:val="center"/>
                </w:tcPr>
                <w:p w14:paraId="04C1E6F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排放口基本信息</w:t>
                  </w:r>
                </w:p>
              </w:tc>
              <w:tc>
                <w:tcPr>
                  <w:tcW w:w="707" w:type="pct"/>
                  <w:tcBorders>
                    <w:tl2br w:val="nil"/>
                    <w:tr2bl w:val="nil"/>
                  </w:tcBorders>
                  <w:noWrap w:val="0"/>
                  <w:vAlign w:val="center"/>
                </w:tcPr>
                <w:p w14:paraId="06CD1551">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高度（m）</w:t>
                  </w:r>
                </w:p>
              </w:tc>
              <w:tc>
                <w:tcPr>
                  <w:tcW w:w="4011" w:type="pct"/>
                  <w:gridSpan w:val="13"/>
                  <w:tcBorders>
                    <w:tl2br w:val="nil"/>
                    <w:tr2bl w:val="nil"/>
                  </w:tcBorders>
                  <w:noWrap w:val="0"/>
                  <w:vAlign w:val="center"/>
                </w:tcPr>
                <w:p w14:paraId="7FD73D7F">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w:t>
                  </w:r>
                </w:p>
              </w:tc>
            </w:tr>
            <w:tr w14:paraId="10DF1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0" w:type="pct"/>
                  <w:vMerge w:val="continue"/>
                  <w:tcBorders>
                    <w:tl2br w:val="nil"/>
                    <w:tr2bl w:val="nil"/>
                  </w:tcBorders>
                  <w:noWrap w:val="0"/>
                  <w:vAlign w:val="center"/>
                </w:tcPr>
                <w:p w14:paraId="77F8DC40">
                  <w:pPr>
                    <w:adjustRightInd w:val="0"/>
                    <w:snapToGrid w:val="0"/>
                    <w:jc w:val="center"/>
                    <w:rPr>
                      <w:rFonts w:hint="default" w:ascii="Times New Roman" w:hAnsi="Times New Roman" w:eastAsia="宋体" w:cs="Times New Roman"/>
                      <w:b/>
                      <w:bCs/>
                      <w:color w:val="auto"/>
                      <w:sz w:val="21"/>
                      <w:szCs w:val="21"/>
                    </w:rPr>
                  </w:pPr>
                </w:p>
              </w:tc>
              <w:tc>
                <w:tcPr>
                  <w:tcW w:w="707" w:type="pct"/>
                  <w:tcBorders>
                    <w:tl2br w:val="nil"/>
                    <w:tr2bl w:val="nil"/>
                  </w:tcBorders>
                  <w:noWrap w:val="0"/>
                  <w:vAlign w:val="center"/>
                </w:tcPr>
                <w:p w14:paraId="38057363">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排气筒内径（m）</w:t>
                  </w:r>
                </w:p>
              </w:tc>
              <w:tc>
                <w:tcPr>
                  <w:tcW w:w="4011" w:type="pct"/>
                  <w:gridSpan w:val="13"/>
                  <w:tcBorders>
                    <w:tl2br w:val="nil"/>
                    <w:tr2bl w:val="nil"/>
                  </w:tcBorders>
                  <w:noWrap w:val="0"/>
                  <w:vAlign w:val="center"/>
                </w:tcPr>
                <w:p w14:paraId="5ADE7B22">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cs="Times New Roman"/>
                      <w:b w:val="0"/>
                      <w:bCs w:val="0"/>
                      <w:color w:val="auto"/>
                      <w:sz w:val="21"/>
                      <w:szCs w:val="21"/>
                      <w:lang w:val="en-US" w:eastAsia="zh-CN"/>
                    </w:rPr>
                    <w:t>4</w:t>
                  </w:r>
                </w:p>
              </w:tc>
            </w:tr>
            <w:tr w14:paraId="36841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0" w:type="pct"/>
                  <w:vMerge w:val="continue"/>
                  <w:tcBorders>
                    <w:tl2br w:val="nil"/>
                    <w:tr2bl w:val="nil"/>
                  </w:tcBorders>
                  <w:noWrap w:val="0"/>
                  <w:vAlign w:val="center"/>
                </w:tcPr>
                <w:p w14:paraId="7726F66B">
                  <w:pPr>
                    <w:adjustRightInd w:val="0"/>
                    <w:snapToGrid w:val="0"/>
                    <w:jc w:val="center"/>
                    <w:rPr>
                      <w:rFonts w:hint="default" w:ascii="Times New Roman" w:hAnsi="Times New Roman" w:eastAsia="宋体" w:cs="Times New Roman"/>
                      <w:b/>
                      <w:bCs/>
                      <w:color w:val="auto"/>
                      <w:sz w:val="21"/>
                      <w:szCs w:val="21"/>
                    </w:rPr>
                  </w:pPr>
                </w:p>
              </w:tc>
              <w:tc>
                <w:tcPr>
                  <w:tcW w:w="707" w:type="pct"/>
                  <w:tcBorders>
                    <w:tl2br w:val="nil"/>
                    <w:tr2bl w:val="nil"/>
                  </w:tcBorders>
                  <w:noWrap w:val="0"/>
                  <w:vAlign w:val="center"/>
                </w:tcPr>
                <w:p w14:paraId="5458814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温度（℃）</w:t>
                  </w:r>
                </w:p>
              </w:tc>
              <w:tc>
                <w:tcPr>
                  <w:tcW w:w="4011" w:type="pct"/>
                  <w:gridSpan w:val="13"/>
                  <w:tcBorders>
                    <w:tl2br w:val="nil"/>
                    <w:tr2bl w:val="nil"/>
                  </w:tcBorders>
                  <w:noWrap w:val="0"/>
                  <w:vAlign w:val="center"/>
                </w:tcPr>
                <w:p w14:paraId="1ED88B7C">
                  <w:pPr>
                    <w:adjustRightInd w:val="0"/>
                    <w:snapToGrid w:val="0"/>
                    <w:jc w:val="center"/>
                    <w:rPr>
                      <w:rFonts w:hint="default" w:ascii="Times New Roman" w:hAnsi="Times New Roman" w:cs="Times New Roman"/>
                      <w:b w:val="0"/>
                      <w:bCs w:val="0"/>
                      <w:color w:val="auto"/>
                      <w:kern w:val="0"/>
                      <w:sz w:val="21"/>
                      <w:szCs w:val="21"/>
                      <w:highlight w:val="none"/>
                      <w:lang w:bidi="ar"/>
                    </w:rPr>
                  </w:pPr>
                  <w:r>
                    <w:rPr>
                      <w:rFonts w:hint="default" w:ascii="Times New Roman" w:hAnsi="Times New Roman" w:cs="Times New Roman"/>
                      <w:b w:val="0"/>
                      <w:bCs w:val="0"/>
                      <w:color w:val="auto"/>
                      <w:kern w:val="0"/>
                      <w:sz w:val="21"/>
                      <w:szCs w:val="21"/>
                      <w:highlight w:val="none"/>
                      <w:lang w:bidi="ar"/>
                    </w:rPr>
                    <w:t>常温</w:t>
                  </w:r>
                </w:p>
              </w:tc>
            </w:tr>
            <w:tr w14:paraId="20C64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0" w:type="pct"/>
                  <w:vMerge w:val="continue"/>
                  <w:tcBorders>
                    <w:tl2br w:val="nil"/>
                    <w:tr2bl w:val="nil"/>
                  </w:tcBorders>
                  <w:noWrap w:val="0"/>
                  <w:vAlign w:val="center"/>
                </w:tcPr>
                <w:p w14:paraId="08A4016E">
                  <w:pPr>
                    <w:adjustRightInd w:val="0"/>
                    <w:snapToGrid w:val="0"/>
                    <w:jc w:val="center"/>
                    <w:rPr>
                      <w:rFonts w:hint="default" w:ascii="Times New Roman" w:hAnsi="Times New Roman" w:eastAsia="宋体" w:cs="Times New Roman"/>
                      <w:b/>
                      <w:bCs/>
                      <w:color w:val="auto"/>
                      <w:sz w:val="21"/>
                      <w:szCs w:val="21"/>
                    </w:rPr>
                  </w:pPr>
                </w:p>
              </w:tc>
              <w:tc>
                <w:tcPr>
                  <w:tcW w:w="707" w:type="pct"/>
                  <w:tcBorders>
                    <w:tl2br w:val="nil"/>
                    <w:tr2bl w:val="nil"/>
                  </w:tcBorders>
                  <w:noWrap w:val="0"/>
                  <w:vAlign w:val="center"/>
                </w:tcPr>
                <w:p w14:paraId="0346FEDF">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编号</w:t>
                  </w:r>
                </w:p>
              </w:tc>
              <w:tc>
                <w:tcPr>
                  <w:tcW w:w="4011" w:type="pct"/>
                  <w:gridSpan w:val="13"/>
                  <w:tcBorders>
                    <w:tl2br w:val="nil"/>
                    <w:tr2bl w:val="nil"/>
                  </w:tcBorders>
                  <w:noWrap w:val="0"/>
                  <w:vAlign w:val="center"/>
                </w:tcPr>
                <w:p w14:paraId="72D352D8">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DA00</w:t>
                  </w:r>
                  <w:r>
                    <w:rPr>
                      <w:rFonts w:hint="default" w:ascii="Times New Roman" w:hAnsi="Times New Roman" w:cs="Times New Roman"/>
                      <w:b w:val="0"/>
                      <w:bCs w:val="0"/>
                      <w:color w:val="auto"/>
                      <w:sz w:val="21"/>
                      <w:szCs w:val="21"/>
                      <w:lang w:val="en-US" w:eastAsia="zh-CN"/>
                    </w:rPr>
                    <w:t>3</w:t>
                  </w:r>
                </w:p>
              </w:tc>
            </w:tr>
            <w:tr w14:paraId="69B6A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0" w:type="pct"/>
                  <w:vMerge w:val="continue"/>
                  <w:tcBorders>
                    <w:tl2br w:val="nil"/>
                    <w:tr2bl w:val="nil"/>
                  </w:tcBorders>
                  <w:noWrap w:val="0"/>
                  <w:vAlign w:val="center"/>
                </w:tcPr>
                <w:p w14:paraId="39798219">
                  <w:pPr>
                    <w:adjustRightInd w:val="0"/>
                    <w:snapToGrid w:val="0"/>
                    <w:jc w:val="center"/>
                    <w:rPr>
                      <w:rFonts w:hint="default" w:ascii="Times New Roman" w:hAnsi="Times New Roman" w:eastAsia="宋体" w:cs="Times New Roman"/>
                      <w:b/>
                      <w:bCs/>
                      <w:color w:val="auto"/>
                      <w:sz w:val="21"/>
                      <w:szCs w:val="21"/>
                    </w:rPr>
                  </w:pPr>
                </w:p>
              </w:tc>
              <w:tc>
                <w:tcPr>
                  <w:tcW w:w="707" w:type="pct"/>
                  <w:tcBorders>
                    <w:tl2br w:val="nil"/>
                    <w:tr2bl w:val="nil"/>
                  </w:tcBorders>
                  <w:noWrap w:val="0"/>
                  <w:vAlign w:val="center"/>
                </w:tcPr>
                <w:p w14:paraId="00E88886">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类型</w:t>
                  </w:r>
                </w:p>
              </w:tc>
              <w:tc>
                <w:tcPr>
                  <w:tcW w:w="4011" w:type="pct"/>
                  <w:gridSpan w:val="13"/>
                  <w:tcBorders>
                    <w:tl2br w:val="nil"/>
                    <w:tr2bl w:val="nil"/>
                  </w:tcBorders>
                  <w:noWrap w:val="0"/>
                  <w:vAlign w:val="center"/>
                </w:tcPr>
                <w:p w14:paraId="7F304263">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一般排放口</w:t>
                  </w:r>
                </w:p>
              </w:tc>
            </w:tr>
            <w:tr w14:paraId="5153C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0" w:type="pct"/>
                  <w:vMerge w:val="restart"/>
                  <w:tcBorders>
                    <w:tl2br w:val="nil"/>
                    <w:tr2bl w:val="nil"/>
                  </w:tcBorders>
                  <w:noWrap w:val="0"/>
                  <w:vAlign w:val="center"/>
                </w:tcPr>
                <w:p w14:paraId="59E3A611">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排放标准</w:t>
                  </w:r>
                </w:p>
              </w:tc>
              <w:tc>
                <w:tcPr>
                  <w:tcW w:w="707" w:type="pct"/>
                  <w:tcBorders>
                    <w:tl2br w:val="nil"/>
                    <w:tr2bl w:val="nil"/>
                  </w:tcBorders>
                  <w:noWrap w:val="0"/>
                  <w:vAlign w:val="center"/>
                </w:tcPr>
                <w:p w14:paraId="79DA1CC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标准名称</w:t>
                  </w:r>
                </w:p>
              </w:tc>
              <w:tc>
                <w:tcPr>
                  <w:tcW w:w="829" w:type="pct"/>
                  <w:gridSpan w:val="3"/>
                  <w:tcBorders>
                    <w:tl2br w:val="nil"/>
                    <w:tr2bl w:val="nil"/>
                  </w:tcBorders>
                  <w:noWrap w:val="0"/>
                  <w:vAlign w:val="center"/>
                </w:tcPr>
                <w:p w14:paraId="3E9E96EB">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《大气污染物综合排放标准》（GB16297-1996）表2</w:t>
                  </w:r>
                </w:p>
              </w:tc>
              <w:tc>
                <w:tcPr>
                  <w:tcW w:w="1715" w:type="pct"/>
                  <w:gridSpan w:val="5"/>
                  <w:tcBorders>
                    <w:tl2br w:val="nil"/>
                    <w:tr2bl w:val="nil"/>
                  </w:tcBorders>
                  <w:noWrap w:val="0"/>
                  <w:vAlign w:val="center"/>
                </w:tcPr>
                <w:p w14:paraId="16E67DF9">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《挥发性有机物排放控制标准》（DB61/T1061-2017）表 1 中表面涂装行业排放浓度限值，有机废气（非甲烷总烃）无组织厂区内执行《挥发性有机物无组织排放控制标准》（GB37822-2019）中相关标准，厂界执行《挥发性有机物排放控制标准》（DB61/T1061-2017）中厂界排放标准；</w:t>
                  </w:r>
                </w:p>
              </w:tc>
              <w:tc>
                <w:tcPr>
                  <w:tcW w:w="1466" w:type="pct"/>
                  <w:gridSpan w:val="5"/>
                  <w:tcBorders>
                    <w:tl2br w:val="nil"/>
                    <w:tr2bl w:val="nil"/>
                  </w:tcBorders>
                  <w:noWrap w:val="0"/>
                  <w:vAlign w:val="center"/>
                </w:tcPr>
                <w:p w14:paraId="6D241826">
                  <w:pPr>
                    <w:adjustRightInd w:val="0"/>
                    <w:snapToGrid w:val="0"/>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《锅炉大气污染物排放标准》（DB61-1226-2018）表3排放浓度限值</w:t>
                  </w:r>
                </w:p>
              </w:tc>
            </w:tr>
            <w:tr w14:paraId="6B819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0" w:type="pct"/>
                  <w:vMerge w:val="continue"/>
                  <w:tcBorders>
                    <w:tl2br w:val="nil"/>
                    <w:tr2bl w:val="nil"/>
                  </w:tcBorders>
                  <w:noWrap w:val="0"/>
                  <w:vAlign w:val="center"/>
                </w:tcPr>
                <w:p w14:paraId="1B1C9E0F">
                  <w:pPr>
                    <w:adjustRightInd w:val="0"/>
                    <w:snapToGrid w:val="0"/>
                    <w:jc w:val="center"/>
                    <w:rPr>
                      <w:rFonts w:hint="default" w:ascii="Times New Roman" w:hAnsi="Times New Roman" w:cs="Times New Roman"/>
                      <w:b/>
                      <w:bCs/>
                      <w:sz w:val="21"/>
                      <w:szCs w:val="21"/>
                    </w:rPr>
                  </w:pPr>
                </w:p>
              </w:tc>
              <w:tc>
                <w:tcPr>
                  <w:tcW w:w="707" w:type="pct"/>
                  <w:tcBorders>
                    <w:tl2br w:val="nil"/>
                    <w:tr2bl w:val="nil"/>
                  </w:tcBorders>
                  <w:noWrap w:val="0"/>
                  <w:vAlign w:val="center"/>
                </w:tcPr>
                <w:p w14:paraId="43FBF5C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浓度限值（mg/m³）</w:t>
                  </w:r>
                </w:p>
              </w:tc>
              <w:tc>
                <w:tcPr>
                  <w:tcW w:w="414" w:type="pct"/>
                  <w:tcBorders>
                    <w:tl2br w:val="nil"/>
                    <w:tr2bl w:val="nil"/>
                  </w:tcBorders>
                  <w:noWrap w:val="0"/>
                  <w:vAlign w:val="center"/>
                </w:tcPr>
                <w:p w14:paraId="3D8D8883">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120</w:t>
                  </w:r>
                </w:p>
              </w:tc>
              <w:tc>
                <w:tcPr>
                  <w:tcW w:w="415" w:type="pct"/>
                  <w:gridSpan w:val="2"/>
                  <w:tcBorders>
                    <w:tl2br w:val="nil"/>
                    <w:tr2bl w:val="nil"/>
                  </w:tcBorders>
                  <w:noWrap w:val="0"/>
                  <w:vAlign w:val="center"/>
                </w:tcPr>
                <w:p w14:paraId="0886C450">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1.0</w:t>
                  </w:r>
                </w:p>
              </w:tc>
              <w:tc>
                <w:tcPr>
                  <w:tcW w:w="857" w:type="pct"/>
                  <w:gridSpan w:val="2"/>
                  <w:tcBorders>
                    <w:tl2br w:val="nil"/>
                    <w:tr2bl w:val="nil"/>
                  </w:tcBorders>
                  <w:noWrap w:val="0"/>
                  <w:vAlign w:val="center"/>
                </w:tcPr>
                <w:p w14:paraId="4043A335">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50</w:t>
                  </w:r>
                </w:p>
              </w:tc>
              <w:tc>
                <w:tcPr>
                  <w:tcW w:w="858" w:type="pct"/>
                  <w:gridSpan w:val="3"/>
                  <w:tcBorders>
                    <w:tl2br w:val="nil"/>
                    <w:tr2bl w:val="nil"/>
                  </w:tcBorders>
                  <w:noWrap w:val="0"/>
                  <w:vAlign w:val="center"/>
                </w:tcPr>
                <w:p w14:paraId="6A81A269">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厂界3；厂区内6</w:t>
                  </w:r>
                </w:p>
              </w:tc>
              <w:tc>
                <w:tcPr>
                  <w:tcW w:w="488" w:type="pct"/>
                  <w:gridSpan w:val="2"/>
                  <w:tcBorders>
                    <w:tl2br w:val="nil"/>
                    <w:tr2bl w:val="nil"/>
                  </w:tcBorders>
                  <w:noWrap w:val="0"/>
                  <w:vAlign w:val="center"/>
                </w:tcPr>
                <w:p w14:paraId="5220903A">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20</w:t>
                  </w:r>
                </w:p>
              </w:tc>
              <w:tc>
                <w:tcPr>
                  <w:tcW w:w="488" w:type="pct"/>
                  <w:gridSpan w:val="2"/>
                  <w:tcBorders>
                    <w:tl2br w:val="nil"/>
                    <w:tr2bl w:val="nil"/>
                  </w:tcBorders>
                  <w:noWrap w:val="0"/>
                  <w:vAlign w:val="center"/>
                </w:tcPr>
                <w:p w14:paraId="1ABCF458">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50</w:t>
                  </w:r>
                </w:p>
              </w:tc>
              <w:tc>
                <w:tcPr>
                  <w:tcW w:w="489" w:type="pct"/>
                  <w:tcBorders>
                    <w:tl2br w:val="nil"/>
                    <w:tr2bl w:val="nil"/>
                  </w:tcBorders>
                  <w:noWrap w:val="0"/>
                  <w:vAlign w:val="center"/>
                </w:tcPr>
                <w:p w14:paraId="69475CF9">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150</w:t>
                  </w:r>
                </w:p>
              </w:tc>
            </w:tr>
            <w:tr w14:paraId="0AEDB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80" w:type="pct"/>
                  <w:vMerge w:val="continue"/>
                  <w:tcBorders>
                    <w:tl2br w:val="nil"/>
                    <w:tr2bl w:val="nil"/>
                  </w:tcBorders>
                  <w:noWrap w:val="0"/>
                  <w:vAlign w:val="center"/>
                </w:tcPr>
                <w:p w14:paraId="5A537ACB">
                  <w:pPr>
                    <w:adjustRightInd w:val="0"/>
                    <w:snapToGrid w:val="0"/>
                    <w:jc w:val="center"/>
                    <w:rPr>
                      <w:rFonts w:hint="default" w:ascii="Times New Roman" w:hAnsi="Times New Roman" w:eastAsia="宋体" w:cs="Times New Roman"/>
                      <w:b/>
                      <w:bCs/>
                      <w:color w:val="auto"/>
                      <w:sz w:val="21"/>
                      <w:szCs w:val="21"/>
                    </w:rPr>
                  </w:pPr>
                </w:p>
              </w:tc>
              <w:tc>
                <w:tcPr>
                  <w:tcW w:w="707" w:type="pct"/>
                  <w:tcBorders>
                    <w:tl2br w:val="nil"/>
                    <w:tr2bl w:val="nil"/>
                  </w:tcBorders>
                  <w:noWrap w:val="0"/>
                  <w:vAlign w:val="center"/>
                </w:tcPr>
                <w:p w14:paraId="219DC5A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rPr>
                    <w:t>速率限值（kg/h）</w:t>
                  </w:r>
                </w:p>
              </w:tc>
              <w:tc>
                <w:tcPr>
                  <w:tcW w:w="414" w:type="pct"/>
                  <w:tcBorders>
                    <w:tl2br w:val="nil"/>
                    <w:tr2bl w:val="nil"/>
                  </w:tcBorders>
                  <w:noWrap w:val="0"/>
                  <w:vAlign w:val="center"/>
                </w:tcPr>
                <w:p w14:paraId="68EDDBCB">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3.5</w:t>
                  </w:r>
                </w:p>
              </w:tc>
              <w:tc>
                <w:tcPr>
                  <w:tcW w:w="415" w:type="pct"/>
                  <w:gridSpan w:val="2"/>
                  <w:tcBorders>
                    <w:tl2br w:val="nil"/>
                    <w:tr2bl w:val="nil"/>
                  </w:tcBorders>
                  <w:noWrap w:val="0"/>
                  <w:vAlign w:val="center"/>
                </w:tcPr>
                <w:p w14:paraId="3EADE5D4">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w:t>
                  </w:r>
                </w:p>
              </w:tc>
              <w:tc>
                <w:tcPr>
                  <w:tcW w:w="857" w:type="pct"/>
                  <w:gridSpan w:val="2"/>
                  <w:tcBorders>
                    <w:tl2br w:val="nil"/>
                    <w:tr2bl w:val="nil"/>
                  </w:tcBorders>
                  <w:noWrap w:val="0"/>
                  <w:vAlign w:val="center"/>
                </w:tcPr>
                <w:p w14:paraId="28DD21A6">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858" w:type="pct"/>
                  <w:gridSpan w:val="3"/>
                  <w:tcBorders>
                    <w:tl2br w:val="nil"/>
                    <w:tr2bl w:val="nil"/>
                  </w:tcBorders>
                  <w:noWrap w:val="0"/>
                  <w:vAlign w:val="center"/>
                </w:tcPr>
                <w:p w14:paraId="30C73670">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488" w:type="pct"/>
                  <w:gridSpan w:val="2"/>
                  <w:tcBorders>
                    <w:tl2br w:val="nil"/>
                    <w:tr2bl w:val="nil"/>
                  </w:tcBorders>
                  <w:noWrap w:val="0"/>
                  <w:vAlign w:val="center"/>
                </w:tcPr>
                <w:p w14:paraId="4FCDD2B6">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488" w:type="pct"/>
                  <w:gridSpan w:val="2"/>
                  <w:tcBorders>
                    <w:tl2br w:val="nil"/>
                    <w:tr2bl w:val="nil"/>
                  </w:tcBorders>
                  <w:noWrap w:val="0"/>
                  <w:vAlign w:val="center"/>
                </w:tcPr>
                <w:p w14:paraId="7C048CBB">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489" w:type="pct"/>
                  <w:tcBorders>
                    <w:tl2br w:val="nil"/>
                    <w:tr2bl w:val="nil"/>
                  </w:tcBorders>
                  <w:noWrap w:val="0"/>
                  <w:vAlign w:val="center"/>
                </w:tcPr>
                <w:p w14:paraId="723FCC04">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r>
          </w:tbl>
          <w:p w14:paraId="4A0A567C">
            <w:pPr>
              <w:keepNext/>
              <w:keepLines/>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eastAsia="zh-CN"/>
              </w:rPr>
              <w:t>）污染源源强核算过程</w:t>
            </w:r>
          </w:p>
          <w:p w14:paraId="25C642EE">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eastAsia="zh-CN"/>
              </w:rPr>
              <w:t>①</w:t>
            </w:r>
            <w:r>
              <w:rPr>
                <w:rFonts w:hint="default" w:ascii="Times New Roman" w:hAnsi="Times New Roman" w:eastAsia="宋体" w:cs="Times New Roman"/>
                <w:b/>
                <w:bCs/>
                <w:color w:val="auto"/>
                <w:sz w:val="24"/>
                <w:lang w:val="en-US" w:eastAsia="zh-CN"/>
              </w:rPr>
              <w:t>切割废气</w:t>
            </w:r>
          </w:p>
          <w:p w14:paraId="0F5DFD40">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金属件在切割过程中会有微量的金属粉尘产生。零部件制作采用激光切割和火焰切割，其中激光切割</w:t>
            </w:r>
            <w:r>
              <w:rPr>
                <w:rFonts w:hint="eastAsia" w:ascii="Times New Roman" w:hAnsi="Times New Roman" w:cs="Times New Roman"/>
                <w:color w:val="auto"/>
                <w:sz w:val="24"/>
                <w:lang w:val="en-US" w:eastAsia="zh-CN"/>
              </w:rPr>
              <w:t>量约</w:t>
            </w:r>
            <w:r>
              <w:rPr>
                <w:rFonts w:hint="default" w:ascii="Times New Roman" w:hAnsi="Times New Roman" w:eastAsia="宋体" w:cs="Times New Roman"/>
                <w:color w:val="auto"/>
                <w:sz w:val="24"/>
                <w:lang w:val="en-US" w:eastAsia="zh-CN"/>
              </w:rPr>
              <w:t>60%，火焰切割量为40%。参考《排放源统计调查产排污核算方法和系数手册》</w:t>
            </w:r>
            <w:r>
              <w:rPr>
                <w:rFonts w:hint="default" w:ascii="Times New Roman" w:hAnsi="Times New Roman" w:cs="Times New Roman"/>
                <w:color w:val="auto"/>
                <w:sz w:val="24"/>
                <w:szCs w:val="24"/>
                <w:lang w:val="en-US" w:eastAsia="zh-CN"/>
              </w:rPr>
              <w:t>（公告2021年第24号）中“机械行业系数手册-04下料核算环节”</w:t>
            </w:r>
            <w:r>
              <w:rPr>
                <w:rFonts w:hint="default" w:ascii="Times New Roman" w:hAnsi="Times New Roman" w:eastAsia="宋体" w:cs="Times New Roman"/>
                <w:color w:val="auto"/>
                <w:sz w:val="24"/>
                <w:lang w:val="en-US" w:eastAsia="zh-CN"/>
              </w:rPr>
              <w:t>中等离子切割颗粒物产污系数1.10kg/吨</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原料，</w:t>
            </w:r>
            <w:r>
              <w:rPr>
                <w:rFonts w:hint="default" w:ascii="Times New Roman" w:hAnsi="Times New Roman" w:eastAsia="宋体" w:cs="Times New Roman"/>
                <w:color w:val="auto"/>
                <w:sz w:val="24"/>
                <w:szCs w:val="24"/>
              </w:rPr>
              <w:t>氧/可燃气切割颗粒物产污系数1.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0kg/吨－原料，</w:t>
            </w:r>
            <w:r>
              <w:rPr>
                <w:rFonts w:hint="default" w:ascii="Times New Roman" w:hAnsi="Times New Roman" w:eastAsia="宋体" w:cs="Times New Roman"/>
                <w:color w:val="auto"/>
                <w:sz w:val="24"/>
                <w:lang w:val="en-US" w:eastAsia="zh-CN"/>
              </w:rPr>
              <w:t>项目需要切割原料总用量为10000</w:t>
            </w:r>
            <w:r>
              <w:rPr>
                <w:rFonts w:hint="default" w:ascii="Times New Roman" w:hAnsi="Times New Roman" w:cs="Times New Roman"/>
                <w:color w:val="auto"/>
                <w:sz w:val="24"/>
                <w:lang w:val="en-US" w:eastAsia="zh-CN"/>
              </w:rPr>
              <w:t>t/a</w:t>
            </w:r>
            <w:r>
              <w:rPr>
                <w:rFonts w:hint="default" w:ascii="Times New Roman" w:hAnsi="Times New Roman" w:eastAsia="宋体" w:cs="Times New Roman"/>
                <w:color w:val="auto"/>
                <w:sz w:val="24"/>
                <w:lang w:val="en-US" w:eastAsia="zh-CN"/>
              </w:rPr>
              <w:t>，则激光切割粉尘产生量为6.6t/a，火焰切割粉尘产生量为6t/a，则切割工序粉尘总产生量为12.6t/a。</w:t>
            </w:r>
          </w:p>
          <w:p w14:paraId="373A8BD3">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建设单位</w:t>
            </w:r>
            <w:r>
              <w:rPr>
                <w:rFonts w:hint="default" w:ascii="Times New Roman" w:hAnsi="Times New Roman" w:cs="Times New Roman"/>
                <w:color w:val="auto"/>
                <w:sz w:val="24"/>
                <w:lang w:val="en-US" w:eastAsia="zh-CN"/>
              </w:rPr>
              <w:t>将产生的切割粉尘</w:t>
            </w:r>
            <w:r>
              <w:rPr>
                <w:rFonts w:hint="default" w:ascii="Times New Roman" w:hAnsi="Times New Roman" w:eastAsia="宋体" w:cs="Times New Roman"/>
                <w:color w:val="auto"/>
                <w:sz w:val="24"/>
                <w:lang w:val="en-US" w:eastAsia="zh-CN"/>
              </w:rPr>
              <w:t>收集后进入滤筒除尘器（TA001，处理效率95%）进行处理</w:t>
            </w:r>
            <w:r>
              <w:rPr>
                <w:rFonts w:hint="default" w:ascii="Times New Roman" w:hAnsi="Times New Roman" w:cs="Times New Roman"/>
                <w:color w:val="auto"/>
                <w:sz w:val="24"/>
                <w:lang w:val="en-US" w:eastAsia="zh-CN"/>
              </w:rPr>
              <w:t>（收集方式：一台切割机上方密闭设集气系统，激光切割机分别设下吸式收尘，分别将粉尘收至集气管道）</w:t>
            </w:r>
            <w:r>
              <w:rPr>
                <w:rFonts w:hint="default" w:ascii="Times New Roman" w:hAnsi="Times New Roman" w:eastAsia="宋体" w:cs="Times New Roman"/>
                <w:color w:val="auto"/>
                <w:sz w:val="24"/>
                <w:lang w:val="en-US" w:eastAsia="zh-CN"/>
              </w:rPr>
              <w:t>，收集效率</w:t>
            </w:r>
            <w:r>
              <w:rPr>
                <w:rFonts w:hint="default" w:ascii="Times New Roman" w:hAnsi="Times New Roman" w:cs="Times New Roman"/>
                <w:color w:val="auto"/>
                <w:sz w:val="24"/>
                <w:lang w:val="en-US" w:eastAsia="zh-CN"/>
              </w:rPr>
              <w:t>约</w:t>
            </w:r>
            <w:r>
              <w:rPr>
                <w:rFonts w:hint="default" w:ascii="Times New Roman" w:hAnsi="Times New Roman" w:eastAsia="宋体" w:cs="Times New Roman"/>
                <w:color w:val="auto"/>
                <w:sz w:val="24"/>
                <w:lang w:val="en-US" w:eastAsia="zh-CN"/>
              </w:rPr>
              <w:t>为85%，则进入滤筒除尘器有组织粉尘量为10.71t/a。</w:t>
            </w:r>
          </w:p>
          <w:p w14:paraId="3CB77278">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②焊接、修磨废气</w:t>
            </w:r>
          </w:p>
          <w:p w14:paraId="77266852">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本项目需要对工件进行焊接，使用辅料为焊丝，消耗量为1t/a，根据《排放源统计调查产排污核算方法和系数手册》（公告2021年第24号）中</w:t>
            </w:r>
            <w:r>
              <w:rPr>
                <w:rFonts w:hint="eastAsia"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机械行业系数手册09-焊接环节二氧化碳保护焊、埋弧焊、氩弧焊工艺</w:t>
            </w:r>
            <w:r>
              <w:rPr>
                <w:rFonts w:hint="eastAsia"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使用实心焊丝的产污系数为9.19千克/吨</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原料，经计算焊接</w:t>
            </w:r>
            <w:r>
              <w:rPr>
                <w:rFonts w:hint="default" w:ascii="Times New Roman" w:hAnsi="Times New Roman" w:cs="Times New Roman"/>
                <w:color w:val="auto"/>
                <w:sz w:val="24"/>
                <w:lang w:val="en-US" w:eastAsia="zh-CN"/>
              </w:rPr>
              <w:t>粉尘</w:t>
            </w:r>
            <w:r>
              <w:rPr>
                <w:rFonts w:hint="default" w:ascii="Times New Roman" w:hAnsi="Times New Roman" w:eastAsia="宋体" w:cs="Times New Roman"/>
                <w:color w:val="auto"/>
                <w:sz w:val="24"/>
                <w:lang w:val="en-US" w:eastAsia="zh-CN"/>
              </w:rPr>
              <w:t>产生量为0.01t/a。</w:t>
            </w:r>
          </w:p>
          <w:p w14:paraId="4E707C39">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项目有少量工件需手动打磨机对工件外露表面焊缝、毛刺进行手工修磨，修磨量处理工件量约为5000</w:t>
            </w:r>
            <w:r>
              <w:rPr>
                <w:rFonts w:hint="default" w:ascii="Times New Roman" w:hAnsi="Times New Roman" w:cs="Times New Roman"/>
                <w:color w:val="auto"/>
                <w:sz w:val="24"/>
                <w:szCs w:val="24"/>
                <w:lang w:val="en-US" w:eastAsia="zh-CN"/>
              </w:rPr>
              <w:t>t，根据</w:t>
            </w:r>
            <w:r>
              <w:rPr>
                <w:rFonts w:hint="default" w:ascii="Times New Roman" w:hAnsi="Times New Roman" w:eastAsia="宋体" w:cs="Times New Roman"/>
                <w:color w:val="auto"/>
                <w:sz w:val="24"/>
                <w:lang w:val="en-US" w:eastAsia="zh-CN"/>
              </w:rPr>
              <w:t>《排放源统计调查产排污核算方法和系数手册》（公告 2021年第24号）中“机械行业系数手册-06 预处理核算环节”打磨工序污系数表中打磨颗粒物产污系数为2.19千克/吨-原料，经计算修磨</w:t>
            </w:r>
            <w:r>
              <w:rPr>
                <w:rFonts w:hint="default" w:ascii="Times New Roman" w:hAnsi="Times New Roman" w:cs="Times New Roman"/>
                <w:color w:val="auto"/>
                <w:sz w:val="24"/>
                <w:lang w:val="en-US" w:eastAsia="zh-CN"/>
              </w:rPr>
              <w:t>粉尘</w:t>
            </w:r>
            <w:r>
              <w:rPr>
                <w:rFonts w:hint="default" w:ascii="Times New Roman" w:hAnsi="Times New Roman" w:eastAsia="宋体" w:cs="Times New Roman"/>
                <w:color w:val="auto"/>
                <w:sz w:val="24"/>
                <w:lang w:val="en-US" w:eastAsia="zh-CN"/>
              </w:rPr>
              <w:t>产生量为10.95t/a。则焊接、修磨工序粉尘总产生量为10.96t/a。</w:t>
            </w:r>
          </w:p>
          <w:p w14:paraId="53A3B89D">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建设单位将焊接、修磨工序</w:t>
            </w:r>
            <w:r>
              <w:rPr>
                <w:rFonts w:hint="default" w:ascii="Times New Roman" w:hAnsi="Times New Roman" w:cs="Times New Roman"/>
                <w:color w:val="auto"/>
                <w:sz w:val="24"/>
                <w:lang w:val="en-US" w:eastAsia="zh-CN"/>
              </w:rPr>
              <w:t>设在</w:t>
            </w:r>
            <w:r>
              <w:rPr>
                <w:rFonts w:hint="default" w:ascii="Times New Roman" w:hAnsi="Times New Roman" w:eastAsia="宋体" w:cs="Times New Roman"/>
                <w:color w:val="auto"/>
                <w:sz w:val="24"/>
                <w:lang w:val="en-US" w:eastAsia="zh-CN"/>
              </w:rPr>
              <w:t>密闭焊接房内进行，</w:t>
            </w:r>
            <w:r>
              <w:rPr>
                <w:rFonts w:hint="default" w:ascii="Times New Roman" w:hAnsi="Times New Roman" w:cs="Times New Roman"/>
                <w:color w:val="auto"/>
                <w:sz w:val="24"/>
                <w:lang w:val="en-US" w:eastAsia="zh-CN"/>
              </w:rPr>
              <w:t>密闭房上方设集气口，粉尘经</w:t>
            </w:r>
            <w:r>
              <w:rPr>
                <w:rFonts w:hint="default" w:ascii="Times New Roman" w:hAnsi="Times New Roman" w:eastAsia="宋体" w:cs="Times New Roman"/>
                <w:color w:val="auto"/>
                <w:sz w:val="24"/>
                <w:lang w:val="en-US" w:eastAsia="zh-CN"/>
              </w:rPr>
              <w:t>收集后进入滤筒除尘器进行处理，收集效率为95%，收集后进入滤筒除尘器（TA001，处理效率95%），则进入滤筒除尘器有组织粉尘量为10.41t/a。</w:t>
            </w:r>
          </w:p>
          <w:p w14:paraId="4CD54F87">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color w:val="auto"/>
                <w:sz w:val="24"/>
                <w:lang w:val="en-US" w:eastAsia="zh-CN"/>
              </w:rPr>
              <w:t>经核算，</w:t>
            </w:r>
            <w:r>
              <w:rPr>
                <w:rFonts w:hint="default" w:ascii="Times New Roman" w:hAnsi="Times New Roman" w:eastAsia="宋体" w:cs="Times New Roman"/>
                <w:color w:val="auto"/>
                <w:sz w:val="24"/>
                <w:lang w:val="en-US" w:eastAsia="zh-CN"/>
              </w:rPr>
              <w:t>本项目</w:t>
            </w:r>
            <w:r>
              <w:rPr>
                <w:rFonts w:hint="default" w:ascii="Times New Roman" w:hAnsi="Times New Roman" w:cs="Times New Roman"/>
                <w:color w:val="auto"/>
                <w:sz w:val="24"/>
                <w:lang w:val="en-US" w:eastAsia="zh-CN"/>
              </w:rPr>
              <w:t>切割、焊接、修磨工序需要</w:t>
            </w:r>
            <w:r>
              <w:rPr>
                <w:rFonts w:hint="default" w:ascii="Times New Roman" w:hAnsi="Times New Roman" w:eastAsia="宋体" w:cs="Times New Roman"/>
                <w:color w:val="auto"/>
                <w:sz w:val="24"/>
                <w:lang w:val="en-US" w:eastAsia="zh-CN"/>
              </w:rPr>
              <w:t>进入滤筒除尘器</w:t>
            </w:r>
            <w:r>
              <w:rPr>
                <w:rFonts w:hint="default" w:ascii="Times New Roman" w:hAnsi="Times New Roman" w:cs="Times New Roman"/>
                <w:color w:val="auto"/>
                <w:sz w:val="24"/>
                <w:lang w:val="en-US" w:eastAsia="zh-CN"/>
              </w:rPr>
              <w:t>处理的粉尘量共计</w:t>
            </w:r>
            <w:r>
              <w:rPr>
                <w:rFonts w:hint="default" w:ascii="Times New Roman" w:hAnsi="Times New Roman" w:eastAsia="宋体" w:cs="Times New Roman"/>
                <w:color w:val="auto"/>
                <w:sz w:val="24"/>
                <w:lang w:val="en-US" w:eastAsia="zh-CN"/>
              </w:rPr>
              <w:t>21.12t/a，无组织产生量为2.438t/a。则</w:t>
            </w:r>
            <w:r>
              <w:rPr>
                <w:rFonts w:hint="default" w:ascii="Times New Roman" w:hAnsi="Times New Roman" w:cs="Times New Roman"/>
                <w:color w:val="auto"/>
                <w:sz w:val="24"/>
                <w:lang w:val="en-US" w:eastAsia="zh-CN"/>
              </w:rPr>
              <w:t>切割、焊接、修磨工序</w:t>
            </w:r>
            <w:r>
              <w:rPr>
                <w:rFonts w:hint="default" w:ascii="Times New Roman" w:hAnsi="Times New Roman" w:eastAsia="宋体" w:cs="Times New Roman"/>
                <w:color w:val="auto"/>
                <w:sz w:val="24"/>
                <w:lang w:val="en-US" w:eastAsia="zh-CN"/>
              </w:rPr>
              <w:t>有组织废气经收集后进入滤筒除尘器（TA001，处理效率95%）进行处理后由一根15米排气筒（DA001）</w:t>
            </w:r>
            <w:r>
              <w:rPr>
                <w:rFonts w:hint="default" w:ascii="Times New Roman" w:hAnsi="Times New Roman" w:cs="Times New Roman"/>
                <w:color w:val="auto"/>
                <w:sz w:val="24"/>
                <w:lang w:val="en-US" w:eastAsia="zh-CN"/>
              </w:rPr>
              <w:t>排放</w:t>
            </w:r>
            <w:r>
              <w:rPr>
                <w:rFonts w:hint="default" w:ascii="Times New Roman" w:hAnsi="Times New Roman" w:eastAsia="宋体" w:cs="Times New Roman"/>
                <w:color w:val="auto"/>
                <w:sz w:val="24"/>
                <w:lang w:val="en-US" w:eastAsia="zh-CN"/>
              </w:rPr>
              <w:t>。项目切割、焊接、修磨工序年有效运行时间为1800h，则有组织粉尘排放量为1.056t/a，排放速率为0.587kg/h，排放浓度为29.33mg/m³。</w:t>
            </w:r>
          </w:p>
          <w:p w14:paraId="66CD5AFB">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lang w:val="en-US" w:eastAsia="zh-CN"/>
              </w:rPr>
              <w:t>由于生产过程在车间内进行，大部分粉尘沉降在设备周围及车间内，厂房阻隔效率以70%计，无组织粉尘排放量为0.73t/a，排放速率为0.406kg/h。</w:t>
            </w:r>
          </w:p>
          <w:p w14:paraId="10EF0A5C">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b/>
                <w:bCs/>
                <w:color w:val="auto"/>
                <w:sz w:val="24"/>
                <w:lang w:val="en-US" w:eastAsia="zh-CN"/>
              </w:rPr>
              <w:t>③</w:t>
            </w:r>
            <w:r>
              <w:rPr>
                <w:rFonts w:hint="default" w:ascii="Times New Roman" w:hAnsi="Times New Roman" w:eastAsia="宋体" w:cs="Times New Roman"/>
                <w:b/>
                <w:bCs/>
                <w:color w:val="auto"/>
                <w:sz w:val="24"/>
                <w:lang w:eastAsia="zh-CN"/>
              </w:rPr>
              <w:t>抛丸废气（含钢丸废气）</w:t>
            </w:r>
          </w:p>
          <w:p w14:paraId="0637E1CC">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根据《排放源统计调查产排污核算方法和系数手册》中的《33 金属制品业、34 通用设备制造业、35 专用设备制造业、36 汽车制造业、37 铁路、船舶、航空航天和其他运输设备制造业、431 金属制品修理、432 通用设备修理、433 专用设备修理、434 铁路、船舶、航空航天等运输设备修理（不包括电镀工艺）行业系数手册》中“干式预处理－抛丸、喷砂、打磨、滚筒”，确定预处理过程颗粒物的产污系数为2.19千克/吨－原料。钢板加工</w:t>
            </w:r>
            <w:r>
              <w:rPr>
                <w:rFonts w:hint="default" w:ascii="Times New Roman" w:hAnsi="Times New Roman" w:eastAsia="宋体" w:cs="Times New Roman"/>
                <w:color w:val="auto"/>
                <w:sz w:val="24"/>
                <w:lang w:val="en-US" w:eastAsia="zh-CN"/>
              </w:rPr>
              <w:t>抛丸量约为9350t/a，则抛丸粉尘产生量为20.48t/a。</w:t>
            </w:r>
          </w:p>
          <w:p w14:paraId="6358E078">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项目钢丸在抛丸过程中会产生消耗，废钢丸与新钢丸</w:t>
            </w:r>
            <w:r>
              <w:rPr>
                <w:rFonts w:hint="default" w:ascii="Times New Roman" w:hAnsi="Times New Roman" w:cs="Times New Roman"/>
                <w:color w:val="auto"/>
                <w:sz w:val="24"/>
                <w:lang w:val="en-US" w:eastAsia="zh-CN"/>
              </w:rPr>
              <w:t>掺</w:t>
            </w:r>
            <w:r>
              <w:rPr>
                <w:rFonts w:hint="default" w:ascii="Times New Roman" w:hAnsi="Times New Roman" w:eastAsia="宋体" w:cs="Times New Roman"/>
                <w:color w:val="auto"/>
                <w:sz w:val="24"/>
                <w:lang w:val="en-US" w:eastAsia="zh-CN"/>
              </w:rPr>
              <w:t>半重复利用，直径消耗0.2mm就需要进行更换，项目年使用钢丸共计8t/a，损耗量占</w:t>
            </w:r>
            <w:r>
              <w:rPr>
                <w:rFonts w:hint="default" w:ascii="Times New Roman" w:hAnsi="Times New Roman" w:cs="Times New Roman"/>
                <w:color w:val="auto"/>
                <w:sz w:val="24"/>
                <w:lang w:val="en-US" w:eastAsia="zh-CN"/>
              </w:rPr>
              <w:t>4</w:t>
            </w:r>
            <w:r>
              <w:rPr>
                <w:rFonts w:hint="default" w:ascii="Times New Roman" w:hAnsi="Times New Roman" w:eastAsia="宋体" w:cs="Times New Roman"/>
                <w:color w:val="auto"/>
                <w:sz w:val="24"/>
                <w:lang w:val="en-US" w:eastAsia="zh-CN"/>
              </w:rPr>
              <w:t>0%，故钢丸粉尘约为</w:t>
            </w:r>
            <w:r>
              <w:rPr>
                <w:rFonts w:hint="default" w:ascii="Times New Roman" w:hAnsi="Times New Roman" w:cs="Times New Roman"/>
                <w:color w:val="auto"/>
                <w:sz w:val="24"/>
                <w:lang w:val="en-US" w:eastAsia="zh-CN"/>
              </w:rPr>
              <w:t>3.2</w:t>
            </w:r>
            <w:r>
              <w:rPr>
                <w:rFonts w:hint="default" w:ascii="Times New Roman" w:hAnsi="Times New Roman" w:eastAsia="宋体" w:cs="Times New Roman"/>
                <w:color w:val="auto"/>
                <w:sz w:val="24"/>
                <w:lang w:val="en-US" w:eastAsia="zh-CN"/>
              </w:rPr>
              <w:t>t/a，抛丸在抛丸机设备内部进行，抛丸机设备内上方设有吸风口，通过设备自带袋式除尘器（TA002，处理效率</w:t>
            </w:r>
            <w:r>
              <w:rPr>
                <w:rFonts w:hint="default" w:ascii="Times New Roman" w:hAnsi="Times New Roman" w:cs="Times New Roman"/>
                <w:color w:val="auto"/>
                <w:sz w:val="24"/>
                <w:lang w:val="en-US" w:eastAsia="zh-CN"/>
              </w:rPr>
              <w:t>85</w:t>
            </w:r>
            <w:r>
              <w:rPr>
                <w:rFonts w:hint="default" w:ascii="Times New Roman" w:hAnsi="Times New Roman" w:eastAsia="宋体" w:cs="Times New Roman"/>
                <w:color w:val="auto"/>
                <w:sz w:val="24"/>
                <w:lang w:val="en-US" w:eastAsia="zh-CN"/>
              </w:rPr>
              <w:t>%）收集处理，预处理后由引风机收集至滤筒除尘设施（TA001</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处理效率</w:t>
            </w:r>
            <w:r>
              <w:rPr>
                <w:rFonts w:hint="default" w:ascii="Times New Roman" w:hAnsi="Times New Roman" w:cs="Times New Roman"/>
                <w:color w:val="auto"/>
                <w:sz w:val="24"/>
                <w:lang w:val="en-US" w:eastAsia="zh-CN"/>
              </w:rPr>
              <w:t>95</w:t>
            </w:r>
            <w:r>
              <w:rPr>
                <w:rFonts w:hint="default" w:ascii="Times New Roman" w:hAnsi="Times New Roman" w:eastAsia="宋体" w:cs="Times New Roman"/>
                <w:color w:val="auto"/>
                <w:sz w:val="24"/>
                <w:lang w:val="en-US" w:eastAsia="zh-CN"/>
              </w:rPr>
              <w:t>%）中进行处理，</w:t>
            </w:r>
            <w:r>
              <w:rPr>
                <w:rFonts w:hint="default" w:ascii="Times New Roman" w:hAnsi="Times New Roman" w:cs="Times New Roman"/>
                <w:color w:val="auto"/>
                <w:sz w:val="24"/>
                <w:lang w:val="en-US" w:eastAsia="zh-CN"/>
              </w:rPr>
              <w:t>处理后废气经由一根15米排气筒（DA001）统一排放，抛丸工序年工作时间约1200h。</w:t>
            </w:r>
          </w:p>
          <w:p w14:paraId="7F81D3DF">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因此本项目抛丸工序有组织粉尘产生量为23.68t/a，排放量为0.178t/a，排放速率为0.148kg/h，排放浓度为7.4mg/m³。</w:t>
            </w:r>
          </w:p>
          <w:p w14:paraId="0067E304">
            <w:pPr>
              <w:adjustRightInd w:val="0"/>
              <w:snapToGrid w:val="0"/>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④</w:t>
            </w:r>
            <w:r>
              <w:rPr>
                <w:rFonts w:hint="default" w:ascii="Times New Roman" w:hAnsi="Times New Roman" w:cs="Times New Roman"/>
                <w:b/>
                <w:bCs/>
                <w:color w:val="auto"/>
                <w:sz w:val="24"/>
                <w:lang w:val="en-US" w:eastAsia="zh-CN"/>
              </w:rPr>
              <w:t>喷粉</w:t>
            </w:r>
            <w:r>
              <w:rPr>
                <w:rFonts w:hint="default" w:ascii="Times New Roman" w:hAnsi="Times New Roman" w:eastAsia="宋体" w:cs="Times New Roman"/>
                <w:b/>
                <w:bCs/>
                <w:color w:val="auto"/>
                <w:sz w:val="24"/>
                <w:lang w:val="en-US" w:eastAsia="zh-CN"/>
              </w:rPr>
              <w:t>废气</w:t>
            </w:r>
          </w:p>
          <w:p w14:paraId="3A6ABD5F">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本项目采用人工和自动喷涂两种静电喷涂方式进行常温喷塑，使用100%固性粉末，</w:t>
            </w:r>
            <w:r>
              <w:rPr>
                <w:rFonts w:hint="default" w:ascii="Times New Roman" w:hAnsi="Times New Roman" w:cs="Times New Roman"/>
                <w:color w:val="auto"/>
                <w:sz w:val="24"/>
                <w:lang w:val="en-US" w:eastAsia="zh-CN"/>
              </w:rPr>
              <w:t>喷粉</w:t>
            </w:r>
            <w:r>
              <w:rPr>
                <w:rFonts w:hint="default" w:ascii="Times New Roman" w:hAnsi="Times New Roman" w:eastAsia="宋体" w:cs="Times New Roman"/>
                <w:color w:val="auto"/>
                <w:sz w:val="24"/>
                <w:lang w:val="en-US" w:eastAsia="zh-CN"/>
              </w:rPr>
              <w:t>过程会产生一定的颗粒物，本项目塑粉年用量为</w:t>
            </w:r>
            <w:r>
              <w:rPr>
                <w:rFonts w:hint="default" w:ascii="Times New Roman" w:hAnsi="Times New Roman" w:cs="Times New Roman"/>
                <w:color w:val="auto"/>
                <w:sz w:val="24"/>
                <w:lang w:val="en-US" w:eastAsia="zh-CN"/>
              </w:rPr>
              <w:t>24.015</w:t>
            </w:r>
            <w:r>
              <w:rPr>
                <w:rFonts w:hint="default" w:ascii="Times New Roman" w:hAnsi="Times New Roman" w:eastAsia="宋体" w:cs="Times New Roman"/>
                <w:color w:val="auto"/>
                <w:sz w:val="24"/>
                <w:lang w:val="en-US" w:eastAsia="zh-CN"/>
              </w:rPr>
              <w:t>t/a，</w:t>
            </w:r>
            <w:r>
              <w:rPr>
                <w:rFonts w:hint="default" w:ascii="Times New Roman" w:hAnsi="Times New Roman" w:cs="Times New Roman"/>
                <w:color w:val="auto"/>
                <w:sz w:val="24"/>
                <w:lang w:val="en-US" w:eastAsia="zh-CN"/>
              </w:rPr>
              <w:t>喷粉</w:t>
            </w:r>
            <w:r>
              <w:rPr>
                <w:rFonts w:hint="default" w:ascii="Times New Roman" w:hAnsi="Times New Roman" w:eastAsia="宋体" w:cs="Times New Roman"/>
                <w:color w:val="auto"/>
                <w:sz w:val="24"/>
                <w:lang w:val="en-US" w:eastAsia="zh-CN"/>
              </w:rPr>
              <w:t>过程无有机废气产生。</w:t>
            </w:r>
          </w:p>
          <w:p w14:paraId="47DF056E">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根据《工业源产排污核算方法和系数手册》中机械行业系数手册中产污系数，</w:t>
            </w:r>
            <w:r>
              <w:rPr>
                <w:rFonts w:hint="default" w:ascii="Times New Roman" w:hAnsi="Times New Roman" w:cs="Times New Roman"/>
                <w:color w:val="auto"/>
                <w:sz w:val="24"/>
                <w:lang w:val="en-US" w:eastAsia="zh-CN"/>
              </w:rPr>
              <w:t>喷粉</w:t>
            </w:r>
            <w:r>
              <w:rPr>
                <w:rFonts w:hint="default" w:ascii="Times New Roman" w:hAnsi="Times New Roman" w:eastAsia="宋体" w:cs="Times New Roman"/>
                <w:color w:val="auto"/>
                <w:sz w:val="24"/>
                <w:lang w:val="en-US" w:eastAsia="zh-CN"/>
              </w:rPr>
              <w:t>工艺颗粒物产生量为300千克/吨－原料，则</w:t>
            </w:r>
            <w:r>
              <w:rPr>
                <w:rFonts w:hint="default" w:ascii="Times New Roman" w:hAnsi="Times New Roman" w:cs="Times New Roman"/>
                <w:color w:val="auto"/>
                <w:sz w:val="24"/>
                <w:lang w:val="en-US" w:eastAsia="zh-CN"/>
              </w:rPr>
              <w:t>喷粉</w:t>
            </w:r>
            <w:r>
              <w:rPr>
                <w:rFonts w:hint="default" w:ascii="Times New Roman" w:hAnsi="Times New Roman" w:eastAsia="宋体" w:cs="Times New Roman"/>
                <w:color w:val="auto"/>
                <w:sz w:val="24"/>
                <w:lang w:val="en-US" w:eastAsia="zh-CN"/>
              </w:rPr>
              <w:t>粉尘产生量为</w:t>
            </w:r>
            <w:r>
              <w:rPr>
                <w:rFonts w:hint="default" w:ascii="Times New Roman" w:hAnsi="Times New Roman" w:cs="Times New Roman"/>
                <w:color w:val="auto"/>
                <w:sz w:val="24"/>
                <w:lang w:val="en-US" w:eastAsia="zh-CN"/>
              </w:rPr>
              <w:t>7.205</w:t>
            </w:r>
            <w:r>
              <w:rPr>
                <w:rFonts w:hint="default" w:ascii="Times New Roman" w:hAnsi="Times New Roman" w:eastAsia="宋体" w:cs="Times New Roman"/>
                <w:color w:val="auto"/>
                <w:sz w:val="24"/>
                <w:lang w:val="en-US" w:eastAsia="zh-CN"/>
              </w:rPr>
              <w:t>t/a。</w:t>
            </w:r>
            <w:r>
              <w:rPr>
                <w:rFonts w:hint="default" w:ascii="Times New Roman" w:hAnsi="Times New Roman" w:cs="Times New Roman"/>
                <w:color w:val="auto"/>
                <w:sz w:val="24"/>
                <w:lang w:val="en-US" w:eastAsia="zh-CN"/>
              </w:rPr>
              <w:t>喷粉</w:t>
            </w:r>
            <w:r>
              <w:rPr>
                <w:rFonts w:hint="default" w:ascii="Times New Roman" w:hAnsi="Times New Roman" w:eastAsia="宋体" w:cs="Times New Roman"/>
                <w:color w:val="auto"/>
                <w:sz w:val="24"/>
                <w:lang w:val="en-US" w:eastAsia="zh-CN"/>
              </w:rPr>
              <w:t>工序</w:t>
            </w:r>
            <w:r>
              <w:rPr>
                <w:rFonts w:hint="default" w:ascii="Times New Roman" w:hAnsi="Times New Roman" w:cs="Times New Roman"/>
                <w:color w:val="auto"/>
                <w:sz w:val="24"/>
                <w:lang w:val="en-US" w:eastAsia="zh-CN"/>
              </w:rPr>
              <w:t>年</w:t>
            </w:r>
            <w:r>
              <w:rPr>
                <w:rFonts w:hint="default" w:ascii="Times New Roman" w:hAnsi="Times New Roman" w:eastAsia="宋体" w:cs="Times New Roman"/>
                <w:color w:val="auto"/>
                <w:sz w:val="24"/>
                <w:lang w:val="en-US" w:eastAsia="zh-CN"/>
              </w:rPr>
              <w:t>有效工作时间为</w:t>
            </w:r>
            <w:r>
              <w:rPr>
                <w:rFonts w:hint="default" w:ascii="Times New Roman" w:hAnsi="Times New Roman" w:cs="Times New Roman"/>
                <w:color w:val="auto"/>
                <w:sz w:val="24"/>
                <w:lang w:val="en-US" w:eastAsia="zh-CN"/>
              </w:rPr>
              <w:t>1500</w:t>
            </w:r>
            <w:r>
              <w:rPr>
                <w:rFonts w:hint="default" w:ascii="Times New Roman" w:hAnsi="Times New Roman" w:eastAsia="宋体" w:cs="Times New Roman"/>
                <w:color w:val="auto"/>
                <w:sz w:val="24"/>
                <w:lang w:val="en-US" w:eastAsia="zh-CN"/>
              </w:rPr>
              <w:t>h。</w:t>
            </w:r>
          </w:p>
          <w:p w14:paraId="05CCBA6A">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项目拟设静电喷涂室进行人工喷塑，自动喷涂流水线设有自动线喷室</w:t>
            </w: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lang w:val="en-US" w:eastAsia="zh-CN"/>
              </w:rPr>
              <w:t>间，</w:t>
            </w:r>
            <w:r>
              <w:rPr>
                <w:rFonts w:hint="default" w:ascii="Times New Roman" w:hAnsi="Times New Roman" w:cs="Times New Roman"/>
                <w:color w:val="auto"/>
                <w:sz w:val="24"/>
                <w:lang w:val="en-US" w:eastAsia="zh-CN"/>
              </w:rPr>
              <w:t>其中静电喷涂室</w:t>
            </w:r>
            <w:r>
              <w:rPr>
                <w:rFonts w:hint="default" w:ascii="Times New Roman" w:hAnsi="Times New Roman" w:eastAsia="宋体" w:cs="Times New Roman"/>
                <w:color w:val="auto"/>
                <w:sz w:val="24"/>
                <w:lang w:val="en-US" w:eastAsia="zh-CN"/>
              </w:rPr>
              <w:t>为封闭工作间，废气收集效率较高，以95%计，静电喷涂室产生废气与自动喷涂线的自动喷涂室产生废气经风机（风量为1</w:t>
            </w:r>
            <w:r>
              <w:rPr>
                <w:rFonts w:hint="default" w:ascii="Times New Roman" w:hAnsi="Times New Roman" w:cs="Times New Roman"/>
                <w:color w:val="auto"/>
                <w:sz w:val="24"/>
                <w:lang w:val="en-US" w:eastAsia="zh-CN"/>
              </w:rPr>
              <w:t>5</w:t>
            </w:r>
            <w:r>
              <w:rPr>
                <w:rFonts w:hint="default" w:ascii="Times New Roman" w:hAnsi="Times New Roman" w:eastAsia="宋体" w:cs="Times New Roman"/>
                <w:color w:val="auto"/>
                <w:sz w:val="24"/>
                <w:lang w:val="en-US" w:eastAsia="zh-CN"/>
              </w:rPr>
              <w:t>000m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/h）引至滤筒除尘器（TA00</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lang w:val="en-US" w:eastAsia="zh-CN"/>
              </w:rPr>
              <w:t>，处理效率以95%计）收集处理，最终经15m排气筒（DA00</w:t>
            </w: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lang w:val="en-US" w:eastAsia="zh-CN"/>
              </w:rPr>
              <w:t>）有组织排放。生产过程在车间内进行，大部分粉尘主要沉降在设备周围及车间内，厂房阻隔效率以70%计。</w:t>
            </w:r>
          </w:p>
          <w:p w14:paraId="098B9B59">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因此</w:t>
            </w:r>
            <w:r>
              <w:rPr>
                <w:rFonts w:hint="default" w:ascii="Times New Roman" w:hAnsi="Times New Roman" w:eastAsia="宋体" w:cs="Times New Roman"/>
                <w:color w:val="auto"/>
                <w:sz w:val="24"/>
                <w:lang w:val="en-US" w:eastAsia="zh-CN"/>
              </w:rPr>
              <w:t>静电喷涂室及自动喷涂室有组织废气排放量为</w:t>
            </w:r>
            <w:r>
              <w:rPr>
                <w:rFonts w:hint="default" w:ascii="Times New Roman" w:hAnsi="Times New Roman" w:cs="Times New Roman"/>
                <w:color w:val="auto"/>
                <w:sz w:val="24"/>
                <w:lang w:val="en-US" w:eastAsia="zh-CN"/>
              </w:rPr>
              <w:t>0.342</w:t>
            </w:r>
            <w:r>
              <w:rPr>
                <w:rFonts w:hint="default" w:ascii="Times New Roman" w:hAnsi="Times New Roman" w:eastAsia="宋体" w:cs="Times New Roman"/>
                <w:color w:val="auto"/>
                <w:sz w:val="24"/>
                <w:lang w:val="en-US" w:eastAsia="zh-CN"/>
              </w:rPr>
              <w:t>t/a，排放速率为</w:t>
            </w:r>
            <w:r>
              <w:rPr>
                <w:rFonts w:hint="default" w:ascii="Times New Roman" w:hAnsi="Times New Roman" w:cs="Times New Roman"/>
                <w:color w:val="auto"/>
                <w:sz w:val="24"/>
                <w:lang w:val="en-US" w:eastAsia="zh-CN"/>
              </w:rPr>
              <w:t>0.228</w:t>
            </w:r>
            <w:r>
              <w:rPr>
                <w:rFonts w:hint="default" w:ascii="Times New Roman" w:hAnsi="Times New Roman" w:eastAsia="宋体" w:cs="Times New Roman"/>
                <w:color w:val="auto"/>
                <w:sz w:val="24"/>
                <w:lang w:val="en-US" w:eastAsia="zh-CN"/>
              </w:rPr>
              <w:t>kg/h，排放浓度为</w:t>
            </w:r>
            <w:r>
              <w:rPr>
                <w:rFonts w:hint="default" w:ascii="Times New Roman" w:hAnsi="Times New Roman" w:cs="Times New Roman"/>
                <w:color w:val="auto"/>
                <w:sz w:val="24"/>
                <w:lang w:val="en-US" w:eastAsia="zh-CN"/>
              </w:rPr>
              <w:t>15.2</w:t>
            </w:r>
            <w:r>
              <w:rPr>
                <w:rFonts w:hint="default" w:ascii="Times New Roman" w:hAnsi="Times New Roman" w:eastAsia="宋体" w:cs="Times New Roman"/>
                <w:color w:val="auto"/>
                <w:sz w:val="24"/>
                <w:lang w:val="en-US" w:eastAsia="zh-CN"/>
              </w:rPr>
              <w:t>mg/m³。无组织排放量为</w:t>
            </w:r>
            <w:r>
              <w:rPr>
                <w:rFonts w:hint="default" w:ascii="Times New Roman" w:hAnsi="Times New Roman" w:cs="Times New Roman"/>
                <w:color w:val="auto"/>
                <w:sz w:val="24"/>
                <w:lang w:val="en-US" w:eastAsia="zh-CN"/>
              </w:rPr>
              <w:t>0.108</w:t>
            </w:r>
            <w:r>
              <w:rPr>
                <w:rFonts w:hint="default" w:ascii="Times New Roman" w:hAnsi="Times New Roman" w:eastAsia="宋体" w:cs="Times New Roman"/>
                <w:color w:val="auto"/>
                <w:sz w:val="24"/>
                <w:lang w:val="en-US" w:eastAsia="zh-CN"/>
              </w:rPr>
              <w:t>t/a，排放速率为</w:t>
            </w:r>
            <w:r>
              <w:rPr>
                <w:rFonts w:hint="default" w:ascii="Times New Roman" w:hAnsi="Times New Roman" w:cs="Times New Roman"/>
                <w:color w:val="auto"/>
                <w:sz w:val="24"/>
                <w:lang w:val="en-US" w:eastAsia="zh-CN"/>
              </w:rPr>
              <w:t>0.072</w:t>
            </w:r>
            <w:r>
              <w:rPr>
                <w:rFonts w:hint="default" w:ascii="Times New Roman" w:hAnsi="Times New Roman" w:eastAsia="宋体" w:cs="Times New Roman"/>
                <w:color w:val="auto"/>
                <w:sz w:val="24"/>
                <w:lang w:val="en-US" w:eastAsia="zh-CN"/>
              </w:rPr>
              <w:t>kg/h。</w:t>
            </w:r>
          </w:p>
          <w:p w14:paraId="2FF21628">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⑤固化废气</w:t>
            </w:r>
          </w:p>
          <w:p w14:paraId="3AA37D82">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工件经</w:t>
            </w:r>
            <w:r>
              <w:rPr>
                <w:rFonts w:hint="default" w:ascii="Times New Roman" w:hAnsi="Times New Roman" w:cs="Times New Roman"/>
                <w:color w:val="auto"/>
                <w:sz w:val="24"/>
                <w:lang w:val="en-US" w:eastAsia="zh-CN"/>
              </w:rPr>
              <w:t>喷粉</w:t>
            </w:r>
            <w:r>
              <w:rPr>
                <w:rFonts w:hint="default" w:ascii="Times New Roman" w:hAnsi="Times New Roman" w:eastAsia="宋体" w:cs="Times New Roman"/>
                <w:color w:val="auto"/>
                <w:sz w:val="24"/>
                <w:lang w:val="en-US" w:eastAsia="zh-CN"/>
              </w:rPr>
              <w:t>后进入热风循环固化室</w:t>
            </w:r>
            <w:r>
              <w:rPr>
                <w:rFonts w:hint="default" w:ascii="Times New Roman" w:hAnsi="Times New Roman" w:cs="Times New Roman"/>
                <w:color w:val="auto"/>
                <w:sz w:val="24"/>
                <w:lang w:val="en-US" w:eastAsia="zh-CN"/>
              </w:rPr>
              <w:t>及自动流水线循环热风</w:t>
            </w:r>
            <w:r>
              <w:rPr>
                <w:rFonts w:hint="default" w:ascii="Times New Roman" w:hAnsi="Times New Roman" w:eastAsia="宋体" w:cs="Times New Roman"/>
                <w:color w:val="auto"/>
                <w:sz w:val="24"/>
                <w:lang w:val="en-US" w:eastAsia="zh-CN"/>
              </w:rPr>
              <w:t>廊道加热固化，固化过程会造成少量树脂粉末热分解产生有机气体，通过</w:t>
            </w:r>
            <w:r>
              <w:rPr>
                <w:rFonts w:hint="default" w:ascii="Times New Roman" w:hAnsi="Times New Roman" w:cs="Times New Roman"/>
                <w:color w:val="auto"/>
                <w:sz w:val="24"/>
                <w:lang w:val="en-US" w:eastAsia="zh-CN"/>
              </w:rPr>
              <w:t>在</w:t>
            </w:r>
            <w:r>
              <w:rPr>
                <w:rFonts w:hint="default" w:ascii="Times New Roman" w:hAnsi="Times New Roman" w:eastAsia="宋体" w:cs="Times New Roman"/>
                <w:color w:val="auto"/>
                <w:sz w:val="24"/>
                <w:lang w:val="en-US" w:eastAsia="zh-CN"/>
              </w:rPr>
              <w:t>热风循环固化室出口设集气罩及软帘对出口处进行整体收集（收集效率以80%计），</w:t>
            </w:r>
            <w:r>
              <w:rPr>
                <w:rFonts w:hint="default" w:ascii="Times New Roman" w:hAnsi="Times New Roman" w:cs="Times New Roman"/>
                <w:color w:val="auto"/>
                <w:sz w:val="24"/>
                <w:lang w:val="en-US" w:eastAsia="zh-CN"/>
              </w:rPr>
              <w:t>自动流水线循环热风</w:t>
            </w:r>
            <w:r>
              <w:rPr>
                <w:rFonts w:hint="default" w:ascii="Times New Roman" w:hAnsi="Times New Roman" w:eastAsia="宋体" w:cs="Times New Roman"/>
                <w:color w:val="auto"/>
                <w:sz w:val="24"/>
                <w:lang w:val="en-US" w:eastAsia="zh-CN"/>
              </w:rPr>
              <w:t>固化廊道进出口顶部设置集气罩及软帘进行整体收集（收集效率以80%计）。</w:t>
            </w:r>
          </w:p>
          <w:p w14:paraId="37DEF055">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考虑到后期企业可能存在更换树脂粉末情况，因此本项目不根据树脂粉末VOC含量</w:t>
            </w:r>
            <w:r>
              <w:rPr>
                <w:rFonts w:hint="default" w:ascii="Times New Roman" w:hAnsi="Times New Roman" w:cs="Times New Roman"/>
                <w:color w:val="auto"/>
                <w:sz w:val="24"/>
                <w:lang w:val="en-US" w:eastAsia="zh-CN"/>
              </w:rPr>
              <w:t>检测报告</w:t>
            </w:r>
            <w:r>
              <w:rPr>
                <w:rFonts w:hint="default" w:ascii="Times New Roman" w:hAnsi="Times New Roman" w:eastAsia="宋体" w:cs="Times New Roman"/>
                <w:color w:val="auto"/>
                <w:sz w:val="24"/>
                <w:lang w:val="en-US" w:eastAsia="zh-CN"/>
              </w:rPr>
              <w:t>进行计算，要求企业后期使用树脂粉末涂料满足《低挥发性有机化合物含量涂料产品技术要求》（GB/T38597-2020）表3中挥发性有机化合物（VOC）含量限量值应</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60g/L的要求。因此，本项目以含量限值</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60g/L（即树脂粉末涂料VOC含量以60g/L）计。树脂粉末密度为1.3g/mL，则经换算，树脂粉末年用量即</w:t>
            </w:r>
            <w:r>
              <w:rPr>
                <w:rFonts w:hint="default" w:ascii="Times New Roman" w:hAnsi="Times New Roman" w:cs="Times New Roman"/>
                <w:color w:val="auto"/>
                <w:sz w:val="24"/>
                <w:lang w:val="en-US" w:eastAsia="zh-CN"/>
              </w:rPr>
              <w:t>18473.077</w:t>
            </w:r>
            <w:r>
              <w:rPr>
                <w:rFonts w:hint="default" w:ascii="Times New Roman" w:hAnsi="Times New Roman" w:eastAsia="宋体" w:cs="Times New Roman"/>
                <w:color w:val="auto"/>
                <w:sz w:val="24"/>
                <w:lang w:val="en-US" w:eastAsia="zh-CN"/>
              </w:rPr>
              <w:t>L。</w:t>
            </w:r>
          </w:p>
          <w:p w14:paraId="19EDD5EC">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本项目所用树脂粉末为聚酯塑粉及环氧聚酯塑粉，其分解温度均为280℃，本项目固化炉控制最高温度为180℃，未达到其分解温度，因此固化过程会产生一定的有机废气，以非甲烷总烃计。固化工序年</w:t>
            </w:r>
            <w:r>
              <w:rPr>
                <w:rFonts w:hint="default" w:ascii="Times New Roman" w:hAnsi="Times New Roman" w:cs="Times New Roman"/>
                <w:color w:val="auto"/>
                <w:sz w:val="24"/>
                <w:lang w:val="en-US" w:eastAsia="zh-CN"/>
              </w:rPr>
              <w:t>有效</w:t>
            </w:r>
            <w:r>
              <w:rPr>
                <w:rFonts w:hint="default" w:ascii="Times New Roman" w:hAnsi="Times New Roman" w:eastAsia="宋体" w:cs="Times New Roman"/>
                <w:color w:val="auto"/>
                <w:sz w:val="24"/>
                <w:lang w:val="en-US" w:eastAsia="zh-CN"/>
              </w:rPr>
              <w:t>工作时间1500h。</w:t>
            </w:r>
          </w:p>
          <w:p w14:paraId="0E50BDD2">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固化过程非甲烷总烃产生总量为</w:t>
            </w:r>
            <w:r>
              <w:rPr>
                <w:rFonts w:hint="default" w:ascii="Times New Roman" w:hAnsi="Times New Roman" w:cs="Times New Roman"/>
                <w:color w:val="auto"/>
                <w:sz w:val="24"/>
                <w:lang w:val="en-US" w:eastAsia="zh-CN"/>
              </w:rPr>
              <w:t>1.108</w:t>
            </w:r>
            <w:r>
              <w:rPr>
                <w:rFonts w:hint="default" w:ascii="Times New Roman" w:hAnsi="Times New Roman" w:eastAsia="宋体" w:cs="Times New Roman"/>
                <w:color w:val="auto"/>
                <w:sz w:val="24"/>
                <w:lang w:val="en-US" w:eastAsia="zh-CN"/>
              </w:rPr>
              <w:t>t/a，固化废气</w:t>
            </w:r>
            <w:r>
              <w:rPr>
                <w:rFonts w:hint="default" w:ascii="Times New Roman" w:hAnsi="Times New Roman" w:cs="Times New Roman"/>
                <w:color w:val="auto"/>
                <w:sz w:val="24"/>
                <w:lang w:val="en-US" w:eastAsia="zh-CN"/>
              </w:rPr>
              <w:t>在产生口处设集气罩及软帘对出口处进行整体收集（收集效率以80%计），经风机（风量10000m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/h）</w:t>
            </w:r>
            <w:r>
              <w:rPr>
                <w:rFonts w:hint="default" w:ascii="Times New Roman" w:hAnsi="Times New Roman" w:eastAsia="宋体" w:cs="Times New Roman"/>
                <w:color w:val="auto"/>
                <w:sz w:val="24"/>
                <w:lang w:val="en-US" w:eastAsia="zh-CN"/>
              </w:rPr>
              <w:t>引至二级活性炭吸附箱（TA004）处理后经15m排气筒（DA00</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lang w:val="en-US" w:eastAsia="zh-CN"/>
              </w:rPr>
              <w:t>）有组织排放，因此有组织排放量为</w:t>
            </w:r>
            <w:r>
              <w:rPr>
                <w:rFonts w:hint="default" w:ascii="Times New Roman" w:hAnsi="Times New Roman" w:cs="Times New Roman"/>
                <w:color w:val="auto"/>
                <w:sz w:val="24"/>
                <w:lang w:val="en-US" w:eastAsia="zh-CN"/>
              </w:rPr>
              <w:t>0.222</w:t>
            </w:r>
            <w:r>
              <w:rPr>
                <w:rFonts w:hint="default" w:ascii="Times New Roman" w:hAnsi="Times New Roman" w:eastAsia="宋体" w:cs="Times New Roman"/>
                <w:color w:val="auto"/>
                <w:sz w:val="24"/>
                <w:lang w:val="en-US" w:eastAsia="zh-CN"/>
              </w:rPr>
              <w:t>t/a，排放速率为0.</w:t>
            </w:r>
            <w:r>
              <w:rPr>
                <w:rFonts w:hint="default" w:ascii="Times New Roman" w:hAnsi="Times New Roman" w:cs="Times New Roman"/>
                <w:color w:val="auto"/>
                <w:sz w:val="24"/>
                <w:lang w:val="en-US" w:eastAsia="zh-CN"/>
              </w:rPr>
              <w:t>148</w:t>
            </w:r>
            <w:r>
              <w:rPr>
                <w:rFonts w:hint="default" w:ascii="Times New Roman" w:hAnsi="Times New Roman" w:eastAsia="宋体" w:cs="Times New Roman"/>
                <w:color w:val="auto"/>
                <w:sz w:val="24"/>
                <w:lang w:val="en-US" w:eastAsia="zh-CN"/>
              </w:rPr>
              <w:t>kg/h，排放浓度为11</w:t>
            </w:r>
            <w:r>
              <w:rPr>
                <w:rFonts w:hint="default" w:ascii="Times New Roman" w:hAnsi="Times New Roman" w:cs="Times New Roman"/>
                <w:color w:val="auto"/>
                <w:sz w:val="24"/>
                <w:lang w:val="en-US" w:eastAsia="zh-CN"/>
              </w:rPr>
              <w:t>.8</w:t>
            </w:r>
            <w:r>
              <w:rPr>
                <w:rFonts w:hint="default" w:ascii="Times New Roman" w:hAnsi="Times New Roman" w:eastAsia="宋体" w:cs="Times New Roman"/>
                <w:color w:val="auto"/>
                <w:sz w:val="24"/>
                <w:lang w:val="en-US" w:eastAsia="zh-CN"/>
              </w:rPr>
              <w:t>mg</w:t>
            </w:r>
            <w:r>
              <w:rPr>
                <w:rFonts w:hint="default" w:ascii="Times New Roman" w:hAnsi="Times New Roman" w:cs="Times New Roman"/>
                <w:color w:val="auto"/>
                <w:sz w:val="24"/>
                <w:lang w:val="en-US" w:eastAsia="zh-CN"/>
              </w:rPr>
              <w:t>/m³</w:t>
            </w:r>
            <w:r>
              <w:rPr>
                <w:rFonts w:hint="default" w:ascii="Times New Roman" w:hAnsi="Times New Roman" w:eastAsia="宋体" w:cs="Times New Roman"/>
                <w:color w:val="auto"/>
                <w:sz w:val="24"/>
                <w:lang w:val="en-US" w:eastAsia="zh-CN"/>
              </w:rPr>
              <w:t>，无组织排放量为</w:t>
            </w:r>
            <w:r>
              <w:rPr>
                <w:rFonts w:hint="default" w:ascii="Times New Roman" w:hAnsi="Times New Roman" w:cs="Times New Roman"/>
                <w:color w:val="auto"/>
                <w:sz w:val="24"/>
                <w:lang w:val="en-US" w:eastAsia="zh-CN"/>
              </w:rPr>
              <w:t>0.222</w:t>
            </w:r>
            <w:r>
              <w:rPr>
                <w:rFonts w:hint="default" w:ascii="Times New Roman" w:hAnsi="Times New Roman" w:eastAsia="宋体" w:cs="Times New Roman"/>
                <w:color w:val="auto"/>
                <w:sz w:val="24"/>
                <w:lang w:val="en-US" w:eastAsia="zh-CN"/>
              </w:rPr>
              <w:t>t/a，排放速率为</w:t>
            </w:r>
            <w:r>
              <w:rPr>
                <w:rFonts w:hint="default" w:ascii="Times New Roman" w:hAnsi="Times New Roman" w:cs="Times New Roman"/>
                <w:color w:val="auto"/>
                <w:sz w:val="24"/>
                <w:lang w:val="en-US" w:eastAsia="zh-CN"/>
              </w:rPr>
              <w:t>0.148</w:t>
            </w:r>
            <w:r>
              <w:rPr>
                <w:rFonts w:hint="default" w:ascii="Times New Roman" w:hAnsi="Times New Roman" w:eastAsia="宋体" w:cs="Times New Roman"/>
                <w:color w:val="auto"/>
                <w:sz w:val="24"/>
                <w:lang w:val="en-US" w:eastAsia="zh-CN"/>
              </w:rPr>
              <w:t>kg/h。</w:t>
            </w:r>
          </w:p>
          <w:p w14:paraId="79EC909E">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lang w:val="en-US" w:eastAsia="zh-CN"/>
              </w:rPr>
            </w:pPr>
            <w:r>
              <w:rPr>
                <w:rFonts w:hint="default" w:ascii="Times New Roman" w:hAnsi="Times New Roman" w:eastAsia="宋体" w:cs="Times New Roman"/>
                <w:b/>
                <w:bCs/>
                <w:color w:val="auto"/>
                <w:sz w:val="24"/>
                <w:lang w:val="en-US" w:eastAsia="zh-CN"/>
              </w:rPr>
              <w:t>⑥</w:t>
            </w:r>
            <w:r>
              <w:rPr>
                <w:rFonts w:hint="default" w:ascii="Times New Roman" w:hAnsi="Times New Roman" w:cs="Times New Roman"/>
                <w:b/>
                <w:bCs/>
                <w:color w:val="auto"/>
                <w:sz w:val="24"/>
                <w:lang w:val="en-US" w:eastAsia="zh-CN"/>
              </w:rPr>
              <w:t>喷漆废气</w:t>
            </w:r>
          </w:p>
          <w:p w14:paraId="2F1953E9">
            <w:pPr>
              <w:spacing w:line="360" w:lineRule="auto"/>
              <w:ind w:firstLine="440" w:firstLineChars="200"/>
              <w:rPr>
                <w:rFonts w:hint="default" w:ascii="Times New Roman" w:hAnsi="Times New Roman" w:cs="Times New Roman"/>
                <w:bCs/>
                <w:color w:val="auto"/>
                <w:spacing w:val="-10"/>
                <w:sz w:val="24"/>
                <w:highlight w:val="none"/>
                <w:lang w:eastAsia="zh-CN"/>
              </w:rPr>
            </w:pPr>
            <w:r>
              <w:rPr>
                <w:rFonts w:hint="default" w:ascii="Times New Roman" w:hAnsi="Times New Roman" w:cs="Times New Roman"/>
                <w:bCs/>
                <w:color w:val="auto"/>
                <w:spacing w:val="-10"/>
                <w:sz w:val="24"/>
                <w:highlight w:val="none"/>
              </w:rPr>
              <w:t>本项目喷漆设置密闭</w:t>
            </w:r>
            <w:r>
              <w:rPr>
                <w:rFonts w:hint="default" w:ascii="Times New Roman" w:hAnsi="Times New Roman" w:cs="Times New Roman"/>
                <w:bCs/>
                <w:color w:val="auto"/>
                <w:spacing w:val="-10"/>
                <w:sz w:val="24"/>
                <w:highlight w:val="none"/>
                <w:lang w:val="en-US" w:eastAsia="zh-CN"/>
              </w:rPr>
              <w:t>一体式干式</w:t>
            </w:r>
            <w:r>
              <w:rPr>
                <w:rFonts w:hint="default" w:ascii="Times New Roman" w:hAnsi="Times New Roman" w:cs="Times New Roman"/>
                <w:bCs/>
                <w:color w:val="auto"/>
                <w:spacing w:val="-10"/>
                <w:sz w:val="24"/>
                <w:highlight w:val="none"/>
              </w:rPr>
              <w:t>喷漆房</w:t>
            </w:r>
            <w:r>
              <w:rPr>
                <w:rFonts w:hint="default" w:ascii="Times New Roman" w:hAnsi="Times New Roman" w:cs="Times New Roman"/>
                <w:bCs/>
                <w:color w:val="auto"/>
                <w:spacing w:val="-10"/>
                <w:sz w:val="24"/>
                <w:highlight w:val="none"/>
                <w:lang w:val="en-US" w:eastAsia="zh-CN"/>
              </w:rPr>
              <w:t>1</w:t>
            </w:r>
            <w:r>
              <w:rPr>
                <w:rFonts w:hint="default" w:ascii="Times New Roman" w:hAnsi="Times New Roman" w:cs="Times New Roman"/>
                <w:bCs/>
                <w:color w:val="auto"/>
                <w:spacing w:val="-10"/>
                <w:sz w:val="24"/>
                <w:highlight w:val="none"/>
              </w:rPr>
              <w:t>间，</w:t>
            </w:r>
            <w:r>
              <w:rPr>
                <w:rFonts w:hint="default" w:ascii="Times New Roman" w:hAnsi="Times New Roman" w:cs="Times New Roman"/>
                <w:bCs/>
                <w:color w:val="auto"/>
                <w:spacing w:val="-10"/>
                <w:sz w:val="24"/>
                <w:highlight w:val="none"/>
                <w:lang w:eastAsia="zh-CN"/>
              </w:rPr>
              <w:t>喷漆</w:t>
            </w:r>
            <w:r>
              <w:rPr>
                <w:rFonts w:hint="default" w:ascii="Times New Roman" w:hAnsi="Times New Roman" w:cs="Times New Roman"/>
                <w:bCs/>
                <w:color w:val="auto"/>
                <w:spacing w:val="-10"/>
                <w:sz w:val="24"/>
                <w:highlight w:val="none"/>
              </w:rPr>
              <w:t>采用</w:t>
            </w:r>
            <w:r>
              <w:rPr>
                <w:rFonts w:hint="default" w:ascii="Times New Roman" w:hAnsi="Times New Roman" w:cs="Times New Roman"/>
                <w:bCs/>
                <w:color w:val="auto"/>
                <w:spacing w:val="-10"/>
                <w:sz w:val="24"/>
                <w:highlight w:val="none"/>
                <w:lang w:eastAsia="zh-CN"/>
              </w:rPr>
              <w:t>成品</w:t>
            </w:r>
            <w:r>
              <w:rPr>
                <w:rFonts w:hint="default" w:ascii="Times New Roman" w:hAnsi="Times New Roman" w:cs="Times New Roman"/>
                <w:bCs/>
                <w:color w:val="auto"/>
                <w:spacing w:val="-10"/>
                <w:sz w:val="24"/>
                <w:highlight w:val="none"/>
              </w:rPr>
              <w:t>水性</w:t>
            </w:r>
            <w:r>
              <w:rPr>
                <w:rFonts w:hint="default" w:ascii="Times New Roman" w:hAnsi="Times New Roman" w:cs="Times New Roman"/>
                <w:bCs/>
                <w:color w:val="auto"/>
                <w:spacing w:val="-10"/>
                <w:sz w:val="24"/>
                <w:highlight w:val="none"/>
                <w:lang w:eastAsia="zh-CN"/>
              </w:rPr>
              <w:t>漆</w:t>
            </w:r>
            <w:r>
              <w:rPr>
                <w:rFonts w:hint="default" w:ascii="Times New Roman" w:hAnsi="Times New Roman" w:cs="Times New Roman"/>
                <w:bCs/>
                <w:color w:val="auto"/>
                <w:spacing w:val="-10"/>
                <w:sz w:val="24"/>
                <w:highlight w:val="none"/>
              </w:rPr>
              <w:t>涂料</w:t>
            </w:r>
            <w:r>
              <w:rPr>
                <w:rFonts w:hint="default" w:ascii="Times New Roman" w:hAnsi="Times New Roman" w:cs="Times New Roman"/>
                <w:bCs/>
                <w:color w:val="auto"/>
                <w:spacing w:val="-10"/>
                <w:sz w:val="24"/>
                <w:highlight w:val="none"/>
                <w:lang w:eastAsia="zh-CN"/>
              </w:rPr>
              <w:t>，</w:t>
            </w:r>
            <w:r>
              <w:rPr>
                <w:rFonts w:hint="default" w:ascii="Times New Roman" w:hAnsi="Times New Roman" w:cs="Times New Roman"/>
                <w:bCs/>
                <w:color w:val="auto"/>
                <w:spacing w:val="-10"/>
                <w:sz w:val="24"/>
                <w:highlight w:val="none"/>
                <w:lang w:val="en-US" w:eastAsia="zh-CN"/>
              </w:rPr>
              <w:t>不需要现场进行调配，</w:t>
            </w:r>
            <w:r>
              <w:rPr>
                <w:rFonts w:hint="default" w:ascii="Times New Roman" w:hAnsi="Times New Roman" w:cs="Times New Roman"/>
                <w:bCs/>
                <w:color w:val="auto"/>
                <w:spacing w:val="-10"/>
                <w:sz w:val="24"/>
                <w:highlight w:val="none"/>
              </w:rPr>
              <w:t>喷涂、</w:t>
            </w:r>
            <w:r>
              <w:rPr>
                <w:rFonts w:hint="default" w:ascii="Times New Roman" w:hAnsi="Times New Roman" w:cs="Times New Roman"/>
                <w:bCs/>
                <w:color w:val="auto"/>
                <w:spacing w:val="-10"/>
                <w:sz w:val="24"/>
                <w:highlight w:val="none"/>
                <w:lang w:val="en-US" w:eastAsia="zh-CN"/>
              </w:rPr>
              <w:t>晾干</w:t>
            </w:r>
            <w:r>
              <w:rPr>
                <w:rFonts w:hint="default" w:ascii="Times New Roman" w:hAnsi="Times New Roman" w:cs="Times New Roman"/>
                <w:bCs/>
                <w:color w:val="auto"/>
                <w:spacing w:val="-10"/>
                <w:sz w:val="24"/>
                <w:highlight w:val="none"/>
              </w:rPr>
              <w:t>均在</w:t>
            </w:r>
            <w:r>
              <w:rPr>
                <w:rFonts w:hint="default" w:ascii="Times New Roman" w:hAnsi="Times New Roman" w:cs="Times New Roman"/>
                <w:bCs/>
                <w:color w:val="auto"/>
                <w:spacing w:val="-10"/>
                <w:sz w:val="24"/>
                <w:highlight w:val="none"/>
                <w:lang w:val="en-US" w:eastAsia="zh-CN"/>
              </w:rPr>
              <w:t>一体化</w:t>
            </w:r>
            <w:r>
              <w:rPr>
                <w:rFonts w:hint="default" w:ascii="Times New Roman" w:hAnsi="Times New Roman" w:cs="Times New Roman"/>
                <w:bCs/>
                <w:color w:val="auto"/>
                <w:spacing w:val="-10"/>
                <w:sz w:val="24"/>
                <w:highlight w:val="none"/>
                <w:lang w:eastAsia="zh-CN"/>
              </w:rPr>
              <w:t>喷漆房内</w:t>
            </w:r>
            <w:r>
              <w:rPr>
                <w:rFonts w:hint="default" w:ascii="Times New Roman" w:hAnsi="Times New Roman" w:cs="Times New Roman"/>
                <w:bCs/>
                <w:color w:val="auto"/>
                <w:spacing w:val="-10"/>
                <w:sz w:val="24"/>
                <w:highlight w:val="none"/>
              </w:rPr>
              <w:t>进行，年有效运行时间为</w:t>
            </w:r>
            <w:r>
              <w:rPr>
                <w:rFonts w:hint="default" w:ascii="Times New Roman" w:hAnsi="Times New Roman" w:cs="Times New Roman"/>
                <w:bCs/>
                <w:color w:val="auto"/>
                <w:spacing w:val="-10"/>
                <w:sz w:val="24"/>
                <w:highlight w:val="none"/>
                <w:lang w:val="en-US" w:eastAsia="zh-CN"/>
              </w:rPr>
              <w:t>600</w:t>
            </w:r>
            <w:r>
              <w:rPr>
                <w:rFonts w:hint="default" w:ascii="Times New Roman" w:hAnsi="Times New Roman" w:cs="Times New Roman"/>
                <w:bCs/>
                <w:color w:val="auto"/>
                <w:spacing w:val="-10"/>
                <w:sz w:val="24"/>
                <w:highlight w:val="none"/>
              </w:rPr>
              <w:t>h/a。</w:t>
            </w:r>
            <w:r>
              <w:rPr>
                <w:rFonts w:hint="default" w:ascii="Times New Roman" w:hAnsi="Times New Roman" w:cs="Times New Roman"/>
                <w:bCs/>
                <w:color w:val="auto"/>
                <w:spacing w:val="-10"/>
                <w:sz w:val="24"/>
                <w:highlight w:val="none"/>
                <w:lang w:eastAsia="zh-CN"/>
              </w:rPr>
              <w:t>项目喷涂工序产生的废气污染物主要</w:t>
            </w:r>
            <w:r>
              <w:rPr>
                <w:rFonts w:hint="default" w:ascii="Times New Roman" w:hAnsi="Times New Roman" w:cs="Times New Roman"/>
                <w:bCs/>
                <w:color w:val="auto"/>
                <w:spacing w:val="-10"/>
                <w:sz w:val="24"/>
                <w:highlight w:val="none"/>
                <w:lang w:val="en-US" w:eastAsia="zh-CN"/>
              </w:rPr>
              <w:t>为</w:t>
            </w:r>
            <w:r>
              <w:rPr>
                <w:rFonts w:hint="default" w:ascii="Times New Roman" w:hAnsi="Times New Roman" w:cs="Times New Roman"/>
                <w:bCs/>
                <w:color w:val="auto"/>
                <w:spacing w:val="-10"/>
                <w:sz w:val="24"/>
                <w:highlight w:val="none"/>
                <w:lang w:eastAsia="zh-CN"/>
              </w:rPr>
              <w:t>漆雾（颗粒物）和有机废气</w:t>
            </w:r>
            <w:r>
              <w:rPr>
                <w:rFonts w:hint="default" w:ascii="Times New Roman" w:hAnsi="Times New Roman" w:eastAsia="宋体" w:cs="Times New Roman"/>
                <w:color w:val="auto"/>
                <w:kern w:val="0"/>
                <w:szCs w:val="21"/>
                <w:highlight w:val="none"/>
                <w:lang w:val="en-US" w:eastAsia="zh-CN"/>
              </w:rPr>
              <w:t>VOCs</w:t>
            </w:r>
            <w:r>
              <w:rPr>
                <w:rFonts w:hint="default" w:ascii="Times New Roman" w:hAnsi="Times New Roman" w:cs="Times New Roman"/>
                <w:bCs/>
                <w:color w:val="auto"/>
                <w:spacing w:val="-10"/>
                <w:sz w:val="24"/>
                <w:highlight w:val="none"/>
                <w:lang w:eastAsia="zh-CN"/>
              </w:rPr>
              <w:t>。</w:t>
            </w:r>
          </w:p>
          <w:p w14:paraId="4C76E091">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漆雾：</w:t>
            </w:r>
          </w:p>
          <w:p w14:paraId="6AD0E710">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次环评按照喷漆房运行最大工况核算喷漆房废气源强，参考《涂装工艺与设备》（化学工业出版社）中“喷涂距离在15cm-20cm之间时，涂装效率约为65%～75%”，本次评价取70%，30%以漆雾（颗粒）形式在喷漆房内，其中20%以漆雾（颗粒）形式进入大气，10%以漆渣形式散落。则漆雾产生量为0.315t/a，漆渣产生量为0.63t/a，工件附着量2.204t/a。</w:t>
            </w:r>
          </w:p>
          <w:p w14:paraId="6EA755A0">
            <w:pPr>
              <w:spacing w:line="360" w:lineRule="auto"/>
              <w:ind w:firstLine="480" w:firstLineChars="200"/>
              <w:rPr>
                <w:rFonts w:hint="default" w:ascii="Times New Roman" w:hAnsi="Times New Roman" w:eastAsia="宋体" w:cs="Times New Roman"/>
                <w:bCs/>
                <w:color w:val="auto"/>
                <w:spacing w:val="-10"/>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本项目喷漆房废气为密闭负压式收集，</w:t>
            </w:r>
            <w:r>
              <w:rPr>
                <w:rFonts w:hint="default" w:ascii="Times New Roman" w:hAnsi="Times New Roman" w:eastAsia="宋体" w:cs="Times New Roman"/>
                <w:bCs/>
                <w:color w:val="auto"/>
                <w:spacing w:val="-10"/>
                <w:sz w:val="24"/>
                <w:highlight w:val="none"/>
                <w:lang w:val="en-US" w:eastAsia="zh-CN"/>
              </w:rPr>
              <w:t>建设单位设计1套风机收集系统，</w:t>
            </w:r>
            <w:r>
              <w:rPr>
                <w:rFonts w:hint="default" w:ascii="Times New Roman" w:hAnsi="Times New Roman" w:eastAsia="宋体" w:cs="Times New Roman"/>
                <w:b w:val="0"/>
                <w:bCs w:val="0"/>
                <w:color w:val="auto"/>
                <w:sz w:val="24"/>
                <w:szCs w:val="24"/>
                <w:highlight w:val="none"/>
                <w:lang w:val="en-US" w:eastAsia="zh-CN"/>
              </w:rPr>
              <w:t>收集效率为95%，拟</w:t>
            </w:r>
            <w:r>
              <w:rPr>
                <w:rFonts w:hint="default" w:ascii="Times New Roman" w:hAnsi="Times New Roman" w:eastAsia="宋体" w:cs="Times New Roman"/>
                <w:bCs/>
                <w:color w:val="auto"/>
                <w:spacing w:val="-10"/>
                <w:sz w:val="24"/>
                <w:highlight w:val="none"/>
                <w:lang w:val="en-US" w:eastAsia="zh-CN"/>
              </w:rPr>
              <w:t>采用“干式纸盒</w:t>
            </w:r>
            <w:r>
              <w:rPr>
                <w:rFonts w:hint="default" w:ascii="Times New Roman" w:hAnsi="Times New Roman" w:cs="Times New Roman"/>
                <w:bCs/>
                <w:color w:val="auto"/>
                <w:spacing w:val="-10"/>
                <w:sz w:val="24"/>
                <w:highlight w:val="none"/>
                <w:lang w:val="en-US" w:eastAsia="zh-CN"/>
              </w:rPr>
              <w:t>+过滤棉</w:t>
            </w:r>
            <w:r>
              <w:rPr>
                <w:rFonts w:hint="default" w:ascii="Times New Roman" w:hAnsi="Times New Roman" w:eastAsia="宋体" w:cs="Times New Roman"/>
                <w:bCs/>
                <w:color w:val="auto"/>
                <w:spacing w:val="-10"/>
                <w:sz w:val="24"/>
                <w:highlight w:val="none"/>
                <w:lang w:val="en-US" w:eastAsia="zh-CN"/>
              </w:rPr>
              <w:t>”对漆雾，去除率取9</w:t>
            </w:r>
            <w:r>
              <w:rPr>
                <w:rFonts w:hint="default" w:ascii="Times New Roman" w:hAnsi="Times New Roman" w:cs="Times New Roman"/>
                <w:bCs/>
                <w:color w:val="auto"/>
                <w:spacing w:val="-10"/>
                <w:sz w:val="24"/>
                <w:highlight w:val="none"/>
                <w:lang w:val="en-US" w:eastAsia="zh-CN"/>
              </w:rPr>
              <w:t>5</w:t>
            </w:r>
            <w:r>
              <w:rPr>
                <w:rFonts w:hint="default" w:ascii="Times New Roman" w:hAnsi="Times New Roman" w:eastAsia="宋体" w:cs="Times New Roman"/>
                <w:bCs/>
                <w:color w:val="auto"/>
                <w:spacing w:val="-10"/>
                <w:sz w:val="24"/>
                <w:highlight w:val="none"/>
                <w:lang w:val="en-US" w:eastAsia="zh-CN"/>
              </w:rPr>
              <w:t>%，风机设计风量为10000m</w:t>
            </w:r>
            <w:r>
              <w:rPr>
                <w:rFonts w:hint="default" w:ascii="Times New Roman" w:hAnsi="Times New Roman" w:eastAsia="宋体" w:cs="Times New Roman"/>
                <w:bCs/>
                <w:color w:val="auto"/>
                <w:spacing w:val="-10"/>
                <w:sz w:val="24"/>
                <w:highlight w:val="none"/>
                <w:vertAlign w:val="superscript"/>
                <w:lang w:val="en-US" w:eastAsia="zh-CN"/>
              </w:rPr>
              <w:t>3</w:t>
            </w:r>
            <w:r>
              <w:rPr>
                <w:rFonts w:hint="default" w:ascii="Times New Roman" w:hAnsi="Times New Roman" w:eastAsia="宋体" w:cs="Times New Roman"/>
                <w:bCs/>
                <w:color w:val="auto"/>
                <w:spacing w:val="-10"/>
                <w:sz w:val="24"/>
                <w:highlight w:val="none"/>
                <w:lang w:val="en-US" w:eastAsia="zh-CN"/>
              </w:rPr>
              <w:t>/h，经处理后漆雾有组排放量为</w:t>
            </w:r>
            <w:r>
              <w:rPr>
                <w:rFonts w:hint="default" w:ascii="Times New Roman" w:hAnsi="Times New Roman" w:cs="Times New Roman"/>
                <w:bCs/>
                <w:color w:val="auto"/>
                <w:spacing w:val="-10"/>
                <w:sz w:val="24"/>
                <w:highlight w:val="none"/>
                <w:lang w:val="en-US" w:eastAsia="zh-CN"/>
              </w:rPr>
              <w:t>0.03</w:t>
            </w:r>
            <w:r>
              <w:rPr>
                <w:rFonts w:hint="default" w:ascii="Times New Roman" w:hAnsi="Times New Roman" w:eastAsia="宋体" w:cs="Times New Roman"/>
                <w:bCs/>
                <w:color w:val="auto"/>
                <w:spacing w:val="-10"/>
                <w:sz w:val="24"/>
                <w:highlight w:val="none"/>
                <w:lang w:val="en-US" w:eastAsia="zh-CN"/>
              </w:rPr>
              <w:t>/a ，排放速率为</w:t>
            </w:r>
            <w:r>
              <w:rPr>
                <w:rFonts w:hint="default" w:ascii="Times New Roman" w:hAnsi="Times New Roman" w:cs="Times New Roman"/>
                <w:bCs/>
                <w:color w:val="auto"/>
                <w:spacing w:val="-10"/>
                <w:sz w:val="24"/>
                <w:highlight w:val="none"/>
                <w:lang w:val="en-US" w:eastAsia="zh-CN"/>
              </w:rPr>
              <w:t>0.05</w:t>
            </w:r>
            <w:r>
              <w:rPr>
                <w:rFonts w:hint="default" w:ascii="Times New Roman" w:hAnsi="Times New Roman" w:eastAsia="宋体" w:cs="Times New Roman"/>
                <w:bCs/>
                <w:color w:val="auto"/>
                <w:spacing w:val="-10"/>
                <w:sz w:val="24"/>
                <w:highlight w:val="none"/>
                <w:lang w:val="en-US" w:eastAsia="zh-CN"/>
              </w:rPr>
              <w:t>kg/h ，排放浓度为</w:t>
            </w:r>
            <w:r>
              <w:rPr>
                <w:rFonts w:hint="default" w:ascii="Times New Roman" w:hAnsi="Times New Roman" w:cs="Times New Roman"/>
                <w:bCs/>
                <w:color w:val="auto"/>
                <w:spacing w:val="-10"/>
                <w:sz w:val="24"/>
                <w:highlight w:val="none"/>
                <w:lang w:val="en-US" w:eastAsia="zh-CN"/>
              </w:rPr>
              <w:t>4.988</w:t>
            </w:r>
            <w:r>
              <w:rPr>
                <w:rFonts w:hint="default" w:ascii="Times New Roman" w:hAnsi="Times New Roman" w:eastAsia="宋体" w:cs="Times New Roman"/>
                <w:bCs/>
                <w:color w:val="auto"/>
                <w:spacing w:val="-10"/>
                <w:sz w:val="24"/>
                <w:highlight w:val="none"/>
                <w:lang w:val="en-US" w:eastAsia="zh-CN"/>
              </w:rPr>
              <w:t>mg/m</w:t>
            </w:r>
            <w:r>
              <w:rPr>
                <w:rFonts w:hint="default" w:ascii="Times New Roman" w:hAnsi="Times New Roman" w:eastAsia="宋体" w:cs="Times New Roman"/>
                <w:bCs/>
                <w:color w:val="auto"/>
                <w:spacing w:val="-10"/>
                <w:sz w:val="24"/>
                <w:highlight w:val="none"/>
                <w:vertAlign w:val="superscript"/>
                <w:lang w:val="en-US" w:eastAsia="zh-CN"/>
              </w:rPr>
              <w:t>3</w:t>
            </w:r>
            <w:r>
              <w:rPr>
                <w:rFonts w:hint="default" w:ascii="Times New Roman" w:hAnsi="Times New Roman" w:eastAsia="宋体" w:cs="Times New Roman"/>
                <w:bCs/>
                <w:color w:val="auto"/>
                <w:spacing w:val="-10"/>
                <w:sz w:val="24"/>
                <w:highlight w:val="none"/>
                <w:lang w:val="en-US" w:eastAsia="zh-CN"/>
              </w:rPr>
              <w:t>。无组织排放量为</w:t>
            </w:r>
            <w:r>
              <w:rPr>
                <w:rFonts w:hint="default" w:ascii="Times New Roman" w:hAnsi="Times New Roman" w:cs="Times New Roman"/>
                <w:bCs/>
                <w:color w:val="auto"/>
                <w:spacing w:val="-10"/>
                <w:sz w:val="24"/>
                <w:highlight w:val="none"/>
                <w:lang w:val="en-US" w:eastAsia="zh-CN"/>
              </w:rPr>
              <w:t>0.016</w:t>
            </w:r>
            <w:r>
              <w:rPr>
                <w:rFonts w:hint="default" w:ascii="Times New Roman" w:hAnsi="Times New Roman" w:eastAsia="宋体" w:cs="Times New Roman"/>
                <w:bCs/>
                <w:color w:val="auto"/>
                <w:spacing w:val="-10"/>
                <w:sz w:val="24"/>
                <w:highlight w:val="none"/>
                <w:lang w:val="en-US" w:eastAsia="zh-CN"/>
              </w:rPr>
              <w:t>t/a，排放速率为</w:t>
            </w:r>
            <w:r>
              <w:rPr>
                <w:rFonts w:hint="default" w:ascii="Times New Roman" w:hAnsi="Times New Roman" w:cs="Times New Roman"/>
                <w:bCs/>
                <w:color w:val="auto"/>
                <w:spacing w:val="-10"/>
                <w:sz w:val="24"/>
                <w:highlight w:val="none"/>
                <w:lang w:val="en-US" w:eastAsia="zh-CN"/>
              </w:rPr>
              <w:t>0.026</w:t>
            </w:r>
            <w:r>
              <w:rPr>
                <w:rFonts w:hint="default" w:ascii="Times New Roman" w:hAnsi="Times New Roman" w:eastAsia="宋体" w:cs="Times New Roman"/>
                <w:bCs/>
                <w:color w:val="auto"/>
                <w:spacing w:val="-10"/>
                <w:sz w:val="24"/>
                <w:highlight w:val="none"/>
                <w:lang w:val="en-US" w:eastAsia="zh-CN"/>
              </w:rPr>
              <w:t>kg/h。</w:t>
            </w:r>
          </w:p>
          <w:p w14:paraId="1184249B">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有机废气（非甲烷总烃）</w:t>
            </w:r>
          </w:p>
          <w:p w14:paraId="4610E543">
            <w:pPr>
              <w:spacing w:line="360" w:lineRule="auto"/>
              <w:ind w:firstLine="440" w:firstLineChars="200"/>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bCs/>
                <w:color w:val="auto"/>
                <w:spacing w:val="-10"/>
                <w:sz w:val="24"/>
                <w:highlight w:val="none"/>
                <w:lang w:val="en-US" w:eastAsia="zh-CN"/>
              </w:rPr>
              <w:t>根据建设单位提供的涂料检验报告，</w:t>
            </w:r>
            <w:r>
              <w:rPr>
                <w:rFonts w:hint="default" w:ascii="Times New Roman" w:hAnsi="Times New Roman" w:cs="Times New Roman"/>
                <w:color w:val="auto"/>
                <w:sz w:val="24"/>
                <w:highlight w:val="none"/>
                <w:lang w:val="en-US" w:eastAsia="zh-CN"/>
              </w:rPr>
              <w:t>水性漆密度分别为1.355g/cm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vertAlign w:val="baseline"/>
                <w:lang w:val="en-US" w:eastAsia="zh-CN"/>
              </w:rPr>
              <w:t>，</w:t>
            </w:r>
            <w:r>
              <w:rPr>
                <w:rFonts w:hint="default" w:ascii="Times New Roman" w:hAnsi="Times New Roman" w:cs="Times New Roman"/>
                <w:color w:val="auto"/>
                <w:sz w:val="24"/>
                <w:highlight w:val="none"/>
                <w:lang w:val="en-US" w:eastAsia="zh-CN"/>
              </w:rPr>
              <w:t>1.2g/cm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vertAlign w:val="baseline"/>
                <w:lang w:val="en-US" w:eastAsia="zh-CN"/>
              </w:rPr>
              <w:t>，</w:t>
            </w:r>
            <w:r>
              <w:rPr>
                <w:rFonts w:hint="default" w:ascii="Times New Roman" w:hAnsi="Times New Roman" w:cs="Times New Roman"/>
                <w:color w:val="auto"/>
                <w:sz w:val="24"/>
                <w:highlight w:val="none"/>
                <w:lang w:val="en-US" w:eastAsia="zh-CN"/>
              </w:rPr>
              <w:t>水性漆料用量分别为1.136t/a，2.012t/a，折算后水性底漆量为838.38L/a，面漆量为1676.67L/a。</w:t>
            </w:r>
          </w:p>
          <w:p w14:paraId="7C25C3E1">
            <w:pPr>
              <w:spacing w:line="360" w:lineRule="auto"/>
              <w:ind w:firstLine="480" w:firstLineChars="200"/>
              <w:rPr>
                <w:rFonts w:hint="default" w:ascii="Times New Roman" w:hAnsi="Times New Roman" w:eastAsia="宋体" w:cs="Times New Roman"/>
                <w:bCs/>
                <w:color w:val="auto"/>
                <w:spacing w:val="-10"/>
                <w:sz w:val="24"/>
                <w:highlight w:val="none"/>
                <w:lang w:val="en-US" w:eastAsia="zh-CN"/>
              </w:rPr>
            </w:pPr>
            <w:r>
              <w:rPr>
                <w:rFonts w:hint="default" w:ascii="Times New Roman" w:hAnsi="Times New Roman" w:cs="Times New Roman"/>
                <w:color w:val="auto"/>
                <w:sz w:val="24"/>
                <w:highlight w:val="none"/>
              </w:rPr>
              <w:t>考虑到后期企业可能存在更换</w:t>
            </w:r>
            <w:r>
              <w:rPr>
                <w:rFonts w:hint="default" w:ascii="Times New Roman" w:hAnsi="Times New Roman" w:cs="Times New Roman"/>
                <w:color w:val="auto"/>
                <w:sz w:val="24"/>
                <w:highlight w:val="none"/>
                <w:lang w:eastAsia="zh-CN"/>
              </w:rPr>
              <w:t>水性漆料</w:t>
            </w:r>
            <w:r>
              <w:rPr>
                <w:rFonts w:hint="default" w:ascii="Times New Roman" w:hAnsi="Times New Roman" w:cs="Times New Roman"/>
                <w:color w:val="auto"/>
                <w:sz w:val="24"/>
                <w:highlight w:val="none"/>
              </w:rPr>
              <w:t>情况，因此</w:t>
            </w:r>
            <w:r>
              <w:rPr>
                <w:rFonts w:hint="default" w:ascii="Times New Roman" w:hAnsi="Times New Roman" w:cs="Times New Roman"/>
                <w:color w:val="auto"/>
                <w:sz w:val="24"/>
                <w:highlight w:val="none"/>
                <w:lang w:eastAsia="zh-CN"/>
              </w:rPr>
              <w:t>本次评价</w:t>
            </w:r>
            <w:r>
              <w:rPr>
                <w:rFonts w:hint="default" w:ascii="Times New Roman" w:hAnsi="Times New Roman" w:cs="Times New Roman"/>
                <w:color w:val="auto"/>
                <w:sz w:val="24"/>
                <w:highlight w:val="none"/>
              </w:rPr>
              <w:t>不根据</w:t>
            </w:r>
            <w:r>
              <w:rPr>
                <w:rFonts w:hint="default" w:ascii="Times New Roman" w:hAnsi="Times New Roman" w:cs="Times New Roman"/>
                <w:color w:val="auto"/>
                <w:sz w:val="24"/>
                <w:highlight w:val="none"/>
                <w:lang w:eastAsia="zh-CN"/>
              </w:rPr>
              <w:t>建设单位提供的漆料</w:t>
            </w:r>
            <w:r>
              <w:rPr>
                <w:rFonts w:hint="default" w:ascii="Times New Roman" w:hAnsi="Times New Roman" w:cs="Times New Roman"/>
                <w:color w:val="auto"/>
                <w:sz w:val="24"/>
                <w:highlight w:val="none"/>
              </w:rPr>
              <w:t>VOC含量检测报告进行计算</w:t>
            </w:r>
            <w:r>
              <w:rPr>
                <w:rFonts w:hint="default" w:ascii="Times New Roman" w:hAnsi="Times New Roman" w:cs="Times New Roman"/>
                <w:color w:val="auto"/>
                <w:sz w:val="24"/>
                <w:highlight w:val="none"/>
                <w:lang w:eastAsia="zh-CN"/>
              </w:rPr>
              <w:t>，本次评价</w:t>
            </w:r>
            <w:r>
              <w:rPr>
                <w:rFonts w:hint="default" w:ascii="Times New Roman" w:hAnsi="Times New Roman" w:cs="Times New Roman"/>
                <w:color w:val="auto"/>
                <w:sz w:val="24"/>
                <w:highlight w:val="none"/>
              </w:rPr>
              <w:t>要求企业后期使用</w:t>
            </w:r>
            <w:r>
              <w:rPr>
                <w:rFonts w:hint="default" w:ascii="Times New Roman" w:hAnsi="Times New Roman" w:cs="Times New Roman"/>
                <w:color w:val="auto"/>
                <w:sz w:val="24"/>
                <w:highlight w:val="none"/>
                <w:lang w:eastAsia="zh-CN"/>
              </w:rPr>
              <w:t>水性漆</w:t>
            </w:r>
            <w:r>
              <w:rPr>
                <w:rFonts w:hint="default" w:ascii="Times New Roman" w:hAnsi="Times New Roman" w:cs="Times New Roman"/>
                <w:color w:val="auto"/>
                <w:sz w:val="24"/>
                <w:highlight w:val="none"/>
              </w:rPr>
              <w:t>涂料满足《低挥发性有机化合物含量涂料产品技术要求》（GB/T38597-2020）表1水性工业防护涂料（机械设备涂料）中底漆挥发性有机化合物（VOCS）含量限量值≤250g/L、面漆挥发性有机化合物（VOCS）含量限量值≤300g/L的要求含量限值；本次评价考虑项目建成后最不利环境影响，工作漆中整个喷涂过程按漆料中挥发分全部挥发计算</w:t>
            </w:r>
            <w:r>
              <w:rPr>
                <w:rFonts w:hint="default" w:ascii="Times New Roman" w:hAnsi="Times New Roman" w:cs="Times New Roman"/>
                <w:color w:val="auto"/>
                <w:sz w:val="24"/>
                <w:highlight w:val="none"/>
                <w:lang w:eastAsia="zh-CN"/>
              </w:rPr>
              <w:t>，则</w:t>
            </w:r>
            <w:r>
              <w:rPr>
                <w:rFonts w:hint="default" w:ascii="Times New Roman" w:hAnsi="Times New Roman" w:cs="Times New Roman"/>
                <w:color w:val="auto"/>
                <w:sz w:val="24"/>
                <w:highlight w:val="none"/>
              </w:rPr>
              <w:t>项目漆料</w:t>
            </w:r>
            <w:r>
              <w:rPr>
                <w:rFonts w:hint="default" w:ascii="Times New Roman" w:hAnsi="Times New Roman" w:cs="Times New Roman"/>
                <w:color w:val="auto"/>
                <w:sz w:val="24"/>
                <w:highlight w:val="none"/>
                <w:lang w:val="en-US" w:eastAsia="zh-CN"/>
              </w:rPr>
              <w:t>中</w:t>
            </w:r>
            <w:r>
              <w:rPr>
                <w:rFonts w:hint="default" w:ascii="Times New Roman" w:hAnsi="Times New Roman" w:eastAsia="宋体" w:cs="Times New Roman"/>
                <w:color w:val="auto"/>
                <w:kern w:val="0"/>
                <w:szCs w:val="21"/>
                <w:highlight w:val="none"/>
                <w:lang w:val="en-US" w:eastAsia="zh-CN"/>
              </w:rPr>
              <w:t>VOCs</w:t>
            </w:r>
            <w:r>
              <w:rPr>
                <w:rFonts w:hint="default" w:ascii="Times New Roman" w:hAnsi="Times New Roman" w:eastAsia="宋体" w:cs="Times New Roman"/>
                <w:bCs/>
                <w:color w:val="auto"/>
                <w:spacing w:val="-10"/>
                <w:sz w:val="24"/>
                <w:highlight w:val="none"/>
                <w:lang w:val="en-US" w:eastAsia="zh-CN"/>
              </w:rPr>
              <w:t>产生量为0.713t/a，产生速率1.188kg/h。</w:t>
            </w:r>
          </w:p>
          <w:p w14:paraId="41FD33EF">
            <w:pPr>
              <w:spacing w:line="360" w:lineRule="auto"/>
              <w:ind w:firstLine="440" w:firstLineChars="200"/>
              <w:rPr>
                <w:rFonts w:hint="default" w:ascii="Times New Roman" w:hAnsi="Times New Roman" w:eastAsia="宋体" w:cs="Times New Roman"/>
                <w:bCs/>
                <w:color w:val="auto"/>
                <w:spacing w:val="-10"/>
                <w:sz w:val="24"/>
                <w:highlight w:val="none"/>
                <w:lang w:val="en-US" w:eastAsia="zh-CN"/>
              </w:rPr>
            </w:pPr>
            <w:r>
              <w:rPr>
                <w:rFonts w:hint="default" w:ascii="Times New Roman" w:hAnsi="Times New Roman" w:eastAsia="宋体" w:cs="Times New Roman"/>
                <w:bCs/>
                <w:color w:val="auto"/>
                <w:spacing w:val="-10"/>
                <w:sz w:val="24"/>
                <w:highlight w:val="none"/>
                <w:lang w:val="en-US" w:eastAsia="zh-CN"/>
              </w:rPr>
              <w:t>本项目喷涂废气采用“干式纸盒+过滤棉”处理漆雾，有机废气收集通过经风机（风量10000m</w:t>
            </w:r>
            <w:r>
              <w:rPr>
                <w:rFonts w:hint="default" w:ascii="Times New Roman" w:hAnsi="Times New Roman" w:eastAsia="宋体" w:cs="Times New Roman"/>
                <w:bCs/>
                <w:color w:val="auto"/>
                <w:spacing w:val="-10"/>
                <w:sz w:val="24"/>
                <w:highlight w:val="none"/>
                <w:vertAlign w:val="superscript"/>
                <w:lang w:val="en-US" w:eastAsia="zh-CN"/>
              </w:rPr>
              <w:t>3</w:t>
            </w:r>
            <w:r>
              <w:rPr>
                <w:rFonts w:hint="default" w:ascii="Times New Roman" w:hAnsi="Times New Roman" w:eastAsia="宋体" w:cs="Times New Roman"/>
                <w:bCs/>
                <w:color w:val="auto"/>
                <w:spacing w:val="-10"/>
                <w:sz w:val="24"/>
                <w:highlight w:val="none"/>
                <w:lang w:val="en-US" w:eastAsia="zh-CN"/>
              </w:rPr>
              <w:t>/h）引至二级活性炭吸附箱（TA004）处理后经15m排气筒（DA003）有组织排放。根据《主要污染物总量减排核算技术指南（2022年修订）》（环办总合函</w:t>
            </w:r>
            <w:r>
              <w:rPr>
                <w:rFonts w:hint="eastAsia" w:ascii="Times New Roman" w:hAnsi="Times New Roman" w:cs="Times New Roman"/>
                <w:bCs/>
                <w:color w:val="auto"/>
                <w:spacing w:val="-10"/>
                <w:sz w:val="24"/>
                <w:highlight w:val="none"/>
                <w:lang w:val="en-US" w:eastAsia="zh-CN"/>
              </w:rPr>
              <w:t>〔2022〕</w:t>
            </w:r>
            <w:r>
              <w:rPr>
                <w:rFonts w:hint="default" w:ascii="Times New Roman" w:hAnsi="Times New Roman" w:eastAsia="宋体" w:cs="Times New Roman"/>
                <w:bCs/>
                <w:color w:val="auto"/>
                <w:spacing w:val="-10"/>
                <w:sz w:val="24"/>
                <w:highlight w:val="none"/>
                <w:lang w:val="en-US" w:eastAsia="zh-CN"/>
              </w:rPr>
              <w:t>350）表2-3VOCs废气收集率和治理设施去除率通用系数可知，单级活性炭的去除效率为50%，第二级活性炭去除效率约为单级活性炭去除效率的二分之一，通过叠加计算出二级活性炭的总去除效率为75%，去除效率以75%计。建设单位设计1套风机收集系统，收集效率为95%，风机设计风量为10000m</w:t>
            </w:r>
            <w:r>
              <w:rPr>
                <w:rFonts w:hint="default" w:ascii="Times New Roman" w:hAnsi="Times New Roman" w:eastAsia="宋体" w:cs="Times New Roman"/>
                <w:bCs/>
                <w:color w:val="auto"/>
                <w:spacing w:val="-10"/>
                <w:sz w:val="24"/>
                <w:highlight w:val="none"/>
                <w:vertAlign w:val="superscript"/>
                <w:lang w:val="en-US" w:eastAsia="zh-CN"/>
              </w:rPr>
              <w:t>3</w:t>
            </w:r>
            <w:r>
              <w:rPr>
                <w:rFonts w:hint="default" w:ascii="Times New Roman" w:hAnsi="Times New Roman" w:eastAsia="宋体" w:cs="Times New Roman"/>
                <w:bCs/>
                <w:color w:val="auto"/>
                <w:spacing w:val="-10"/>
                <w:sz w:val="24"/>
                <w:highlight w:val="none"/>
                <w:lang w:val="en-US" w:eastAsia="zh-CN"/>
              </w:rPr>
              <w:t>/h。经处理后VOCs有组织排放量为0.16</w:t>
            </w:r>
            <w:r>
              <w:rPr>
                <w:rFonts w:hint="default" w:ascii="Times New Roman" w:hAnsi="Times New Roman" w:cs="Times New Roman"/>
                <w:bCs/>
                <w:color w:val="auto"/>
                <w:spacing w:val="-10"/>
                <w:sz w:val="24"/>
                <w:highlight w:val="none"/>
                <w:lang w:val="en-US" w:eastAsia="zh-CN"/>
              </w:rPr>
              <w:t>9</w:t>
            </w:r>
            <w:r>
              <w:rPr>
                <w:rFonts w:hint="default" w:ascii="Times New Roman" w:hAnsi="Times New Roman" w:eastAsia="宋体" w:cs="Times New Roman"/>
                <w:bCs/>
                <w:color w:val="auto"/>
                <w:spacing w:val="-10"/>
                <w:sz w:val="24"/>
                <w:highlight w:val="none"/>
                <w:lang w:val="en-US" w:eastAsia="zh-CN"/>
              </w:rPr>
              <w:t>t/a ，排放速率为0.2</w:t>
            </w:r>
            <w:r>
              <w:rPr>
                <w:rFonts w:hint="default" w:ascii="Times New Roman" w:hAnsi="Times New Roman" w:cs="Times New Roman"/>
                <w:bCs/>
                <w:color w:val="auto"/>
                <w:spacing w:val="-10"/>
                <w:sz w:val="24"/>
                <w:highlight w:val="none"/>
                <w:lang w:val="en-US" w:eastAsia="zh-CN"/>
              </w:rPr>
              <w:t>82</w:t>
            </w:r>
            <w:r>
              <w:rPr>
                <w:rFonts w:hint="default" w:ascii="Times New Roman" w:hAnsi="Times New Roman" w:eastAsia="宋体" w:cs="Times New Roman"/>
                <w:bCs/>
                <w:color w:val="auto"/>
                <w:spacing w:val="-10"/>
                <w:sz w:val="24"/>
                <w:highlight w:val="none"/>
                <w:lang w:val="en-US" w:eastAsia="zh-CN"/>
              </w:rPr>
              <w:t>kg/h ，排放浓度为26.738mg/m</w:t>
            </w:r>
            <w:r>
              <w:rPr>
                <w:rFonts w:hint="default" w:ascii="Times New Roman" w:hAnsi="Times New Roman" w:eastAsia="宋体" w:cs="Times New Roman"/>
                <w:bCs/>
                <w:color w:val="auto"/>
                <w:spacing w:val="-10"/>
                <w:sz w:val="24"/>
                <w:highlight w:val="none"/>
                <w:vertAlign w:val="superscript"/>
                <w:lang w:val="en-US" w:eastAsia="zh-CN"/>
              </w:rPr>
              <w:t>3</w:t>
            </w:r>
            <w:r>
              <w:rPr>
                <w:rFonts w:hint="default" w:ascii="Times New Roman" w:hAnsi="Times New Roman" w:eastAsia="宋体" w:cs="Times New Roman"/>
                <w:bCs/>
                <w:color w:val="auto"/>
                <w:spacing w:val="-10"/>
                <w:sz w:val="24"/>
                <w:highlight w:val="none"/>
                <w:lang w:val="en-US" w:eastAsia="zh-CN"/>
              </w:rPr>
              <w:t>。无组织排放量为0.036t/a，排放速率为0.059kg/h。</w:t>
            </w:r>
          </w:p>
          <w:p w14:paraId="7F7662A5">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⑦液化天然气（LNG）燃烧废气（烟尘、SO</w:t>
            </w:r>
            <w:r>
              <w:rPr>
                <w:rFonts w:hint="default" w:ascii="Times New Roman" w:hAnsi="Times New Roman" w:eastAsia="宋体" w:cs="Times New Roman"/>
                <w:b/>
                <w:bCs/>
                <w:color w:val="auto"/>
                <w:sz w:val="24"/>
                <w:vertAlign w:val="subscript"/>
                <w:lang w:val="en-US" w:eastAsia="zh-CN"/>
              </w:rPr>
              <w:t>2</w:t>
            </w:r>
            <w:r>
              <w:rPr>
                <w:rFonts w:hint="default" w:ascii="Times New Roman" w:hAnsi="Times New Roman" w:eastAsia="宋体" w:cs="Times New Roman"/>
                <w:b/>
                <w:bCs/>
                <w:color w:val="auto"/>
                <w:sz w:val="24"/>
                <w:lang w:val="en-US" w:eastAsia="zh-CN"/>
              </w:rPr>
              <w:t>、NO</w:t>
            </w:r>
            <w:r>
              <w:rPr>
                <w:rFonts w:hint="default" w:ascii="Times New Roman" w:hAnsi="Times New Roman" w:eastAsia="宋体" w:cs="Times New Roman"/>
                <w:b/>
                <w:bCs/>
                <w:color w:val="auto"/>
                <w:sz w:val="24"/>
                <w:vertAlign w:val="subscript"/>
                <w:lang w:val="en-US" w:eastAsia="zh-CN"/>
              </w:rPr>
              <w:t>X</w:t>
            </w:r>
            <w:r>
              <w:rPr>
                <w:rFonts w:hint="default" w:ascii="Times New Roman" w:hAnsi="Times New Roman" w:eastAsia="宋体" w:cs="Times New Roman"/>
                <w:b/>
                <w:bCs/>
                <w:color w:val="auto"/>
                <w:sz w:val="24"/>
                <w:lang w:val="en-US" w:eastAsia="zh-CN"/>
              </w:rPr>
              <w:t>）</w:t>
            </w:r>
          </w:p>
          <w:p w14:paraId="57FE4769">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sz w:val="24"/>
                <w:lang w:val="en-US" w:eastAsia="zh-CN"/>
              </w:rPr>
              <w:t>本项目固化工序配套低氮燃烧机热风循环加热</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采用</w:t>
            </w:r>
            <w:r>
              <w:rPr>
                <w:rFonts w:hint="default" w:ascii="Times New Roman" w:hAnsi="Times New Roman" w:cs="Times New Roman"/>
                <w:color w:val="auto"/>
                <w:sz w:val="24"/>
                <w:lang w:val="en-US" w:eastAsia="zh-CN"/>
              </w:rPr>
              <w:t>液化天然气（LNG）</w:t>
            </w:r>
            <w:r>
              <w:rPr>
                <w:rFonts w:hint="default" w:ascii="Times New Roman" w:hAnsi="Times New Roman" w:eastAsia="宋体" w:cs="Times New Roman"/>
                <w:color w:val="auto"/>
                <w:sz w:val="24"/>
                <w:lang w:val="en-US" w:eastAsia="zh-CN"/>
              </w:rPr>
              <w:t>作为燃料进行间接加热固化，工作原理类似锅炉，燃烧过程会产生烟尘、SO</w:t>
            </w:r>
            <w:r>
              <w:rPr>
                <w:rFonts w:hint="default" w:ascii="Times New Roman" w:hAnsi="Times New Roman" w:eastAsia="宋体" w:cs="Times New Roman"/>
                <w:color w:val="auto"/>
                <w:sz w:val="24"/>
                <w:vertAlign w:val="subscript"/>
                <w:lang w:val="en-US" w:eastAsia="zh-CN"/>
              </w:rPr>
              <w:t>2</w:t>
            </w:r>
            <w:r>
              <w:rPr>
                <w:rFonts w:hint="default" w:ascii="Times New Roman" w:hAnsi="Times New Roman" w:eastAsia="宋体" w:cs="Times New Roman"/>
                <w:color w:val="auto"/>
                <w:sz w:val="24"/>
                <w:lang w:val="en-US" w:eastAsia="zh-CN"/>
              </w:rPr>
              <w:t>、NO</w:t>
            </w:r>
            <w:r>
              <w:rPr>
                <w:rFonts w:hint="default" w:ascii="Times New Roman" w:hAnsi="Times New Roman" w:eastAsia="宋体" w:cs="Times New Roman"/>
                <w:color w:val="auto"/>
                <w:sz w:val="24"/>
                <w:vertAlign w:val="subscript"/>
                <w:lang w:val="en-US" w:eastAsia="zh-CN"/>
              </w:rPr>
              <w:t>X</w:t>
            </w:r>
            <w:r>
              <w:rPr>
                <w:rFonts w:hint="default" w:ascii="Times New Roman" w:hAnsi="Times New Roman" w:eastAsia="宋体" w:cs="Times New Roman"/>
                <w:color w:val="auto"/>
                <w:sz w:val="24"/>
                <w:lang w:val="en-US" w:eastAsia="zh-CN"/>
              </w:rPr>
              <w:t>污染物</w:t>
            </w:r>
            <w:r>
              <w:rPr>
                <w:rFonts w:hint="default" w:ascii="Times New Roman" w:hAnsi="Times New Roman" w:cs="Times New Roman"/>
                <w:color w:val="auto"/>
                <w:sz w:val="24"/>
                <w:lang w:val="en-US" w:eastAsia="zh-CN"/>
              </w:rPr>
              <w:t>。</w:t>
            </w:r>
          </w:p>
          <w:p w14:paraId="4FF1642F">
            <w:pPr>
              <w:tabs>
                <w:tab w:val="left" w:pos="645"/>
              </w:tabs>
              <w:adjustRightInd w:val="0"/>
              <w:snapToGrid w:val="0"/>
              <w:spacing w:line="360" w:lineRule="auto"/>
              <w:ind w:firstLine="480" w:firstLineChars="200"/>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Cs/>
                <w:color w:val="auto"/>
                <w:sz w:val="24"/>
              </w:rPr>
              <w:t>烟气污染物SO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NOx和锅炉废气量参照《排放源统计调查产排污核算方法和系数手册--4430工业锅炉（热力供应）行业系数手册》中燃气工业锅炉废气量产排污系数；根据陕西省环境科学研究院2018年4月发布的《锅炉大气污染物排放标准（征求意见稿）编制说明》天然气锅炉颗粒物浓度为0.78mg/m³~1.2mg/m³，本次评价取最大值1.2mg/m³。排放系数具体见下表</w:t>
            </w:r>
            <w:r>
              <w:rPr>
                <w:rFonts w:hint="default" w:ascii="Times New Roman" w:hAnsi="Times New Roman" w:cs="Times New Roman"/>
                <w:bCs/>
                <w:color w:val="auto"/>
                <w:sz w:val="24"/>
                <w:lang w:eastAsia="zh-CN"/>
              </w:rPr>
              <w:t>。</w:t>
            </w:r>
          </w:p>
          <w:p w14:paraId="5DC673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表4-2</w:t>
            </w:r>
            <w:r>
              <w:rPr>
                <w:rFonts w:hint="default" w:ascii="Times New Roman" w:hAnsi="Times New Roman" w:cs="Times New Roman"/>
                <w:b/>
                <w:bCs/>
                <w:color w:val="auto"/>
                <w:kern w:val="2"/>
                <w:sz w:val="21"/>
                <w:szCs w:val="21"/>
                <w:lang w:val="en-US" w:eastAsia="zh-CN" w:bidi="ar-SA"/>
              </w:rPr>
              <w:t xml:space="preserve">  工业锅炉（热力生产和供应行业）产污系数表</w:t>
            </w:r>
          </w:p>
          <w:tbl>
            <w:tblPr>
              <w:tblStyle w:val="32"/>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456"/>
              <w:gridCol w:w="656"/>
              <w:gridCol w:w="1133"/>
              <w:gridCol w:w="1985"/>
              <w:gridCol w:w="1504"/>
            </w:tblGrid>
            <w:tr w14:paraId="477AA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324" w:type="dxa"/>
                  <w:tcBorders>
                    <w:tl2br w:val="nil"/>
                    <w:tr2bl w:val="nil"/>
                  </w:tcBorders>
                  <w:noWrap w:val="0"/>
                  <w:vAlign w:val="center"/>
                </w:tcPr>
                <w:p w14:paraId="4C94F2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原料名称</w:t>
                  </w:r>
                </w:p>
              </w:tc>
              <w:tc>
                <w:tcPr>
                  <w:tcW w:w="1456" w:type="dxa"/>
                  <w:tcBorders>
                    <w:tl2br w:val="nil"/>
                    <w:tr2bl w:val="nil"/>
                  </w:tcBorders>
                  <w:noWrap w:val="0"/>
                  <w:vAlign w:val="center"/>
                </w:tcPr>
                <w:p w14:paraId="38261F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规模等级</w:t>
                  </w:r>
                </w:p>
              </w:tc>
              <w:tc>
                <w:tcPr>
                  <w:tcW w:w="1789" w:type="dxa"/>
                  <w:gridSpan w:val="2"/>
                  <w:tcBorders>
                    <w:tl2br w:val="nil"/>
                    <w:tr2bl w:val="nil"/>
                  </w:tcBorders>
                  <w:noWrap w:val="0"/>
                  <w:vAlign w:val="center"/>
                </w:tcPr>
                <w:p w14:paraId="770961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污染物指标</w:t>
                  </w:r>
                </w:p>
              </w:tc>
              <w:tc>
                <w:tcPr>
                  <w:tcW w:w="1985" w:type="dxa"/>
                  <w:tcBorders>
                    <w:tl2br w:val="nil"/>
                    <w:tr2bl w:val="nil"/>
                  </w:tcBorders>
                  <w:noWrap w:val="0"/>
                  <w:vAlign w:val="center"/>
                </w:tcPr>
                <w:p w14:paraId="38CFBD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单位</w:t>
                  </w:r>
                </w:p>
              </w:tc>
              <w:tc>
                <w:tcPr>
                  <w:tcW w:w="1504" w:type="dxa"/>
                  <w:tcBorders>
                    <w:tl2br w:val="nil"/>
                    <w:tr2bl w:val="nil"/>
                  </w:tcBorders>
                  <w:noWrap w:val="0"/>
                  <w:vAlign w:val="center"/>
                </w:tcPr>
                <w:p w14:paraId="58C66D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产污系数</w:t>
                  </w:r>
                </w:p>
              </w:tc>
            </w:tr>
            <w:tr w14:paraId="31565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324" w:type="dxa"/>
                  <w:vMerge w:val="restart"/>
                  <w:tcBorders>
                    <w:tl2br w:val="nil"/>
                    <w:tr2bl w:val="nil"/>
                  </w:tcBorders>
                  <w:noWrap w:val="0"/>
                  <w:vAlign w:val="center"/>
                </w:tcPr>
                <w:p w14:paraId="311F2ABA">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液化天然气</w:t>
                  </w:r>
                </w:p>
              </w:tc>
              <w:tc>
                <w:tcPr>
                  <w:tcW w:w="1456" w:type="dxa"/>
                  <w:vMerge w:val="restart"/>
                  <w:tcBorders>
                    <w:tl2br w:val="nil"/>
                    <w:tr2bl w:val="nil"/>
                  </w:tcBorders>
                  <w:noWrap w:val="0"/>
                  <w:vAlign w:val="center"/>
                </w:tcPr>
                <w:p w14:paraId="7EBF96D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所有规模</w:t>
                  </w:r>
                </w:p>
              </w:tc>
              <w:tc>
                <w:tcPr>
                  <w:tcW w:w="656" w:type="dxa"/>
                  <w:vMerge w:val="restart"/>
                  <w:tcBorders>
                    <w:tl2br w:val="nil"/>
                    <w:tr2bl w:val="nil"/>
                  </w:tcBorders>
                  <w:noWrap w:val="0"/>
                  <w:vAlign w:val="center"/>
                </w:tcPr>
                <w:p w14:paraId="5E6262F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133" w:type="dxa"/>
                  <w:tcBorders>
                    <w:tl2br w:val="nil"/>
                    <w:tr2bl w:val="nil"/>
                  </w:tcBorders>
                  <w:noWrap w:val="0"/>
                  <w:vAlign w:val="center"/>
                </w:tcPr>
                <w:p w14:paraId="2C8E405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废气量</w:t>
                  </w:r>
                </w:p>
              </w:tc>
              <w:tc>
                <w:tcPr>
                  <w:tcW w:w="1985" w:type="dxa"/>
                  <w:tcBorders>
                    <w:tl2br w:val="nil"/>
                    <w:tr2bl w:val="nil"/>
                  </w:tcBorders>
                  <w:noWrap w:val="0"/>
                  <w:vAlign w:val="center"/>
                </w:tcPr>
                <w:p w14:paraId="7D45F7C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标立方米/吨-原料</w:t>
                  </w:r>
                </w:p>
              </w:tc>
              <w:tc>
                <w:tcPr>
                  <w:tcW w:w="1504" w:type="dxa"/>
                  <w:tcBorders>
                    <w:tl2br w:val="nil"/>
                    <w:tr2bl w:val="nil"/>
                  </w:tcBorders>
                  <w:noWrap w:val="0"/>
                  <w:vAlign w:val="center"/>
                </w:tcPr>
                <w:p w14:paraId="641E9D9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15657</w:t>
                  </w:r>
                </w:p>
              </w:tc>
            </w:tr>
            <w:tr w14:paraId="6C770A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324" w:type="dxa"/>
                  <w:vMerge w:val="continue"/>
                  <w:tcBorders>
                    <w:tl2br w:val="nil"/>
                    <w:tr2bl w:val="nil"/>
                  </w:tcBorders>
                  <w:noWrap w:val="0"/>
                  <w:vAlign w:val="center"/>
                </w:tcPr>
                <w:p w14:paraId="079C0879">
                  <w:pPr>
                    <w:jc w:val="center"/>
                    <w:rPr>
                      <w:rFonts w:hint="default" w:ascii="Times New Roman" w:hAnsi="Times New Roman" w:eastAsia="宋体" w:cs="Times New Roman"/>
                      <w:color w:val="auto"/>
                      <w:sz w:val="21"/>
                      <w:szCs w:val="21"/>
                      <w:lang w:eastAsia="zh-CN"/>
                    </w:rPr>
                  </w:pPr>
                </w:p>
              </w:tc>
              <w:tc>
                <w:tcPr>
                  <w:tcW w:w="1456" w:type="dxa"/>
                  <w:vMerge w:val="continue"/>
                  <w:tcBorders>
                    <w:tl2br w:val="nil"/>
                    <w:tr2bl w:val="nil"/>
                  </w:tcBorders>
                  <w:noWrap w:val="0"/>
                  <w:vAlign w:val="center"/>
                </w:tcPr>
                <w:p w14:paraId="6B5759C9">
                  <w:pPr>
                    <w:jc w:val="center"/>
                    <w:rPr>
                      <w:rFonts w:hint="default" w:ascii="Times New Roman" w:hAnsi="Times New Roman" w:cs="Times New Roman"/>
                      <w:color w:val="auto"/>
                      <w:sz w:val="21"/>
                      <w:szCs w:val="21"/>
                    </w:rPr>
                  </w:pPr>
                </w:p>
              </w:tc>
              <w:tc>
                <w:tcPr>
                  <w:tcW w:w="656" w:type="dxa"/>
                  <w:vMerge w:val="continue"/>
                  <w:tcBorders>
                    <w:tl2br w:val="nil"/>
                    <w:tr2bl w:val="nil"/>
                  </w:tcBorders>
                  <w:noWrap w:val="0"/>
                  <w:vAlign w:val="center"/>
                </w:tcPr>
                <w:p w14:paraId="5D008EA7">
                  <w:pPr>
                    <w:jc w:val="center"/>
                    <w:rPr>
                      <w:rFonts w:hint="default" w:ascii="Times New Roman" w:hAnsi="Times New Roman" w:cs="Times New Roman"/>
                      <w:color w:val="auto"/>
                      <w:sz w:val="21"/>
                      <w:szCs w:val="21"/>
                    </w:rPr>
                  </w:pPr>
                </w:p>
              </w:tc>
              <w:tc>
                <w:tcPr>
                  <w:tcW w:w="1133" w:type="dxa"/>
                  <w:tcBorders>
                    <w:tl2br w:val="nil"/>
                    <w:tr2bl w:val="nil"/>
                  </w:tcBorders>
                  <w:noWrap w:val="0"/>
                  <w:vAlign w:val="center"/>
                </w:tcPr>
                <w:p w14:paraId="7103FEB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1985" w:type="dxa"/>
                  <w:tcBorders>
                    <w:tl2br w:val="nil"/>
                    <w:tr2bl w:val="nil"/>
                  </w:tcBorders>
                  <w:noWrap w:val="0"/>
                  <w:vAlign w:val="center"/>
                </w:tcPr>
                <w:p w14:paraId="071848F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千克/吨-原料 </w:t>
                  </w:r>
                </w:p>
              </w:tc>
              <w:tc>
                <w:tcPr>
                  <w:tcW w:w="1504" w:type="dxa"/>
                  <w:tcBorders>
                    <w:tl2br w:val="nil"/>
                    <w:tr2bl w:val="nil"/>
                  </w:tcBorders>
                  <w:noWrap w:val="0"/>
                  <w:vAlign w:val="center"/>
                </w:tcPr>
                <w:p w14:paraId="468A405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0.0029S</w:t>
                  </w:r>
                </w:p>
              </w:tc>
            </w:tr>
            <w:tr w14:paraId="301CD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324" w:type="dxa"/>
                  <w:vMerge w:val="continue"/>
                  <w:tcBorders>
                    <w:tl2br w:val="nil"/>
                    <w:tr2bl w:val="nil"/>
                  </w:tcBorders>
                  <w:noWrap w:val="0"/>
                  <w:vAlign w:val="center"/>
                </w:tcPr>
                <w:p w14:paraId="4A5C5E5F">
                  <w:pPr>
                    <w:jc w:val="center"/>
                    <w:rPr>
                      <w:rFonts w:hint="default" w:ascii="Times New Roman" w:hAnsi="Times New Roman" w:cs="Times New Roman"/>
                      <w:color w:val="auto"/>
                      <w:sz w:val="21"/>
                      <w:szCs w:val="21"/>
                    </w:rPr>
                  </w:pPr>
                </w:p>
              </w:tc>
              <w:tc>
                <w:tcPr>
                  <w:tcW w:w="1456" w:type="dxa"/>
                  <w:vMerge w:val="continue"/>
                  <w:tcBorders>
                    <w:tl2br w:val="nil"/>
                    <w:tr2bl w:val="nil"/>
                  </w:tcBorders>
                  <w:noWrap w:val="0"/>
                  <w:vAlign w:val="center"/>
                </w:tcPr>
                <w:p w14:paraId="6416A68D">
                  <w:pPr>
                    <w:jc w:val="center"/>
                    <w:rPr>
                      <w:rFonts w:hint="default" w:ascii="Times New Roman" w:hAnsi="Times New Roman" w:cs="Times New Roman"/>
                      <w:color w:val="auto"/>
                      <w:sz w:val="21"/>
                      <w:szCs w:val="21"/>
                    </w:rPr>
                  </w:pPr>
                </w:p>
              </w:tc>
              <w:tc>
                <w:tcPr>
                  <w:tcW w:w="656" w:type="dxa"/>
                  <w:vMerge w:val="continue"/>
                  <w:tcBorders>
                    <w:tl2br w:val="nil"/>
                    <w:tr2bl w:val="nil"/>
                  </w:tcBorders>
                  <w:noWrap w:val="0"/>
                  <w:vAlign w:val="center"/>
                </w:tcPr>
                <w:p w14:paraId="6B1E267D">
                  <w:pPr>
                    <w:jc w:val="center"/>
                    <w:rPr>
                      <w:rFonts w:hint="default" w:ascii="Times New Roman" w:hAnsi="Times New Roman" w:cs="Times New Roman"/>
                      <w:color w:val="auto"/>
                      <w:sz w:val="21"/>
                      <w:szCs w:val="21"/>
                    </w:rPr>
                  </w:pPr>
                </w:p>
              </w:tc>
              <w:tc>
                <w:tcPr>
                  <w:tcW w:w="1133" w:type="dxa"/>
                  <w:tcBorders>
                    <w:tl2br w:val="nil"/>
                    <w:tr2bl w:val="nil"/>
                  </w:tcBorders>
                  <w:noWrap w:val="0"/>
                  <w:vAlign w:val="center"/>
                </w:tcPr>
                <w:p w14:paraId="77F8154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X</w:t>
                  </w:r>
                </w:p>
              </w:tc>
              <w:tc>
                <w:tcPr>
                  <w:tcW w:w="1985" w:type="dxa"/>
                  <w:tcBorders>
                    <w:tl2br w:val="nil"/>
                    <w:tr2bl w:val="nil"/>
                  </w:tcBorders>
                  <w:noWrap w:val="0"/>
                  <w:vAlign w:val="center"/>
                </w:tcPr>
                <w:p w14:paraId="36FB4A4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千克/吨-原料 </w:t>
                  </w:r>
                </w:p>
              </w:tc>
              <w:tc>
                <w:tcPr>
                  <w:tcW w:w="1504" w:type="dxa"/>
                  <w:tcBorders>
                    <w:tl2br w:val="nil"/>
                    <w:tr2bl w:val="nil"/>
                  </w:tcBorders>
                  <w:noWrap w:val="0"/>
                  <w:vAlign w:val="center"/>
                </w:tcPr>
                <w:p w14:paraId="6136E89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 xml:space="preserve">2.31 </w:t>
                  </w:r>
                </w:p>
              </w:tc>
            </w:tr>
          </w:tbl>
          <w:p w14:paraId="57D5C592">
            <w:pPr>
              <w:pStyle w:val="31"/>
              <w:spacing w:line="360" w:lineRule="auto"/>
              <w:ind w:left="0" w:leftChars="0" w:firstLine="420" w:firstLineChars="2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rPr>
              <w:t>注：产污系数表中气体燃料的二氧化硫的产污系数是以含硫量（S）的形式表示的，其中含硫量（S）是指气体燃料中的硫含量，单位为毫克/立方米。</w:t>
            </w:r>
            <w:r>
              <w:rPr>
                <w:rFonts w:hint="default" w:ascii="Times New Roman" w:hAnsi="Times New Roman" w:cs="Times New Roman"/>
                <w:b w:val="0"/>
                <w:bCs w:val="0"/>
                <w:color w:val="auto"/>
                <w:sz w:val="21"/>
                <w:szCs w:val="21"/>
                <w:lang w:eastAsia="zh-CN"/>
              </w:rPr>
              <w:t>根据《液化天然气》（GB/T 38753-2020）中含硫</w:t>
            </w:r>
            <w:r>
              <w:rPr>
                <w:rFonts w:hint="default" w:ascii="Times New Roman" w:hAnsi="Times New Roman" w:cs="Times New Roman"/>
                <w:b w:val="0"/>
                <w:bCs w:val="0"/>
                <w:color w:val="auto"/>
                <w:sz w:val="21"/>
                <w:szCs w:val="21"/>
                <w:lang w:val="en-US" w:eastAsia="zh-CN"/>
              </w:rPr>
              <w:t>量</w:t>
            </w:r>
            <w:r>
              <w:rPr>
                <w:rFonts w:hint="default" w:ascii="Times New Roman" w:hAnsi="Times New Roman" w:cs="Times New Roman"/>
                <w:b w:val="0"/>
                <w:bCs w:val="0"/>
                <w:color w:val="auto"/>
                <w:sz w:val="21"/>
                <w:szCs w:val="21"/>
                <w:lang w:eastAsia="zh-CN"/>
              </w:rPr>
              <w:t>最高</w:t>
            </w:r>
            <w:r>
              <w:rPr>
                <w:rFonts w:hint="default" w:ascii="Times New Roman" w:hAnsi="Times New Roman" w:cs="Times New Roman"/>
                <w:b w:val="0"/>
                <w:bCs w:val="0"/>
                <w:color w:val="auto"/>
                <w:sz w:val="21"/>
                <w:szCs w:val="21"/>
                <w:lang w:val="en-US" w:eastAsia="zh-CN"/>
              </w:rPr>
              <w:t>20</w:t>
            </w:r>
            <w:r>
              <w:rPr>
                <w:rFonts w:hint="default" w:ascii="Times New Roman" w:hAnsi="Times New Roman" w:cs="Times New Roman"/>
                <w:b w:val="0"/>
                <w:bCs w:val="0"/>
                <w:color w:val="auto"/>
                <w:sz w:val="21"/>
                <w:szCs w:val="21"/>
                <w:lang w:eastAsia="zh-CN"/>
              </w:rPr>
              <w:t>mg/m</w:t>
            </w:r>
            <w:r>
              <w:rPr>
                <w:rFonts w:hint="default" w:ascii="Times New Roman" w:hAnsi="Times New Roman" w:cs="Times New Roman"/>
                <w:b w:val="0"/>
                <w:bCs w:val="0"/>
                <w:color w:val="auto"/>
                <w:sz w:val="21"/>
                <w:szCs w:val="21"/>
                <w:vertAlign w:val="superscript"/>
                <w:lang w:eastAsia="zh-CN"/>
              </w:rPr>
              <w:t>3</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rPr>
              <w:t>则 S=</w:t>
            </w:r>
            <w:r>
              <w:rPr>
                <w:rFonts w:hint="default" w:ascii="Times New Roman" w:hAnsi="Times New Roman" w:cs="Times New Roman"/>
                <w:b w:val="0"/>
                <w:bCs w:val="0"/>
                <w:color w:val="auto"/>
                <w:sz w:val="21"/>
                <w:szCs w:val="21"/>
                <w:lang w:val="en-US" w:eastAsia="zh-CN"/>
              </w:rPr>
              <w:t>20。</w:t>
            </w:r>
          </w:p>
          <w:p w14:paraId="7EB9CA2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根据企业提供资料，</w:t>
            </w:r>
            <w:r>
              <w:rPr>
                <w:rFonts w:hint="default" w:ascii="Times New Roman" w:hAnsi="Times New Roman" w:cs="Times New Roman"/>
                <w:color w:val="auto"/>
                <w:sz w:val="24"/>
                <w:lang w:val="en-US" w:eastAsia="zh-CN"/>
              </w:rPr>
              <w:t>液化天然气（LNG）</w:t>
            </w:r>
            <w:r>
              <w:rPr>
                <w:rFonts w:hint="default" w:ascii="Times New Roman" w:hAnsi="Times New Roman" w:eastAsia="宋体" w:cs="Times New Roman"/>
                <w:color w:val="auto"/>
                <w:sz w:val="24"/>
                <w:lang w:val="en-US" w:eastAsia="zh-CN"/>
              </w:rPr>
              <w:t>使用量为</w:t>
            </w:r>
            <w:r>
              <w:rPr>
                <w:rFonts w:hint="default" w:ascii="Times New Roman" w:hAnsi="Times New Roman" w:cs="Times New Roman"/>
                <w:color w:val="auto"/>
                <w:sz w:val="24"/>
                <w:lang w:val="en-US" w:eastAsia="zh-CN"/>
              </w:rPr>
              <w:t>84</w:t>
            </w:r>
            <w:r>
              <w:rPr>
                <w:rFonts w:hint="default" w:ascii="Times New Roman" w:hAnsi="Times New Roman" w:eastAsia="宋体" w:cs="Times New Roman"/>
                <w:color w:val="auto"/>
                <w:sz w:val="24"/>
                <w:lang w:val="en-US" w:eastAsia="zh-CN"/>
              </w:rPr>
              <w:t>m³</w:t>
            </w:r>
            <w:r>
              <w:rPr>
                <w:rFonts w:hint="default" w:ascii="Times New Roman" w:hAnsi="Times New Roman" w:cs="Times New Roman"/>
                <w:color w:val="auto"/>
                <w:sz w:val="24"/>
                <w:lang w:val="en-US" w:eastAsia="zh-CN"/>
              </w:rPr>
              <w:t>（液态），LNG液态标准密度≈425kg/m³，折算约为35.7t</w:t>
            </w:r>
            <w:r>
              <w:rPr>
                <w:rFonts w:hint="default" w:ascii="Times New Roman" w:hAnsi="Times New Roman" w:eastAsia="宋体" w:cs="Times New Roman"/>
                <w:color w:val="auto"/>
                <w:sz w:val="24"/>
                <w:lang w:val="en-US" w:eastAsia="zh-CN"/>
              </w:rPr>
              <w:t>。则</w:t>
            </w:r>
            <w:r>
              <w:rPr>
                <w:rFonts w:hint="default" w:ascii="Times New Roman" w:hAnsi="Times New Roman" w:cs="Times New Roman"/>
                <w:color w:val="auto"/>
                <w:sz w:val="24"/>
                <w:lang w:val="en-US" w:eastAsia="zh-CN"/>
              </w:rPr>
              <w:t>液化天然气（LNG）</w:t>
            </w:r>
            <w:r>
              <w:rPr>
                <w:rFonts w:hint="default" w:ascii="Times New Roman" w:hAnsi="Times New Roman" w:eastAsia="宋体" w:cs="Times New Roman"/>
                <w:color w:val="auto"/>
                <w:sz w:val="24"/>
                <w:lang w:val="en-US" w:eastAsia="zh-CN"/>
              </w:rPr>
              <w:t>燃烧废气产排情况见表4-3。</w:t>
            </w:r>
          </w:p>
          <w:p w14:paraId="1D2C67AB">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表4-3</w:t>
            </w:r>
            <w:r>
              <w:rPr>
                <w:rFonts w:hint="default" w:ascii="Times New Roman" w:hAnsi="Times New Roman" w:cs="Times New Roman"/>
                <w:b/>
                <w:bCs/>
                <w:color w:val="auto"/>
                <w:sz w:val="21"/>
                <w:szCs w:val="21"/>
                <w:lang w:val="en-US" w:eastAsia="zh-CN"/>
              </w:rPr>
              <w:t xml:space="preserve">  液化天然气（LNG）</w:t>
            </w:r>
            <w:r>
              <w:rPr>
                <w:rFonts w:hint="default" w:ascii="Times New Roman" w:hAnsi="Times New Roman" w:eastAsia="宋体" w:cs="Times New Roman"/>
                <w:b/>
                <w:bCs/>
                <w:color w:val="auto"/>
                <w:sz w:val="21"/>
                <w:szCs w:val="21"/>
                <w:lang w:val="en-US" w:eastAsia="zh-CN"/>
              </w:rPr>
              <w:t>燃烧废气污染物产生和排放情况</w:t>
            </w:r>
          </w:p>
          <w:tbl>
            <w:tblPr>
              <w:tblStyle w:val="33"/>
              <w:tblW w:w="83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233"/>
              <w:gridCol w:w="1100"/>
              <w:gridCol w:w="1350"/>
              <w:gridCol w:w="1422"/>
              <w:gridCol w:w="1108"/>
              <w:gridCol w:w="1260"/>
            </w:tblGrid>
            <w:tr w14:paraId="6498A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64" w:type="dxa"/>
                  <w:vMerge w:val="restart"/>
                  <w:tcBorders>
                    <w:tl2br w:val="nil"/>
                    <w:tr2bl w:val="nil"/>
                  </w:tcBorders>
                  <w:noWrap w:val="0"/>
                  <w:vAlign w:val="center"/>
                </w:tcPr>
                <w:p w14:paraId="09D7D7D0">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w:t>
                  </w:r>
                </w:p>
              </w:tc>
              <w:tc>
                <w:tcPr>
                  <w:tcW w:w="1233" w:type="dxa"/>
                  <w:vMerge w:val="restart"/>
                  <w:tcBorders>
                    <w:tl2br w:val="nil"/>
                    <w:tr2bl w:val="nil"/>
                  </w:tcBorders>
                  <w:noWrap w:val="0"/>
                  <w:vAlign w:val="center"/>
                </w:tcPr>
                <w:p w14:paraId="3FB3F72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烟气量</w:t>
                  </w:r>
                  <w:r>
                    <w:rPr>
                      <w:rFonts w:hint="default" w:ascii="Times New Roman" w:hAnsi="Times New Roman" w:eastAsia="宋体" w:cs="Times New Roman"/>
                      <w:color w:val="auto"/>
                      <w:sz w:val="21"/>
                      <w:szCs w:val="21"/>
                      <w:vertAlign w:val="baseline"/>
                      <w:lang w:val="en-US" w:eastAsia="zh-CN"/>
                    </w:rPr>
                    <w:t>m³</w:t>
                  </w:r>
                </w:p>
              </w:tc>
              <w:tc>
                <w:tcPr>
                  <w:tcW w:w="2450" w:type="dxa"/>
                  <w:gridSpan w:val="2"/>
                  <w:tcBorders>
                    <w:tl2br w:val="nil"/>
                    <w:tr2bl w:val="nil"/>
                  </w:tcBorders>
                  <w:noWrap w:val="0"/>
                  <w:vAlign w:val="center"/>
                </w:tcPr>
                <w:p w14:paraId="3C73E8FF">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产生情况</w:t>
                  </w:r>
                </w:p>
              </w:tc>
              <w:tc>
                <w:tcPr>
                  <w:tcW w:w="1422" w:type="dxa"/>
                  <w:vMerge w:val="restart"/>
                  <w:tcBorders>
                    <w:tl2br w:val="nil"/>
                    <w:tr2bl w:val="nil"/>
                  </w:tcBorders>
                  <w:noWrap w:val="0"/>
                  <w:vAlign w:val="center"/>
                </w:tcPr>
                <w:p w14:paraId="3F7C04B6">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治理措施</w:t>
                  </w:r>
                </w:p>
              </w:tc>
              <w:tc>
                <w:tcPr>
                  <w:tcW w:w="2368" w:type="dxa"/>
                  <w:gridSpan w:val="2"/>
                  <w:tcBorders>
                    <w:tl2br w:val="nil"/>
                    <w:tr2bl w:val="nil"/>
                  </w:tcBorders>
                  <w:noWrap w:val="0"/>
                  <w:vAlign w:val="center"/>
                </w:tcPr>
                <w:p w14:paraId="2F2DB6E6">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排放情况</w:t>
                  </w:r>
                </w:p>
              </w:tc>
            </w:tr>
            <w:tr w14:paraId="116D4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64" w:type="dxa"/>
                  <w:vMerge w:val="continue"/>
                  <w:tcBorders>
                    <w:tl2br w:val="nil"/>
                    <w:tr2bl w:val="nil"/>
                  </w:tcBorders>
                  <w:noWrap w:val="0"/>
                  <w:vAlign w:val="center"/>
                </w:tcPr>
                <w:p w14:paraId="28FEF78F">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33" w:type="dxa"/>
                  <w:vMerge w:val="continue"/>
                  <w:tcBorders>
                    <w:tl2br w:val="nil"/>
                    <w:tr2bl w:val="nil"/>
                  </w:tcBorders>
                  <w:noWrap w:val="0"/>
                  <w:vAlign w:val="center"/>
                </w:tcPr>
                <w:p w14:paraId="61B7263B">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0" w:type="dxa"/>
                  <w:tcBorders>
                    <w:tl2br w:val="nil"/>
                    <w:tr2bl w:val="nil"/>
                  </w:tcBorders>
                  <w:noWrap w:val="0"/>
                  <w:vAlign w:val="center"/>
                </w:tcPr>
                <w:p w14:paraId="4233F21B">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产生量（t/a）</w:t>
                  </w:r>
                </w:p>
              </w:tc>
              <w:tc>
                <w:tcPr>
                  <w:tcW w:w="1350" w:type="dxa"/>
                  <w:tcBorders>
                    <w:tl2br w:val="nil"/>
                    <w:tr2bl w:val="nil"/>
                  </w:tcBorders>
                  <w:noWrap w:val="0"/>
                  <w:vAlign w:val="center"/>
                </w:tcPr>
                <w:p w14:paraId="631A6B94">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产生浓度（</w:t>
                  </w:r>
                  <w:r>
                    <w:rPr>
                      <w:rFonts w:hint="default"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/m³）</w:t>
                  </w:r>
                </w:p>
              </w:tc>
              <w:tc>
                <w:tcPr>
                  <w:tcW w:w="1422" w:type="dxa"/>
                  <w:vMerge w:val="continue"/>
                  <w:tcBorders>
                    <w:tl2br w:val="nil"/>
                    <w:tr2bl w:val="nil"/>
                  </w:tcBorders>
                  <w:noWrap w:val="0"/>
                  <w:vAlign w:val="center"/>
                </w:tcPr>
                <w:p w14:paraId="66460CFF">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8" w:type="dxa"/>
                  <w:tcBorders>
                    <w:tl2br w:val="nil"/>
                    <w:tr2bl w:val="nil"/>
                  </w:tcBorders>
                  <w:noWrap w:val="0"/>
                  <w:vAlign w:val="center"/>
                </w:tcPr>
                <w:p w14:paraId="479C6E8A">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排放量（t/a）</w:t>
                  </w:r>
                </w:p>
              </w:tc>
              <w:tc>
                <w:tcPr>
                  <w:tcW w:w="1260" w:type="dxa"/>
                  <w:tcBorders>
                    <w:tl2br w:val="nil"/>
                    <w:tr2bl w:val="nil"/>
                  </w:tcBorders>
                  <w:noWrap w:val="0"/>
                  <w:vAlign w:val="center"/>
                </w:tcPr>
                <w:p w14:paraId="1370BFD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排放浓度（㎎/m³）</w:t>
                  </w:r>
                </w:p>
              </w:tc>
            </w:tr>
            <w:tr w14:paraId="3DEC3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64" w:type="dxa"/>
                  <w:tcBorders>
                    <w:tl2br w:val="nil"/>
                    <w:tr2bl w:val="nil"/>
                  </w:tcBorders>
                  <w:noWrap w:val="0"/>
                  <w:vAlign w:val="center"/>
                </w:tcPr>
                <w:p w14:paraId="6176186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1233" w:type="dxa"/>
                  <w:vMerge w:val="restart"/>
                  <w:tcBorders>
                    <w:tl2br w:val="nil"/>
                    <w:tr2bl w:val="nil"/>
                  </w:tcBorders>
                  <w:noWrap w:val="0"/>
                  <w:vAlign w:val="center"/>
                </w:tcPr>
                <w:p w14:paraId="3B26004A">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558954.9</w:t>
                  </w:r>
                </w:p>
              </w:tc>
              <w:tc>
                <w:tcPr>
                  <w:tcW w:w="1100" w:type="dxa"/>
                  <w:tcBorders>
                    <w:tl2br w:val="nil"/>
                    <w:tr2bl w:val="nil"/>
                  </w:tcBorders>
                  <w:noWrap w:val="0"/>
                  <w:vAlign w:val="center"/>
                </w:tcPr>
                <w:p w14:paraId="6C649DE6">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0.0001</w:t>
                  </w:r>
                </w:p>
              </w:tc>
              <w:tc>
                <w:tcPr>
                  <w:tcW w:w="1350" w:type="dxa"/>
                  <w:tcBorders>
                    <w:tl2br w:val="nil"/>
                    <w:tr2bl w:val="nil"/>
                  </w:tcBorders>
                  <w:noWrap w:val="0"/>
                  <w:vAlign w:val="center"/>
                </w:tcPr>
                <w:p w14:paraId="6FEF4D0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0.179</w:t>
                  </w:r>
                </w:p>
              </w:tc>
              <w:tc>
                <w:tcPr>
                  <w:tcW w:w="1422" w:type="dxa"/>
                  <w:vMerge w:val="restart"/>
                  <w:tcBorders>
                    <w:tl2br w:val="nil"/>
                    <w:tr2bl w:val="nil"/>
                  </w:tcBorders>
                  <w:noWrap w:val="0"/>
                  <w:vAlign w:val="center"/>
                </w:tcPr>
                <w:p w14:paraId="0B40970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rPr>
                    <w:t>低氮燃烧法</w:t>
                  </w:r>
                </w:p>
              </w:tc>
              <w:tc>
                <w:tcPr>
                  <w:tcW w:w="1108" w:type="dxa"/>
                  <w:tcBorders>
                    <w:tl2br w:val="nil"/>
                    <w:tr2bl w:val="nil"/>
                  </w:tcBorders>
                  <w:noWrap w:val="0"/>
                  <w:vAlign w:val="center"/>
                </w:tcPr>
                <w:p w14:paraId="04D28C7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0.0001</w:t>
                  </w:r>
                </w:p>
              </w:tc>
              <w:tc>
                <w:tcPr>
                  <w:tcW w:w="1260" w:type="dxa"/>
                  <w:tcBorders>
                    <w:tl2br w:val="nil"/>
                    <w:tr2bl w:val="nil"/>
                  </w:tcBorders>
                  <w:noWrap w:val="0"/>
                  <w:vAlign w:val="center"/>
                </w:tcPr>
                <w:p w14:paraId="0CD4C1B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0.179</w:t>
                  </w:r>
                </w:p>
              </w:tc>
            </w:tr>
            <w:tr w14:paraId="1BB36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64" w:type="dxa"/>
                  <w:tcBorders>
                    <w:tl2br w:val="nil"/>
                    <w:tr2bl w:val="nil"/>
                  </w:tcBorders>
                  <w:noWrap w:val="0"/>
                  <w:vAlign w:val="center"/>
                </w:tcPr>
                <w:p w14:paraId="02438C54">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黑体" w:cs="Times New Roman"/>
                      <w:bCs/>
                      <w:color w:val="auto"/>
                      <w:sz w:val="21"/>
                      <w:szCs w:val="21"/>
                      <w:lang w:val="en-US" w:eastAsia="zh-CN"/>
                    </w:rPr>
                    <w:t>SO</w:t>
                  </w:r>
                  <w:r>
                    <w:rPr>
                      <w:rFonts w:hint="default" w:ascii="Times New Roman" w:hAnsi="Times New Roman" w:eastAsia="黑体" w:cs="Times New Roman"/>
                      <w:bCs/>
                      <w:color w:val="auto"/>
                      <w:sz w:val="21"/>
                      <w:szCs w:val="21"/>
                      <w:vertAlign w:val="subscript"/>
                      <w:lang w:val="en-US" w:eastAsia="zh-CN"/>
                    </w:rPr>
                    <w:t>2</w:t>
                  </w:r>
                </w:p>
              </w:tc>
              <w:tc>
                <w:tcPr>
                  <w:tcW w:w="1233" w:type="dxa"/>
                  <w:vMerge w:val="continue"/>
                  <w:tcBorders>
                    <w:tl2br w:val="nil"/>
                    <w:tr2bl w:val="nil"/>
                  </w:tcBorders>
                  <w:noWrap w:val="0"/>
                  <w:vAlign w:val="center"/>
                </w:tcPr>
                <w:p w14:paraId="59A2558D">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100" w:type="dxa"/>
                  <w:tcBorders>
                    <w:tl2br w:val="nil"/>
                    <w:tr2bl w:val="nil"/>
                  </w:tcBorders>
                  <w:noWrap w:val="0"/>
                  <w:vAlign w:val="center"/>
                </w:tcPr>
                <w:p w14:paraId="7EE79EDC">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0.0021</w:t>
                  </w:r>
                </w:p>
              </w:tc>
              <w:tc>
                <w:tcPr>
                  <w:tcW w:w="1350" w:type="dxa"/>
                  <w:tcBorders>
                    <w:tl2br w:val="nil"/>
                    <w:tr2bl w:val="nil"/>
                  </w:tcBorders>
                  <w:noWrap w:val="0"/>
                  <w:vAlign w:val="center"/>
                </w:tcPr>
                <w:p w14:paraId="4BF258DD">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3.757</w:t>
                  </w:r>
                </w:p>
              </w:tc>
              <w:tc>
                <w:tcPr>
                  <w:tcW w:w="1422" w:type="dxa"/>
                  <w:vMerge w:val="continue"/>
                  <w:tcBorders>
                    <w:tl2br w:val="nil"/>
                    <w:tr2bl w:val="nil"/>
                  </w:tcBorders>
                  <w:noWrap w:val="0"/>
                  <w:vAlign w:val="center"/>
                </w:tcPr>
                <w:p w14:paraId="6B443E29">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8" w:type="dxa"/>
                  <w:tcBorders>
                    <w:tl2br w:val="nil"/>
                    <w:tr2bl w:val="nil"/>
                  </w:tcBorders>
                  <w:noWrap w:val="0"/>
                  <w:vAlign w:val="center"/>
                </w:tcPr>
                <w:p w14:paraId="37ED1E81">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0.0021</w:t>
                  </w:r>
                </w:p>
              </w:tc>
              <w:tc>
                <w:tcPr>
                  <w:tcW w:w="1260" w:type="dxa"/>
                  <w:tcBorders>
                    <w:tl2br w:val="nil"/>
                    <w:tr2bl w:val="nil"/>
                  </w:tcBorders>
                  <w:noWrap w:val="0"/>
                  <w:vAlign w:val="center"/>
                </w:tcPr>
                <w:p w14:paraId="7DBBE03A">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3.757</w:t>
                  </w:r>
                </w:p>
              </w:tc>
            </w:tr>
            <w:tr w14:paraId="24763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64" w:type="dxa"/>
                  <w:tcBorders>
                    <w:tl2br w:val="nil"/>
                    <w:tr2bl w:val="nil"/>
                  </w:tcBorders>
                  <w:noWrap w:val="0"/>
                  <w:vAlign w:val="center"/>
                </w:tcPr>
                <w:p w14:paraId="2ADD791B">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黑体" w:cs="Times New Roman"/>
                      <w:bCs/>
                      <w:color w:val="auto"/>
                      <w:sz w:val="21"/>
                      <w:szCs w:val="21"/>
                      <w:lang w:val="en-US" w:eastAsia="zh-CN"/>
                    </w:rPr>
                    <w:t>NO</w:t>
                  </w:r>
                  <w:r>
                    <w:rPr>
                      <w:rFonts w:hint="default" w:ascii="Times New Roman" w:hAnsi="Times New Roman" w:eastAsia="黑体" w:cs="Times New Roman"/>
                      <w:bCs/>
                      <w:color w:val="auto"/>
                      <w:sz w:val="21"/>
                      <w:szCs w:val="21"/>
                      <w:vertAlign w:val="subscript"/>
                      <w:lang w:val="en-US" w:eastAsia="zh-CN"/>
                    </w:rPr>
                    <w:t>X</w:t>
                  </w:r>
                </w:p>
              </w:tc>
              <w:tc>
                <w:tcPr>
                  <w:tcW w:w="1233" w:type="dxa"/>
                  <w:vMerge w:val="continue"/>
                  <w:tcBorders>
                    <w:tl2br w:val="nil"/>
                    <w:tr2bl w:val="nil"/>
                  </w:tcBorders>
                  <w:noWrap w:val="0"/>
                  <w:vAlign w:val="center"/>
                </w:tcPr>
                <w:p w14:paraId="01B01E75">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100" w:type="dxa"/>
                  <w:tcBorders>
                    <w:tl2br w:val="nil"/>
                    <w:tr2bl w:val="nil"/>
                  </w:tcBorders>
                  <w:noWrap w:val="0"/>
                  <w:vAlign w:val="center"/>
                </w:tcPr>
                <w:p w14:paraId="6F1102D3">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0.083</w:t>
                  </w:r>
                </w:p>
              </w:tc>
              <w:tc>
                <w:tcPr>
                  <w:tcW w:w="1350" w:type="dxa"/>
                  <w:tcBorders>
                    <w:tl2br w:val="nil"/>
                    <w:tr2bl w:val="nil"/>
                  </w:tcBorders>
                  <w:noWrap w:val="0"/>
                  <w:vAlign w:val="center"/>
                </w:tcPr>
                <w:p w14:paraId="459FADB2">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148.49</w:t>
                  </w:r>
                </w:p>
              </w:tc>
              <w:tc>
                <w:tcPr>
                  <w:tcW w:w="1422" w:type="dxa"/>
                  <w:vMerge w:val="continue"/>
                  <w:tcBorders>
                    <w:tl2br w:val="nil"/>
                    <w:tr2bl w:val="nil"/>
                  </w:tcBorders>
                  <w:noWrap w:val="0"/>
                  <w:vAlign w:val="center"/>
                </w:tcPr>
                <w:p w14:paraId="217AB8E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08" w:type="dxa"/>
                  <w:tcBorders>
                    <w:tl2br w:val="nil"/>
                    <w:tr2bl w:val="nil"/>
                  </w:tcBorders>
                  <w:noWrap w:val="0"/>
                  <w:vAlign w:val="center"/>
                </w:tcPr>
                <w:p w14:paraId="52F11EAD">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0.083</w:t>
                  </w:r>
                </w:p>
              </w:tc>
              <w:tc>
                <w:tcPr>
                  <w:tcW w:w="1260" w:type="dxa"/>
                  <w:tcBorders>
                    <w:tl2br w:val="nil"/>
                    <w:tr2bl w:val="nil"/>
                  </w:tcBorders>
                  <w:noWrap w:val="0"/>
                  <w:vAlign w:val="center"/>
                </w:tcPr>
                <w:p w14:paraId="0CCC3490">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148.49</w:t>
                  </w:r>
                </w:p>
              </w:tc>
            </w:tr>
          </w:tbl>
          <w:p w14:paraId="06FC1C8C">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2.污染物达标排放情况</w:t>
            </w:r>
          </w:p>
          <w:p w14:paraId="62FD4FDB">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本项目废气主要为切割、</w:t>
            </w:r>
            <w:r>
              <w:rPr>
                <w:rFonts w:hint="default" w:ascii="Times New Roman" w:hAnsi="Times New Roman" w:cs="Times New Roman"/>
                <w:b w:val="0"/>
                <w:bCs w:val="0"/>
                <w:color w:val="auto"/>
                <w:sz w:val="24"/>
                <w:lang w:val="en-US" w:eastAsia="zh-CN"/>
              </w:rPr>
              <w:t>焊接、修磨、</w:t>
            </w:r>
            <w:r>
              <w:rPr>
                <w:rFonts w:hint="default" w:ascii="Times New Roman" w:hAnsi="Times New Roman" w:eastAsia="宋体" w:cs="Times New Roman"/>
                <w:b w:val="0"/>
                <w:bCs w:val="0"/>
                <w:color w:val="auto"/>
                <w:sz w:val="24"/>
                <w:lang w:val="en-US" w:eastAsia="zh-CN"/>
              </w:rPr>
              <w:t>抛丸、</w:t>
            </w:r>
            <w:r>
              <w:rPr>
                <w:rFonts w:hint="default" w:ascii="Times New Roman" w:hAnsi="Times New Roman" w:cs="Times New Roman"/>
                <w:b w:val="0"/>
                <w:bCs w:val="0"/>
                <w:color w:val="auto"/>
                <w:sz w:val="24"/>
                <w:lang w:val="en-US" w:eastAsia="zh-CN"/>
              </w:rPr>
              <w:t>喷粉、喷漆</w:t>
            </w:r>
            <w:r>
              <w:rPr>
                <w:rFonts w:hint="default" w:ascii="Times New Roman" w:hAnsi="Times New Roman" w:eastAsia="宋体" w:cs="Times New Roman"/>
                <w:b w:val="0"/>
                <w:bCs w:val="0"/>
                <w:color w:val="auto"/>
                <w:sz w:val="24"/>
                <w:lang w:val="en-US" w:eastAsia="zh-CN"/>
              </w:rPr>
              <w:t>工序产生的颗粒物、固化</w:t>
            </w:r>
            <w:r>
              <w:rPr>
                <w:rFonts w:hint="default" w:ascii="Times New Roman" w:hAnsi="Times New Roman" w:cs="Times New Roman"/>
                <w:b w:val="0"/>
                <w:bCs w:val="0"/>
                <w:color w:val="auto"/>
                <w:sz w:val="24"/>
                <w:lang w:val="en-US" w:eastAsia="zh-CN"/>
              </w:rPr>
              <w:t>、喷漆</w:t>
            </w:r>
            <w:r>
              <w:rPr>
                <w:rFonts w:hint="default" w:ascii="Times New Roman" w:hAnsi="Times New Roman" w:eastAsia="宋体" w:cs="Times New Roman"/>
                <w:b w:val="0"/>
                <w:bCs w:val="0"/>
                <w:color w:val="auto"/>
                <w:sz w:val="24"/>
                <w:lang w:val="en-US" w:eastAsia="zh-CN"/>
              </w:rPr>
              <w:t>工序产生的非甲烷总烃和</w:t>
            </w:r>
            <w:r>
              <w:rPr>
                <w:rFonts w:hint="default" w:ascii="Times New Roman" w:hAnsi="Times New Roman" w:cs="Times New Roman"/>
                <w:b w:val="0"/>
                <w:bCs w:val="0"/>
                <w:color w:val="auto"/>
                <w:sz w:val="24"/>
                <w:lang w:val="en-US" w:eastAsia="zh-CN"/>
              </w:rPr>
              <w:t>液化天然气（LNG）</w:t>
            </w:r>
            <w:r>
              <w:rPr>
                <w:rFonts w:hint="default" w:ascii="Times New Roman" w:hAnsi="Times New Roman" w:eastAsia="宋体" w:cs="Times New Roman"/>
                <w:b w:val="0"/>
                <w:bCs w:val="0"/>
                <w:color w:val="auto"/>
                <w:sz w:val="24"/>
                <w:lang w:val="en-US" w:eastAsia="zh-CN"/>
              </w:rPr>
              <w:t>燃烧产生的颗粒物、二氧化硫、氮氧化物。</w:t>
            </w:r>
          </w:p>
          <w:p w14:paraId="5F999D25">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lang w:val="en-US" w:eastAsia="zh-CN"/>
              </w:rPr>
              <w:t>项目抛丸工序</w:t>
            </w:r>
            <w:r>
              <w:rPr>
                <w:rFonts w:hint="default" w:ascii="Times New Roman" w:hAnsi="Times New Roman" w:eastAsia="宋体" w:cs="Times New Roman"/>
                <w:color w:val="auto"/>
                <w:sz w:val="24"/>
                <w:lang w:val="en-US" w:eastAsia="zh-CN"/>
              </w:rPr>
              <w:t>在抛丸机设备内部进行，产生的粉尘分别由引风机直接收集至设备自带布袋除尘设施中进行预处理后进入滤筒除尘器，与焊接</w:t>
            </w:r>
            <w:r>
              <w:rPr>
                <w:rFonts w:hint="default" w:ascii="Times New Roman" w:hAnsi="Times New Roman" w:cs="Times New Roman"/>
                <w:color w:val="auto"/>
                <w:sz w:val="24"/>
                <w:lang w:val="en-US" w:eastAsia="zh-CN"/>
              </w:rPr>
              <w:t>、修磨</w:t>
            </w:r>
            <w:r>
              <w:rPr>
                <w:rFonts w:hint="default" w:ascii="Times New Roman" w:hAnsi="Times New Roman" w:eastAsia="宋体" w:cs="Times New Roman"/>
                <w:color w:val="auto"/>
                <w:sz w:val="24"/>
                <w:lang w:val="en-US" w:eastAsia="zh-CN"/>
              </w:rPr>
              <w:t>和切割工序产生的废气统一进行处理后通过15米排气筒（DA001）</w:t>
            </w:r>
            <w:r>
              <w:rPr>
                <w:rFonts w:hint="default" w:ascii="Times New Roman" w:hAnsi="Times New Roman" w:cs="Times New Roman"/>
                <w:color w:val="auto"/>
                <w:sz w:val="24"/>
                <w:lang w:val="en-US" w:eastAsia="zh-CN"/>
              </w:rPr>
              <w:t>排放</w:t>
            </w: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lang w:val="en-US" w:eastAsia="zh-CN"/>
              </w:rPr>
              <w:t>喷塑（两间静电喷涂室及自动喷涂室）产生颗粒物经风机引至滤筒除尘器（TA004）处理，最终经15m排气筒（DA002）排放。</w:t>
            </w:r>
            <w:r>
              <w:rPr>
                <w:rFonts w:hint="default" w:ascii="Times New Roman" w:hAnsi="Times New Roman" w:eastAsia="宋体" w:cs="Times New Roman"/>
                <w:color w:val="auto"/>
                <w:sz w:val="24"/>
                <w:lang w:val="en-US" w:eastAsia="zh-CN"/>
              </w:rPr>
              <w:t>喷漆房废气为密闭负压式收集，</w:t>
            </w:r>
            <w:r>
              <w:rPr>
                <w:rFonts w:hint="default" w:ascii="Times New Roman" w:hAnsi="Times New Roman" w:cs="Times New Roman"/>
                <w:color w:val="auto"/>
                <w:sz w:val="24"/>
                <w:lang w:val="en-US" w:eastAsia="zh-CN"/>
              </w:rPr>
              <w:t>漆雾</w:t>
            </w:r>
            <w:r>
              <w:rPr>
                <w:rFonts w:hint="default" w:ascii="Times New Roman" w:hAnsi="Times New Roman" w:eastAsia="宋体" w:cs="Times New Roman"/>
                <w:color w:val="auto"/>
                <w:sz w:val="24"/>
                <w:lang w:val="en-US" w:eastAsia="zh-CN"/>
              </w:rPr>
              <w:t>采用“干式纸盒+过滤棉”对漆雾，进行处理后通过15米排气筒（DA00</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lang w:val="en-US" w:eastAsia="zh-CN"/>
              </w:rPr>
              <w:t>排放</w:t>
            </w:r>
            <w:r>
              <w:rPr>
                <w:rFonts w:hint="default" w:ascii="Times New Roman" w:hAnsi="Times New Roman" w:eastAsia="宋体" w:cs="Times New Roman"/>
                <w:color w:val="auto"/>
                <w:sz w:val="24"/>
                <w:lang w:val="en-US" w:eastAsia="zh-CN"/>
              </w:rPr>
              <w:t>。经前文核算，颗粒物有组织排放速率</w:t>
            </w:r>
            <w:r>
              <w:rPr>
                <w:rFonts w:hint="default" w:ascii="Times New Roman" w:hAnsi="Times New Roman" w:cs="Times New Roman"/>
                <w:color w:val="auto"/>
                <w:sz w:val="24"/>
                <w:lang w:val="en-US" w:eastAsia="zh-CN"/>
              </w:rPr>
              <w:t>及</w:t>
            </w:r>
            <w:r>
              <w:rPr>
                <w:rFonts w:hint="default" w:ascii="Times New Roman" w:hAnsi="Times New Roman" w:eastAsia="宋体" w:cs="Times New Roman"/>
                <w:color w:val="auto"/>
                <w:sz w:val="24"/>
                <w:lang w:val="en-US" w:eastAsia="zh-CN"/>
              </w:rPr>
              <w:t>排放浓度可满足《大气污染物综合排放标准》（GB16297-1996）表2中有组织排放标准限值。</w:t>
            </w:r>
          </w:p>
          <w:p w14:paraId="34DF8F54">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固化工序</w:t>
            </w:r>
            <w:r>
              <w:rPr>
                <w:rFonts w:hint="default" w:ascii="Times New Roman" w:hAnsi="Times New Roman" w:cs="Times New Roman"/>
                <w:color w:val="auto"/>
                <w:sz w:val="24"/>
                <w:lang w:val="en-US" w:eastAsia="zh-CN"/>
              </w:rPr>
              <w:t>、喷漆工序</w:t>
            </w:r>
            <w:r>
              <w:rPr>
                <w:rFonts w:hint="default" w:ascii="Times New Roman" w:hAnsi="Times New Roman" w:eastAsia="宋体" w:cs="Times New Roman"/>
                <w:color w:val="auto"/>
                <w:sz w:val="24"/>
                <w:lang w:val="en-US" w:eastAsia="zh-CN"/>
              </w:rPr>
              <w:t>产生的非甲烷总烃经收集后通过二级活性炭吸附处理，由1根15米排气筒（DA00</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lang w:val="en-US" w:eastAsia="zh-CN"/>
              </w:rPr>
              <w:t>排放</w:t>
            </w:r>
            <w:r>
              <w:rPr>
                <w:rFonts w:hint="default" w:ascii="Times New Roman" w:hAnsi="Times New Roman" w:eastAsia="宋体" w:cs="Times New Roman"/>
                <w:color w:val="auto"/>
                <w:sz w:val="24"/>
                <w:lang w:val="en-US" w:eastAsia="zh-CN"/>
              </w:rPr>
              <w:t>。经前文核算，非甲烷总烃有组织排放浓度可满足《重污染天气重点行业应急减排措施制定技术指南》（环办大气函</w:t>
            </w:r>
            <w:r>
              <w:rPr>
                <w:rFonts w:hint="eastAsia" w:ascii="Times New Roman" w:hAnsi="Times New Roman" w:cs="Times New Roman"/>
                <w:bCs/>
                <w:color w:val="auto"/>
                <w:spacing w:val="-10"/>
                <w:sz w:val="24"/>
                <w:highlight w:val="none"/>
                <w:lang w:val="en-US" w:eastAsia="zh-CN"/>
              </w:rPr>
              <w:t>〔202</w:t>
            </w:r>
            <w:r>
              <w:rPr>
                <w:rFonts w:hint="eastAsia" w:cs="Times New Roman"/>
                <w:bCs/>
                <w:color w:val="auto"/>
                <w:spacing w:val="-10"/>
                <w:sz w:val="24"/>
                <w:highlight w:val="none"/>
                <w:lang w:val="en-US" w:eastAsia="zh-CN"/>
              </w:rPr>
              <w:t>0</w:t>
            </w:r>
            <w:r>
              <w:rPr>
                <w:rFonts w:hint="eastAsia" w:ascii="Times New Roman" w:hAnsi="Times New Roman" w:cs="Times New Roman"/>
                <w:bCs/>
                <w:color w:val="auto"/>
                <w:spacing w:val="-10"/>
                <w:sz w:val="24"/>
                <w:highlight w:val="none"/>
                <w:lang w:val="en-US" w:eastAsia="zh-CN"/>
              </w:rPr>
              <w:t>〕</w:t>
            </w:r>
            <w:r>
              <w:rPr>
                <w:rFonts w:hint="default" w:ascii="Times New Roman" w:hAnsi="Times New Roman" w:eastAsia="宋体" w:cs="Times New Roman"/>
                <w:color w:val="auto"/>
                <w:sz w:val="24"/>
                <w:lang w:val="en-US" w:eastAsia="zh-CN"/>
              </w:rPr>
              <w:t>340号）A级排放限值、《挥发性有机物排放控制标准》（DB61/T1061-2017）表1中表面涂装行业最高允许排放浓度。</w:t>
            </w:r>
          </w:p>
          <w:p w14:paraId="5AE1DE05">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液化天然气（LNG）</w:t>
            </w:r>
            <w:r>
              <w:rPr>
                <w:rFonts w:hint="default" w:ascii="Times New Roman" w:hAnsi="Times New Roman" w:eastAsia="宋体" w:cs="Times New Roman"/>
                <w:color w:val="auto"/>
                <w:sz w:val="24"/>
                <w:lang w:val="en-US" w:eastAsia="zh-CN"/>
              </w:rPr>
              <w:t>燃烧废气经低氮燃烧处理后由1根15米排气筒（DA00</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lang w:val="en-US" w:eastAsia="zh-CN"/>
              </w:rPr>
              <w:t>）</w:t>
            </w:r>
            <w:r>
              <w:rPr>
                <w:rFonts w:hint="default" w:ascii="Times New Roman" w:hAnsi="Times New Roman" w:cs="Times New Roman"/>
                <w:color w:val="auto"/>
                <w:sz w:val="24"/>
                <w:lang w:val="en-US" w:eastAsia="zh-CN"/>
              </w:rPr>
              <w:t>排放</w:t>
            </w:r>
            <w:r>
              <w:rPr>
                <w:rFonts w:hint="default" w:ascii="Times New Roman" w:hAnsi="Times New Roman" w:eastAsia="宋体" w:cs="Times New Roman"/>
                <w:color w:val="auto"/>
                <w:sz w:val="24"/>
                <w:lang w:val="en-US" w:eastAsia="zh-CN"/>
              </w:rPr>
              <w:t>。经前文核算，颗粒物、二氧化硫、氮氧化物排放浓度满足《锅炉大气污染物排放标准》（DB61/1226-2018）中表3标相应管控要求</w:t>
            </w:r>
            <w:r>
              <w:rPr>
                <w:rFonts w:hint="default" w:ascii="Times New Roman" w:hAnsi="Times New Roman" w:cs="Times New Roman"/>
                <w:color w:val="auto"/>
                <w:sz w:val="24"/>
                <w:lang w:val="en-US" w:eastAsia="zh-CN"/>
              </w:rPr>
              <w:t>。</w:t>
            </w:r>
          </w:p>
          <w:p w14:paraId="7935326D">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本项目无组织废气主要为切割、焊接和</w:t>
            </w:r>
            <w:r>
              <w:rPr>
                <w:rFonts w:hint="default" w:ascii="Times New Roman" w:hAnsi="Times New Roman" w:cs="Times New Roman"/>
                <w:color w:val="auto"/>
                <w:sz w:val="24"/>
                <w:lang w:val="en-US" w:eastAsia="zh-CN"/>
              </w:rPr>
              <w:t>喷粉</w:t>
            </w:r>
            <w:r>
              <w:rPr>
                <w:rFonts w:hint="default" w:ascii="Times New Roman" w:hAnsi="Times New Roman" w:eastAsia="宋体" w:cs="Times New Roman"/>
                <w:color w:val="auto"/>
                <w:sz w:val="24"/>
                <w:lang w:val="en-US" w:eastAsia="zh-CN"/>
              </w:rPr>
              <w:t>工序未收集部分，本项目废气未收集部分无组织排放。本项目设置密闭厂房，硬化厂区道路和作业场地等</w:t>
            </w:r>
            <w:r>
              <w:rPr>
                <w:rFonts w:hint="eastAsia" w:ascii="Times New Roman" w:hAnsi="Times New Roman" w:cs="Times New Roman"/>
                <w:color w:val="auto"/>
                <w:sz w:val="24"/>
                <w:lang w:val="en-US" w:eastAsia="zh-CN"/>
              </w:rPr>
              <w:t>措施</w:t>
            </w:r>
            <w:r>
              <w:rPr>
                <w:rFonts w:hint="default" w:ascii="Times New Roman" w:hAnsi="Times New Roman" w:eastAsia="宋体" w:cs="Times New Roman"/>
                <w:color w:val="auto"/>
                <w:sz w:val="24"/>
                <w:lang w:val="en-US" w:eastAsia="zh-CN"/>
              </w:rPr>
              <w:t>有效降低本项目无组织废气的排放量。由于金属颗粒物质量较重，有车间厂房阻拦，颗粒物散落范围很小，多在5m以内，飘逸至车间外环境的金属颗粒物极少，根据对《大气污染物综合排放标准》（GB16297-1996）复核调研和国家环保总局《大气污染物排放达标技术指南》课题调查资料表明，调研的国内6个机加工企业，各种设备周围5m处，金属颗粒物浓度在0.3mg/m³～0.95mg/m³，平均浓度为0.61mg/</w:t>
            </w:r>
            <w:r>
              <w:rPr>
                <w:rFonts w:hint="default" w:ascii="Times New Roman" w:hAnsi="Times New Roman" w:cs="Times New Roman"/>
                <w:color w:val="auto"/>
                <w:sz w:val="24"/>
                <w:lang w:val="en-US" w:eastAsia="zh-CN"/>
              </w:rPr>
              <w:t>m³</w:t>
            </w:r>
            <w:r>
              <w:rPr>
                <w:rFonts w:hint="default" w:ascii="Times New Roman" w:hAnsi="Times New Roman" w:eastAsia="宋体" w:cs="Times New Roman"/>
                <w:color w:val="auto"/>
                <w:sz w:val="24"/>
                <w:lang w:val="en-US" w:eastAsia="zh-CN"/>
              </w:rPr>
              <w:t>，颗粒物通过车间通风，并经车间厂房阻拦后，厂界颗粒物无组织排放监控点达标，排放浓度＜1.0mg/m³标准限值。对周围空气环境质量产生影响很小。满足《大气污染物综合排放标准》（GB16297-1996）表2中无组织排放限值要求。</w:t>
            </w:r>
          </w:p>
          <w:p w14:paraId="2C5F1D2F">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bCs/>
                <w:color w:val="auto"/>
                <w:kern w:val="2"/>
                <w:sz w:val="24"/>
                <w:szCs w:val="24"/>
                <w:lang w:val="en-US" w:eastAsia="zh-CN" w:bidi="ar-SA"/>
              </w:rPr>
              <w:t>3.废气治理设施可行性分析</w:t>
            </w:r>
          </w:p>
          <w:p w14:paraId="460A345E">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参照《排污许可证申请与核发技术规范 通用设备、专用设备、仪器仪表及其他制造业》（DB61/T 1356-2020）中“表A.3排污单位废气污染防治可行技术”以及《排放源统计调查产排污核算方法和系数手册》中33-37,431-434机械行业中14涂装的产排污系数表与本项目各废气处理技术对比，均属于可行技术，具体如下表所示：</w:t>
            </w:r>
          </w:p>
          <w:p w14:paraId="2297CB58">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表4-4  推荐可行技术与本项目废气治理措施对比一览表</w:t>
            </w:r>
          </w:p>
          <w:tbl>
            <w:tblPr>
              <w:tblStyle w:val="3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752"/>
              <w:gridCol w:w="1323"/>
              <w:gridCol w:w="1606"/>
              <w:gridCol w:w="1784"/>
              <w:gridCol w:w="889"/>
            </w:tblGrid>
            <w:tr w14:paraId="6C50D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30" w:type="pct"/>
                  <w:gridSpan w:val="4"/>
                  <w:tcBorders>
                    <w:tl2br w:val="nil"/>
                    <w:tr2bl w:val="nil"/>
                  </w:tcBorders>
                  <w:noWrap w:val="0"/>
                  <w:vAlign w:val="center"/>
                </w:tcPr>
                <w:p w14:paraId="3EBE3E6A">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表A.3 排污单位废气污染防治可行技术</w:t>
                  </w:r>
                </w:p>
              </w:tc>
              <w:tc>
                <w:tcPr>
                  <w:tcW w:w="1569" w:type="pct"/>
                  <w:gridSpan w:val="2"/>
                  <w:tcBorders>
                    <w:tl2br w:val="nil"/>
                    <w:tr2bl w:val="nil"/>
                  </w:tcBorders>
                  <w:noWrap w:val="0"/>
                  <w:vAlign w:val="center"/>
                </w:tcPr>
                <w:p w14:paraId="7969FB3D">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本项目</w:t>
                  </w:r>
                </w:p>
              </w:tc>
            </w:tr>
            <w:tr w14:paraId="0FCF3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tcBorders>
                    <w:tl2br w:val="nil"/>
                    <w:tr2bl w:val="nil"/>
                  </w:tcBorders>
                  <w:noWrap w:val="0"/>
                  <w:vAlign w:val="center"/>
                </w:tcPr>
                <w:p w14:paraId="395DDE75">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生产单元</w:t>
                  </w:r>
                </w:p>
              </w:tc>
              <w:tc>
                <w:tcPr>
                  <w:tcW w:w="1028" w:type="pct"/>
                  <w:tcBorders>
                    <w:tl2br w:val="nil"/>
                    <w:tr2bl w:val="nil"/>
                  </w:tcBorders>
                  <w:noWrap w:val="0"/>
                  <w:vAlign w:val="center"/>
                </w:tcPr>
                <w:p w14:paraId="29CFB139">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主要生产设施名称</w:t>
                  </w:r>
                </w:p>
              </w:tc>
              <w:tc>
                <w:tcPr>
                  <w:tcW w:w="776" w:type="pct"/>
                  <w:tcBorders>
                    <w:tl2br w:val="nil"/>
                    <w:tr2bl w:val="nil"/>
                  </w:tcBorders>
                  <w:noWrap w:val="0"/>
                  <w:vAlign w:val="center"/>
                </w:tcPr>
                <w:p w14:paraId="7A76D42E">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大气污染物</w:t>
                  </w:r>
                </w:p>
              </w:tc>
              <w:tc>
                <w:tcPr>
                  <w:tcW w:w="943" w:type="pct"/>
                  <w:tcBorders>
                    <w:tl2br w:val="nil"/>
                    <w:tr2bl w:val="nil"/>
                  </w:tcBorders>
                  <w:noWrap w:val="0"/>
                  <w:vAlign w:val="center"/>
                </w:tcPr>
                <w:p w14:paraId="6A594567">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推荐可行技术</w:t>
                  </w:r>
                </w:p>
              </w:tc>
              <w:tc>
                <w:tcPr>
                  <w:tcW w:w="1047" w:type="pct"/>
                  <w:tcBorders>
                    <w:tl2br w:val="nil"/>
                    <w:tr2bl w:val="nil"/>
                  </w:tcBorders>
                  <w:noWrap w:val="0"/>
                  <w:vAlign w:val="center"/>
                </w:tcPr>
                <w:p w14:paraId="2DB60F5B">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本项目治理措施</w:t>
                  </w:r>
                </w:p>
              </w:tc>
              <w:tc>
                <w:tcPr>
                  <w:tcW w:w="521" w:type="pct"/>
                  <w:tcBorders>
                    <w:tl2br w:val="nil"/>
                    <w:tr2bl w:val="nil"/>
                  </w:tcBorders>
                  <w:noWrap w:val="0"/>
                  <w:vAlign w:val="center"/>
                </w:tcPr>
                <w:p w14:paraId="48EAB00B">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可行性</w:t>
                  </w:r>
                </w:p>
              </w:tc>
            </w:tr>
            <w:tr w14:paraId="51369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tcBorders>
                    <w:tl2br w:val="nil"/>
                    <w:tr2bl w:val="nil"/>
                  </w:tcBorders>
                  <w:noWrap w:val="0"/>
                  <w:vAlign w:val="center"/>
                </w:tcPr>
                <w:p w14:paraId="65BC23C7">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下料</w:t>
                  </w:r>
                </w:p>
              </w:tc>
              <w:tc>
                <w:tcPr>
                  <w:tcW w:w="1028" w:type="pct"/>
                  <w:tcBorders>
                    <w:tl2br w:val="nil"/>
                    <w:tr2bl w:val="nil"/>
                  </w:tcBorders>
                  <w:noWrap w:val="0"/>
                  <w:vAlign w:val="center"/>
                </w:tcPr>
                <w:p w14:paraId="0F6A13C2">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各种切割设备</w:t>
                  </w:r>
                </w:p>
              </w:tc>
              <w:tc>
                <w:tcPr>
                  <w:tcW w:w="776" w:type="pct"/>
                  <w:tcBorders>
                    <w:tl2br w:val="nil"/>
                    <w:tr2bl w:val="nil"/>
                  </w:tcBorders>
                  <w:noWrap w:val="0"/>
                  <w:vAlign w:val="center"/>
                </w:tcPr>
                <w:p w14:paraId="77762A61">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w:t>
                  </w:r>
                </w:p>
              </w:tc>
              <w:tc>
                <w:tcPr>
                  <w:tcW w:w="943" w:type="pct"/>
                  <w:tcBorders>
                    <w:tl2br w:val="nil"/>
                    <w:tr2bl w:val="nil"/>
                  </w:tcBorders>
                  <w:noWrap w:val="0"/>
                  <w:vAlign w:val="center"/>
                </w:tcPr>
                <w:p w14:paraId="6B5101EB">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袋式除尘、滤筒/滤芯过滤</w:t>
                  </w:r>
                </w:p>
              </w:tc>
              <w:tc>
                <w:tcPr>
                  <w:tcW w:w="1047" w:type="pct"/>
                  <w:tcBorders>
                    <w:tl2br w:val="nil"/>
                    <w:tr2bl w:val="nil"/>
                  </w:tcBorders>
                  <w:noWrap w:val="0"/>
                  <w:vAlign w:val="center"/>
                </w:tcPr>
                <w:p w14:paraId="16E9E6C9">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滤筒除尘器</w:t>
                  </w:r>
                </w:p>
              </w:tc>
              <w:tc>
                <w:tcPr>
                  <w:tcW w:w="521" w:type="pct"/>
                  <w:tcBorders>
                    <w:tl2br w:val="nil"/>
                    <w:tr2bl w:val="nil"/>
                  </w:tcBorders>
                  <w:noWrap w:val="0"/>
                  <w:vAlign w:val="center"/>
                </w:tcPr>
                <w:p w14:paraId="5B136919">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r w14:paraId="1944E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tcBorders>
                    <w:tl2br w:val="nil"/>
                    <w:tr2bl w:val="nil"/>
                  </w:tcBorders>
                  <w:noWrap w:val="0"/>
                  <w:vAlign w:val="center"/>
                </w:tcPr>
                <w:p w14:paraId="53290487">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焊接</w:t>
                  </w:r>
                </w:p>
              </w:tc>
              <w:tc>
                <w:tcPr>
                  <w:tcW w:w="1028" w:type="pct"/>
                  <w:tcBorders>
                    <w:tl2br w:val="nil"/>
                    <w:tr2bl w:val="nil"/>
                  </w:tcBorders>
                  <w:noWrap w:val="0"/>
                  <w:vAlign w:val="center"/>
                </w:tcPr>
                <w:p w14:paraId="53466F8F">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氩弧焊机、手工电弧焊机、二氧化碳保护焊机、等离子焊机、激光焊机、钎焊机等</w:t>
                  </w:r>
                </w:p>
              </w:tc>
              <w:tc>
                <w:tcPr>
                  <w:tcW w:w="776" w:type="pct"/>
                  <w:tcBorders>
                    <w:tl2br w:val="nil"/>
                    <w:tr2bl w:val="nil"/>
                  </w:tcBorders>
                  <w:noWrap w:val="0"/>
                  <w:vAlign w:val="center"/>
                </w:tcPr>
                <w:p w14:paraId="775DCB1B">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w:t>
                  </w:r>
                </w:p>
              </w:tc>
              <w:tc>
                <w:tcPr>
                  <w:tcW w:w="943" w:type="pct"/>
                  <w:tcBorders>
                    <w:tl2br w:val="nil"/>
                    <w:tr2bl w:val="nil"/>
                  </w:tcBorders>
                  <w:noWrap w:val="0"/>
                  <w:vAlign w:val="center"/>
                </w:tcPr>
                <w:p w14:paraId="4B8745F0">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袋式除尘、滤筒/滤芯过滤</w:t>
                  </w:r>
                </w:p>
              </w:tc>
              <w:tc>
                <w:tcPr>
                  <w:tcW w:w="1047" w:type="pct"/>
                  <w:tcBorders>
                    <w:tl2br w:val="nil"/>
                    <w:tr2bl w:val="nil"/>
                  </w:tcBorders>
                  <w:noWrap w:val="0"/>
                  <w:vAlign w:val="center"/>
                </w:tcPr>
                <w:p w14:paraId="50029C37">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滤筒除尘器</w:t>
                  </w:r>
                </w:p>
              </w:tc>
              <w:tc>
                <w:tcPr>
                  <w:tcW w:w="521" w:type="pct"/>
                  <w:tcBorders>
                    <w:tl2br w:val="nil"/>
                    <w:tr2bl w:val="nil"/>
                  </w:tcBorders>
                  <w:noWrap w:val="0"/>
                  <w:vAlign w:val="center"/>
                </w:tcPr>
                <w:p w14:paraId="249036C6">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r w14:paraId="264D6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tcBorders>
                    <w:tl2br w:val="nil"/>
                    <w:tr2bl w:val="nil"/>
                  </w:tcBorders>
                  <w:noWrap w:val="0"/>
                  <w:vAlign w:val="center"/>
                </w:tcPr>
                <w:p w14:paraId="3E3F1A97">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预处理</w:t>
                  </w:r>
                </w:p>
              </w:tc>
              <w:tc>
                <w:tcPr>
                  <w:tcW w:w="1028" w:type="pct"/>
                  <w:tcBorders>
                    <w:tl2br w:val="nil"/>
                    <w:tr2bl w:val="nil"/>
                  </w:tcBorders>
                  <w:noWrap w:val="0"/>
                  <w:vAlign w:val="center"/>
                </w:tcPr>
                <w:p w14:paraId="72795C54">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抛丸、打磨、喷砂</w:t>
                  </w:r>
                </w:p>
              </w:tc>
              <w:tc>
                <w:tcPr>
                  <w:tcW w:w="776" w:type="pct"/>
                  <w:tcBorders>
                    <w:tl2br w:val="nil"/>
                    <w:tr2bl w:val="nil"/>
                  </w:tcBorders>
                  <w:noWrap w:val="0"/>
                  <w:vAlign w:val="center"/>
                </w:tcPr>
                <w:p w14:paraId="7DCAA024">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w:t>
                  </w:r>
                </w:p>
              </w:tc>
              <w:tc>
                <w:tcPr>
                  <w:tcW w:w="943" w:type="pct"/>
                  <w:tcBorders>
                    <w:tl2br w:val="nil"/>
                    <w:tr2bl w:val="nil"/>
                  </w:tcBorders>
                  <w:noWrap w:val="0"/>
                  <w:vAlign w:val="center"/>
                </w:tcPr>
                <w:p w14:paraId="3EE75C77">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袋式除尘、湿式除尘</w:t>
                  </w:r>
                </w:p>
              </w:tc>
              <w:tc>
                <w:tcPr>
                  <w:tcW w:w="1047" w:type="pct"/>
                  <w:tcBorders>
                    <w:tl2br w:val="nil"/>
                    <w:tr2bl w:val="nil"/>
                  </w:tcBorders>
                  <w:noWrap w:val="0"/>
                  <w:vAlign w:val="center"/>
                </w:tcPr>
                <w:p w14:paraId="01A6C73A">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袋式除尘+滤筒除尘器</w:t>
                  </w:r>
                </w:p>
              </w:tc>
              <w:tc>
                <w:tcPr>
                  <w:tcW w:w="521" w:type="pct"/>
                  <w:tcBorders>
                    <w:tl2br w:val="nil"/>
                    <w:tr2bl w:val="nil"/>
                  </w:tcBorders>
                  <w:noWrap w:val="0"/>
                  <w:vAlign w:val="center"/>
                </w:tcPr>
                <w:p w14:paraId="5D11F7C0">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r w14:paraId="351ACB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vMerge w:val="restart"/>
                  <w:tcBorders>
                    <w:tl2br w:val="nil"/>
                    <w:tr2bl w:val="nil"/>
                  </w:tcBorders>
                  <w:noWrap w:val="0"/>
                  <w:vAlign w:val="center"/>
                </w:tcPr>
                <w:p w14:paraId="02FD9600">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涂装</w:t>
                  </w:r>
                </w:p>
              </w:tc>
              <w:tc>
                <w:tcPr>
                  <w:tcW w:w="1028" w:type="pct"/>
                  <w:tcBorders>
                    <w:tl2br w:val="nil"/>
                    <w:tr2bl w:val="nil"/>
                  </w:tcBorders>
                  <w:noWrap w:val="0"/>
                  <w:vAlign w:val="center"/>
                </w:tcPr>
                <w:p w14:paraId="2F094AB2">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粉末喷涂室</w:t>
                  </w:r>
                </w:p>
              </w:tc>
              <w:tc>
                <w:tcPr>
                  <w:tcW w:w="776" w:type="pct"/>
                  <w:tcBorders>
                    <w:tl2br w:val="nil"/>
                    <w:tr2bl w:val="nil"/>
                  </w:tcBorders>
                  <w:noWrap w:val="0"/>
                  <w:vAlign w:val="center"/>
                </w:tcPr>
                <w:p w14:paraId="059A7088">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w:t>
                  </w:r>
                </w:p>
              </w:tc>
              <w:tc>
                <w:tcPr>
                  <w:tcW w:w="943" w:type="pct"/>
                  <w:tcBorders>
                    <w:tl2br w:val="nil"/>
                    <w:tr2bl w:val="nil"/>
                  </w:tcBorders>
                  <w:noWrap w:val="0"/>
                  <w:vAlign w:val="center"/>
                </w:tcPr>
                <w:p w14:paraId="20E86459">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袋式除尘、滤筒/滤芯过滤/旋风/多管旋风</w:t>
                  </w:r>
                </w:p>
              </w:tc>
              <w:tc>
                <w:tcPr>
                  <w:tcW w:w="1047" w:type="pct"/>
                  <w:tcBorders>
                    <w:tl2br w:val="nil"/>
                    <w:tr2bl w:val="nil"/>
                  </w:tcBorders>
                  <w:noWrap w:val="0"/>
                  <w:vAlign w:val="center"/>
                </w:tcPr>
                <w:p w14:paraId="65BCC5DD">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滤筒除尘器</w:t>
                  </w:r>
                </w:p>
              </w:tc>
              <w:tc>
                <w:tcPr>
                  <w:tcW w:w="521" w:type="pct"/>
                  <w:tcBorders>
                    <w:tl2br w:val="nil"/>
                    <w:tr2bl w:val="nil"/>
                  </w:tcBorders>
                  <w:noWrap w:val="0"/>
                  <w:vAlign w:val="center"/>
                </w:tcPr>
                <w:p w14:paraId="7CB6975D">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r w14:paraId="2C5EA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vMerge w:val="continue"/>
                  <w:tcBorders>
                    <w:tl2br w:val="nil"/>
                    <w:tr2bl w:val="nil"/>
                  </w:tcBorders>
                  <w:noWrap w:val="0"/>
                  <w:vAlign w:val="center"/>
                </w:tcPr>
                <w:p w14:paraId="44C17C98">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028" w:type="pct"/>
                  <w:tcBorders>
                    <w:tl2br w:val="nil"/>
                    <w:tr2bl w:val="nil"/>
                  </w:tcBorders>
                  <w:noWrap w:val="0"/>
                  <w:vAlign w:val="center"/>
                </w:tcPr>
                <w:p w14:paraId="2355D365">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喷粉后烘干</w:t>
                  </w:r>
                </w:p>
              </w:tc>
              <w:tc>
                <w:tcPr>
                  <w:tcW w:w="776" w:type="pct"/>
                  <w:tcBorders>
                    <w:tl2br w:val="nil"/>
                    <w:tr2bl w:val="nil"/>
                  </w:tcBorders>
                  <w:noWrap w:val="0"/>
                  <w:vAlign w:val="center"/>
                </w:tcPr>
                <w:p w14:paraId="7214D93B">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挥发性有机物</w:t>
                  </w:r>
                </w:p>
              </w:tc>
              <w:tc>
                <w:tcPr>
                  <w:tcW w:w="943" w:type="pct"/>
                  <w:tcBorders>
                    <w:tl2br w:val="nil"/>
                    <w:tr2bl w:val="nil"/>
                  </w:tcBorders>
                  <w:noWrap w:val="0"/>
                  <w:vAlign w:val="center"/>
                </w:tcPr>
                <w:p w14:paraId="232606FE">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吸附/浓缩+热力燃烧/催化燃烧、热力焚烧/催化焚烧、吸附/热力燃烧法</w:t>
                  </w:r>
                </w:p>
              </w:tc>
              <w:tc>
                <w:tcPr>
                  <w:tcW w:w="1047" w:type="pct"/>
                  <w:tcBorders>
                    <w:tl2br w:val="nil"/>
                    <w:tr2bl w:val="nil"/>
                  </w:tcBorders>
                  <w:noWrap w:val="0"/>
                  <w:vAlign w:val="center"/>
                </w:tcPr>
                <w:p w14:paraId="3462869A">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二级活性炭吸附</w:t>
                  </w:r>
                </w:p>
              </w:tc>
              <w:tc>
                <w:tcPr>
                  <w:tcW w:w="521" w:type="pct"/>
                  <w:tcBorders>
                    <w:tl2br w:val="nil"/>
                    <w:tr2bl w:val="nil"/>
                  </w:tcBorders>
                  <w:noWrap w:val="0"/>
                  <w:vAlign w:val="center"/>
                </w:tcPr>
                <w:p w14:paraId="275096DA">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r w14:paraId="2246C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vMerge w:val="continue"/>
                  <w:tcBorders>
                    <w:tl2br w:val="nil"/>
                    <w:tr2bl w:val="nil"/>
                  </w:tcBorders>
                  <w:noWrap w:val="0"/>
                  <w:vAlign w:val="center"/>
                </w:tcPr>
                <w:p w14:paraId="2D3E05DC">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028" w:type="pct"/>
                  <w:vMerge w:val="restart"/>
                  <w:tcBorders>
                    <w:tl2br w:val="nil"/>
                    <w:tr2bl w:val="nil"/>
                  </w:tcBorders>
                  <w:noWrap w:val="0"/>
                  <w:vAlign w:val="center"/>
                </w:tcPr>
                <w:p w14:paraId="20D9D075">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喷漆房</w:t>
                  </w:r>
                </w:p>
              </w:tc>
              <w:tc>
                <w:tcPr>
                  <w:tcW w:w="1301" w:type="dxa"/>
                  <w:tcBorders>
                    <w:tl2br w:val="nil"/>
                    <w:tr2bl w:val="nil"/>
                  </w:tcBorders>
                  <w:noWrap w:val="0"/>
                  <w:vAlign w:val="center"/>
                </w:tcPr>
                <w:p w14:paraId="3B3A1727">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w:t>
                  </w:r>
                </w:p>
              </w:tc>
              <w:tc>
                <w:tcPr>
                  <w:tcW w:w="943" w:type="pct"/>
                  <w:tcBorders>
                    <w:tl2br w:val="nil"/>
                    <w:tr2bl w:val="nil"/>
                  </w:tcBorders>
                  <w:noWrap w:val="0"/>
                  <w:vAlign w:val="center"/>
                </w:tcPr>
                <w:p w14:paraId="429DF679">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干式纸盒</w:t>
                  </w:r>
                </w:p>
              </w:tc>
              <w:tc>
                <w:tcPr>
                  <w:tcW w:w="1047" w:type="pct"/>
                  <w:tcBorders>
                    <w:tl2br w:val="nil"/>
                    <w:tr2bl w:val="nil"/>
                  </w:tcBorders>
                  <w:noWrap w:val="0"/>
                  <w:vAlign w:val="center"/>
                </w:tcPr>
                <w:p w14:paraId="4372A944">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干式纸盒+过滤棉+二级活性炭</w:t>
                  </w:r>
                </w:p>
              </w:tc>
              <w:tc>
                <w:tcPr>
                  <w:tcW w:w="521" w:type="pct"/>
                  <w:tcBorders>
                    <w:tl2br w:val="nil"/>
                    <w:tr2bl w:val="nil"/>
                  </w:tcBorders>
                  <w:noWrap w:val="0"/>
                  <w:vAlign w:val="center"/>
                </w:tcPr>
                <w:p w14:paraId="0E30403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r w14:paraId="0342D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2" w:type="pct"/>
                  <w:vMerge w:val="continue"/>
                  <w:tcBorders>
                    <w:tl2br w:val="nil"/>
                    <w:tr2bl w:val="nil"/>
                  </w:tcBorders>
                  <w:noWrap w:val="0"/>
                  <w:vAlign w:val="center"/>
                </w:tcPr>
                <w:p w14:paraId="27205777">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028" w:type="pct"/>
                  <w:vMerge w:val="continue"/>
                  <w:tcBorders>
                    <w:tl2br w:val="nil"/>
                    <w:tr2bl w:val="nil"/>
                  </w:tcBorders>
                  <w:noWrap w:val="0"/>
                  <w:vAlign w:val="center"/>
                </w:tcPr>
                <w:p w14:paraId="5BB5ADF3">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301" w:type="dxa"/>
                  <w:tcBorders>
                    <w:tl2br w:val="nil"/>
                    <w:tr2bl w:val="nil"/>
                  </w:tcBorders>
                  <w:noWrap w:val="0"/>
                  <w:vAlign w:val="center"/>
                </w:tcPr>
                <w:p w14:paraId="6CC9ABA6">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挥发性有机物</w:t>
                  </w:r>
                </w:p>
              </w:tc>
              <w:tc>
                <w:tcPr>
                  <w:tcW w:w="943" w:type="pct"/>
                  <w:tcBorders>
                    <w:tl2br w:val="nil"/>
                    <w:tr2bl w:val="nil"/>
                  </w:tcBorders>
                  <w:noWrap w:val="0"/>
                  <w:vAlign w:val="center"/>
                </w:tcPr>
                <w:p w14:paraId="10D78EE6">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活性炭吸附、催化燃烧等</w:t>
                  </w:r>
                </w:p>
              </w:tc>
              <w:tc>
                <w:tcPr>
                  <w:tcW w:w="1047" w:type="pct"/>
                  <w:tcBorders>
                    <w:tl2br w:val="nil"/>
                    <w:tr2bl w:val="nil"/>
                  </w:tcBorders>
                  <w:noWrap w:val="0"/>
                  <w:vAlign w:val="center"/>
                </w:tcPr>
                <w:p w14:paraId="0515B12E">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二级活性炭</w:t>
                  </w:r>
                </w:p>
              </w:tc>
              <w:tc>
                <w:tcPr>
                  <w:tcW w:w="521" w:type="pct"/>
                  <w:tcBorders>
                    <w:tl2br w:val="nil"/>
                    <w:tr2bl w:val="nil"/>
                  </w:tcBorders>
                  <w:noWrap w:val="0"/>
                  <w:vAlign w:val="center"/>
                </w:tcPr>
                <w:p w14:paraId="452FCB38">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可行</w:t>
                  </w:r>
                </w:p>
              </w:tc>
            </w:tr>
          </w:tbl>
          <w:p w14:paraId="22982653">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活性炭吸附设备</w:t>
            </w:r>
          </w:p>
          <w:p w14:paraId="20D79F04">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szCs w:val="24"/>
              </w:rPr>
              <w:t>针对本项目有机废气的治理，选用成熟可靠且应用较为广泛地吸附法处理措施，选择活性炭作为吸附剂，根据《</w:t>
            </w:r>
            <w:r>
              <w:rPr>
                <w:rFonts w:hint="default" w:ascii="Times New Roman" w:hAnsi="Times New Roman" w:eastAsia="TimesNewRomanPSMT" w:cs="Times New Roman"/>
                <w:b w:val="0"/>
                <w:bCs w:val="0"/>
                <w:color w:val="auto"/>
                <w:sz w:val="24"/>
                <w:szCs w:val="24"/>
              </w:rPr>
              <w:t>2020</w:t>
            </w:r>
            <w:r>
              <w:rPr>
                <w:rFonts w:hint="default" w:ascii="Times New Roman" w:hAnsi="Times New Roman" w:eastAsia="宋体" w:cs="Times New Roman"/>
                <w:b w:val="0"/>
                <w:bCs w:val="0"/>
                <w:color w:val="auto"/>
                <w:sz w:val="24"/>
                <w:szCs w:val="24"/>
              </w:rPr>
              <w:t>年挥发性有机物治理攻坚方案》中规定，采用活性炭吸附技术的，应选择碘值不低于</w:t>
            </w:r>
            <w:r>
              <w:rPr>
                <w:rFonts w:hint="default" w:ascii="Times New Roman" w:hAnsi="Times New Roman" w:eastAsia="TimesNewRomanPSMT" w:cs="Times New Roman"/>
                <w:b w:val="0"/>
                <w:bCs w:val="0"/>
                <w:color w:val="auto"/>
                <w:sz w:val="24"/>
                <w:szCs w:val="24"/>
              </w:rPr>
              <w:t>800</w:t>
            </w:r>
            <w:r>
              <w:rPr>
                <w:rFonts w:hint="default" w:ascii="Times New Roman" w:hAnsi="Times New Roman" w:eastAsia="宋体" w:cs="Times New Roman"/>
                <w:b w:val="0"/>
                <w:bCs w:val="0"/>
                <w:color w:val="auto"/>
                <w:sz w:val="24"/>
                <w:szCs w:val="24"/>
              </w:rPr>
              <w:t>毫克</w:t>
            </w:r>
            <w:r>
              <w:rPr>
                <w:rFonts w:hint="default" w:ascii="Times New Roman" w:hAnsi="Times New Roman" w:eastAsia="TimesNewRomanPSMT" w:cs="Times New Roman"/>
                <w:b w:val="0"/>
                <w:bCs w:val="0"/>
                <w:color w:val="auto"/>
                <w:sz w:val="24"/>
                <w:szCs w:val="24"/>
              </w:rPr>
              <w:t>/</w:t>
            </w:r>
            <w:r>
              <w:rPr>
                <w:rFonts w:hint="default" w:ascii="Times New Roman" w:hAnsi="Times New Roman" w:eastAsia="宋体" w:cs="Times New Roman"/>
                <w:b w:val="0"/>
                <w:bCs w:val="0"/>
                <w:color w:val="auto"/>
                <w:sz w:val="24"/>
                <w:szCs w:val="24"/>
              </w:rPr>
              <w:t>克的活性炭，并按设计要求足量添加、及时更换。</w:t>
            </w:r>
            <w:r>
              <w:rPr>
                <w:rFonts w:hint="default" w:ascii="Times New Roman" w:hAnsi="Times New Roman" w:cs="Times New Roman"/>
                <w:b w:val="0"/>
                <w:bCs w:val="0"/>
                <w:color w:val="auto"/>
                <w:sz w:val="24"/>
                <w:szCs w:val="24"/>
                <w:lang w:val="en-US" w:eastAsia="zh-CN"/>
              </w:rPr>
              <w:t>活</w:t>
            </w:r>
            <w:r>
              <w:rPr>
                <w:rFonts w:hint="default" w:ascii="Times New Roman" w:hAnsi="Times New Roman" w:eastAsia="宋体" w:cs="Times New Roman"/>
                <w:b w:val="0"/>
                <w:bCs w:val="0"/>
                <w:color w:val="auto"/>
                <w:sz w:val="24"/>
                <w:szCs w:val="24"/>
              </w:rPr>
              <w:t>性炭是最常用的吸附剂，</w:t>
            </w:r>
            <w:r>
              <w:rPr>
                <w:rFonts w:hint="default" w:ascii="Times New Roman" w:hAnsi="Times New Roman" w:eastAsia="TimesNewRomanPSMT" w:cs="Times New Roman"/>
                <w:b w:val="0"/>
                <w:bCs w:val="0"/>
                <w:color w:val="auto"/>
                <w:sz w:val="24"/>
                <w:szCs w:val="24"/>
              </w:rPr>
              <w:t>1g</w:t>
            </w:r>
            <w:r>
              <w:rPr>
                <w:rFonts w:hint="default" w:ascii="Times New Roman" w:hAnsi="Times New Roman" w:eastAsia="宋体" w:cs="Times New Roman"/>
                <w:b w:val="0"/>
                <w:bCs w:val="0"/>
                <w:color w:val="auto"/>
                <w:sz w:val="24"/>
                <w:szCs w:val="24"/>
              </w:rPr>
              <w:t>活性炭材料中的微孔，展开表面积可高达</w:t>
            </w:r>
            <w:r>
              <w:rPr>
                <w:rFonts w:hint="default" w:ascii="Times New Roman" w:hAnsi="Times New Roman" w:eastAsia="TimesNewRomanPSMT" w:cs="Times New Roman"/>
                <w:b w:val="0"/>
                <w:bCs w:val="0"/>
                <w:color w:val="auto"/>
                <w:sz w:val="24"/>
                <w:szCs w:val="24"/>
              </w:rPr>
              <w:t>800-1</w:t>
            </w:r>
            <w:r>
              <w:rPr>
                <w:rFonts w:hint="default" w:ascii="Times New Roman" w:hAnsi="Times New Roman" w:eastAsia="宋体" w:cs="Times New Roman"/>
                <w:b w:val="0"/>
                <w:bCs w:val="0"/>
                <w:color w:val="auto"/>
                <w:sz w:val="24"/>
                <w:szCs w:val="24"/>
                <w:lang w:val="en-US" w:eastAsia="zh-CN"/>
              </w:rPr>
              <w:t>0</w:t>
            </w:r>
            <w:r>
              <w:rPr>
                <w:rFonts w:hint="default" w:ascii="Times New Roman" w:hAnsi="Times New Roman" w:eastAsia="TimesNewRomanPSMT" w:cs="Times New Roman"/>
                <w:b w:val="0"/>
                <w:bCs w:val="0"/>
                <w:color w:val="auto"/>
                <w:sz w:val="24"/>
                <w:szCs w:val="24"/>
              </w:rPr>
              <w:t>00</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，其为非极性分子，根据</w:t>
            </w:r>
            <w:r>
              <w:rPr>
                <w:rFonts w:hint="default" w:ascii="Times New Roman" w:hAnsi="Times New Roman" w:eastAsia="TimesNewRomanPSMT" w:cs="Times New Roman"/>
                <w:b w:val="0"/>
                <w:bCs w:val="0"/>
                <w:color w:val="auto"/>
                <w:sz w:val="24"/>
                <w:szCs w:val="24"/>
              </w:rPr>
              <w:t>“</w:t>
            </w:r>
            <w:r>
              <w:rPr>
                <w:rFonts w:hint="default" w:ascii="Times New Roman" w:hAnsi="Times New Roman" w:eastAsia="宋体" w:cs="Times New Roman"/>
                <w:b w:val="0"/>
                <w:bCs w:val="0"/>
                <w:color w:val="auto"/>
                <w:sz w:val="24"/>
                <w:szCs w:val="24"/>
              </w:rPr>
              <w:t>相似相容原理</w:t>
            </w:r>
            <w:r>
              <w:rPr>
                <w:rFonts w:hint="default" w:ascii="Times New Roman" w:hAnsi="Times New Roman" w:eastAsia="TimesNewRomanPSMT" w:cs="Times New Roman"/>
                <w:b w:val="0"/>
                <w:bCs w:val="0"/>
                <w:color w:val="auto"/>
                <w:sz w:val="24"/>
                <w:szCs w:val="24"/>
              </w:rPr>
              <w:t>”</w:t>
            </w:r>
            <w:r>
              <w:rPr>
                <w:rFonts w:hint="default" w:ascii="Times New Roman" w:hAnsi="Times New Roman" w:eastAsia="宋体" w:cs="Times New Roman"/>
                <w:b w:val="0"/>
                <w:bCs w:val="0"/>
                <w:color w:val="auto"/>
                <w:sz w:val="24"/>
                <w:szCs w:val="24"/>
              </w:rPr>
              <w:t>，当非极性的气体和非极性杂质分子被活性炭内孔捕捉后，由于分子之间相互吸引，会导致更多的分子不断被吸引，直至填满活性炭内的孔隙，因此，活性炭对很多挥发性有机气体的治理都十分有效，其缺点是需要再生，由于本项目废气产生量不大，从经济方面比较适合固定床吸附。饱和的废活性炭可作为危险废物交由具有相关危险废物经营许可证的单位收运处理。根据《国家危险废物名录》，更换的饱和活性炭属于危险废物。项目落实上述治理措施，当活性炭吸附饱和后</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应及时更换饱和的活性炭，补充新鲜的活性炭，才能保证有机气体的稳定达标排放。环评要求，本项目废气处理设施应由专业设备厂家提供，</w:t>
            </w:r>
            <w:r>
              <w:rPr>
                <w:rFonts w:hint="default" w:ascii="Times New Roman" w:hAnsi="Times New Roman" w:cs="Times New Roman"/>
                <w:b w:val="0"/>
                <w:bCs w:val="0"/>
                <w:color w:val="auto"/>
                <w:sz w:val="24"/>
                <w:szCs w:val="24"/>
                <w:lang w:eastAsia="zh-CN"/>
              </w:rPr>
              <w:t>并</w:t>
            </w:r>
            <w:r>
              <w:rPr>
                <w:rFonts w:hint="default" w:ascii="Times New Roman" w:hAnsi="Times New Roman" w:eastAsia="宋体" w:cs="Times New Roman"/>
                <w:b w:val="0"/>
                <w:bCs w:val="0"/>
                <w:color w:val="auto"/>
                <w:sz w:val="24"/>
                <w:szCs w:val="24"/>
              </w:rPr>
              <w:t>根据本项目废气处理情况进行设计，明确活性炭更换周期，同时建设单位应建立废气处理设施活性炭更换记录档案，如实记录活性炭更换时间、更换量、废活性炭去向等信息，活性炭更换记录应由专人填写，妥善保管，随时备查；废活性炭应在危险废物暂存间妥善暂存，定期</w:t>
            </w:r>
            <w:r>
              <w:rPr>
                <w:rFonts w:hint="default" w:ascii="Times New Roman" w:hAnsi="Times New Roman" w:cs="Times New Roman"/>
                <w:b w:val="0"/>
                <w:bCs w:val="0"/>
                <w:color w:val="auto"/>
                <w:sz w:val="24"/>
                <w:szCs w:val="24"/>
                <w:lang w:eastAsia="zh-CN"/>
              </w:rPr>
              <w:t>交由</w:t>
            </w:r>
            <w:r>
              <w:rPr>
                <w:rFonts w:hint="default" w:ascii="Times New Roman" w:hAnsi="Times New Roman" w:eastAsia="宋体" w:cs="Times New Roman"/>
                <w:b w:val="0"/>
                <w:bCs w:val="0"/>
                <w:color w:val="auto"/>
                <w:sz w:val="24"/>
                <w:szCs w:val="24"/>
              </w:rPr>
              <w:t>资质单位进行处理，并严格落实危险废物转移五联单制度。</w:t>
            </w:r>
          </w:p>
          <w:p w14:paraId="5766C735">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4.非正常工况废气</w:t>
            </w:r>
          </w:p>
          <w:p w14:paraId="76C06258">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本项目非正常情况主要是停电或设备开停、检修时，环保装置未提前开启，造成废气超标排放，以最不利情况下废气处理系统净化效率为零考虑，源强最大的时段废气排放0.5h对周围环境的影响，具体见下表。</w:t>
            </w:r>
          </w:p>
          <w:p w14:paraId="791FA772">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表4-5   非正常工况废气排放情况一览表</w:t>
            </w:r>
          </w:p>
          <w:tbl>
            <w:tblPr>
              <w:tblStyle w:val="33"/>
              <w:tblW w:w="491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298"/>
              <w:gridCol w:w="1494"/>
              <w:gridCol w:w="1053"/>
              <w:gridCol w:w="1103"/>
              <w:gridCol w:w="1115"/>
              <w:gridCol w:w="1260"/>
            </w:tblGrid>
            <w:tr w14:paraId="2F7E4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0" w:type="pct"/>
                  <w:tcBorders>
                    <w:tl2br w:val="nil"/>
                    <w:tr2bl w:val="nil"/>
                  </w:tcBorders>
                  <w:noWrap w:val="0"/>
                  <w:vAlign w:val="center"/>
                </w:tcPr>
                <w:p w14:paraId="460A6CE7">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废气污</w:t>
                  </w:r>
                </w:p>
                <w:p w14:paraId="76CC2C84">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染源</w:t>
                  </w:r>
                </w:p>
              </w:tc>
              <w:tc>
                <w:tcPr>
                  <w:tcW w:w="774" w:type="pct"/>
                  <w:tcBorders>
                    <w:tl2br w:val="nil"/>
                    <w:tr2bl w:val="nil"/>
                  </w:tcBorders>
                  <w:noWrap w:val="0"/>
                  <w:vAlign w:val="center"/>
                </w:tcPr>
                <w:p w14:paraId="5632D931">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非正常排放原因</w:t>
                  </w:r>
                </w:p>
              </w:tc>
              <w:tc>
                <w:tcPr>
                  <w:tcW w:w="891" w:type="pct"/>
                  <w:tcBorders>
                    <w:tl2br w:val="nil"/>
                    <w:tr2bl w:val="nil"/>
                  </w:tcBorders>
                  <w:noWrap w:val="0"/>
                  <w:vAlign w:val="center"/>
                </w:tcPr>
                <w:p w14:paraId="5197ADF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w:t>
                  </w:r>
                </w:p>
                <w:p w14:paraId="50E3B3AA">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种类</w:t>
                  </w:r>
                </w:p>
              </w:tc>
              <w:tc>
                <w:tcPr>
                  <w:tcW w:w="628" w:type="pct"/>
                  <w:tcBorders>
                    <w:tl2br w:val="nil"/>
                    <w:tr2bl w:val="nil"/>
                  </w:tcBorders>
                  <w:noWrap w:val="0"/>
                  <w:vAlign w:val="center"/>
                </w:tcPr>
                <w:p w14:paraId="34ABF6E1">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非正常</w:t>
                  </w:r>
                </w:p>
                <w:p w14:paraId="5451B7F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频次</w:t>
                  </w:r>
                </w:p>
              </w:tc>
              <w:tc>
                <w:tcPr>
                  <w:tcW w:w="658" w:type="pct"/>
                  <w:tcBorders>
                    <w:tl2br w:val="nil"/>
                    <w:tr2bl w:val="nil"/>
                  </w:tcBorders>
                  <w:noWrap w:val="0"/>
                  <w:vAlign w:val="center"/>
                </w:tcPr>
                <w:p w14:paraId="0DD18975">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排放速率（kg/h）</w:t>
                  </w:r>
                </w:p>
              </w:tc>
              <w:tc>
                <w:tcPr>
                  <w:tcW w:w="665" w:type="pct"/>
                  <w:tcBorders>
                    <w:tl2br w:val="nil"/>
                    <w:tr2bl w:val="nil"/>
                  </w:tcBorders>
                  <w:noWrap w:val="0"/>
                  <w:vAlign w:val="center"/>
                </w:tcPr>
                <w:p w14:paraId="055B71D7">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排放量（㎏）</w:t>
                  </w:r>
                </w:p>
              </w:tc>
              <w:tc>
                <w:tcPr>
                  <w:tcW w:w="751" w:type="pct"/>
                  <w:tcBorders>
                    <w:tl2br w:val="nil"/>
                    <w:tr2bl w:val="nil"/>
                  </w:tcBorders>
                  <w:noWrap w:val="0"/>
                  <w:vAlign w:val="center"/>
                </w:tcPr>
                <w:p w14:paraId="4902C37D">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持续时间（h）</w:t>
                  </w:r>
                </w:p>
              </w:tc>
            </w:tr>
            <w:tr w14:paraId="501F9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0" w:type="pct"/>
                  <w:tcBorders>
                    <w:tl2br w:val="nil"/>
                    <w:tr2bl w:val="nil"/>
                  </w:tcBorders>
                  <w:noWrap w:val="0"/>
                  <w:vAlign w:val="center"/>
                </w:tcPr>
                <w:p w14:paraId="1F99E0F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切割、焊接、抛丸</w:t>
                  </w:r>
                </w:p>
              </w:tc>
              <w:tc>
                <w:tcPr>
                  <w:tcW w:w="774" w:type="pct"/>
                  <w:vMerge w:val="restart"/>
                  <w:tcBorders>
                    <w:tl2br w:val="nil"/>
                    <w:tr2bl w:val="nil"/>
                  </w:tcBorders>
                  <w:noWrap w:val="0"/>
                  <w:vAlign w:val="center"/>
                </w:tcPr>
                <w:p w14:paraId="2A9C1D9A">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集气系统、废气治理</w:t>
                  </w:r>
                  <w:r>
                    <w:rPr>
                      <w:rFonts w:hint="default" w:ascii="Times New Roman" w:hAnsi="Times New Roman" w:cs="Times New Roman"/>
                      <w:color w:val="auto"/>
                      <w:sz w:val="21"/>
                      <w:szCs w:val="21"/>
                      <w:vertAlign w:val="baseline"/>
                      <w:lang w:val="en-US" w:eastAsia="zh-CN"/>
                    </w:rPr>
                    <w:t>设施</w:t>
                  </w:r>
                  <w:r>
                    <w:rPr>
                      <w:rFonts w:hint="default" w:ascii="Times New Roman" w:hAnsi="Times New Roman" w:eastAsia="宋体" w:cs="Times New Roman"/>
                      <w:color w:val="auto"/>
                      <w:sz w:val="21"/>
                      <w:szCs w:val="21"/>
                      <w:vertAlign w:val="baseline"/>
                      <w:lang w:val="en-US" w:eastAsia="zh-CN"/>
                    </w:rPr>
                    <w:t>故障，处理能力降至0</w:t>
                  </w:r>
                </w:p>
              </w:tc>
              <w:tc>
                <w:tcPr>
                  <w:tcW w:w="891" w:type="pct"/>
                  <w:tcBorders>
                    <w:tl2br w:val="nil"/>
                    <w:tr2bl w:val="nil"/>
                  </w:tcBorders>
                  <w:noWrap w:val="0"/>
                  <w:vAlign w:val="center"/>
                </w:tcPr>
                <w:p w14:paraId="679CAC2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628" w:type="pct"/>
                  <w:tcBorders>
                    <w:tl2br w:val="nil"/>
                    <w:tr2bl w:val="nil"/>
                  </w:tcBorders>
                  <w:noWrap w:val="0"/>
                  <w:vAlign w:val="center"/>
                </w:tcPr>
                <w:p w14:paraId="4F0C2A3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103" w:type="dxa"/>
                  <w:tcBorders>
                    <w:tl2br w:val="nil"/>
                    <w:tr2bl w:val="nil"/>
                  </w:tcBorders>
                  <w:noWrap w:val="0"/>
                  <w:vAlign w:val="center"/>
                </w:tcPr>
                <w:p w14:paraId="07458A12">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5.95</w:t>
                  </w:r>
                </w:p>
              </w:tc>
              <w:tc>
                <w:tcPr>
                  <w:tcW w:w="1115" w:type="dxa"/>
                  <w:tcBorders>
                    <w:tl2br w:val="nil"/>
                    <w:tr2bl w:val="nil"/>
                  </w:tcBorders>
                  <w:noWrap w:val="0"/>
                  <w:vAlign w:val="center"/>
                </w:tcPr>
                <w:p w14:paraId="2FB09878">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2.975</w:t>
                  </w:r>
                </w:p>
              </w:tc>
              <w:tc>
                <w:tcPr>
                  <w:tcW w:w="751" w:type="pct"/>
                  <w:tcBorders>
                    <w:tl2br w:val="nil"/>
                    <w:tr2bl w:val="nil"/>
                  </w:tcBorders>
                  <w:noWrap w:val="0"/>
                  <w:vAlign w:val="center"/>
                </w:tcPr>
                <w:p w14:paraId="4F5A91B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r>
            <w:tr w14:paraId="65A6E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0" w:type="pct"/>
                  <w:tcBorders>
                    <w:tl2br w:val="nil"/>
                    <w:tr2bl w:val="nil"/>
                  </w:tcBorders>
                  <w:noWrap w:val="0"/>
                  <w:vAlign w:val="center"/>
                </w:tcPr>
                <w:p w14:paraId="26A06E9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喷粉</w:t>
                  </w:r>
                </w:p>
              </w:tc>
              <w:tc>
                <w:tcPr>
                  <w:tcW w:w="774" w:type="pct"/>
                  <w:vMerge w:val="continue"/>
                  <w:tcBorders>
                    <w:tl2br w:val="nil"/>
                    <w:tr2bl w:val="nil"/>
                  </w:tcBorders>
                  <w:noWrap w:val="0"/>
                  <w:vAlign w:val="center"/>
                </w:tcPr>
                <w:p w14:paraId="65A4EDBC">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91" w:type="pct"/>
                  <w:tcBorders>
                    <w:tl2br w:val="nil"/>
                    <w:tr2bl w:val="nil"/>
                  </w:tcBorders>
                  <w:noWrap w:val="0"/>
                  <w:vAlign w:val="center"/>
                </w:tcPr>
                <w:p w14:paraId="530F4390">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颗粒物</w:t>
                  </w:r>
                </w:p>
              </w:tc>
              <w:tc>
                <w:tcPr>
                  <w:tcW w:w="628" w:type="pct"/>
                  <w:tcBorders>
                    <w:tl2br w:val="nil"/>
                    <w:tr2bl w:val="nil"/>
                  </w:tcBorders>
                  <w:noWrap w:val="0"/>
                  <w:vAlign w:val="center"/>
                </w:tcPr>
                <w:p w14:paraId="1DE7EF9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103" w:type="dxa"/>
                  <w:tcBorders>
                    <w:tl2br w:val="nil"/>
                    <w:tr2bl w:val="nil"/>
                  </w:tcBorders>
                  <w:noWrap w:val="0"/>
                  <w:vAlign w:val="center"/>
                </w:tcPr>
                <w:p w14:paraId="789E3A0F">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4.563</w:t>
                  </w:r>
                </w:p>
              </w:tc>
              <w:tc>
                <w:tcPr>
                  <w:tcW w:w="1115" w:type="dxa"/>
                  <w:tcBorders>
                    <w:tl2br w:val="nil"/>
                    <w:tr2bl w:val="nil"/>
                  </w:tcBorders>
                  <w:noWrap w:val="0"/>
                  <w:vAlign w:val="center"/>
                </w:tcPr>
                <w:p w14:paraId="76FB3C4B">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2.282</w:t>
                  </w:r>
                </w:p>
              </w:tc>
              <w:tc>
                <w:tcPr>
                  <w:tcW w:w="751" w:type="pct"/>
                  <w:tcBorders>
                    <w:tl2br w:val="nil"/>
                    <w:tr2bl w:val="nil"/>
                  </w:tcBorders>
                  <w:noWrap w:val="0"/>
                  <w:vAlign w:val="center"/>
                </w:tcPr>
                <w:p w14:paraId="732AF9AC">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r>
            <w:tr w14:paraId="34B84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0" w:type="pct"/>
                  <w:tcBorders>
                    <w:tl2br w:val="nil"/>
                    <w:tr2bl w:val="nil"/>
                  </w:tcBorders>
                  <w:noWrap w:val="0"/>
                  <w:vAlign w:val="center"/>
                </w:tcPr>
                <w:p w14:paraId="397919F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固化</w:t>
                  </w:r>
                </w:p>
              </w:tc>
              <w:tc>
                <w:tcPr>
                  <w:tcW w:w="774" w:type="pct"/>
                  <w:vMerge w:val="continue"/>
                  <w:tcBorders>
                    <w:tl2br w:val="nil"/>
                    <w:tr2bl w:val="nil"/>
                  </w:tcBorders>
                  <w:noWrap w:val="0"/>
                  <w:vAlign w:val="center"/>
                </w:tcPr>
                <w:p w14:paraId="55A0485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91" w:type="pct"/>
                  <w:tcBorders>
                    <w:tl2br w:val="nil"/>
                    <w:tr2bl w:val="nil"/>
                  </w:tcBorders>
                  <w:noWrap w:val="0"/>
                  <w:vAlign w:val="center"/>
                </w:tcPr>
                <w:p w14:paraId="07AEA800">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非甲烷总烃</w:t>
                  </w:r>
                </w:p>
              </w:tc>
              <w:tc>
                <w:tcPr>
                  <w:tcW w:w="628" w:type="pct"/>
                  <w:tcBorders>
                    <w:tl2br w:val="nil"/>
                    <w:tr2bl w:val="nil"/>
                  </w:tcBorders>
                  <w:noWrap w:val="0"/>
                  <w:vAlign w:val="center"/>
                </w:tcPr>
                <w:p w14:paraId="265D357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103" w:type="dxa"/>
                  <w:tcBorders>
                    <w:tl2br w:val="nil"/>
                    <w:tr2bl w:val="nil"/>
                  </w:tcBorders>
                  <w:noWrap w:val="0"/>
                  <w:vAlign w:val="center"/>
                </w:tcPr>
                <w:p w14:paraId="583E9CF9">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0.591</w:t>
                  </w:r>
                </w:p>
              </w:tc>
              <w:tc>
                <w:tcPr>
                  <w:tcW w:w="1115" w:type="dxa"/>
                  <w:tcBorders>
                    <w:tl2br w:val="nil"/>
                    <w:tr2bl w:val="nil"/>
                  </w:tcBorders>
                  <w:noWrap w:val="0"/>
                  <w:vAlign w:val="center"/>
                </w:tcPr>
                <w:p w14:paraId="52FD4B4D">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0.296</w:t>
                  </w:r>
                </w:p>
              </w:tc>
              <w:tc>
                <w:tcPr>
                  <w:tcW w:w="751" w:type="pct"/>
                  <w:tcBorders>
                    <w:tl2br w:val="nil"/>
                    <w:tr2bl w:val="nil"/>
                  </w:tcBorders>
                  <w:noWrap w:val="0"/>
                  <w:vAlign w:val="center"/>
                </w:tcPr>
                <w:p w14:paraId="32C306F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r>
            <w:tr w14:paraId="436A2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0" w:type="pct"/>
                  <w:vMerge w:val="restart"/>
                  <w:tcBorders>
                    <w:tl2br w:val="nil"/>
                    <w:tr2bl w:val="nil"/>
                  </w:tcBorders>
                  <w:noWrap w:val="0"/>
                  <w:vAlign w:val="center"/>
                </w:tcPr>
                <w:p w14:paraId="16A117D1">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喷漆</w:t>
                  </w:r>
                </w:p>
              </w:tc>
              <w:tc>
                <w:tcPr>
                  <w:tcW w:w="774" w:type="pct"/>
                  <w:vMerge w:val="continue"/>
                  <w:tcBorders>
                    <w:tl2br w:val="nil"/>
                    <w:tr2bl w:val="nil"/>
                  </w:tcBorders>
                  <w:noWrap w:val="0"/>
                  <w:vAlign w:val="center"/>
                </w:tcPr>
                <w:p w14:paraId="335EA074">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91" w:type="pct"/>
                  <w:tcBorders>
                    <w:tl2br w:val="nil"/>
                    <w:tr2bl w:val="nil"/>
                  </w:tcBorders>
                  <w:noWrap w:val="0"/>
                  <w:vAlign w:val="center"/>
                </w:tcPr>
                <w:p w14:paraId="29F4F567">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628" w:type="pct"/>
                  <w:tcBorders>
                    <w:tl2br w:val="nil"/>
                    <w:tr2bl w:val="nil"/>
                  </w:tcBorders>
                  <w:noWrap w:val="0"/>
                  <w:vAlign w:val="center"/>
                </w:tcPr>
                <w:p w14:paraId="2E8A2CC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103" w:type="dxa"/>
                  <w:tcBorders>
                    <w:tl2br w:val="nil"/>
                    <w:tr2bl w:val="nil"/>
                  </w:tcBorders>
                  <w:noWrap w:val="0"/>
                  <w:vAlign w:val="center"/>
                </w:tcPr>
                <w:p w14:paraId="40B5B512">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0.499</w:t>
                  </w:r>
                </w:p>
              </w:tc>
              <w:tc>
                <w:tcPr>
                  <w:tcW w:w="1115" w:type="dxa"/>
                  <w:tcBorders>
                    <w:tl2br w:val="nil"/>
                    <w:tr2bl w:val="nil"/>
                  </w:tcBorders>
                  <w:noWrap w:val="0"/>
                  <w:vAlign w:val="center"/>
                </w:tcPr>
                <w:p w14:paraId="13272571">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0.249</w:t>
                  </w:r>
                </w:p>
              </w:tc>
              <w:tc>
                <w:tcPr>
                  <w:tcW w:w="751" w:type="pct"/>
                  <w:tcBorders>
                    <w:tl2br w:val="nil"/>
                    <w:tr2bl w:val="nil"/>
                  </w:tcBorders>
                  <w:noWrap w:val="0"/>
                  <w:vAlign w:val="center"/>
                </w:tcPr>
                <w:p w14:paraId="1F8D6316">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r>
            <w:tr w14:paraId="60BCE9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0" w:type="pct"/>
                  <w:vMerge w:val="continue"/>
                  <w:tcBorders>
                    <w:tl2br w:val="nil"/>
                    <w:tr2bl w:val="nil"/>
                  </w:tcBorders>
                  <w:noWrap w:val="0"/>
                  <w:vAlign w:val="center"/>
                </w:tcPr>
                <w:p w14:paraId="6767194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auto"/>
                      <w:sz w:val="21"/>
                      <w:szCs w:val="21"/>
                      <w:vertAlign w:val="baseline"/>
                      <w:lang w:val="en-US" w:eastAsia="zh-CN"/>
                    </w:rPr>
                  </w:pPr>
                </w:p>
              </w:tc>
              <w:tc>
                <w:tcPr>
                  <w:tcW w:w="774" w:type="pct"/>
                  <w:vMerge w:val="continue"/>
                  <w:tcBorders>
                    <w:tl2br w:val="nil"/>
                    <w:tr2bl w:val="nil"/>
                  </w:tcBorders>
                  <w:noWrap w:val="0"/>
                  <w:vAlign w:val="center"/>
                </w:tcPr>
                <w:p w14:paraId="4401699D">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91" w:type="pct"/>
                  <w:tcBorders>
                    <w:tl2br w:val="nil"/>
                    <w:tr2bl w:val="nil"/>
                  </w:tcBorders>
                  <w:noWrap w:val="0"/>
                  <w:vAlign w:val="center"/>
                </w:tcPr>
                <w:p w14:paraId="541019A9">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628" w:type="pct"/>
                  <w:tcBorders>
                    <w:tl2br w:val="nil"/>
                    <w:tr2bl w:val="nil"/>
                  </w:tcBorders>
                  <w:noWrap w:val="0"/>
                  <w:vAlign w:val="center"/>
                </w:tcPr>
                <w:p w14:paraId="1CF416AB">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103" w:type="dxa"/>
                  <w:tcBorders>
                    <w:tl2br w:val="nil"/>
                    <w:tr2bl w:val="nil"/>
                  </w:tcBorders>
                  <w:noWrap w:val="0"/>
                  <w:vAlign w:val="center"/>
                </w:tcPr>
                <w:p w14:paraId="47F6EB4D">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1.779</w:t>
                  </w:r>
                </w:p>
              </w:tc>
              <w:tc>
                <w:tcPr>
                  <w:tcW w:w="1115" w:type="dxa"/>
                  <w:tcBorders>
                    <w:tl2br w:val="nil"/>
                    <w:tr2bl w:val="nil"/>
                  </w:tcBorders>
                  <w:noWrap w:val="0"/>
                  <w:vAlign w:val="center"/>
                </w:tcPr>
                <w:p w14:paraId="3EBE2DF7">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0.889</w:t>
                  </w:r>
                </w:p>
              </w:tc>
              <w:tc>
                <w:tcPr>
                  <w:tcW w:w="751" w:type="pct"/>
                  <w:tcBorders>
                    <w:tl2br w:val="nil"/>
                    <w:tr2bl w:val="nil"/>
                  </w:tcBorders>
                  <w:noWrap w:val="0"/>
                  <w:vAlign w:val="center"/>
                </w:tcPr>
                <w:p w14:paraId="3A04FBA1">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r>
            <w:tr w14:paraId="1F5A6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0" w:type="pct"/>
                  <w:vMerge w:val="restart"/>
                  <w:tcBorders>
                    <w:tl2br w:val="nil"/>
                    <w:tr2bl w:val="nil"/>
                  </w:tcBorders>
                  <w:noWrap w:val="0"/>
                  <w:vAlign w:val="center"/>
                </w:tcPr>
                <w:p w14:paraId="1E46C2E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液化天然气（LNG）</w:t>
                  </w:r>
                  <w:r>
                    <w:rPr>
                      <w:rFonts w:hint="default" w:ascii="Times New Roman" w:hAnsi="Times New Roman" w:eastAsia="宋体" w:cs="Times New Roman"/>
                      <w:color w:val="auto"/>
                      <w:sz w:val="21"/>
                      <w:szCs w:val="21"/>
                      <w:vertAlign w:val="baseline"/>
                      <w:lang w:val="en-US" w:eastAsia="zh-CN"/>
                    </w:rPr>
                    <w:t>燃烧</w:t>
                  </w:r>
                </w:p>
              </w:tc>
              <w:tc>
                <w:tcPr>
                  <w:tcW w:w="774" w:type="pct"/>
                  <w:vMerge w:val="continue"/>
                  <w:tcBorders>
                    <w:tl2br w:val="nil"/>
                    <w:tr2bl w:val="nil"/>
                  </w:tcBorders>
                  <w:noWrap w:val="0"/>
                  <w:vAlign w:val="center"/>
                </w:tcPr>
                <w:p w14:paraId="786C0A10">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91" w:type="pct"/>
                  <w:tcBorders>
                    <w:tl2br w:val="nil"/>
                    <w:tr2bl w:val="nil"/>
                  </w:tcBorders>
                  <w:noWrap w:val="0"/>
                  <w:vAlign w:val="center"/>
                </w:tcPr>
                <w:p w14:paraId="02C35184">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NO</w:t>
                  </w:r>
                  <w:r>
                    <w:rPr>
                      <w:rFonts w:hint="default" w:ascii="Times New Roman" w:hAnsi="Times New Roman" w:eastAsia="宋体" w:cs="Times New Roman"/>
                      <w:color w:val="auto"/>
                      <w:sz w:val="21"/>
                      <w:szCs w:val="21"/>
                      <w:vertAlign w:val="subscript"/>
                      <w:lang w:val="en-US" w:eastAsia="zh-CN"/>
                    </w:rPr>
                    <w:t>X</w:t>
                  </w:r>
                </w:p>
              </w:tc>
              <w:tc>
                <w:tcPr>
                  <w:tcW w:w="628" w:type="pct"/>
                  <w:tcBorders>
                    <w:tl2br w:val="nil"/>
                    <w:tr2bl w:val="nil"/>
                  </w:tcBorders>
                  <w:noWrap w:val="0"/>
                  <w:vAlign w:val="center"/>
                </w:tcPr>
                <w:p w14:paraId="18B09BAC">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103" w:type="dxa"/>
                  <w:tcBorders>
                    <w:tl2br w:val="nil"/>
                    <w:tr2bl w:val="nil"/>
                  </w:tcBorders>
                  <w:noWrap w:val="0"/>
                  <w:vAlign w:val="center"/>
                </w:tcPr>
                <w:p w14:paraId="5992EB7E">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0.055333333</w:t>
                  </w:r>
                </w:p>
              </w:tc>
              <w:tc>
                <w:tcPr>
                  <w:tcW w:w="1115" w:type="dxa"/>
                  <w:tcBorders>
                    <w:tl2br w:val="nil"/>
                    <w:tr2bl w:val="nil"/>
                  </w:tcBorders>
                  <w:noWrap w:val="0"/>
                  <w:vAlign w:val="center"/>
                </w:tcPr>
                <w:p w14:paraId="22ED9045">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r>
                    <w:rPr>
                      <w:rFonts w:hint="default" w:ascii="Times New Roman" w:hAnsi="Times New Roman" w:cs="Times New Roman"/>
                      <w:i w:val="0"/>
                      <w:iCs w:val="0"/>
                      <w:color w:val="000000"/>
                      <w:kern w:val="0"/>
                      <w:sz w:val="21"/>
                      <w:szCs w:val="21"/>
                      <w:u w:val="none"/>
                      <w:lang w:val="en-US" w:eastAsia="zh-CN" w:bidi="ar"/>
                    </w:rPr>
                    <w:t>8</w:t>
                  </w:r>
                </w:p>
              </w:tc>
              <w:tc>
                <w:tcPr>
                  <w:tcW w:w="751" w:type="pct"/>
                  <w:tcBorders>
                    <w:tl2br w:val="nil"/>
                    <w:tr2bl w:val="nil"/>
                  </w:tcBorders>
                  <w:noWrap w:val="0"/>
                  <w:vAlign w:val="center"/>
                </w:tcPr>
                <w:p w14:paraId="7EF94E9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r>
            <w:tr w14:paraId="5C813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0" w:type="pct"/>
                  <w:vMerge w:val="continue"/>
                  <w:tcBorders>
                    <w:tl2br w:val="nil"/>
                    <w:tr2bl w:val="nil"/>
                  </w:tcBorders>
                  <w:noWrap w:val="0"/>
                  <w:vAlign w:val="center"/>
                </w:tcPr>
                <w:p w14:paraId="563CB9F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74" w:type="pct"/>
                  <w:vMerge w:val="continue"/>
                  <w:tcBorders>
                    <w:tl2br w:val="nil"/>
                    <w:tr2bl w:val="nil"/>
                  </w:tcBorders>
                  <w:noWrap w:val="0"/>
                  <w:vAlign w:val="center"/>
                </w:tcPr>
                <w:p w14:paraId="21E2B1B4">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91" w:type="pct"/>
                  <w:tcBorders>
                    <w:tl2br w:val="nil"/>
                    <w:tr2bl w:val="nil"/>
                  </w:tcBorders>
                  <w:noWrap w:val="0"/>
                  <w:vAlign w:val="center"/>
                </w:tcPr>
                <w:p w14:paraId="21D243F1">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SO</w:t>
                  </w:r>
                  <w:r>
                    <w:rPr>
                      <w:rFonts w:hint="default" w:ascii="Times New Roman" w:hAnsi="Times New Roman" w:eastAsia="宋体" w:cs="Times New Roman"/>
                      <w:color w:val="auto"/>
                      <w:sz w:val="21"/>
                      <w:szCs w:val="21"/>
                      <w:vertAlign w:val="subscript"/>
                      <w:lang w:val="en-US" w:eastAsia="zh-CN"/>
                    </w:rPr>
                    <w:t>2</w:t>
                  </w:r>
                </w:p>
              </w:tc>
              <w:tc>
                <w:tcPr>
                  <w:tcW w:w="628" w:type="pct"/>
                  <w:tcBorders>
                    <w:tl2br w:val="nil"/>
                    <w:tr2bl w:val="nil"/>
                  </w:tcBorders>
                  <w:noWrap w:val="0"/>
                  <w:vAlign w:val="center"/>
                </w:tcPr>
                <w:p w14:paraId="4D4C1B02">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103" w:type="dxa"/>
                  <w:tcBorders>
                    <w:tl2br w:val="nil"/>
                    <w:tr2bl w:val="nil"/>
                  </w:tcBorders>
                  <w:noWrap w:val="0"/>
                  <w:vAlign w:val="center"/>
                </w:tcPr>
                <w:p w14:paraId="3C35D572">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0.0014</w:t>
                  </w:r>
                </w:p>
              </w:tc>
              <w:tc>
                <w:tcPr>
                  <w:tcW w:w="1115" w:type="dxa"/>
                  <w:tcBorders>
                    <w:tl2br w:val="nil"/>
                    <w:tr2bl w:val="nil"/>
                  </w:tcBorders>
                  <w:noWrap w:val="0"/>
                  <w:vAlign w:val="center"/>
                </w:tcPr>
                <w:p w14:paraId="53686333">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0.0007</w:t>
                  </w:r>
                </w:p>
              </w:tc>
              <w:tc>
                <w:tcPr>
                  <w:tcW w:w="751" w:type="pct"/>
                  <w:tcBorders>
                    <w:tl2br w:val="nil"/>
                    <w:tr2bl w:val="nil"/>
                  </w:tcBorders>
                  <w:noWrap w:val="0"/>
                  <w:vAlign w:val="center"/>
                </w:tcPr>
                <w:p w14:paraId="2F0971B5">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r>
            <w:tr w14:paraId="67C3A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30" w:type="pct"/>
                  <w:vMerge w:val="continue"/>
                  <w:tcBorders>
                    <w:tl2br w:val="nil"/>
                    <w:tr2bl w:val="nil"/>
                  </w:tcBorders>
                  <w:noWrap w:val="0"/>
                  <w:vAlign w:val="center"/>
                </w:tcPr>
                <w:p w14:paraId="7A4ADAE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74" w:type="pct"/>
                  <w:vMerge w:val="continue"/>
                  <w:tcBorders>
                    <w:tl2br w:val="nil"/>
                    <w:tr2bl w:val="nil"/>
                  </w:tcBorders>
                  <w:noWrap w:val="0"/>
                  <w:vAlign w:val="center"/>
                </w:tcPr>
                <w:p w14:paraId="37117E38">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91" w:type="pct"/>
                  <w:tcBorders>
                    <w:tl2br w:val="nil"/>
                    <w:tr2bl w:val="nil"/>
                  </w:tcBorders>
                  <w:noWrap w:val="0"/>
                  <w:vAlign w:val="center"/>
                </w:tcPr>
                <w:p w14:paraId="711A5CC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628" w:type="pct"/>
                  <w:tcBorders>
                    <w:tl2br w:val="nil"/>
                    <w:tr2bl w:val="nil"/>
                  </w:tcBorders>
                  <w:noWrap w:val="0"/>
                  <w:vAlign w:val="center"/>
                </w:tcPr>
                <w:p w14:paraId="218033EE">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103" w:type="dxa"/>
                  <w:tcBorders>
                    <w:tl2br w:val="nil"/>
                    <w:tr2bl w:val="nil"/>
                  </w:tcBorders>
                  <w:noWrap w:val="0"/>
                  <w:vAlign w:val="center"/>
                </w:tcPr>
                <w:p w14:paraId="000B7480">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5.95</w:t>
                  </w:r>
                </w:p>
              </w:tc>
              <w:tc>
                <w:tcPr>
                  <w:tcW w:w="1115" w:type="dxa"/>
                  <w:tcBorders>
                    <w:tl2br w:val="nil"/>
                    <w:tr2bl w:val="nil"/>
                  </w:tcBorders>
                  <w:noWrap w:val="0"/>
                  <w:vAlign w:val="center"/>
                </w:tcPr>
                <w:p w14:paraId="3CED7CE3">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0.00035</w:t>
                  </w:r>
                </w:p>
              </w:tc>
              <w:tc>
                <w:tcPr>
                  <w:tcW w:w="751" w:type="pct"/>
                  <w:tcBorders>
                    <w:tl2br w:val="nil"/>
                    <w:tr2bl w:val="nil"/>
                  </w:tcBorders>
                  <w:noWrap w:val="0"/>
                  <w:vAlign w:val="center"/>
                </w:tcPr>
                <w:p w14:paraId="115F3DB3">
                  <w:pPr>
                    <w:keepNext/>
                    <w:keepLines/>
                    <w:pageBreakBefore w:val="0"/>
                    <w:widowControl/>
                    <w:numPr>
                      <w:ilvl w:val="0"/>
                      <w:numId w:val="0"/>
                    </w:numPr>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r>
          </w:tbl>
          <w:p w14:paraId="1D2E36E9">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黑体" w:cs="Times New Roman"/>
                <w:bCs/>
                <w:color w:val="auto"/>
                <w:sz w:val="24"/>
                <w:szCs w:val="28"/>
                <w:lang w:val="en-US" w:eastAsia="zh-CN"/>
              </w:rPr>
            </w:pPr>
            <w:r>
              <w:rPr>
                <w:rFonts w:hint="default" w:ascii="Times New Roman" w:hAnsi="Times New Roman" w:eastAsia="宋体" w:cs="Times New Roman"/>
                <w:color w:val="auto"/>
                <w:sz w:val="24"/>
                <w:szCs w:val="24"/>
                <w:lang w:val="en-US" w:eastAsia="zh-CN"/>
              </w:rPr>
              <w:t>由上表可知，非正常工况下排气筒的排放浓度远大于正常工况下，甚至会超过标准限值，对周边大气环境影响加大。为防止生产废气非正常工况排放，建设单位必须加强废气处理设施的管理，定期检修，确保废气处理设施正常运行，在废气处理设施出现故障或停止运行时，产生废气的各工序也必须相应停止生产，杜绝废气非正常排放。</w:t>
            </w:r>
          </w:p>
          <w:p w14:paraId="448FCBEA">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5.环境影响分析</w:t>
            </w:r>
          </w:p>
          <w:p w14:paraId="4D9C7FD6">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黑体" w:cs="Times New Roman"/>
                <w:bCs/>
                <w:color w:val="auto"/>
                <w:sz w:val="24"/>
                <w:szCs w:val="28"/>
                <w:lang w:val="en-US" w:eastAsia="zh-CN"/>
              </w:rPr>
            </w:pPr>
            <w:r>
              <w:rPr>
                <w:rFonts w:hint="default" w:ascii="Times New Roman" w:hAnsi="Times New Roman" w:eastAsia="宋体" w:cs="Times New Roman"/>
                <w:color w:val="auto"/>
                <w:sz w:val="24"/>
                <w:szCs w:val="24"/>
                <w:lang w:val="en-US" w:eastAsia="zh-CN"/>
              </w:rPr>
              <w:t>项目所在地区域环境空气为不达标区。项目废气经相关污染防治措施后可以达标排放，项目的实施不会对周边大气环境产生不利影响，不会影响区域环境质量目标的实现，周边环境空气质量可维持现状。本评价要求建设单位定期对废气处理设备进行维修保养，确保废气处理设施正常运行，如发生故障立即停产检修，经调试合格后方可投入生产。</w:t>
            </w:r>
          </w:p>
          <w:p w14:paraId="0EC07FEA">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Cs/>
                <w:color w:val="auto"/>
                <w:sz w:val="24"/>
                <w:szCs w:val="24"/>
              </w:rPr>
            </w:pPr>
            <w:r>
              <w:rPr>
                <w:rFonts w:hint="default" w:ascii="Times New Roman" w:hAnsi="Times New Roman" w:eastAsia="宋体" w:cs="Times New Roman"/>
                <w:b/>
                <w:bCs/>
                <w:color w:val="auto"/>
                <w:kern w:val="2"/>
                <w:sz w:val="24"/>
                <w:szCs w:val="24"/>
                <w:lang w:val="en-US" w:eastAsia="zh-CN" w:bidi="ar-SA"/>
              </w:rPr>
              <w:t>6.监测计划</w:t>
            </w:r>
          </w:p>
          <w:p w14:paraId="3E00EC76">
            <w:pPr>
              <w:keepNext/>
              <w:keepLines/>
              <w:widowControl/>
              <w:adjustRightInd w:val="0"/>
              <w:snapToGrid w:val="0"/>
              <w:spacing w:line="360" w:lineRule="auto"/>
              <w:ind w:firstLine="480" w:firstLineChars="200"/>
              <w:jc w:val="left"/>
              <w:outlineLvl w:val="1"/>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项目运营后的环境监测工作可委托有资质监测单位进行，并做好监测数据的报告和存档，</w:t>
            </w:r>
            <w:r>
              <w:rPr>
                <w:rFonts w:hint="default" w:ascii="Times New Roman" w:hAnsi="Times New Roman" w:eastAsia="宋体" w:cs="Times New Roman"/>
                <w:color w:val="auto"/>
                <w:sz w:val="24"/>
                <w:szCs w:val="24"/>
              </w:rPr>
              <w:t>根据《排污许可证申请与核发技术规范 总则》（HJ942-2018）和</w:t>
            </w:r>
            <w:r>
              <w:rPr>
                <w:rFonts w:hint="default" w:ascii="Times New Roman" w:hAnsi="Times New Roman" w:eastAsia="宋体" w:cs="Times New Roman"/>
                <w:color w:val="auto"/>
                <w:sz w:val="24"/>
                <w:szCs w:val="24"/>
                <w:lang w:val="en-US" w:eastAsia="zh-CN"/>
              </w:rPr>
              <w:t>《排污许可证申请与核发技术规范 通用设备、专用设备、仪器仪表及其他制造业》DB61/T 1356-2020</w:t>
            </w:r>
            <w:r>
              <w:rPr>
                <w:rFonts w:hint="default" w:ascii="Times New Roman" w:hAnsi="Times New Roman" w:eastAsia="宋体" w:cs="Times New Roman"/>
                <w:color w:val="auto"/>
                <w:sz w:val="24"/>
                <w:szCs w:val="24"/>
              </w:rPr>
              <w:t>，本项目运营期废气监测情况如下：</w:t>
            </w:r>
          </w:p>
          <w:p w14:paraId="1C30222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表4-6  运营期污染源监测内容及计划</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5"/>
              <w:gridCol w:w="901"/>
              <w:gridCol w:w="1445"/>
              <w:gridCol w:w="1399"/>
              <w:gridCol w:w="1242"/>
              <w:gridCol w:w="3086"/>
            </w:tblGrid>
            <w:tr w14:paraId="43E0B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0" w:type="pct"/>
                  <w:gridSpan w:val="2"/>
                  <w:noWrap w:val="0"/>
                  <w:vAlign w:val="center"/>
                </w:tcPr>
                <w:p w14:paraId="723624D4">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监测要素</w:t>
                  </w:r>
                </w:p>
              </w:tc>
              <w:tc>
                <w:tcPr>
                  <w:tcW w:w="848" w:type="pct"/>
                  <w:noWrap w:val="0"/>
                  <w:vAlign w:val="center"/>
                </w:tcPr>
                <w:p w14:paraId="13499C81">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监测点位</w:t>
                  </w:r>
                </w:p>
              </w:tc>
              <w:tc>
                <w:tcPr>
                  <w:tcW w:w="821" w:type="pct"/>
                  <w:noWrap w:val="0"/>
                  <w:vAlign w:val="center"/>
                </w:tcPr>
                <w:p w14:paraId="6A6DC720">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监测项目</w:t>
                  </w:r>
                </w:p>
              </w:tc>
              <w:tc>
                <w:tcPr>
                  <w:tcW w:w="729" w:type="pct"/>
                  <w:noWrap w:val="0"/>
                  <w:vAlign w:val="center"/>
                </w:tcPr>
                <w:p w14:paraId="54877E75">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监测频次</w:t>
                  </w:r>
                </w:p>
              </w:tc>
              <w:tc>
                <w:tcPr>
                  <w:tcW w:w="1811" w:type="pct"/>
                  <w:vMerge w:val="restart"/>
                  <w:noWrap w:val="0"/>
                  <w:vAlign w:val="center"/>
                </w:tcPr>
                <w:p w14:paraId="62534A00">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执行标准</w:t>
                  </w:r>
                </w:p>
                <w:p w14:paraId="33D6B221">
                  <w:pPr>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《大气污染物综合排放标准》（GB16297-1996）</w:t>
                  </w:r>
                  <w:r>
                    <w:rPr>
                      <w:rFonts w:hint="default" w:ascii="Times New Roman" w:hAnsi="Times New Roman" w:cs="Times New Roman"/>
                      <w:color w:val="auto"/>
                      <w:sz w:val="21"/>
                      <w:szCs w:val="21"/>
                      <w:lang w:val="en-US" w:eastAsia="zh-CN"/>
                    </w:rPr>
                    <w:t>表2</w:t>
                  </w:r>
                  <w:r>
                    <w:rPr>
                      <w:rFonts w:hint="default" w:ascii="Times New Roman" w:hAnsi="Times New Roman" w:eastAsia="宋体" w:cs="Times New Roman"/>
                      <w:color w:val="auto"/>
                      <w:sz w:val="21"/>
                      <w:szCs w:val="21"/>
                    </w:rPr>
                    <w:t>中排放限值要求</w:t>
                  </w:r>
                </w:p>
              </w:tc>
            </w:tr>
            <w:tr w14:paraId="7CFB0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restart"/>
                  <w:noWrap w:val="0"/>
                  <w:vAlign w:val="center"/>
                </w:tcPr>
                <w:p w14:paraId="3141462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污染源监测</w:t>
                  </w:r>
                </w:p>
              </w:tc>
              <w:tc>
                <w:tcPr>
                  <w:tcW w:w="528" w:type="pct"/>
                  <w:vMerge w:val="restart"/>
                  <w:noWrap w:val="0"/>
                  <w:vAlign w:val="center"/>
                </w:tcPr>
                <w:p w14:paraId="1F55CF3A">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有组织</w:t>
                  </w:r>
                </w:p>
              </w:tc>
              <w:tc>
                <w:tcPr>
                  <w:tcW w:w="848" w:type="pct"/>
                  <w:noWrap w:val="0"/>
                  <w:vAlign w:val="center"/>
                </w:tcPr>
                <w:p w14:paraId="41788A1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w:t>
                  </w:r>
                </w:p>
                <w:p w14:paraId="35F304BF">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w:t>
                  </w:r>
                  <w:r>
                    <w:rPr>
                      <w:rFonts w:hint="default" w:ascii="Times New Roman" w:hAnsi="Times New Roman" w:eastAsia="宋体" w:cs="Times New Roman"/>
                      <w:color w:val="auto"/>
                      <w:szCs w:val="21"/>
                    </w:rPr>
                    <w:t>DA001</w:t>
                  </w:r>
                  <w:r>
                    <w:rPr>
                      <w:rFonts w:hint="eastAsia" w:ascii="Times New Roman" w:hAnsi="Times New Roman" w:cs="Times New Roman"/>
                      <w:color w:val="auto"/>
                      <w:szCs w:val="21"/>
                      <w:lang w:eastAsia="zh-CN"/>
                    </w:rPr>
                    <w:t>)</w:t>
                  </w:r>
                </w:p>
              </w:tc>
              <w:tc>
                <w:tcPr>
                  <w:tcW w:w="821" w:type="pct"/>
                  <w:vMerge w:val="restart"/>
                  <w:noWrap w:val="0"/>
                  <w:vAlign w:val="center"/>
                </w:tcPr>
                <w:p w14:paraId="14B59DA5">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颗粒物</w:t>
                  </w:r>
                </w:p>
              </w:tc>
              <w:tc>
                <w:tcPr>
                  <w:tcW w:w="729" w:type="pct"/>
                  <w:vMerge w:val="restart"/>
                  <w:noWrap w:val="0"/>
                  <w:vAlign w:val="center"/>
                </w:tcPr>
                <w:p w14:paraId="2CB1A0E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1" w:type="pct"/>
                  <w:vMerge w:val="continue"/>
                  <w:noWrap w:val="0"/>
                  <w:vAlign w:val="center"/>
                </w:tcPr>
                <w:p w14:paraId="36DAD05A">
                  <w:pPr>
                    <w:jc w:val="both"/>
                    <w:rPr>
                      <w:rFonts w:hint="default" w:ascii="Times New Roman" w:hAnsi="Times New Roman" w:eastAsia="宋体" w:cs="Times New Roman"/>
                      <w:color w:val="auto"/>
                      <w:szCs w:val="21"/>
                    </w:rPr>
                  </w:pPr>
                </w:p>
              </w:tc>
            </w:tr>
            <w:tr w14:paraId="1DEE9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7CFAC184">
                  <w:pPr>
                    <w:adjustRightInd w:val="0"/>
                    <w:snapToGrid w:val="0"/>
                    <w:jc w:val="center"/>
                    <w:rPr>
                      <w:rFonts w:hint="default" w:ascii="Times New Roman" w:hAnsi="Times New Roman" w:eastAsia="宋体" w:cs="Times New Roman"/>
                      <w:color w:val="auto"/>
                      <w:szCs w:val="21"/>
                    </w:rPr>
                  </w:pPr>
                </w:p>
              </w:tc>
              <w:tc>
                <w:tcPr>
                  <w:tcW w:w="528" w:type="pct"/>
                  <w:vMerge w:val="continue"/>
                  <w:noWrap w:val="0"/>
                  <w:vAlign w:val="center"/>
                </w:tcPr>
                <w:p w14:paraId="15A29270">
                  <w:pPr>
                    <w:adjustRightInd w:val="0"/>
                    <w:snapToGrid w:val="0"/>
                    <w:jc w:val="center"/>
                    <w:rPr>
                      <w:rFonts w:hint="default" w:ascii="Times New Roman" w:hAnsi="Times New Roman" w:eastAsia="宋体" w:cs="Times New Roman"/>
                      <w:color w:val="auto"/>
                      <w:szCs w:val="21"/>
                      <w:lang w:val="en-US" w:eastAsia="zh-CN"/>
                    </w:rPr>
                  </w:pPr>
                </w:p>
              </w:tc>
              <w:tc>
                <w:tcPr>
                  <w:tcW w:w="848" w:type="pct"/>
                  <w:noWrap w:val="0"/>
                  <w:vAlign w:val="center"/>
                </w:tcPr>
                <w:p w14:paraId="33DE3A1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w:t>
                  </w:r>
                </w:p>
                <w:p w14:paraId="75EA1656">
                  <w:pPr>
                    <w:adjustRightInd w:val="0"/>
                    <w:snapToGrid w:val="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eastAsia="zh-CN"/>
                    </w:rPr>
                    <w:t>(</w:t>
                  </w:r>
                  <w:r>
                    <w:rPr>
                      <w:rFonts w:hint="default" w:ascii="Times New Roman" w:hAnsi="Times New Roman" w:eastAsia="宋体" w:cs="Times New Roman"/>
                      <w:color w:val="auto"/>
                      <w:szCs w:val="21"/>
                    </w:rPr>
                    <w:t>DA00</w:t>
                  </w:r>
                  <w:r>
                    <w:rPr>
                      <w:rFonts w:hint="default" w:ascii="Times New Roman" w:hAnsi="Times New Roman" w:cs="Times New Roman"/>
                      <w:color w:val="auto"/>
                      <w:szCs w:val="21"/>
                      <w:lang w:val="en-US" w:eastAsia="zh-CN"/>
                    </w:rPr>
                    <w:t>2</w:t>
                  </w:r>
                  <w:r>
                    <w:rPr>
                      <w:rFonts w:hint="eastAsia" w:ascii="Times New Roman" w:hAnsi="Times New Roman" w:cs="Times New Roman"/>
                      <w:color w:val="auto"/>
                      <w:szCs w:val="21"/>
                      <w:lang w:val="en-US" w:eastAsia="zh-CN"/>
                    </w:rPr>
                    <w:t>)</w:t>
                  </w:r>
                </w:p>
              </w:tc>
              <w:tc>
                <w:tcPr>
                  <w:tcW w:w="821" w:type="pct"/>
                  <w:vMerge w:val="continue"/>
                  <w:noWrap w:val="0"/>
                  <w:vAlign w:val="center"/>
                </w:tcPr>
                <w:p w14:paraId="6363F95C">
                  <w:pPr>
                    <w:adjustRightInd w:val="0"/>
                    <w:snapToGrid w:val="0"/>
                    <w:jc w:val="center"/>
                    <w:rPr>
                      <w:rFonts w:hint="default" w:ascii="Times New Roman" w:hAnsi="Times New Roman" w:eastAsia="宋体" w:cs="Times New Roman"/>
                      <w:color w:val="auto"/>
                      <w:szCs w:val="21"/>
                      <w:lang w:val="en-US" w:eastAsia="zh-CN"/>
                    </w:rPr>
                  </w:pPr>
                </w:p>
              </w:tc>
              <w:tc>
                <w:tcPr>
                  <w:tcW w:w="729" w:type="pct"/>
                  <w:vMerge w:val="continue"/>
                  <w:noWrap w:val="0"/>
                  <w:vAlign w:val="center"/>
                </w:tcPr>
                <w:p w14:paraId="1A47F2BA">
                  <w:pPr>
                    <w:adjustRightInd w:val="0"/>
                    <w:snapToGrid w:val="0"/>
                    <w:jc w:val="center"/>
                    <w:rPr>
                      <w:rFonts w:hint="default" w:ascii="Times New Roman" w:hAnsi="Times New Roman" w:eastAsia="宋体" w:cs="Times New Roman"/>
                      <w:color w:val="auto"/>
                      <w:szCs w:val="21"/>
                    </w:rPr>
                  </w:pPr>
                </w:p>
              </w:tc>
              <w:tc>
                <w:tcPr>
                  <w:tcW w:w="1811" w:type="pct"/>
                  <w:vMerge w:val="continue"/>
                  <w:noWrap w:val="0"/>
                  <w:vAlign w:val="center"/>
                </w:tcPr>
                <w:p w14:paraId="5C66A281">
                  <w:pPr>
                    <w:jc w:val="both"/>
                    <w:rPr>
                      <w:rFonts w:hint="default" w:ascii="Times New Roman" w:hAnsi="Times New Roman" w:eastAsia="宋体" w:cs="Times New Roman"/>
                      <w:color w:val="auto"/>
                      <w:szCs w:val="21"/>
                    </w:rPr>
                  </w:pPr>
                </w:p>
              </w:tc>
            </w:tr>
            <w:tr w14:paraId="41C9D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1E4B455B">
                  <w:pPr>
                    <w:adjustRightInd w:val="0"/>
                    <w:snapToGrid w:val="0"/>
                    <w:jc w:val="center"/>
                    <w:rPr>
                      <w:rFonts w:hint="default" w:ascii="Times New Roman" w:hAnsi="Times New Roman" w:eastAsia="宋体" w:cs="Times New Roman"/>
                      <w:color w:val="auto"/>
                      <w:szCs w:val="21"/>
                    </w:rPr>
                  </w:pPr>
                </w:p>
              </w:tc>
              <w:tc>
                <w:tcPr>
                  <w:tcW w:w="528" w:type="pct"/>
                  <w:vMerge w:val="continue"/>
                  <w:noWrap w:val="0"/>
                  <w:vAlign w:val="center"/>
                </w:tcPr>
                <w:p w14:paraId="569A3B1F">
                  <w:pPr>
                    <w:adjustRightInd w:val="0"/>
                    <w:snapToGrid w:val="0"/>
                    <w:jc w:val="center"/>
                    <w:rPr>
                      <w:rFonts w:hint="default" w:ascii="Times New Roman" w:hAnsi="Times New Roman" w:eastAsia="宋体" w:cs="Times New Roman"/>
                      <w:color w:val="auto"/>
                      <w:szCs w:val="21"/>
                      <w:lang w:val="en-US" w:eastAsia="zh-CN"/>
                    </w:rPr>
                  </w:pPr>
                </w:p>
              </w:tc>
              <w:tc>
                <w:tcPr>
                  <w:tcW w:w="848" w:type="pct"/>
                  <w:vMerge w:val="restart"/>
                  <w:noWrap w:val="0"/>
                  <w:vAlign w:val="center"/>
                </w:tcPr>
                <w:p w14:paraId="1C6F886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w:t>
                  </w:r>
                </w:p>
                <w:p w14:paraId="574349D8">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w:t>
                  </w:r>
                  <w:r>
                    <w:rPr>
                      <w:rFonts w:hint="default" w:ascii="Times New Roman" w:hAnsi="Times New Roman" w:eastAsia="宋体" w:cs="Times New Roman"/>
                      <w:color w:val="auto"/>
                      <w:szCs w:val="21"/>
                    </w:rPr>
                    <w:t>DA00</w:t>
                  </w:r>
                  <w:r>
                    <w:rPr>
                      <w:rFonts w:hint="default" w:ascii="Times New Roman" w:hAnsi="Times New Roman" w:cs="Times New Roman"/>
                      <w:color w:val="auto"/>
                      <w:szCs w:val="21"/>
                      <w:lang w:val="en-US" w:eastAsia="zh-CN"/>
                    </w:rPr>
                    <w:t>3</w:t>
                  </w:r>
                  <w:r>
                    <w:rPr>
                      <w:rFonts w:hint="eastAsia" w:ascii="Times New Roman" w:hAnsi="Times New Roman" w:cs="Times New Roman"/>
                      <w:color w:val="auto"/>
                      <w:szCs w:val="21"/>
                      <w:lang w:val="en-US" w:eastAsia="zh-CN"/>
                    </w:rPr>
                    <w:t>)</w:t>
                  </w:r>
                </w:p>
              </w:tc>
              <w:tc>
                <w:tcPr>
                  <w:tcW w:w="821" w:type="pct"/>
                  <w:noWrap w:val="0"/>
                  <w:vAlign w:val="center"/>
                </w:tcPr>
                <w:p w14:paraId="4FE8D7AB">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颗粒物</w:t>
                  </w:r>
                </w:p>
              </w:tc>
              <w:tc>
                <w:tcPr>
                  <w:tcW w:w="729" w:type="pct"/>
                  <w:noWrap w:val="0"/>
                  <w:vAlign w:val="center"/>
                </w:tcPr>
                <w:p w14:paraId="48F32B2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1" w:type="pct"/>
                  <w:vMerge w:val="restart"/>
                  <w:noWrap w:val="0"/>
                  <w:vAlign w:val="center"/>
                </w:tcPr>
                <w:p w14:paraId="0F2E8B56">
                  <w:pPr>
                    <w:jc w:val="both"/>
                    <w:rPr>
                      <w:rFonts w:hint="default" w:ascii="Times New Roman" w:hAnsi="Times New Roman" w:eastAsia="宋体" w:cs="Times New Roman"/>
                      <w:color w:val="auto"/>
                      <w:szCs w:val="21"/>
                    </w:rPr>
                  </w:pPr>
                  <w:r>
                    <w:rPr>
                      <w:rFonts w:hint="default" w:ascii="Times New Roman" w:hAnsi="Times New Roman" w:eastAsia="宋体" w:cs="Times New Roman"/>
                      <w:bCs/>
                      <w:color w:val="auto"/>
                      <w:kern w:val="0"/>
                      <w:sz w:val="21"/>
                      <w:szCs w:val="21"/>
                    </w:rPr>
                    <w:t>《锅炉大气污染物排放标准》（DB61-1226-2018）表3排放浓度限值</w:t>
                  </w:r>
                </w:p>
              </w:tc>
            </w:tr>
            <w:tr w14:paraId="797C4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46849809">
                  <w:pPr>
                    <w:adjustRightInd w:val="0"/>
                    <w:snapToGrid w:val="0"/>
                    <w:jc w:val="center"/>
                    <w:rPr>
                      <w:rFonts w:hint="default" w:ascii="Times New Roman" w:hAnsi="Times New Roman" w:eastAsia="宋体" w:cs="Times New Roman"/>
                      <w:color w:val="auto"/>
                      <w:szCs w:val="21"/>
                    </w:rPr>
                  </w:pPr>
                </w:p>
              </w:tc>
              <w:tc>
                <w:tcPr>
                  <w:tcW w:w="528" w:type="pct"/>
                  <w:vMerge w:val="continue"/>
                  <w:noWrap w:val="0"/>
                  <w:vAlign w:val="center"/>
                </w:tcPr>
                <w:p w14:paraId="3FADBD1A">
                  <w:pPr>
                    <w:adjustRightInd w:val="0"/>
                    <w:snapToGrid w:val="0"/>
                    <w:jc w:val="center"/>
                    <w:rPr>
                      <w:rFonts w:hint="default" w:ascii="Times New Roman" w:hAnsi="Times New Roman" w:eastAsia="宋体" w:cs="Times New Roman"/>
                      <w:color w:val="auto"/>
                      <w:szCs w:val="21"/>
                      <w:lang w:val="en-US" w:eastAsia="zh-CN"/>
                    </w:rPr>
                  </w:pPr>
                </w:p>
              </w:tc>
              <w:tc>
                <w:tcPr>
                  <w:tcW w:w="848" w:type="pct"/>
                  <w:vMerge w:val="continue"/>
                  <w:noWrap w:val="0"/>
                  <w:vAlign w:val="center"/>
                </w:tcPr>
                <w:p w14:paraId="29BF98EC">
                  <w:pPr>
                    <w:adjustRightInd w:val="0"/>
                    <w:snapToGrid w:val="0"/>
                    <w:jc w:val="center"/>
                    <w:rPr>
                      <w:rFonts w:hint="default" w:ascii="Times New Roman" w:hAnsi="Times New Roman" w:eastAsia="宋体" w:cs="Times New Roman"/>
                      <w:color w:val="auto"/>
                      <w:szCs w:val="21"/>
                    </w:rPr>
                  </w:pPr>
                </w:p>
              </w:tc>
              <w:tc>
                <w:tcPr>
                  <w:tcW w:w="821" w:type="pct"/>
                  <w:noWrap w:val="0"/>
                  <w:vAlign w:val="center"/>
                </w:tcPr>
                <w:p w14:paraId="38DB2836">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二氧化硫</w:t>
                  </w:r>
                </w:p>
              </w:tc>
              <w:tc>
                <w:tcPr>
                  <w:tcW w:w="729" w:type="pct"/>
                  <w:noWrap w:val="0"/>
                  <w:vAlign w:val="center"/>
                </w:tcPr>
                <w:p w14:paraId="0B47C89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1" w:type="pct"/>
                  <w:vMerge w:val="continue"/>
                  <w:noWrap w:val="0"/>
                  <w:vAlign w:val="center"/>
                </w:tcPr>
                <w:p w14:paraId="6BCA5638">
                  <w:pPr>
                    <w:jc w:val="center"/>
                    <w:rPr>
                      <w:rFonts w:hint="default" w:ascii="Times New Roman" w:hAnsi="Times New Roman" w:eastAsia="宋体" w:cs="Times New Roman"/>
                      <w:color w:val="auto"/>
                      <w:szCs w:val="21"/>
                    </w:rPr>
                  </w:pPr>
                </w:p>
              </w:tc>
            </w:tr>
            <w:tr w14:paraId="7A30B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4CEE1833">
                  <w:pPr>
                    <w:adjustRightInd w:val="0"/>
                    <w:snapToGrid w:val="0"/>
                    <w:jc w:val="center"/>
                    <w:rPr>
                      <w:rFonts w:hint="default" w:ascii="Times New Roman" w:hAnsi="Times New Roman" w:eastAsia="宋体" w:cs="Times New Roman"/>
                      <w:color w:val="auto"/>
                      <w:szCs w:val="21"/>
                    </w:rPr>
                  </w:pPr>
                </w:p>
              </w:tc>
              <w:tc>
                <w:tcPr>
                  <w:tcW w:w="528" w:type="pct"/>
                  <w:vMerge w:val="continue"/>
                  <w:noWrap w:val="0"/>
                  <w:vAlign w:val="center"/>
                </w:tcPr>
                <w:p w14:paraId="2D1CE4F4">
                  <w:pPr>
                    <w:adjustRightInd w:val="0"/>
                    <w:snapToGrid w:val="0"/>
                    <w:jc w:val="center"/>
                    <w:rPr>
                      <w:rFonts w:hint="default" w:ascii="Times New Roman" w:hAnsi="Times New Roman" w:eastAsia="宋体" w:cs="Times New Roman"/>
                      <w:color w:val="auto"/>
                      <w:szCs w:val="21"/>
                      <w:lang w:val="en-US" w:eastAsia="zh-CN"/>
                    </w:rPr>
                  </w:pPr>
                </w:p>
              </w:tc>
              <w:tc>
                <w:tcPr>
                  <w:tcW w:w="848" w:type="pct"/>
                  <w:vMerge w:val="continue"/>
                  <w:noWrap w:val="0"/>
                  <w:vAlign w:val="center"/>
                </w:tcPr>
                <w:p w14:paraId="1E3908B0">
                  <w:pPr>
                    <w:adjustRightInd w:val="0"/>
                    <w:snapToGrid w:val="0"/>
                    <w:jc w:val="center"/>
                    <w:rPr>
                      <w:rFonts w:hint="default" w:ascii="Times New Roman" w:hAnsi="Times New Roman" w:eastAsia="宋体" w:cs="Times New Roman"/>
                      <w:color w:val="auto"/>
                      <w:szCs w:val="21"/>
                    </w:rPr>
                  </w:pPr>
                </w:p>
              </w:tc>
              <w:tc>
                <w:tcPr>
                  <w:tcW w:w="821" w:type="pct"/>
                  <w:noWrap w:val="0"/>
                  <w:vAlign w:val="center"/>
                </w:tcPr>
                <w:p w14:paraId="58C1599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氮氧化物</w:t>
                  </w:r>
                </w:p>
              </w:tc>
              <w:tc>
                <w:tcPr>
                  <w:tcW w:w="729" w:type="pct"/>
                  <w:noWrap w:val="0"/>
                  <w:vAlign w:val="center"/>
                </w:tcPr>
                <w:p w14:paraId="0C8B64E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1" w:type="pct"/>
                  <w:vMerge w:val="continue"/>
                  <w:noWrap w:val="0"/>
                  <w:vAlign w:val="center"/>
                </w:tcPr>
                <w:p w14:paraId="41E87F3F">
                  <w:pPr>
                    <w:jc w:val="center"/>
                    <w:rPr>
                      <w:rFonts w:hint="default" w:ascii="Times New Roman" w:hAnsi="Times New Roman" w:eastAsia="宋体" w:cs="Times New Roman"/>
                      <w:color w:val="auto"/>
                      <w:szCs w:val="21"/>
                    </w:rPr>
                  </w:pPr>
                </w:p>
              </w:tc>
            </w:tr>
            <w:tr w14:paraId="45A44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41BD84D9">
                  <w:pPr>
                    <w:adjustRightInd w:val="0"/>
                    <w:snapToGrid w:val="0"/>
                    <w:jc w:val="center"/>
                    <w:rPr>
                      <w:rFonts w:hint="default" w:ascii="Times New Roman" w:hAnsi="Times New Roman" w:eastAsia="宋体" w:cs="Times New Roman"/>
                      <w:color w:val="auto"/>
                      <w:szCs w:val="21"/>
                    </w:rPr>
                  </w:pPr>
                </w:p>
              </w:tc>
              <w:tc>
                <w:tcPr>
                  <w:tcW w:w="528" w:type="pct"/>
                  <w:vMerge w:val="continue"/>
                  <w:noWrap w:val="0"/>
                  <w:vAlign w:val="center"/>
                </w:tcPr>
                <w:p w14:paraId="4F3FC1C4">
                  <w:pPr>
                    <w:adjustRightInd w:val="0"/>
                    <w:snapToGrid w:val="0"/>
                    <w:jc w:val="center"/>
                    <w:rPr>
                      <w:rFonts w:hint="default" w:ascii="Times New Roman" w:hAnsi="Times New Roman" w:eastAsia="宋体" w:cs="Times New Roman"/>
                      <w:color w:val="auto"/>
                      <w:szCs w:val="21"/>
                      <w:lang w:val="en-US" w:eastAsia="zh-CN"/>
                    </w:rPr>
                  </w:pPr>
                </w:p>
              </w:tc>
              <w:tc>
                <w:tcPr>
                  <w:tcW w:w="848" w:type="pct"/>
                  <w:vMerge w:val="continue"/>
                  <w:noWrap w:val="0"/>
                  <w:vAlign w:val="center"/>
                </w:tcPr>
                <w:p w14:paraId="1775E728">
                  <w:pPr>
                    <w:adjustRightInd w:val="0"/>
                    <w:snapToGrid w:val="0"/>
                    <w:jc w:val="center"/>
                    <w:rPr>
                      <w:rFonts w:hint="default" w:ascii="Times New Roman" w:hAnsi="Times New Roman" w:eastAsia="宋体" w:cs="Times New Roman"/>
                      <w:color w:val="auto"/>
                      <w:szCs w:val="21"/>
                    </w:rPr>
                  </w:pPr>
                </w:p>
              </w:tc>
              <w:tc>
                <w:tcPr>
                  <w:tcW w:w="821" w:type="pct"/>
                  <w:noWrap w:val="0"/>
                  <w:vAlign w:val="center"/>
                </w:tcPr>
                <w:p w14:paraId="26B1433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林格曼黑度</w:t>
                  </w:r>
                </w:p>
              </w:tc>
              <w:tc>
                <w:tcPr>
                  <w:tcW w:w="729" w:type="pct"/>
                  <w:noWrap w:val="0"/>
                  <w:vAlign w:val="center"/>
                </w:tcPr>
                <w:p w14:paraId="5B6EE13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1" w:type="pct"/>
                  <w:vMerge w:val="continue"/>
                  <w:noWrap w:val="0"/>
                  <w:vAlign w:val="center"/>
                </w:tcPr>
                <w:p w14:paraId="0943D33B">
                  <w:pPr>
                    <w:jc w:val="both"/>
                    <w:rPr>
                      <w:rFonts w:hint="default" w:ascii="Times New Roman" w:hAnsi="Times New Roman" w:eastAsia="宋体" w:cs="Times New Roman"/>
                      <w:color w:val="auto"/>
                      <w:szCs w:val="21"/>
                    </w:rPr>
                  </w:pPr>
                </w:p>
              </w:tc>
            </w:tr>
            <w:tr w14:paraId="693C2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11D50454">
                  <w:pPr>
                    <w:adjustRightInd w:val="0"/>
                    <w:snapToGrid w:val="0"/>
                    <w:jc w:val="center"/>
                    <w:rPr>
                      <w:rFonts w:hint="default" w:ascii="Times New Roman" w:hAnsi="Times New Roman" w:eastAsia="宋体" w:cs="Times New Roman"/>
                      <w:color w:val="auto"/>
                      <w:szCs w:val="21"/>
                    </w:rPr>
                  </w:pPr>
                </w:p>
              </w:tc>
              <w:tc>
                <w:tcPr>
                  <w:tcW w:w="528" w:type="pct"/>
                  <w:vMerge w:val="continue"/>
                  <w:noWrap w:val="0"/>
                  <w:vAlign w:val="center"/>
                </w:tcPr>
                <w:p w14:paraId="7B824628">
                  <w:pPr>
                    <w:adjustRightInd w:val="0"/>
                    <w:snapToGrid w:val="0"/>
                    <w:jc w:val="center"/>
                    <w:rPr>
                      <w:rFonts w:hint="default" w:ascii="Times New Roman" w:hAnsi="Times New Roman" w:eastAsia="宋体" w:cs="Times New Roman"/>
                      <w:color w:val="auto"/>
                      <w:szCs w:val="21"/>
                      <w:lang w:val="en-US" w:eastAsia="zh-CN"/>
                    </w:rPr>
                  </w:pPr>
                </w:p>
              </w:tc>
              <w:tc>
                <w:tcPr>
                  <w:tcW w:w="848" w:type="pct"/>
                  <w:vMerge w:val="continue"/>
                  <w:noWrap w:val="0"/>
                  <w:vAlign w:val="center"/>
                </w:tcPr>
                <w:p w14:paraId="527551FC">
                  <w:pPr>
                    <w:adjustRightInd w:val="0"/>
                    <w:snapToGrid w:val="0"/>
                    <w:jc w:val="center"/>
                    <w:rPr>
                      <w:rFonts w:hint="default" w:ascii="Times New Roman" w:hAnsi="Times New Roman" w:eastAsia="宋体" w:cs="Times New Roman"/>
                      <w:color w:val="auto"/>
                      <w:szCs w:val="21"/>
                    </w:rPr>
                  </w:pPr>
                </w:p>
              </w:tc>
              <w:tc>
                <w:tcPr>
                  <w:tcW w:w="821" w:type="pct"/>
                  <w:noWrap w:val="0"/>
                  <w:vAlign w:val="center"/>
                </w:tcPr>
                <w:p w14:paraId="4BEC23C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非甲烷总烃</w:t>
                  </w:r>
                </w:p>
              </w:tc>
              <w:tc>
                <w:tcPr>
                  <w:tcW w:w="729" w:type="pct"/>
                  <w:noWrap w:val="0"/>
                  <w:vAlign w:val="center"/>
                </w:tcPr>
                <w:p w14:paraId="44132B1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1" w:type="pct"/>
                  <w:noWrap w:val="0"/>
                  <w:vAlign w:val="center"/>
                </w:tcPr>
                <w:p w14:paraId="0D82AB3D">
                  <w:pPr>
                    <w:adjustRightInd w:val="0"/>
                    <w:snapToGrid w:val="0"/>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default" w:ascii="Times New Roman" w:hAnsi="Times New Roman" w:cs="Times New Roman"/>
                      <w:b w:val="0"/>
                      <w:bCs/>
                      <w:color w:val="auto"/>
                      <w:sz w:val="21"/>
                      <w:szCs w:val="21"/>
                      <w:lang w:val="en-US" w:eastAsia="zh-CN"/>
                    </w:rPr>
                    <w:t>《挥发性有机物排放控制标准》（DB61/T1061-2017）表 1 中表面涂装行业排放浓度限值，</w:t>
                  </w:r>
                </w:p>
              </w:tc>
            </w:tr>
            <w:tr w14:paraId="1569E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6DEAA77E">
                  <w:pPr>
                    <w:adjustRightInd w:val="0"/>
                    <w:snapToGrid w:val="0"/>
                    <w:jc w:val="center"/>
                    <w:rPr>
                      <w:rFonts w:hint="default" w:ascii="Times New Roman" w:hAnsi="Times New Roman" w:eastAsia="宋体" w:cs="Times New Roman"/>
                      <w:color w:val="auto"/>
                      <w:szCs w:val="21"/>
                    </w:rPr>
                  </w:pPr>
                </w:p>
              </w:tc>
              <w:tc>
                <w:tcPr>
                  <w:tcW w:w="528" w:type="pct"/>
                  <w:vMerge w:val="restart"/>
                  <w:noWrap w:val="0"/>
                  <w:vAlign w:val="center"/>
                </w:tcPr>
                <w:p w14:paraId="474E23FA">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无组织</w:t>
                  </w:r>
                </w:p>
              </w:tc>
              <w:tc>
                <w:tcPr>
                  <w:tcW w:w="848" w:type="pct"/>
                  <w:noWrap w:val="0"/>
                  <w:vAlign w:val="center"/>
                </w:tcPr>
                <w:p w14:paraId="39A99DFD">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厂区内，厂房外设置监控点</w:t>
                  </w:r>
                </w:p>
              </w:tc>
              <w:tc>
                <w:tcPr>
                  <w:tcW w:w="821" w:type="pct"/>
                  <w:noWrap w:val="0"/>
                  <w:vAlign w:val="center"/>
                </w:tcPr>
                <w:p w14:paraId="1D7D9149">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非甲烷总烃</w:t>
                  </w:r>
                </w:p>
              </w:tc>
              <w:tc>
                <w:tcPr>
                  <w:tcW w:w="729" w:type="pct"/>
                  <w:noWrap w:val="0"/>
                  <w:vAlign w:val="center"/>
                </w:tcPr>
                <w:p w14:paraId="7349200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1" w:type="pct"/>
                  <w:noWrap w:val="0"/>
                  <w:vAlign w:val="center"/>
                </w:tcPr>
                <w:p w14:paraId="2D6404DA">
                  <w:pPr>
                    <w:adjustRightInd w:val="0"/>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《挥发性有机物无组织排放控制标准》（GB37822-2019），同时需满足《重污染天气重点行业应急减排措施制定技术指南》（环办大气函</w:t>
                  </w:r>
                  <w:r>
                    <w:rPr>
                      <w:rFonts w:hint="default" w:ascii="Times New Roman" w:hAnsi="Times New Roman" w:cs="Times New Roman"/>
                      <w:color w:val="auto"/>
                      <w:szCs w:val="21"/>
                      <w:lang w:val="en-US" w:eastAsia="zh-CN"/>
                    </w:rPr>
                    <w:t>〔2020〕</w:t>
                  </w:r>
                  <w:r>
                    <w:rPr>
                      <w:rFonts w:hint="default" w:ascii="Times New Roman" w:hAnsi="Times New Roman" w:eastAsia="宋体" w:cs="Times New Roman"/>
                      <w:color w:val="auto"/>
                      <w:szCs w:val="21"/>
                      <w:lang w:val="en-US" w:eastAsia="zh-CN"/>
                    </w:rPr>
                    <w:t>（340）号）中工业涂装A级企业“排放限值”要求（排放浓度为6mg/m³、任意一次浓度值不超过20mg/m³。）</w:t>
                  </w:r>
                </w:p>
              </w:tc>
            </w:tr>
            <w:tr w14:paraId="2A8EA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65BFFDA0">
                  <w:pPr>
                    <w:adjustRightInd w:val="0"/>
                    <w:snapToGrid w:val="0"/>
                    <w:jc w:val="center"/>
                    <w:rPr>
                      <w:rFonts w:hint="default" w:ascii="Times New Roman" w:hAnsi="Times New Roman" w:eastAsia="宋体" w:cs="Times New Roman"/>
                      <w:color w:val="auto"/>
                      <w:szCs w:val="21"/>
                    </w:rPr>
                  </w:pPr>
                </w:p>
              </w:tc>
              <w:tc>
                <w:tcPr>
                  <w:tcW w:w="528" w:type="pct"/>
                  <w:vMerge w:val="continue"/>
                  <w:noWrap w:val="0"/>
                  <w:vAlign w:val="center"/>
                </w:tcPr>
                <w:p w14:paraId="73AA306A">
                  <w:pPr>
                    <w:adjustRightInd w:val="0"/>
                    <w:snapToGrid w:val="0"/>
                    <w:jc w:val="center"/>
                    <w:rPr>
                      <w:rFonts w:hint="default" w:ascii="Times New Roman" w:hAnsi="Times New Roman" w:eastAsia="宋体" w:cs="Times New Roman"/>
                      <w:color w:val="auto"/>
                      <w:szCs w:val="21"/>
                      <w:lang w:val="en-US" w:eastAsia="zh-CN"/>
                    </w:rPr>
                  </w:pPr>
                </w:p>
              </w:tc>
              <w:tc>
                <w:tcPr>
                  <w:tcW w:w="848" w:type="pct"/>
                  <w:vMerge w:val="restart"/>
                  <w:noWrap w:val="0"/>
                  <w:vAlign w:val="center"/>
                </w:tcPr>
                <w:p w14:paraId="439AC62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厂界，上风向1个点，下风向3个点</w:t>
                  </w:r>
                </w:p>
              </w:tc>
              <w:tc>
                <w:tcPr>
                  <w:tcW w:w="821" w:type="pct"/>
                  <w:noWrap w:val="0"/>
                  <w:vAlign w:val="center"/>
                </w:tcPr>
                <w:p w14:paraId="18C753E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颗粒物</w:t>
                  </w:r>
                </w:p>
              </w:tc>
              <w:tc>
                <w:tcPr>
                  <w:tcW w:w="729" w:type="pct"/>
                  <w:noWrap w:val="0"/>
                  <w:vAlign w:val="center"/>
                </w:tcPr>
                <w:p w14:paraId="240EF72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1" w:type="pct"/>
                  <w:noWrap w:val="0"/>
                  <w:vAlign w:val="center"/>
                </w:tcPr>
                <w:p w14:paraId="79DF79C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大气污染物综合排放</w:t>
                  </w:r>
                  <w:r>
                    <w:rPr>
                      <w:rFonts w:hint="default" w:ascii="Times New Roman" w:hAnsi="Times New Roman" w:eastAsia="宋体" w:cs="Times New Roman"/>
                      <w:color w:val="auto"/>
                      <w:sz w:val="21"/>
                      <w:szCs w:val="21"/>
                    </w:rPr>
                    <w:t>标准》（GB</w:t>
                  </w:r>
                  <w:r>
                    <w:rPr>
                      <w:rFonts w:hint="default" w:ascii="Times New Roman" w:hAnsi="Times New Roman" w:cs="Times New Roman"/>
                      <w:color w:val="auto"/>
                      <w:sz w:val="21"/>
                      <w:szCs w:val="21"/>
                      <w:lang w:val="en-US" w:eastAsia="zh-CN"/>
                    </w:rPr>
                    <w:t>16297-1996</w:t>
                  </w:r>
                  <w:r>
                    <w:rPr>
                      <w:rFonts w:hint="default" w:ascii="Times New Roman" w:hAnsi="Times New Roman" w:eastAsia="宋体" w:cs="Times New Roman"/>
                      <w:color w:val="auto"/>
                      <w:sz w:val="21"/>
                      <w:szCs w:val="21"/>
                    </w:rPr>
                    <w:t>）</w:t>
                  </w:r>
                  <w:r>
                    <w:rPr>
                      <w:rFonts w:hint="default" w:ascii="Times New Roman" w:hAnsi="Times New Roman" w:cs="Times New Roman"/>
                      <w:b w:val="0"/>
                      <w:bCs/>
                      <w:color w:val="auto"/>
                      <w:sz w:val="21"/>
                      <w:szCs w:val="21"/>
                      <w:lang w:val="en-US" w:eastAsia="zh-CN"/>
                    </w:rPr>
                    <w:t>（</w:t>
                  </w:r>
                  <w:r>
                    <w:rPr>
                      <w:rFonts w:hint="default" w:ascii="Times New Roman" w:hAnsi="Times New Roman" w:eastAsia="宋体" w:cs="Times New Roman"/>
                      <w:color w:val="auto"/>
                      <w:sz w:val="21"/>
                      <w:szCs w:val="21"/>
                      <w:lang w:val="en-US" w:eastAsia="zh-CN"/>
                    </w:rPr>
                    <w:t>排放浓度</w:t>
                  </w:r>
                  <w:r>
                    <w:rPr>
                      <w:rFonts w:hint="default" w:ascii="Times New Roman" w:hAnsi="Times New Roman" w:cs="Times New Roman"/>
                      <w:b w:val="0"/>
                      <w:bCs/>
                      <w:color w:val="auto"/>
                      <w:sz w:val="21"/>
                      <w:szCs w:val="21"/>
                      <w:lang w:val="en-US" w:eastAsia="zh-CN"/>
                    </w:rPr>
                    <w:t>1.0mg/m³）</w:t>
                  </w:r>
                </w:p>
              </w:tc>
            </w:tr>
            <w:tr w14:paraId="68B80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vMerge w:val="continue"/>
                  <w:noWrap w:val="0"/>
                  <w:vAlign w:val="center"/>
                </w:tcPr>
                <w:p w14:paraId="3002E987">
                  <w:pPr>
                    <w:adjustRightInd w:val="0"/>
                    <w:snapToGrid w:val="0"/>
                    <w:jc w:val="center"/>
                    <w:rPr>
                      <w:rFonts w:hint="default" w:ascii="Times New Roman" w:hAnsi="Times New Roman" w:eastAsia="宋体" w:cs="Times New Roman"/>
                      <w:color w:val="auto"/>
                      <w:szCs w:val="21"/>
                    </w:rPr>
                  </w:pPr>
                </w:p>
              </w:tc>
              <w:tc>
                <w:tcPr>
                  <w:tcW w:w="528" w:type="pct"/>
                  <w:vMerge w:val="continue"/>
                  <w:noWrap w:val="0"/>
                  <w:vAlign w:val="center"/>
                </w:tcPr>
                <w:p w14:paraId="5703951F">
                  <w:pPr>
                    <w:adjustRightInd w:val="0"/>
                    <w:snapToGrid w:val="0"/>
                    <w:jc w:val="center"/>
                    <w:rPr>
                      <w:rFonts w:hint="default" w:ascii="Times New Roman" w:hAnsi="Times New Roman" w:eastAsia="宋体" w:cs="Times New Roman"/>
                      <w:color w:val="auto"/>
                      <w:szCs w:val="21"/>
                      <w:lang w:val="en-US" w:eastAsia="zh-CN"/>
                    </w:rPr>
                  </w:pPr>
                </w:p>
              </w:tc>
              <w:tc>
                <w:tcPr>
                  <w:tcW w:w="848" w:type="pct"/>
                  <w:vMerge w:val="continue"/>
                  <w:noWrap w:val="0"/>
                  <w:vAlign w:val="center"/>
                </w:tcPr>
                <w:p w14:paraId="1BAABA95">
                  <w:pPr>
                    <w:adjustRightInd w:val="0"/>
                    <w:snapToGrid w:val="0"/>
                    <w:jc w:val="center"/>
                    <w:rPr>
                      <w:rFonts w:hint="default" w:ascii="Times New Roman" w:hAnsi="Times New Roman" w:eastAsia="宋体" w:cs="Times New Roman"/>
                      <w:color w:val="auto"/>
                      <w:szCs w:val="21"/>
                      <w:lang w:val="en-US" w:eastAsia="zh-CN"/>
                    </w:rPr>
                  </w:pPr>
                </w:p>
              </w:tc>
              <w:tc>
                <w:tcPr>
                  <w:tcW w:w="821" w:type="pct"/>
                  <w:noWrap w:val="0"/>
                  <w:vAlign w:val="center"/>
                </w:tcPr>
                <w:p w14:paraId="3C06BA47">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非甲烷总烃</w:t>
                  </w:r>
                </w:p>
              </w:tc>
              <w:tc>
                <w:tcPr>
                  <w:tcW w:w="729" w:type="pct"/>
                  <w:noWrap w:val="0"/>
                  <w:vAlign w:val="center"/>
                </w:tcPr>
                <w:p w14:paraId="646EE7F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w:t>
                  </w:r>
                  <w:r>
                    <w:rPr>
                      <w:rFonts w:hint="default" w:ascii="Times New Roman" w:hAnsi="Times New Roman" w:cs="Times New Roman"/>
                      <w:color w:val="auto"/>
                      <w:szCs w:val="21"/>
                      <w:lang w:val="en-US" w:eastAsia="zh-CN"/>
                    </w:rPr>
                    <w:t>半</w:t>
                  </w:r>
                  <w:r>
                    <w:rPr>
                      <w:rFonts w:hint="default" w:ascii="Times New Roman" w:hAnsi="Times New Roman" w:eastAsia="宋体" w:cs="Times New Roman"/>
                      <w:color w:val="auto"/>
                      <w:szCs w:val="21"/>
                    </w:rPr>
                    <w:t>a</w:t>
                  </w:r>
                </w:p>
              </w:tc>
              <w:tc>
                <w:tcPr>
                  <w:tcW w:w="1811" w:type="pct"/>
                  <w:noWrap w:val="0"/>
                  <w:vAlign w:val="center"/>
                </w:tcPr>
                <w:p w14:paraId="1F751BC6">
                  <w:pPr>
                    <w:jc w:val="center"/>
                    <w:rPr>
                      <w:rFonts w:hint="default" w:ascii="Times New Roman" w:hAnsi="Times New Roman" w:eastAsia="宋体" w:cs="Times New Roman"/>
                      <w:color w:val="auto"/>
                      <w:szCs w:val="21"/>
                    </w:rPr>
                  </w:pPr>
                  <w:r>
                    <w:rPr>
                      <w:rFonts w:hint="default" w:ascii="Times New Roman" w:hAnsi="Times New Roman" w:cs="Times New Roman"/>
                      <w:b w:val="0"/>
                      <w:bCs/>
                      <w:color w:val="auto"/>
                      <w:sz w:val="21"/>
                      <w:szCs w:val="21"/>
                      <w:lang w:val="en-US" w:eastAsia="zh-CN"/>
                    </w:rPr>
                    <w:t>《挥发性有机物排放控制标准》（DB61/T1061-2017）（</w:t>
                  </w:r>
                  <w:r>
                    <w:rPr>
                      <w:rFonts w:hint="default" w:ascii="Times New Roman" w:hAnsi="Times New Roman" w:eastAsia="宋体" w:cs="Times New Roman"/>
                      <w:color w:val="auto"/>
                      <w:sz w:val="21"/>
                      <w:szCs w:val="21"/>
                      <w:lang w:val="en-US" w:eastAsia="zh-CN"/>
                    </w:rPr>
                    <w:t>排放浓度为</w:t>
                  </w:r>
                  <w:r>
                    <w:rPr>
                      <w:rFonts w:hint="default" w:ascii="Times New Roman" w:hAnsi="Times New Roman" w:cs="Times New Roman"/>
                      <w:b w:val="0"/>
                      <w:bCs/>
                      <w:color w:val="auto"/>
                      <w:sz w:val="21"/>
                      <w:szCs w:val="21"/>
                      <w:lang w:val="en-US" w:eastAsia="zh-CN"/>
                    </w:rPr>
                    <w:t>3mg/m³）</w:t>
                  </w:r>
                </w:p>
              </w:tc>
            </w:tr>
          </w:tbl>
          <w:p w14:paraId="664BCF75">
            <w:pPr>
              <w:keepNext/>
              <w:keepLines/>
              <w:pageBreakBefore w:val="0"/>
              <w:widowControl/>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Cs/>
                <w:color w:val="auto"/>
                <w:sz w:val="24"/>
                <w:szCs w:val="28"/>
              </w:rPr>
            </w:pPr>
            <w:r>
              <w:rPr>
                <w:rFonts w:hint="default" w:ascii="Times New Roman" w:hAnsi="Times New Roman" w:eastAsia="宋体" w:cs="Times New Roman"/>
                <w:b/>
                <w:bCs/>
                <w:color w:val="auto"/>
                <w:kern w:val="2"/>
                <w:sz w:val="28"/>
                <w:szCs w:val="28"/>
                <w:lang w:val="en-US" w:eastAsia="zh-CN" w:bidi="ar-SA"/>
              </w:rPr>
              <w:t>二、运营期废水环境影响和保护措施</w:t>
            </w:r>
          </w:p>
          <w:p w14:paraId="44B08991">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1.废水污染物产生情况</w:t>
            </w:r>
          </w:p>
          <w:p w14:paraId="615F2BFF">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表4-7   废水污染物产生情况一览表</w:t>
            </w:r>
          </w:p>
          <w:tbl>
            <w:tblPr>
              <w:tblStyle w:val="33"/>
              <w:tblW w:w="8557"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711"/>
              <w:gridCol w:w="1312"/>
              <w:gridCol w:w="1658"/>
              <w:gridCol w:w="1797"/>
              <w:gridCol w:w="1413"/>
            </w:tblGrid>
            <w:tr w14:paraId="2F491E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66" w:type="dxa"/>
                  <w:tcBorders>
                    <w:tl2br w:val="nil"/>
                    <w:tr2bl w:val="nil"/>
                  </w:tcBorders>
                  <w:vAlign w:val="center"/>
                </w:tcPr>
                <w:p w14:paraId="54055A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类别</w:t>
                  </w:r>
                </w:p>
              </w:tc>
              <w:tc>
                <w:tcPr>
                  <w:tcW w:w="1711" w:type="dxa"/>
                  <w:tcBorders>
                    <w:tl2br w:val="nil"/>
                    <w:tr2bl w:val="nil"/>
                  </w:tcBorders>
                  <w:vAlign w:val="center"/>
                </w:tcPr>
                <w:p w14:paraId="1A7DA8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产污环节</w:t>
                  </w:r>
                </w:p>
              </w:tc>
              <w:tc>
                <w:tcPr>
                  <w:tcW w:w="1312" w:type="dxa"/>
                  <w:tcBorders>
                    <w:tl2br w:val="nil"/>
                    <w:tr2bl w:val="nil"/>
                  </w:tcBorders>
                  <w:vAlign w:val="center"/>
                </w:tcPr>
                <w:p w14:paraId="76B09F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污染物种类</w:t>
                  </w:r>
                </w:p>
              </w:tc>
              <w:tc>
                <w:tcPr>
                  <w:tcW w:w="1658" w:type="dxa"/>
                  <w:tcBorders>
                    <w:tl2br w:val="nil"/>
                    <w:tr2bl w:val="nil"/>
                  </w:tcBorders>
                  <w:vAlign w:val="center"/>
                </w:tcPr>
                <w:p w14:paraId="604348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废水产生量（t/a）</w:t>
                  </w:r>
                </w:p>
              </w:tc>
              <w:tc>
                <w:tcPr>
                  <w:tcW w:w="1797" w:type="dxa"/>
                  <w:tcBorders>
                    <w:tl2br w:val="nil"/>
                    <w:tr2bl w:val="nil"/>
                  </w:tcBorders>
                  <w:vAlign w:val="center"/>
                </w:tcPr>
                <w:p w14:paraId="724176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产生浓度（mg/L）</w:t>
                  </w:r>
                </w:p>
              </w:tc>
              <w:tc>
                <w:tcPr>
                  <w:tcW w:w="1413" w:type="dxa"/>
                  <w:tcBorders>
                    <w:tl2br w:val="nil"/>
                    <w:tr2bl w:val="nil"/>
                  </w:tcBorders>
                  <w:vAlign w:val="center"/>
                </w:tcPr>
                <w:p w14:paraId="636F8C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t>产生量（t/a）</w:t>
                  </w:r>
                </w:p>
              </w:tc>
            </w:tr>
            <w:tr w14:paraId="4BCCD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66" w:type="dxa"/>
                  <w:vMerge w:val="restart"/>
                  <w:tcBorders>
                    <w:tl2br w:val="nil"/>
                    <w:tr2bl w:val="nil"/>
                  </w:tcBorders>
                  <w:vAlign w:val="center"/>
                </w:tcPr>
                <w:p w14:paraId="3FEBE0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生活污水</w:t>
                  </w:r>
                </w:p>
              </w:tc>
              <w:tc>
                <w:tcPr>
                  <w:tcW w:w="1711" w:type="dxa"/>
                  <w:vMerge w:val="restart"/>
                  <w:tcBorders>
                    <w:tl2br w:val="nil"/>
                    <w:tr2bl w:val="nil"/>
                  </w:tcBorders>
                  <w:vAlign w:val="center"/>
                </w:tcPr>
                <w:p w14:paraId="6179189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生活污水</w:t>
                  </w:r>
                </w:p>
              </w:tc>
              <w:tc>
                <w:tcPr>
                  <w:tcW w:w="1312" w:type="dxa"/>
                  <w:tcBorders>
                    <w:tl2br w:val="nil"/>
                    <w:tr2bl w:val="nil"/>
                  </w:tcBorders>
                  <w:shd w:val="clear" w:color="auto" w:fill="auto"/>
                  <w:vAlign w:val="center"/>
                </w:tcPr>
                <w:p w14:paraId="4FD8ED9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COD</w:t>
                  </w:r>
                </w:p>
              </w:tc>
              <w:tc>
                <w:tcPr>
                  <w:tcW w:w="1658" w:type="dxa"/>
                  <w:vMerge w:val="restart"/>
                  <w:tcBorders>
                    <w:tl2br w:val="nil"/>
                    <w:tr2bl w:val="nil"/>
                  </w:tcBorders>
                  <w:shd w:val="clear" w:color="auto" w:fill="auto"/>
                  <w:vAlign w:val="center"/>
                </w:tcPr>
                <w:p w14:paraId="436BD85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252</w:t>
                  </w:r>
                </w:p>
              </w:tc>
              <w:tc>
                <w:tcPr>
                  <w:tcW w:w="1797" w:type="dxa"/>
                  <w:tcBorders>
                    <w:tl2br w:val="nil"/>
                    <w:tr2bl w:val="nil"/>
                  </w:tcBorders>
                  <w:shd w:val="clear" w:color="auto" w:fill="auto"/>
                  <w:vAlign w:val="center"/>
                </w:tcPr>
                <w:p w14:paraId="5071C78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460</w:t>
                  </w:r>
                </w:p>
              </w:tc>
              <w:tc>
                <w:tcPr>
                  <w:tcW w:w="1413" w:type="dxa"/>
                  <w:tcBorders>
                    <w:tl2br w:val="nil"/>
                    <w:tr2bl w:val="nil"/>
                  </w:tcBorders>
                  <w:shd w:val="clear" w:color="auto" w:fill="auto"/>
                  <w:vAlign w:val="center"/>
                </w:tcPr>
                <w:p w14:paraId="7DE5B7C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0.116</w:t>
                  </w:r>
                </w:p>
              </w:tc>
            </w:tr>
            <w:tr w14:paraId="6E268A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66" w:type="dxa"/>
                  <w:vMerge w:val="continue"/>
                  <w:tcBorders>
                    <w:tl2br w:val="nil"/>
                    <w:tr2bl w:val="nil"/>
                  </w:tcBorders>
                  <w:vAlign w:val="center"/>
                </w:tcPr>
                <w:p w14:paraId="3292D6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711" w:type="dxa"/>
                  <w:vMerge w:val="continue"/>
                  <w:tcBorders>
                    <w:tl2br w:val="nil"/>
                    <w:tr2bl w:val="nil"/>
                  </w:tcBorders>
                  <w:vAlign w:val="center"/>
                </w:tcPr>
                <w:p w14:paraId="4586307D">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12" w:type="dxa"/>
                  <w:tcBorders>
                    <w:tl2br w:val="nil"/>
                    <w:tr2bl w:val="nil"/>
                  </w:tcBorders>
                  <w:shd w:val="clear" w:color="auto" w:fill="auto"/>
                  <w:vAlign w:val="center"/>
                </w:tcPr>
                <w:p w14:paraId="2A90A42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p>
              </w:tc>
              <w:tc>
                <w:tcPr>
                  <w:tcW w:w="1658" w:type="dxa"/>
                  <w:vMerge w:val="continue"/>
                  <w:tcBorders>
                    <w:tl2br w:val="nil"/>
                    <w:tr2bl w:val="nil"/>
                  </w:tcBorders>
                  <w:shd w:val="clear" w:color="auto" w:fill="auto"/>
                  <w:vAlign w:val="center"/>
                </w:tcPr>
                <w:p w14:paraId="44FFC4E4">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797" w:type="dxa"/>
                  <w:tcBorders>
                    <w:tl2br w:val="nil"/>
                    <w:tr2bl w:val="nil"/>
                  </w:tcBorders>
                  <w:shd w:val="clear" w:color="auto" w:fill="auto"/>
                  <w:vAlign w:val="center"/>
                </w:tcPr>
                <w:p w14:paraId="072455C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230</w:t>
                  </w:r>
                </w:p>
              </w:tc>
              <w:tc>
                <w:tcPr>
                  <w:tcW w:w="1413" w:type="dxa"/>
                  <w:tcBorders>
                    <w:tl2br w:val="nil"/>
                    <w:tr2bl w:val="nil"/>
                  </w:tcBorders>
                  <w:shd w:val="clear" w:color="auto" w:fill="auto"/>
                  <w:vAlign w:val="center"/>
                </w:tcPr>
                <w:p w14:paraId="6ABB18E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0.058</w:t>
                  </w:r>
                </w:p>
              </w:tc>
            </w:tr>
            <w:tr w14:paraId="39CAA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66" w:type="dxa"/>
                  <w:vMerge w:val="continue"/>
                  <w:tcBorders>
                    <w:tl2br w:val="nil"/>
                    <w:tr2bl w:val="nil"/>
                  </w:tcBorders>
                  <w:vAlign w:val="center"/>
                </w:tcPr>
                <w:p w14:paraId="332CB5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711" w:type="dxa"/>
                  <w:vMerge w:val="continue"/>
                  <w:tcBorders>
                    <w:tl2br w:val="nil"/>
                    <w:tr2bl w:val="nil"/>
                  </w:tcBorders>
                  <w:vAlign w:val="center"/>
                </w:tcPr>
                <w:p w14:paraId="7472B966">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12" w:type="dxa"/>
                  <w:tcBorders>
                    <w:tl2br w:val="nil"/>
                    <w:tr2bl w:val="nil"/>
                  </w:tcBorders>
                  <w:shd w:val="clear" w:color="auto" w:fill="auto"/>
                  <w:vAlign w:val="center"/>
                </w:tcPr>
                <w:p w14:paraId="14B7D97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w:t>
                  </w:r>
                </w:p>
              </w:tc>
              <w:tc>
                <w:tcPr>
                  <w:tcW w:w="1658" w:type="dxa"/>
                  <w:vMerge w:val="continue"/>
                  <w:tcBorders>
                    <w:tl2br w:val="nil"/>
                    <w:tr2bl w:val="nil"/>
                  </w:tcBorders>
                  <w:shd w:val="clear" w:color="auto" w:fill="auto"/>
                  <w:vAlign w:val="center"/>
                </w:tcPr>
                <w:p w14:paraId="35AEB7E3">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797" w:type="dxa"/>
                  <w:tcBorders>
                    <w:tl2br w:val="nil"/>
                    <w:tr2bl w:val="nil"/>
                  </w:tcBorders>
                  <w:shd w:val="clear" w:color="auto" w:fill="auto"/>
                  <w:vAlign w:val="center"/>
                </w:tcPr>
                <w:p w14:paraId="069A3A5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w:t>
                  </w:r>
                </w:p>
              </w:tc>
              <w:tc>
                <w:tcPr>
                  <w:tcW w:w="1413" w:type="dxa"/>
                  <w:tcBorders>
                    <w:tl2br w:val="nil"/>
                    <w:tr2bl w:val="nil"/>
                  </w:tcBorders>
                  <w:shd w:val="clear" w:color="auto" w:fill="auto"/>
                  <w:vAlign w:val="center"/>
                </w:tcPr>
                <w:p w14:paraId="008333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0.006</w:t>
                  </w:r>
                </w:p>
              </w:tc>
            </w:tr>
            <w:tr w14:paraId="5E74A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66" w:type="dxa"/>
                  <w:vMerge w:val="continue"/>
                  <w:tcBorders>
                    <w:tl2br w:val="nil"/>
                    <w:tr2bl w:val="nil"/>
                  </w:tcBorders>
                  <w:vAlign w:val="center"/>
                </w:tcPr>
                <w:p w14:paraId="1CE5B0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711" w:type="dxa"/>
                  <w:vMerge w:val="continue"/>
                  <w:tcBorders>
                    <w:tl2br w:val="nil"/>
                    <w:tr2bl w:val="nil"/>
                  </w:tcBorders>
                  <w:vAlign w:val="center"/>
                </w:tcPr>
                <w:p w14:paraId="5F9A5458">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12" w:type="dxa"/>
                  <w:tcBorders>
                    <w:tl2br w:val="nil"/>
                    <w:tr2bl w:val="nil"/>
                  </w:tcBorders>
                  <w:shd w:val="clear" w:color="auto" w:fill="auto"/>
                  <w:vAlign w:val="center"/>
                </w:tcPr>
                <w:p w14:paraId="7DCEC600">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总磷</w:t>
                  </w:r>
                </w:p>
              </w:tc>
              <w:tc>
                <w:tcPr>
                  <w:tcW w:w="1658" w:type="dxa"/>
                  <w:vMerge w:val="continue"/>
                  <w:tcBorders>
                    <w:tl2br w:val="nil"/>
                    <w:tr2bl w:val="nil"/>
                  </w:tcBorders>
                  <w:shd w:val="clear" w:color="auto" w:fill="auto"/>
                  <w:vAlign w:val="center"/>
                </w:tcPr>
                <w:p w14:paraId="24324434">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797" w:type="dxa"/>
                  <w:tcBorders>
                    <w:tl2br w:val="nil"/>
                    <w:tr2bl w:val="nil"/>
                  </w:tcBorders>
                  <w:shd w:val="clear" w:color="auto" w:fill="auto"/>
                  <w:vAlign w:val="center"/>
                </w:tcPr>
                <w:p w14:paraId="20C6835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413" w:type="dxa"/>
                  <w:tcBorders>
                    <w:tl2br w:val="nil"/>
                    <w:tr2bl w:val="nil"/>
                  </w:tcBorders>
                  <w:shd w:val="clear" w:color="auto" w:fill="auto"/>
                  <w:vAlign w:val="center"/>
                </w:tcPr>
                <w:p w14:paraId="49E37EE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0.001</w:t>
                  </w:r>
                </w:p>
              </w:tc>
            </w:tr>
            <w:tr w14:paraId="46DE7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66" w:type="dxa"/>
                  <w:vMerge w:val="continue"/>
                  <w:tcBorders>
                    <w:tl2br w:val="nil"/>
                    <w:tr2bl w:val="nil"/>
                  </w:tcBorders>
                  <w:vAlign w:val="center"/>
                </w:tcPr>
                <w:p w14:paraId="2D37F1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711" w:type="dxa"/>
                  <w:vMerge w:val="continue"/>
                  <w:tcBorders>
                    <w:tl2br w:val="nil"/>
                    <w:tr2bl w:val="nil"/>
                  </w:tcBorders>
                  <w:vAlign w:val="center"/>
                </w:tcPr>
                <w:p w14:paraId="565A4814">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12" w:type="dxa"/>
                  <w:tcBorders>
                    <w:tl2br w:val="nil"/>
                    <w:tr2bl w:val="nil"/>
                  </w:tcBorders>
                  <w:shd w:val="clear" w:color="auto" w:fill="auto"/>
                  <w:vAlign w:val="center"/>
                </w:tcPr>
                <w:p w14:paraId="0D488AC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总氮</w:t>
                  </w:r>
                </w:p>
              </w:tc>
              <w:tc>
                <w:tcPr>
                  <w:tcW w:w="1658" w:type="dxa"/>
                  <w:vMerge w:val="continue"/>
                  <w:tcBorders>
                    <w:tl2br w:val="nil"/>
                    <w:tr2bl w:val="nil"/>
                  </w:tcBorders>
                  <w:shd w:val="clear" w:color="auto" w:fill="auto"/>
                  <w:vAlign w:val="center"/>
                </w:tcPr>
                <w:p w14:paraId="4ED7219F">
                  <w:pPr>
                    <w:jc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797" w:type="dxa"/>
                  <w:tcBorders>
                    <w:tl2br w:val="nil"/>
                    <w:tr2bl w:val="nil"/>
                  </w:tcBorders>
                  <w:shd w:val="clear" w:color="auto" w:fill="auto"/>
                  <w:vAlign w:val="center"/>
                </w:tcPr>
                <w:p w14:paraId="4A66A0E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71</w:t>
                  </w:r>
                </w:p>
              </w:tc>
              <w:tc>
                <w:tcPr>
                  <w:tcW w:w="1413" w:type="dxa"/>
                  <w:tcBorders>
                    <w:tl2br w:val="nil"/>
                    <w:tr2bl w:val="nil"/>
                  </w:tcBorders>
                  <w:shd w:val="clear" w:color="auto" w:fill="auto"/>
                  <w:vAlign w:val="center"/>
                </w:tcPr>
                <w:p w14:paraId="3F56815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0.018</w:t>
                  </w:r>
                </w:p>
              </w:tc>
            </w:tr>
          </w:tbl>
          <w:p w14:paraId="2E099269">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2.废水源强核算过程</w:t>
            </w:r>
          </w:p>
          <w:p w14:paraId="7A2BDC5F">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本项目排水采取雨污分流，雨水经厂区雨水排水系统收集后排入市政雨水管网；项目无生产废水。因此，本项目主要产生生活污水。</w:t>
            </w:r>
          </w:p>
          <w:p w14:paraId="0FD865FA">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本项目生活污水产生量为0.84m³/d（252m³/a），经化粪池处理后定期清掏。生活污水污染物产生浓度来源于《生活源产排污核算方法和系数手册》。生活污水经化粪池处理定期清掏。</w:t>
            </w:r>
          </w:p>
          <w:p w14:paraId="01E960FC">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.废水排放及环境影响情况</w:t>
            </w:r>
          </w:p>
          <w:p w14:paraId="2898AF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lang w:val="en-US" w:eastAsia="zh-CN"/>
              </w:rPr>
            </w:pP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生活污水经</w:t>
            </w:r>
            <w:r>
              <w:rPr>
                <w:rFonts w:hint="default" w:ascii="Times New Roman" w:hAnsi="Times New Roman" w:eastAsia="宋体" w:cs="Times New Roman"/>
                <w:b w:val="0"/>
                <w:bCs w:val="0"/>
                <w:i w:val="0"/>
                <w:iCs w:val="0"/>
                <w:color w:val="000000" w:themeColor="text1"/>
                <w:kern w:val="0"/>
                <w:sz w:val="24"/>
                <w:szCs w:val="24"/>
                <w:u w:val="none"/>
                <w:lang w:val="en-US" w:eastAsia="zh-CN" w:bidi="ar"/>
                <w14:textFill>
                  <w14:solidFill>
                    <w14:schemeClr w14:val="tx1"/>
                  </w14:solidFill>
                </w14:textFill>
              </w:rPr>
              <w:t>化粪池</w:t>
            </w:r>
            <w:r>
              <w:rPr>
                <w:rFonts w:hint="default" w:ascii="Times New Roman" w:hAnsi="Times New Roman" w:eastAsia="宋体" w:cs="Times New Roman"/>
                <w:b w:val="0"/>
                <w:bCs w:val="0"/>
                <w:i w:val="0"/>
                <w:iCs w:val="0"/>
                <w:color w:val="000000" w:themeColor="text1"/>
                <w:kern w:val="0"/>
                <w:sz w:val="24"/>
                <w:szCs w:val="24"/>
                <w:u w:val="none"/>
                <w:vertAlign w:val="baseline"/>
                <w:lang w:val="en-US" w:eastAsia="zh-CN" w:bidi="ar"/>
                <w14:textFill>
                  <w14:solidFill>
                    <w14:schemeClr w14:val="tx1"/>
                  </w14:solidFill>
                </w14:textFill>
              </w:rPr>
              <w:t>处理后定期清掏，不外排。综上，本项目运营期废水不外排，不会对周边水环境造成影响。</w:t>
            </w:r>
          </w:p>
          <w:p w14:paraId="307FFDB5">
            <w:pPr>
              <w:keepNext/>
              <w:keepLines/>
              <w:pageBreakBefore w:val="0"/>
              <w:widowControl/>
              <w:kinsoku/>
              <w:wordWrap/>
              <w:overflowPunct/>
              <w:topLinePunct w:val="0"/>
              <w:autoSpaceDE/>
              <w:autoSpaceDN/>
              <w:bidi w:val="0"/>
              <w:adjustRightInd w:val="0"/>
              <w:snapToGrid w:val="0"/>
              <w:spacing w:line="360" w:lineRule="auto"/>
              <w:jc w:val="left"/>
              <w:textAlignment w:val="auto"/>
              <w:outlineLvl w:val="1"/>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三、运营期噪声环境影响和保护措施</w:t>
            </w:r>
          </w:p>
          <w:p w14:paraId="5F0B8F16">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1.噪声源强分析</w:t>
            </w:r>
          </w:p>
          <w:p w14:paraId="64407B55">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w:t>本项目运营期主要噪声源为</w:t>
            </w:r>
            <w:r>
              <w:rPr>
                <w:rFonts w:hint="default" w:ascii="Times New Roman" w:hAnsi="Times New Roman" w:cs="Times New Roman"/>
                <w:color w:val="auto"/>
                <w:sz w:val="24"/>
                <w:lang w:val="en-US" w:eastAsia="zh-CN"/>
              </w:rPr>
              <w:t>生产</w:t>
            </w:r>
            <w:r>
              <w:rPr>
                <w:rFonts w:hint="default" w:ascii="Times New Roman" w:hAnsi="Times New Roman" w:cs="Times New Roman"/>
                <w:color w:val="auto"/>
                <w:sz w:val="24"/>
              </w:rPr>
              <w:t>设备运行过程中产生的</w:t>
            </w:r>
            <w:r>
              <w:rPr>
                <w:rFonts w:hint="default" w:ascii="Times New Roman" w:hAnsi="Times New Roman" w:cs="Times New Roman"/>
                <w:snapToGrid w:val="0"/>
                <w:color w:val="auto"/>
                <w:kern w:val="0"/>
                <w:sz w:val="24"/>
              </w:rPr>
              <w:t>机械噪声。</w:t>
            </w:r>
            <w:r>
              <w:rPr>
                <w:rFonts w:hint="default" w:ascii="Times New Roman" w:hAnsi="Times New Roman" w:cs="Times New Roman"/>
                <w:color w:val="auto"/>
                <w:sz w:val="24"/>
              </w:rPr>
              <w:t>项目单台设备噪声源</w:t>
            </w:r>
            <w:r>
              <w:rPr>
                <w:rFonts w:hint="default" w:ascii="Times New Roman" w:hAnsi="Times New Roman" w:cs="Times New Roman"/>
                <w:color w:val="auto"/>
                <w:sz w:val="24"/>
                <w:lang w:val="en-US" w:eastAsia="zh-CN"/>
              </w:rPr>
              <w:t>的</w:t>
            </w:r>
            <w:r>
              <w:rPr>
                <w:rFonts w:hint="default" w:ascii="Times New Roman" w:hAnsi="Times New Roman" w:cs="Times New Roman"/>
                <w:color w:val="auto"/>
                <w:sz w:val="24"/>
              </w:rPr>
              <w:t>声功率级为75dB（A）</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val="en-US" w:eastAsia="zh-CN"/>
              </w:rPr>
              <w:t>90</w:t>
            </w:r>
            <w:r>
              <w:rPr>
                <w:rFonts w:hint="default" w:ascii="Times New Roman" w:hAnsi="Times New Roman" w:cs="Times New Roman"/>
                <w:color w:val="auto"/>
                <w:sz w:val="24"/>
              </w:rPr>
              <w:t>dB（A）。</w:t>
            </w:r>
            <w:r>
              <w:rPr>
                <w:rFonts w:hint="default" w:ascii="Times New Roman" w:hAnsi="Times New Roman" w:cs="Times New Roman"/>
                <w:color w:val="auto"/>
                <w:sz w:val="24"/>
                <w:lang w:val="en-US" w:eastAsia="zh-CN"/>
              </w:rPr>
              <w:t>以生产车间西南角为坐标原点，本项目</w:t>
            </w:r>
            <w:r>
              <w:rPr>
                <w:rFonts w:hint="default" w:ascii="Times New Roman" w:hAnsi="Times New Roman" w:cs="Times New Roman"/>
                <w:color w:val="auto"/>
                <w:sz w:val="24"/>
              </w:rPr>
              <w:t>各声源声级值详见</w:t>
            </w:r>
            <w:r>
              <w:rPr>
                <w:rFonts w:hint="default" w:ascii="Times New Roman" w:hAnsi="Times New Roman" w:cs="Times New Roman"/>
                <w:color w:val="auto"/>
                <w:sz w:val="24"/>
                <w:szCs w:val="24"/>
                <w:lang w:val="en-US" w:eastAsia="zh-CN"/>
              </w:rPr>
              <w:t>下表</w:t>
            </w:r>
            <w:r>
              <w:rPr>
                <w:rFonts w:hint="default" w:ascii="Times New Roman" w:hAnsi="Times New Roman" w:cs="Times New Roman"/>
                <w:color w:val="auto"/>
                <w:sz w:val="24"/>
                <w:szCs w:val="24"/>
              </w:rPr>
              <w:t>：</w:t>
            </w:r>
          </w:p>
          <w:p w14:paraId="0D54610E">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lang w:val="en-US" w:eastAsia="zh-CN"/>
              </w:rPr>
              <w:t>表4-7  工业企业噪声源强调查清单（室内声源）</w:t>
            </w:r>
          </w:p>
          <w:tbl>
            <w:tblPr>
              <w:tblStyle w:val="3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949"/>
              <w:gridCol w:w="910"/>
              <w:gridCol w:w="856"/>
              <w:gridCol w:w="526"/>
              <w:gridCol w:w="536"/>
              <w:gridCol w:w="558"/>
              <w:gridCol w:w="504"/>
              <w:gridCol w:w="504"/>
              <w:gridCol w:w="910"/>
              <w:gridCol w:w="937"/>
              <w:gridCol w:w="854"/>
            </w:tblGrid>
            <w:tr w14:paraId="67C8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restart"/>
                  <w:noWrap w:val="0"/>
                  <w:vAlign w:val="center"/>
                </w:tcPr>
                <w:p w14:paraId="164F176B">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556" w:type="pct"/>
                  <w:vMerge w:val="restart"/>
                  <w:noWrap w:val="0"/>
                  <w:vAlign w:val="center"/>
                </w:tcPr>
                <w:p w14:paraId="2018736A">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声源名称</w:t>
                  </w:r>
                </w:p>
              </w:tc>
              <w:tc>
                <w:tcPr>
                  <w:tcW w:w="533" w:type="pct"/>
                  <w:vMerge w:val="restart"/>
                  <w:noWrap w:val="0"/>
                  <w:vAlign w:val="center"/>
                </w:tcPr>
                <w:p w14:paraId="71B67FDD">
                  <w:pPr>
                    <w:adjustRightInd w:val="0"/>
                    <w:snapToGrid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声压级/距声压级距离（dB（A）/m）</w:t>
                  </w:r>
                </w:p>
              </w:tc>
              <w:tc>
                <w:tcPr>
                  <w:tcW w:w="501" w:type="pct"/>
                  <w:vMerge w:val="restart"/>
                  <w:noWrap w:val="0"/>
                  <w:vAlign w:val="center"/>
                </w:tcPr>
                <w:p w14:paraId="539CA4A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声源控制措施</w:t>
                  </w:r>
                </w:p>
                <w:p w14:paraId="7B478D56">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949" w:type="pct"/>
                  <w:gridSpan w:val="3"/>
                  <w:noWrap w:val="0"/>
                  <w:vAlign w:val="center"/>
                </w:tcPr>
                <w:p w14:paraId="61EEC224">
                  <w:pPr>
                    <w:adjustRightInd w:val="0"/>
                    <w:snapToGrid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空间相对位置/m</w:t>
                  </w:r>
                </w:p>
              </w:tc>
              <w:tc>
                <w:tcPr>
                  <w:tcW w:w="295" w:type="pct"/>
                  <w:vMerge w:val="restart"/>
                  <w:noWrap w:val="0"/>
                  <w:vAlign w:val="center"/>
                </w:tcPr>
                <w:p w14:paraId="40FBBE1A">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距室内边界距离/m</w:t>
                  </w:r>
                </w:p>
              </w:tc>
              <w:tc>
                <w:tcPr>
                  <w:tcW w:w="295" w:type="pct"/>
                  <w:vMerge w:val="restart"/>
                  <w:noWrap w:val="0"/>
                  <w:vAlign w:val="center"/>
                </w:tcPr>
                <w:p w14:paraId="47D6C43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运行时段</w:t>
                  </w:r>
                </w:p>
                <w:p w14:paraId="1EBCA900">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vMerge w:val="restart"/>
                  <w:noWrap w:val="0"/>
                  <w:vAlign w:val="center"/>
                </w:tcPr>
                <w:p w14:paraId="1464EA24">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建筑物插入损失/dB（A）</w:t>
                  </w:r>
                </w:p>
              </w:tc>
              <w:tc>
                <w:tcPr>
                  <w:tcW w:w="1049" w:type="pct"/>
                  <w:gridSpan w:val="2"/>
                  <w:noWrap w:val="0"/>
                  <w:vAlign w:val="center"/>
                </w:tcPr>
                <w:p w14:paraId="340840BD">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建筑物外噪声</w:t>
                  </w:r>
                </w:p>
              </w:tc>
            </w:tr>
            <w:tr w14:paraId="0C39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noWrap w:val="0"/>
                  <w:vAlign w:val="center"/>
                </w:tcPr>
                <w:p w14:paraId="45803247">
                  <w:pPr>
                    <w:adjustRightInd w:val="0"/>
                    <w:snapToGrid w:val="0"/>
                    <w:spacing w:line="240" w:lineRule="auto"/>
                    <w:jc w:val="center"/>
                    <w:rPr>
                      <w:rFonts w:hint="default" w:ascii="Times New Roman" w:hAnsi="Times New Roman" w:eastAsia="宋体" w:cs="Times New Roman"/>
                      <w:color w:val="auto"/>
                      <w:sz w:val="21"/>
                      <w:szCs w:val="21"/>
                      <w:vertAlign w:val="baseline"/>
                    </w:rPr>
                  </w:pPr>
                </w:p>
              </w:tc>
              <w:tc>
                <w:tcPr>
                  <w:tcW w:w="556" w:type="pct"/>
                  <w:vMerge w:val="continue"/>
                  <w:noWrap w:val="0"/>
                  <w:vAlign w:val="center"/>
                </w:tcPr>
                <w:p w14:paraId="39284282">
                  <w:pPr>
                    <w:adjustRightInd w:val="0"/>
                    <w:snapToGrid w:val="0"/>
                    <w:spacing w:line="240" w:lineRule="auto"/>
                    <w:jc w:val="center"/>
                    <w:rPr>
                      <w:rFonts w:hint="default" w:ascii="Times New Roman" w:hAnsi="Times New Roman" w:eastAsia="宋体" w:cs="Times New Roman"/>
                      <w:color w:val="auto"/>
                      <w:sz w:val="21"/>
                      <w:szCs w:val="21"/>
                      <w:vertAlign w:val="baseline"/>
                    </w:rPr>
                  </w:pPr>
                </w:p>
              </w:tc>
              <w:tc>
                <w:tcPr>
                  <w:tcW w:w="533" w:type="pct"/>
                  <w:vMerge w:val="continue"/>
                  <w:noWrap w:val="0"/>
                  <w:vAlign w:val="center"/>
                </w:tcPr>
                <w:p w14:paraId="4188D1F4">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01" w:type="pct"/>
                  <w:vMerge w:val="continue"/>
                  <w:noWrap w:val="0"/>
                  <w:vAlign w:val="center"/>
                </w:tcPr>
                <w:p w14:paraId="5CB61655">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308" w:type="pct"/>
                  <w:noWrap w:val="0"/>
                  <w:vAlign w:val="center"/>
                </w:tcPr>
                <w:p w14:paraId="68BDE8AC">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X</w:t>
                  </w:r>
                </w:p>
              </w:tc>
              <w:tc>
                <w:tcPr>
                  <w:tcW w:w="314" w:type="pct"/>
                  <w:noWrap w:val="0"/>
                  <w:vAlign w:val="center"/>
                </w:tcPr>
                <w:p w14:paraId="39C2316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Y</w:t>
                  </w:r>
                </w:p>
              </w:tc>
              <w:tc>
                <w:tcPr>
                  <w:tcW w:w="327" w:type="pct"/>
                  <w:noWrap w:val="0"/>
                  <w:vAlign w:val="center"/>
                </w:tcPr>
                <w:p w14:paraId="75D2B233">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Z</w:t>
                  </w:r>
                </w:p>
              </w:tc>
              <w:tc>
                <w:tcPr>
                  <w:tcW w:w="295" w:type="pct"/>
                  <w:vMerge w:val="continue"/>
                  <w:noWrap w:val="0"/>
                  <w:vAlign w:val="center"/>
                </w:tcPr>
                <w:p w14:paraId="094540D3">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p>
              </w:tc>
              <w:tc>
                <w:tcPr>
                  <w:tcW w:w="295" w:type="pct"/>
                  <w:vMerge w:val="continue"/>
                  <w:noWrap w:val="0"/>
                  <w:vAlign w:val="center"/>
                </w:tcPr>
                <w:p w14:paraId="40978BB7">
                  <w:pPr>
                    <w:adjustRightInd w:val="0"/>
                    <w:snapToGrid w:val="0"/>
                    <w:spacing w:line="240" w:lineRule="auto"/>
                    <w:jc w:val="center"/>
                    <w:rPr>
                      <w:rFonts w:hint="default" w:ascii="Times New Roman" w:hAnsi="Times New Roman" w:eastAsia="宋体" w:cs="Times New Roman"/>
                      <w:color w:val="auto"/>
                      <w:sz w:val="21"/>
                      <w:szCs w:val="21"/>
                      <w:vertAlign w:val="baseline"/>
                    </w:rPr>
                  </w:pPr>
                </w:p>
              </w:tc>
              <w:tc>
                <w:tcPr>
                  <w:tcW w:w="533" w:type="pct"/>
                  <w:vMerge w:val="continue"/>
                  <w:noWrap w:val="0"/>
                  <w:vAlign w:val="center"/>
                </w:tcPr>
                <w:p w14:paraId="4D0A5863">
                  <w:pPr>
                    <w:adjustRightInd w:val="0"/>
                    <w:snapToGrid w:val="0"/>
                    <w:spacing w:line="240" w:lineRule="auto"/>
                    <w:jc w:val="center"/>
                    <w:rPr>
                      <w:rFonts w:hint="default" w:ascii="Times New Roman" w:hAnsi="Times New Roman" w:eastAsia="宋体" w:cs="Times New Roman"/>
                      <w:color w:val="auto"/>
                      <w:sz w:val="21"/>
                      <w:szCs w:val="21"/>
                      <w:vertAlign w:val="baseline"/>
                    </w:rPr>
                  </w:pPr>
                </w:p>
              </w:tc>
              <w:tc>
                <w:tcPr>
                  <w:tcW w:w="549" w:type="pct"/>
                  <w:shd w:val="clear" w:color="auto" w:fill="auto"/>
                  <w:noWrap w:val="0"/>
                  <w:vAlign w:val="center"/>
                </w:tcPr>
                <w:p w14:paraId="7B36D4C4">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Cs w:val="21"/>
                    </w:rPr>
                    <w:t>声压级/dB(A)</w:t>
                  </w:r>
                </w:p>
              </w:tc>
              <w:tc>
                <w:tcPr>
                  <w:tcW w:w="500" w:type="pct"/>
                  <w:shd w:val="clear" w:color="auto" w:fill="auto"/>
                  <w:noWrap w:val="0"/>
                  <w:vAlign w:val="center"/>
                </w:tcPr>
                <w:p w14:paraId="423091FB">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Cs w:val="21"/>
                    </w:rPr>
                    <w:t>建筑物外距离</w:t>
                  </w:r>
                </w:p>
              </w:tc>
            </w:tr>
            <w:tr w14:paraId="7070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85" w:type="pct"/>
                  <w:noWrap w:val="0"/>
                  <w:vAlign w:val="center"/>
                </w:tcPr>
                <w:p w14:paraId="6B54C1FE">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556" w:type="pct"/>
                  <w:noWrap w:val="0"/>
                  <w:vAlign w:val="center"/>
                </w:tcPr>
                <w:p w14:paraId="10B8474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激光切割机</w:t>
                  </w:r>
                  <w:r>
                    <w:rPr>
                      <w:rFonts w:hint="default" w:ascii="Times New Roman" w:hAnsi="Times New Roman" w:cs="Times New Roman"/>
                      <w:color w:val="auto"/>
                      <w:sz w:val="21"/>
                      <w:szCs w:val="21"/>
                      <w:lang w:val="en-US" w:eastAsia="zh-CN"/>
                    </w:rPr>
                    <w:t>1</w:t>
                  </w:r>
                </w:p>
              </w:tc>
              <w:tc>
                <w:tcPr>
                  <w:tcW w:w="533" w:type="pct"/>
                  <w:noWrap w:val="0"/>
                  <w:vAlign w:val="center"/>
                </w:tcPr>
                <w:p w14:paraId="65EBEB60">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85/1</w:t>
                  </w:r>
                </w:p>
              </w:tc>
              <w:tc>
                <w:tcPr>
                  <w:tcW w:w="501" w:type="pct"/>
                  <w:vMerge w:val="restart"/>
                  <w:noWrap w:val="0"/>
                  <w:vAlign w:val="center"/>
                </w:tcPr>
                <w:p w14:paraId="14CC7271">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基础减振、厂房隔声</w:t>
                  </w:r>
                </w:p>
              </w:tc>
              <w:tc>
                <w:tcPr>
                  <w:tcW w:w="308" w:type="pct"/>
                  <w:noWrap w:val="0"/>
                  <w:vAlign w:val="center"/>
                </w:tcPr>
                <w:p w14:paraId="74EB8B94">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13</w:t>
                  </w:r>
                </w:p>
              </w:tc>
              <w:tc>
                <w:tcPr>
                  <w:tcW w:w="314" w:type="pct"/>
                  <w:noWrap w:val="0"/>
                  <w:vAlign w:val="center"/>
                </w:tcPr>
                <w:p w14:paraId="5C224FD6">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36</w:t>
                  </w:r>
                </w:p>
              </w:tc>
              <w:tc>
                <w:tcPr>
                  <w:tcW w:w="327" w:type="pct"/>
                  <w:noWrap w:val="0"/>
                  <w:vAlign w:val="center"/>
                </w:tcPr>
                <w:p w14:paraId="72C5CEDA">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95" w:type="pct"/>
                  <w:noWrap w:val="0"/>
                  <w:vAlign w:val="center"/>
                </w:tcPr>
                <w:p w14:paraId="6B4AC688">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4</w:t>
                  </w:r>
                </w:p>
              </w:tc>
              <w:tc>
                <w:tcPr>
                  <w:tcW w:w="295" w:type="pct"/>
                  <w:vMerge w:val="restart"/>
                  <w:noWrap w:val="0"/>
                  <w:vAlign w:val="center"/>
                </w:tcPr>
                <w:p w14:paraId="33B3E59B">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昼</w:t>
                  </w:r>
                </w:p>
              </w:tc>
              <w:tc>
                <w:tcPr>
                  <w:tcW w:w="533" w:type="pct"/>
                  <w:noWrap w:val="0"/>
                  <w:vAlign w:val="center"/>
                </w:tcPr>
                <w:p w14:paraId="05961904">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549" w:type="pct"/>
                  <w:shd w:val="clear" w:color="auto" w:fill="auto"/>
                  <w:noWrap w:val="0"/>
                  <w:vAlign w:val="center"/>
                </w:tcPr>
                <w:p w14:paraId="1139D91C">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53</w:t>
                  </w:r>
                </w:p>
              </w:tc>
              <w:tc>
                <w:tcPr>
                  <w:tcW w:w="500" w:type="pct"/>
                  <w:noWrap w:val="0"/>
                  <w:vAlign w:val="center"/>
                </w:tcPr>
                <w:p w14:paraId="4CF63C7F">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w:t>
                  </w:r>
                </w:p>
              </w:tc>
            </w:tr>
            <w:tr w14:paraId="1AF4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85" w:type="pct"/>
                  <w:noWrap w:val="0"/>
                  <w:vAlign w:val="center"/>
                </w:tcPr>
                <w:p w14:paraId="60EEBC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556" w:type="pct"/>
                  <w:noWrap w:val="0"/>
                  <w:vAlign w:val="center"/>
                </w:tcPr>
                <w:p w14:paraId="6F9711C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激光切割机</w:t>
                  </w:r>
                  <w:r>
                    <w:rPr>
                      <w:rFonts w:hint="default" w:ascii="Times New Roman" w:hAnsi="Times New Roman" w:cs="Times New Roman"/>
                      <w:color w:val="auto"/>
                      <w:sz w:val="21"/>
                      <w:szCs w:val="21"/>
                      <w:lang w:val="en-US" w:eastAsia="zh-CN"/>
                    </w:rPr>
                    <w:t>2</w:t>
                  </w:r>
                </w:p>
              </w:tc>
              <w:tc>
                <w:tcPr>
                  <w:tcW w:w="533" w:type="pct"/>
                  <w:noWrap w:val="0"/>
                  <w:vAlign w:val="center"/>
                </w:tcPr>
                <w:p w14:paraId="2427719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85/1</w:t>
                  </w:r>
                </w:p>
              </w:tc>
              <w:tc>
                <w:tcPr>
                  <w:tcW w:w="501" w:type="pct"/>
                  <w:vMerge w:val="continue"/>
                  <w:noWrap w:val="0"/>
                  <w:vAlign w:val="center"/>
                </w:tcPr>
                <w:p w14:paraId="47240C23">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35DC0DB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w:t>
                  </w:r>
                </w:p>
              </w:tc>
              <w:tc>
                <w:tcPr>
                  <w:tcW w:w="314" w:type="pct"/>
                  <w:noWrap w:val="0"/>
                  <w:vAlign w:val="center"/>
                </w:tcPr>
                <w:p w14:paraId="51677557">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26</w:t>
                  </w:r>
                </w:p>
              </w:tc>
              <w:tc>
                <w:tcPr>
                  <w:tcW w:w="327" w:type="pct"/>
                  <w:noWrap w:val="0"/>
                  <w:vAlign w:val="center"/>
                </w:tcPr>
                <w:p w14:paraId="71793D8D">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95" w:type="pct"/>
                  <w:noWrap w:val="0"/>
                  <w:vAlign w:val="center"/>
                </w:tcPr>
                <w:p w14:paraId="08E1F51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295" w:type="pct"/>
                  <w:vMerge w:val="continue"/>
                  <w:noWrap w:val="0"/>
                  <w:vAlign w:val="center"/>
                </w:tcPr>
                <w:p w14:paraId="3A86A5B9">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1DAF551E">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549" w:type="pct"/>
                  <w:shd w:val="clear" w:color="auto" w:fill="auto"/>
                  <w:noWrap w:val="0"/>
                  <w:vAlign w:val="center"/>
                </w:tcPr>
                <w:p w14:paraId="538300F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53</w:t>
                  </w:r>
                </w:p>
              </w:tc>
              <w:tc>
                <w:tcPr>
                  <w:tcW w:w="500" w:type="pct"/>
                  <w:noWrap w:val="0"/>
                  <w:vAlign w:val="center"/>
                </w:tcPr>
                <w:p w14:paraId="6109C7BE">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w:t>
                  </w:r>
                </w:p>
              </w:tc>
            </w:tr>
            <w:tr w14:paraId="772C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85" w:type="pct"/>
                  <w:noWrap w:val="0"/>
                  <w:vAlign w:val="center"/>
                </w:tcPr>
                <w:p w14:paraId="6DFD18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556" w:type="pct"/>
                  <w:noWrap w:val="0"/>
                  <w:vAlign w:val="center"/>
                </w:tcPr>
                <w:p w14:paraId="6EAB7F54">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火焰切割机</w:t>
                  </w:r>
                </w:p>
              </w:tc>
              <w:tc>
                <w:tcPr>
                  <w:tcW w:w="533" w:type="pct"/>
                  <w:noWrap w:val="0"/>
                  <w:vAlign w:val="center"/>
                </w:tcPr>
                <w:p w14:paraId="021CE405">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85/1</w:t>
                  </w:r>
                </w:p>
              </w:tc>
              <w:tc>
                <w:tcPr>
                  <w:tcW w:w="501" w:type="pct"/>
                  <w:vMerge w:val="continue"/>
                  <w:noWrap w:val="0"/>
                  <w:vAlign w:val="center"/>
                </w:tcPr>
                <w:p w14:paraId="6927BB8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08390150">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w:t>
                  </w:r>
                </w:p>
              </w:tc>
              <w:tc>
                <w:tcPr>
                  <w:tcW w:w="314" w:type="pct"/>
                  <w:noWrap w:val="0"/>
                  <w:vAlign w:val="center"/>
                </w:tcPr>
                <w:p w14:paraId="08DEF87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23</w:t>
                  </w:r>
                </w:p>
              </w:tc>
              <w:tc>
                <w:tcPr>
                  <w:tcW w:w="327" w:type="pct"/>
                  <w:noWrap w:val="0"/>
                  <w:vAlign w:val="center"/>
                </w:tcPr>
                <w:p w14:paraId="043F723A">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95" w:type="pct"/>
                  <w:noWrap w:val="0"/>
                  <w:vAlign w:val="center"/>
                </w:tcPr>
                <w:p w14:paraId="16454A8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295" w:type="pct"/>
                  <w:vMerge w:val="continue"/>
                  <w:noWrap w:val="0"/>
                  <w:vAlign w:val="center"/>
                </w:tcPr>
                <w:p w14:paraId="718D54A5">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166B503F">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549" w:type="pct"/>
                  <w:shd w:val="clear" w:color="auto" w:fill="auto"/>
                  <w:noWrap w:val="0"/>
                  <w:vAlign w:val="center"/>
                </w:tcPr>
                <w:p w14:paraId="34E19118">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53</w:t>
                  </w:r>
                </w:p>
              </w:tc>
              <w:tc>
                <w:tcPr>
                  <w:tcW w:w="500" w:type="pct"/>
                  <w:noWrap w:val="0"/>
                  <w:vAlign w:val="center"/>
                </w:tcPr>
                <w:p w14:paraId="2EBFE29E">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w:t>
                  </w:r>
                </w:p>
              </w:tc>
            </w:tr>
            <w:tr w14:paraId="2FFD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noWrap w:val="0"/>
                  <w:vAlign w:val="center"/>
                </w:tcPr>
                <w:p w14:paraId="712416F0">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556" w:type="pct"/>
                  <w:noWrap w:val="0"/>
                  <w:vAlign w:val="center"/>
                </w:tcPr>
                <w:p w14:paraId="7FE8E898">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lang w:val="en-US" w:eastAsia="zh-CN"/>
                    </w:rPr>
                    <w:t>静电喷塑机1</w:t>
                  </w:r>
                </w:p>
              </w:tc>
              <w:tc>
                <w:tcPr>
                  <w:tcW w:w="533" w:type="pct"/>
                  <w:noWrap w:val="0"/>
                  <w:vAlign w:val="center"/>
                </w:tcPr>
                <w:p w14:paraId="039EC6B4">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75/1</w:t>
                  </w:r>
                </w:p>
              </w:tc>
              <w:tc>
                <w:tcPr>
                  <w:tcW w:w="501" w:type="pct"/>
                  <w:vMerge w:val="restart"/>
                  <w:noWrap w:val="0"/>
                  <w:vAlign w:val="center"/>
                </w:tcPr>
                <w:p w14:paraId="6F1EAB67">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静电喷涂室隔声、厂房隔声</w:t>
                  </w:r>
                </w:p>
              </w:tc>
              <w:tc>
                <w:tcPr>
                  <w:tcW w:w="308" w:type="pct"/>
                  <w:noWrap w:val="0"/>
                  <w:vAlign w:val="center"/>
                </w:tcPr>
                <w:p w14:paraId="32A37F31">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21</w:t>
                  </w:r>
                </w:p>
              </w:tc>
              <w:tc>
                <w:tcPr>
                  <w:tcW w:w="314" w:type="pct"/>
                  <w:noWrap w:val="0"/>
                  <w:vAlign w:val="center"/>
                </w:tcPr>
                <w:p w14:paraId="1E02BBB2">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71</w:t>
                  </w:r>
                </w:p>
              </w:tc>
              <w:tc>
                <w:tcPr>
                  <w:tcW w:w="327" w:type="pct"/>
                  <w:noWrap w:val="0"/>
                  <w:vAlign w:val="center"/>
                </w:tcPr>
                <w:p w14:paraId="057E1F19">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w:t>
                  </w:r>
                </w:p>
              </w:tc>
              <w:tc>
                <w:tcPr>
                  <w:tcW w:w="295" w:type="pct"/>
                  <w:noWrap w:val="0"/>
                  <w:vAlign w:val="center"/>
                </w:tcPr>
                <w:p w14:paraId="6E517D7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6</w:t>
                  </w:r>
                </w:p>
              </w:tc>
              <w:tc>
                <w:tcPr>
                  <w:tcW w:w="295" w:type="pct"/>
                  <w:vMerge w:val="continue"/>
                  <w:noWrap w:val="0"/>
                  <w:vAlign w:val="center"/>
                </w:tcPr>
                <w:p w14:paraId="18F904F7">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26427B06">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20</w:t>
                  </w:r>
                </w:p>
              </w:tc>
              <w:tc>
                <w:tcPr>
                  <w:tcW w:w="549" w:type="pct"/>
                  <w:shd w:val="clear" w:color="auto" w:fill="auto"/>
                  <w:noWrap w:val="0"/>
                  <w:vAlign w:val="center"/>
                </w:tcPr>
                <w:p w14:paraId="77160205">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28</w:t>
                  </w:r>
                </w:p>
              </w:tc>
              <w:tc>
                <w:tcPr>
                  <w:tcW w:w="500" w:type="pct"/>
                  <w:noWrap w:val="0"/>
                  <w:vAlign w:val="center"/>
                </w:tcPr>
                <w:p w14:paraId="78DDCF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color w:val="auto"/>
                      <w:sz w:val="21"/>
                      <w:szCs w:val="21"/>
                      <w:vertAlign w:val="baseline"/>
                      <w:lang w:val="en-US" w:eastAsia="zh-CN"/>
                    </w:rPr>
                    <w:t>12</w:t>
                  </w:r>
                </w:p>
              </w:tc>
            </w:tr>
            <w:tr w14:paraId="5422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1A942C02">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556" w:type="pct"/>
                  <w:noWrap w:val="0"/>
                  <w:vAlign w:val="center"/>
                </w:tcPr>
                <w:p w14:paraId="2BC5FB69">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静电喷塑机2</w:t>
                  </w:r>
                </w:p>
              </w:tc>
              <w:tc>
                <w:tcPr>
                  <w:tcW w:w="533" w:type="pct"/>
                  <w:noWrap w:val="0"/>
                  <w:vAlign w:val="center"/>
                </w:tcPr>
                <w:p w14:paraId="7FD3A58B">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75/1</w:t>
                  </w:r>
                </w:p>
              </w:tc>
              <w:tc>
                <w:tcPr>
                  <w:tcW w:w="501" w:type="pct"/>
                  <w:vMerge w:val="continue"/>
                  <w:noWrap w:val="0"/>
                  <w:vAlign w:val="center"/>
                </w:tcPr>
                <w:p w14:paraId="037FFC9E">
                  <w:pPr>
                    <w:adjustRightInd w:val="0"/>
                    <w:snapToGrid w:val="0"/>
                    <w:spacing w:line="240" w:lineRule="auto"/>
                    <w:jc w:val="center"/>
                    <w:rPr>
                      <w:rFonts w:hint="default" w:ascii="Times New Roman" w:hAnsi="Times New Roman" w:cs="Times New Roman"/>
                      <w:color w:val="auto"/>
                      <w:kern w:val="2"/>
                      <w:sz w:val="21"/>
                      <w:szCs w:val="21"/>
                      <w:vertAlign w:val="baseline"/>
                      <w:lang w:val="en-US" w:eastAsia="zh-CN" w:bidi="ar-SA"/>
                    </w:rPr>
                  </w:pPr>
                </w:p>
              </w:tc>
              <w:tc>
                <w:tcPr>
                  <w:tcW w:w="308" w:type="pct"/>
                  <w:noWrap w:val="0"/>
                  <w:vAlign w:val="center"/>
                </w:tcPr>
                <w:p w14:paraId="352AE4DF">
                  <w:pPr>
                    <w:adjustRightInd w:val="0"/>
                    <w:snapToGrid w:val="0"/>
                    <w:spacing w:line="240" w:lineRule="auto"/>
                    <w:jc w:val="center"/>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18</w:t>
                  </w:r>
                </w:p>
              </w:tc>
              <w:tc>
                <w:tcPr>
                  <w:tcW w:w="314" w:type="pct"/>
                  <w:noWrap w:val="0"/>
                  <w:vAlign w:val="center"/>
                </w:tcPr>
                <w:p w14:paraId="6F839ECF">
                  <w:pPr>
                    <w:adjustRightInd w:val="0"/>
                    <w:snapToGrid w:val="0"/>
                    <w:spacing w:line="240" w:lineRule="auto"/>
                    <w:jc w:val="center"/>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65</w:t>
                  </w:r>
                </w:p>
              </w:tc>
              <w:tc>
                <w:tcPr>
                  <w:tcW w:w="327" w:type="pct"/>
                  <w:noWrap w:val="0"/>
                  <w:vAlign w:val="center"/>
                </w:tcPr>
                <w:p w14:paraId="6928FE46">
                  <w:pPr>
                    <w:adjustRightInd w:val="0"/>
                    <w:snapToGrid w:val="0"/>
                    <w:spacing w:line="240" w:lineRule="auto"/>
                    <w:jc w:val="center"/>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w:t>
                  </w:r>
                </w:p>
              </w:tc>
              <w:tc>
                <w:tcPr>
                  <w:tcW w:w="295" w:type="pct"/>
                  <w:noWrap w:val="0"/>
                  <w:vAlign w:val="center"/>
                </w:tcPr>
                <w:p w14:paraId="1DDD54A4">
                  <w:pPr>
                    <w:adjustRightInd w:val="0"/>
                    <w:snapToGrid w:val="0"/>
                    <w:spacing w:line="240" w:lineRule="auto"/>
                    <w:jc w:val="center"/>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4</w:t>
                  </w:r>
                </w:p>
              </w:tc>
              <w:tc>
                <w:tcPr>
                  <w:tcW w:w="295" w:type="pct"/>
                  <w:vMerge w:val="continue"/>
                  <w:noWrap w:val="0"/>
                  <w:vAlign w:val="center"/>
                </w:tcPr>
                <w:p w14:paraId="787A8EAF">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66F7E5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i w:val="0"/>
                      <w:iCs w:val="0"/>
                      <w:color w:val="auto"/>
                      <w:kern w:val="0"/>
                      <w:sz w:val="22"/>
                      <w:szCs w:val="22"/>
                      <w:u w:val="none"/>
                      <w:lang w:val="en-US" w:eastAsia="zh-CN" w:bidi="ar"/>
                    </w:rPr>
                    <w:t>20</w:t>
                  </w:r>
                </w:p>
              </w:tc>
              <w:tc>
                <w:tcPr>
                  <w:tcW w:w="549" w:type="pct"/>
                  <w:shd w:val="clear" w:color="auto" w:fill="auto"/>
                  <w:noWrap w:val="0"/>
                  <w:vAlign w:val="center"/>
                </w:tcPr>
                <w:p w14:paraId="1F994B61">
                  <w:pPr>
                    <w:adjustRightInd w:val="0"/>
                    <w:snapToGrid w:val="0"/>
                    <w:spacing w:line="240" w:lineRule="auto"/>
                    <w:jc w:val="center"/>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38</w:t>
                  </w:r>
                </w:p>
              </w:tc>
              <w:tc>
                <w:tcPr>
                  <w:tcW w:w="500" w:type="pct"/>
                  <w:noWrap w:val="0"/>
                  <w:vAlign w:val="center"/>
                </w:tcPr>
                <w:p w14:paraId="290000F1">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r>
            <w:tr w14:paraId="140E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1D2792E1">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556" w:type="pct"/>
                  <w:noWrap w:val="0"/>
                  <w:vAlign w:val="center"/>
                </w:tcPr>
                <w:p w14:paraId="31038690">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静电喷塑机3</w:t>
                  </w:r>
                </w:p>
              </w:tc>
              <w:tc>
                <w:tcPr>
                  <w:tcW w:w="533" w:type="pct"/>
                  <w:noWrap w:val="0"/>
                  <w:vAlign w:val="center"/>
                </w:tcPr>
                <w:p w14:paraId="29FFC83F">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75/1</w:t>
                  </w:r>
                </w:p>
              </w:tc>
              <w:tc>
                <w:tcPr>
                  <w:tcW w:w="501" w:type="pct"/>
                  <w:vMerge w:val="continue"/>
                  <w:noWrap w:val="0"/>
                  <w:vAlign w:val="center"/>
                </w:tcPr>
                <w:p w14:paraId="7ABFDFB0">
                  <w:pPr>
                    <w:adjustRightInd w:val="0"/>
                    <w:snapToGrid w:val="0"/>
                    <w:spacing w:line="240" w:lineRule="auto"/>
                    <w:jc w:val="center"/>
                    <w:rPr>
                      <w:rFonts w:hint="default" w:ascii="Times New Roman" w:hAnsi="Times New Roman" w:cs="Times New Roman"/>
                      <w:color w:val="auto"/>
                      <w:kern w:val="2"/>
                      <w:sz w:val="21"/>
                      <w:szCs w:val="21"/>
                      <w:vertAlign w:val="baseline"/>
                      <w:lang w:val="en-US" w:eastAsia="zh-CN" w:bidi="ar-SA"/>
                    </w:rPr>
                  </w:pPr>
                </w:p>
              </w:tc>
              <w:tc>
                <w:tcPr>
                  <w:tcW w:w="308" w:type="pct"/>
                  <w:noWrap w:val="0"/>
                  <w:vAlign w:val="center"/>
                </w:tcPr>
                <w:p w14:paraId="54BC0A3B">
                  <w:pPr>
                    <w:adjustRightInd w:val="0"/>
                    <w:snapToGrid w:val="0"/>
                    <w:spacing w:line="240" w:lineRule="auto"/>
                    <w:jc w:val="center"/>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18</w:t>
                  </w:r>
                </w:p>
              </w:tc>
              <w:tc>
                <w:tcPr>
                  <w:tcW w:w="314" w:type="pct"/>
                  <w:noWrap w:val="0"/>
                  <w:vAlign w:val="center"/>
                </w:tcPr>
                <w:p w14:paraId="0272183F">
                  <w:pPr>
                    <w:adjustRightInd w:val="0"/>
                    <w:snapToGrid w:val="0"/>
                    <w:spacing w:line="240" w:lineRule="auto"/>
                    <w:jc w:val="center"/>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60</w:t>
                  </w:r>
                </w:p>
              </w:tc>
              <w:tc>
                <w:tcPr>
                  <w:tcW w:w="327" w:type="pct"/>
                  <w:noWrap w:val="0"/>
                  <w:vAlign w:val="center"/>
                </w:tcPr>
                <w:p w14:paraId="1B602AA8">
                  <w:pPr>
                    <w:adjustRightInd w:val="0"/>
                    <w:snapToGrid w:val="0"/>
                    <w:spacing w:line="240" w:lineRule="auto"/>
                    <w:jc w:val="center"/>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w:t>
                  </w:r>
                </w:p>
              </w:tc>
              <w:tc>
                <w:tcPr>
                  <w:tcW w:w="295" w:type="pct"/>
                  <w:noWrap w:val="0"/>
                  <w:vAlign w:val="center"/>
                </w:tcPr>
                <w:p w14:paraId="56BC3A00">
                  <w:pPr>
                    <w:adjustRightInd w:val="0"/>
                    <w:snapToGrid w:val="0"/>
                    <w:spacing w:line="240" w:lineRule="auto"/>
                    <w:jc w:val="center"/>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4</w:t>
                  </w:r>
                </w:p>
              </w:tc>
              <w:tc>
                <w:tcPr>
                  <w:tcW w:w="295" w:type="pct"/>
                  <w:vMerge w:val="continue"/>
                  <w:noWrap w:val="0"/>
                  <w:vAlign w:val="center"/>
                </w:tcPr>
                <w:p w14:paraId="776452B3">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4367A0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i w:val="0"/>
                      <w:iCs w:val="0"/>
                      <w:color w:val="auto"/>
                      <w:kern w:val="0"/>
                      <w:sz w:val="22"/>
                      <w:szCs w:val="22"/>
                      <w:u w:val="none"/>
                      <w:lang w:val="en-US" w:eastAsia="zh-CN" w:bidi="ar"/>
                    </w:rPr>
                    <w:t>20</w:t>
                  </w:r>
                </w:p>
              </w:tc>
              <w:tc>
                <w:tcPr>
                  <w:tcW w:w="549" w:type="pct"/>
                  <w:shd w:val="clear" w:color="auto" w:fill="auto"/>
                  <w:noWrap w:val="0"/>
                  <w:vAlign w:val="center"/>
                </w:tcPr>
                <w:p w14:paraId="47EA5A67">
                  <w:pPr>
                    <w:adjustRightInd w:val="0"/>
                    <w:snapToGrid w:val="0"/>
                    <w:spacing w:line="240" w:lineRule="auto"/>
                    <w:jc w:val="center"/>
                    <w:rPr>
                      <w:rFonts w:hint="default" w:ascii="Times New Roman" w:hAnsi="Times New Roman"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38</w:t>
                  </w:r>
                </w:p>
              </w:tc>
              <w:tc>
                <w:tcPr>
                  <w:tcW w:w="500" w:type="pct"/>
                  <w:noWrap w:val="0"/>
                  <w:vAlign w:val="center"/>
                </w:tcPr>
                <w:p w14:paraId="51F8BEAA">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r>
            <w:tr w14:paraId="7791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38CF4F84">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w:t>
                  </w:r>
                </w:p>
              </w:tc>
              <w:tc>
                <w:tcPr>
                  <w:tcW w:w="556" w:type="pct"/>
                  <w:noWrap w:val="0"/>
                  <w:vAlign w:val="center"/>
                </w:tcPr>
                <w:p w14:paraId="0267A947">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空气压缩机1</w:t>
                  </w:r>
                </w:p>
              </w:tc>
              <w:tc>
                <w:tcPr>
                  <w:tcW w:w="533" w:type="pct"/>
                  <w:noWrap w:val="0"/>
                  <w:vAlign w:val="center"/>
                </w:tcPr>
                <w:p w14:paraId="3F887380">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restart"/>
                  <w:noWrap w:val="0"/>
                  <w:vAlign w:val="center"/>
                </w:tcPr>
                <w:p w14:paraId="4B00BC9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基础减振、厂房隔声</w:t>
                  </w:r>
                </w:p>
              </w:tc>
              <w:tc>
                <w:tcPr>
                  <w:tcW w:w="308" w:type="pct"/>
                  <w:noWrap w:val="0"/>
                  <w:vAlign w:val="center"/>
                </w:tcPr>
                <w:p w14:paraId="4DD82855">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42</w:t>
                  </w:r>
                </w:p>
              </w:tc>
              <w:tc>
                <w:tcPr>
                  <w:tcW w:w="314" w:type="pct"/>
                  <w:noWrap w:val="0"/>
                  <w:vAlign w:val="center"/>
                </w:tcPr>
                <w:p w14:paraId="269AF25F">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52</w:t>
                  </w:r>
                </w:p>
              </w:tc>
              <w:tc>
                <w:tcPr>
                  <w:tcW w:w="327" w:type="pct"/>
                  <w:noWrap w:val="0"/>
                  <w:vAlign w:val="center"/>
                </w:tcPr>
                <w:p w14:paraId="08D7309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95" w:type="pct"/>
                  <w:noWrap w:val="0"/>
                  <w:vAlign w:val="center"/>
                </w:tcPr>
                <w:p w14:paraId="54FAC11F">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5</w:t>
                  </w:r>
                </w:p>
              </w:tc>
              <w:tc>
                <w:tcPr>
                  <w:tcW w:w="295" w:type="pct"/>
                  <w:vMerge w:val="continue"/>
                  <w:noWrap w:val="0"/>
                  <w:vAlign w:val="center"/>
                </w:tcPr>
                <w:p w14:paraId="35DD4942">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4A91593E">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20</w:t>
                  </w:r>
                </w:p>
              </w:tc>
              <w:tc>
                <w:tcPr>
                  <w:tcW w:w="549" w:type="pct"/>
                  <w:shd w:val="clear" w:color="auto" w:fill="auto"/>
                  <w:noWrap w:val="0"/>
                  <w:vAlign w:val="center"/>
                </w:tcPr>
                <w:p w14:paraId="5C91E436">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56</w:t>
                  </w:r>
                </w:p>
              </w:tc>
              <w:tc>
                <w:tcPr>
                  <w:tcW w:w="500" w:type="pct"/>
                  <w:noWrap w:val="0"/>
                  <w:vAlign w:val="center"/>
                </w:tcPr>
                <w:p w14:paraId="5B27B3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color w:val="auto"/>
                      <w:sz w:val="21"/>
                      <w:szCs w:val="21"/>
                      <w:vertAlign w:val="baseline"/>
                      <w:lang w:val="en-US" w:eastAsia="zh-CN"/>
                    </w:rPr>
                    <w:t>9</w:t>
                  </w:r>
                </w:p>
              </w:tc>
            </w:tr>
            <w:tr w14:paraId="7060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59CA3E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vertAlign w:val="baseline"/>
                      <w:lang w:val="en-US" w:eastAsia="zh-CN"/>
                    </w:rPr>
                    <w:t>8</w:t>
                  </w:r>
                </w:p>
              </w:tc>
              <w:tc>
                <w:tcPr>
                  <w:tcW w:w="556" w:type="pct"/>
                  <w:noWrap w:val="0"/>
                  <w:vAlign w:val="center"/>
                </w:tcPr>
                <w:p w14:paraId="26F93DFB">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角磨机1</w:t>
                  </w:r>
                </w:p>
              </w:tc>
              <w:tc>
                <w:tcPr>
                  <w:tcW w:w="533" w:type="pct"/>
                  <w:noWrap w:val="0"/>
                  <w:vAlign w:val="center"/>
                </w:tcPr>
                <w:p w14:paraId="658FE2EE">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continue"/>
                  <w:noWrap w:val="0"/>
                  <w:vAlign w:val="center"/>
                </w:tcPr>
                <w:p w14:paraId="7D8CF29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3AAAC605">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47</w:t>
                  </w:r>
                </w:p>
              </w:tc>
              <w:tc>
                <w:tcPr>
                  <w:tcW w:w="314" w:type="pct"/>
                  <w:noWrap w:val="0"/>
                  <w:vAlign w:val="center"/>
                </w:tcPr>
                <w:p w14:paraId="7B00892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18</w:t>
                  </w:r>
                </w:p>
              </w:tc>
              <w:tc>
                <w:tcPr>
                  <w:tcW w:w="327" w:type="pct"/>
                  <w:noWrap w:val="0"/>
                  <w:vAlign w:val="center"/>
                </w:tcPr>
                <w:p w14:paraId="23CCCD8C">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95" w:type="pct"/>
                  <w:noWrap w:val="0"/>
                  <w:vAlign w:val="center"/>
                </w:tcPr>
                <w:p w14:paraId="3D78ED56">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295" w:type="pct"/>
                  <w:vMerge w:val="continue"/>
                  <w:noWrap w:val="0"/>
                  <w:vAlign w:val="center"/>
                </w:tcPr>
                <w:p w14:paraId="00FFE4DE">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708BCB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20</w:t>
                  </w:r>
                </w:p>
              </w:tc>
              <w:tc>
                <w:tcPr>
                  <w:tcW w:w="549" w:type="pct"/>
                  <w:shd w:val="clear" w:color="auto" w:fill="auto"/>
                  <w:noWrap w:val="0"/>
                  <w:vAlign w:val="center"/>
                </w:tcPr>
                <w:p w14:paraId="492E8AF3">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40</w:t>
                  </w:r>
                </w:p>
              </w:tc>
              <w:tc>
                <w:tcPr>
                  <w:tcW w:w="500" w:type="pct"/>
                  <w:noWrap w:val="0"/>
                  <w:vAlign w:val="center"/>
                </w:tcPr>
                <w:p w14:paraId="0F25D7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i w:val="0"/>
                      <w:iCs w:val="0"/>
                      <w:color w:val="auto"/>
                      <w:kern w:val="0"/>
                      <w:sz w:val="22"/>
                      <w:szCs w:val="22"/>
                      <w:u w:val="none"/>
                      <w:lang w:val="en-US" w:eastAsia="zh-CN" w:bidi="ar"/>
                    </w:rPr>
                    <w:t>14</w:t>
                  </w:r>
                </w:p>
              </w:tc>
            </w:tr>
            <w:tr w14:paraId="7569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104C15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vertAlign w:val="baseline"/>
                      <w:lang w:val="en-US" w:eastAsia="zh-CN"/>
                    </w:rPr>
                    <w:t>9</w:t>
                  </w:r>
                </w:p>
              </w:tc>
              <w:tc>
                <w:tcPr>
                  <w:tcW w:w="556" w:type="pct"/>
                  <w:noWrap w:val="0"/>
                  <w:vAlign w:val="center"/>
                </w:tcPr>
                <w:p w14:paraId="1B4923D7">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角磨机2</w:t>
                  </w:r>
                </w:p>
              </w:tc>
              <w:tc>
                <w:tcPr>
                  <w:tcW w:w="533" w:type="pct"/>
                  <w:noWrap w:val="0"/>
                  <w:vAlign w:val="center"/>
                </w:tcPr>
                <w:p w14:paraId="3CB28B57">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continue"/>
                  <w:noWrap w:val="0"/>
                  <w:vAlign w:val="center"/>
                </w:tcPr>
                <w:p w14:paraId="67D26381">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08D7D590">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28</w:t>
                  </w:r>
                </w:p>
              </w:tc>
              <w:tc>
                <w:tcPr>
                  <w:tcW w:w="314" w:type="pct"/>
                  <w:noWrap w:val="0"/>
                  <w:vAlign w:val="center"/>
                </w:tcPr>
                <w:p w14:paraId="11D96EA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21</w:t>
                  </w:r>
                </w:p>
              </w:tc>
              <w:tc>
                <w:tcPr>
                  <w:tcW w:w="327" w:type="pct"/>
                  <w:noWrap w:val="0"/>
                  <w:vAlign w:val="center"/>
                </w:tcPr>
                <w:p w14:paraId="4F97A48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295" w:type="pct"/>
                  <w:noWrap w:val="0"/>
                  <w:vAlign w:val="center"/>
                </w:tcPr>
                <w:p w14:paraId="50DD7880">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w:t>
                  </w:r>
                </w:p>
              </w:tc>
              <w:tc>
                <w:tcPr>
                  <w:tcW w:w="295" w:type="pct"/>
                  <w:vMerge w:val="continue"/>
                  <w:noWrap w:val="0"/>
                  <w:vAlign w:val="center"/>
                </w:tcPr>
                <w:p w14:paraId="733F240E">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345C9E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20</w:t>
                  </w:r>
                </w:p>
              </w:tc>
              <w:tc>
                <w:tcPr>
                  <w:tcW w:w="549" w:type="pct"/>
                  <w:shd w:val="clear" w:color="auto" w:fill="auto"/>
                  <w:noWrap w:val="0"/>
                  <w:vAlign w:val="center"/>
                </w:tcPr>
                <w:p w14:paraId="309C4395">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44</w:t>
                  </w:r>
                </w:p>
              </w:tc>
              <w:tc>
                <w:tcPr>
                  <w:tcW w:w="500" w:type="pct"/>
                  <w:noWrap w:val="0"/>
                  <w:vAlign w:val="center"/>
                </w:tcPr>
                <w:p w14:paraId="6A1C92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color w:val="auto"/>
                      <w:sz w:val="21"/>
                      <w:szCs w:val="21"/>
                      <w:vertAlign w:val="baseline"/>
                      <w:lang w:val="en-US" w:eastAsia="zh-CN"/>
                    </w:rPr>
                    <w:t>4</w:t>
                  </w:r>
                </w:p>
              </w:tc>
            </w:tr>
            <w:tr w14:paraId="5AE0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52650712">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556" w:type="pct"/>
                  <w:noWrap w:val="0"/>
                  <w:vAlign w:val="center"/>
                </w:tcPr>
                <w:p w14:paraId="091C9F6F">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环保设备风机1</w:t>
                  </w:r>
                </w:p>
              </w:tc>
              <w:tc>
                <w:tcPr>
                  <w:tcW w:w="533" w:type="pct"/>
                  <w:noWrap w:val="0"/>
                  <w:vAlign w:val="center"/>
                </w:tcPr>
                <w:p w14:paraId="54A94C5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restart"/>
                  <w:noWrap w:val="0"/>
                  <w:vAlign w:val="center"/>
                </w:tcPr>
                <w:p w14:paraId="761CF42F">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隔声罩、橡胶减振垫、厂房隔声等</w:t>
                  </w:r>
                </w:p>
              </w:tc>
              <w:tc>
                <w:tcPr>
                  <w:tcW w:w="308" w:type="pct"/>
                  <w:noWrap w:val="0"/>
                  <w:vAlign w:val="center"/>
                </w:tcPr>
                <w:p w14:paraId="18C58BDA">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w:t>
                  </w:r>
                </w:p>
              </w:tc>
              <w:tc>
                <w:tcPr>
                  <w:tcW w:w="314" w:type="pct"/>
                  <w:noWrap w:val="0"/>
                  <w:vAlign w:val="center"/>
                </w:tcPr>
                <w:p w14:paraId="6CC63F6B">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23</w:t>
                  </w:r>
                </w:p>
              </w:tc>
              <w:tc>
                <w:tcPr>
                  <w:tcW w:w="327" w:type="pct"/>
                  <w:noWrap w:val="0"/>
                  <w:vAlign w:val="center"/>
                </w:tcPr>
                <w:p w14:paraId="7C159C0B">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c>
                <w:tcPr>
                  <w:tcW w:w="295" w:type="pct"/>
                  <w:noWrap w:val="0"/>
                  <w:vAlign w:val="center"/>
                </w:tcPr>
                <w:p w14:paraId="43CDBFE5">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3</w:t>
                  </w:r>
                </w:p>
              </w:tc>
              <w:tc>
                <w:tcPr>
                  <w:tcW w:w="295" w:type="pct"/>
                  <w:vMerge w:val="continue"/>
                  <w:noWrap w:val="0"/>
                  <w:vAlign w:val="center"/>
                </w:tcPr>
                <w:p w14:paraId="5AE2C93D">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29AF9DF3">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30</w:t>
                  </w:r>
                </w:p>
              </w:tc>
              <w:tc>
                <w:tcPr>
                  <w:tcW w:w="549" w:type="pct"/>
                  <w:shd w:val="clear" w:color="auto" w:fill="auto"/>
                  <w:noWrap w:val="0"/>
                  <w:vAlign w:val="center"/>
                </w:tcPr>
                <w:p w14:paraId="3B814584">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50</w:t>
                  </w:r>
                </w:p>
              </w:tc>
              <w:tc>
                <w:tcPr>
                  <w:tcW w:w="500" w:type="pct"/>
                  <w:noWrap w:val="0"/>
                  <w:vAlign w:val="center"/>
                </w:tcPr>
                <w:p w14:paraId="458998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color w:val="auto"/>
                      <w:sz w:val="21"/>
                      <w:szCs w:val="21"/>
                      <w:vertAlign w:val="baseline"/>
                      <w:lang w:val="en-US" w:eastAsia="zh-CN"/>
                    </w:rPr>
                    <w:t>10</w:t>
                  </w:r>
                </w:p>
              </w:tc>
            </w:tr>
            <w:tr w14:paraId="21E5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3CCC00AD">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11</w:t>
                  </w:r>
                </w:p>
              </w:tc>
              <w:tc>
                <w:tcPr>
                  <w:tcW w:w="556" w:type="pct"/>
                  <w:noWrap w:val="0"/>
                  <w:vAlign w:val="center"/>
                </w:tcPr>
                <w:p w14:paraId="1EBEFF71">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环保设备风机2</w:t>
                  </w:r>
                </w:p>
              </w:tc>
              <w:tc>
                <w:tcPr>
                  <w:tcW w:w="533" w:type="pct"/>
                  <w:noWrap w:val="0"/>
                  <w:vAlign w:val="center"/>
                </w:tcPr>
                <w:p w14:paraId="7F56508B">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continue"/>
                  <w:noWrap w:val="0"/>
                  <w:vAlign w:val="center"/>
                </w:tcPr>
                <w:p w14:paraId="0BDF40FF">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680940C6">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45</w:t>
                  </w:r>
                </w:p>
              </w:tc>
              <w:tc>
                <w:tcPr>
                  <w:tcW w:w="314" w:type="pct"/>
                  <w:noWrap w:val="0"/>
                  <w:vAlign w:val="center"/>
                </w:tcPr>
                <w:p w14:paraId="5B547E63">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45</w:t>
                  </w:r>
                </w:p>
              </w:tc>
              <w:tc>
                <w:tcPr>
                  <w:tcW w:w="327" w:type="pct"/>
                  <w:noWrap w:val="0"/>
                  <w:vAlign w:val="center"/>
                </w:tcPr>
                <w:p w14:paraId="22476945">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c>
                <w:tcPr>
                  <w:tcW w:w="295" w:type="pct"/>
                  <w:noWrap w:val="0"/>
                  <w:vAlign w:val="center"/>
                </w:tcPr>
                <w:p w14:paraId="0ACD90BC">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6</w:t>
                  </w:r>
                </w:p>
              </w:tc>
              <w:tc>
                <w:tcPr>
                  <w:tcW w:w="295" w:type="pct"/>
                  <w:vMerge w:val="continue"/>
                  <w:noWrap w:val="0"/>
                  <w:vAlign w:val="center"/>
                </w:tcPr>
                <w:p w14:paraId="605FDF51">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71CA88B8">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30</w:t>
                  </w:r>
                </w:p>
              </w:tc>
              <w:tc>
                <w:tcPr>
                  <w:tcW w:w="549" w:type="pct"/>
                  <w:shd w:val="clear" w:color="auto" w:fill="auto"/>
                  <w:noWrap w:val="0"/>
                  <w:vAlign w:val="center"/>
                </w:tcPr>
                <w:p w14:paraId="14B77312">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44</w:t>
                  </w:r>
                </w:p>
              </w:tc>
              <w:tc>
                <w:tcPr>
                  <w:tcW w:w="500" w:type="pct"/>
                  <w:noWrap w:val="0"/>
                  <w:vAlign w:val="center"/>
                </w:tcPr>
                <w:p w14:paraId="2D6EA0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color w:val="auto"/>
                      <w:sz w:val="21"/>
                      <w:szCs w:val="21"/>
                      <w:vertAlign w:val="baseline"/>
                      <w:lang w:val="en-US" w:eastAsia="zh-CN"/>
                    </w:rPr>
                    <w:t>12</w:t>
                  </w:r>
                </w:p>
              </w:tc>
            </w:tr>
            <w:tr w14:paraId="3AB3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noWrap w:val="0"/>
                  <w:vAlign w:val="center"/>
                </w:tcPr>
                <w:p w14:paraId="5F9F287D">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w:t>
                  </w:r>
                </w:p>
              </w:tc>
              <w:tc>
                <w:tcPr>
                  <w:tcW w:w="556" w:type="pct"/>
                  <w:noWrap w:val="0"/>
                  <w:vAlign w:val="center"/>
                </w:tcPr>
                <w:p w14:paraId="7037BC87">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环保设备风机3</w:t>
                  </w:r>
                </w:p>
              </w:tc>
              <w:tc>
                <w:tcPr>
                  <w:tcW w:w="533" w:type="pct"/>
                  <w:noWrap w:val="0"/>
                  <w:vAlign w:val="center"/>
                </w:tcPr>
                <w:p w14:paraId="17A47ACE">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continue"/>
                  <w:noWrap w:val="0"/>
                  <w:vAlign w:val="center"/>
                </w:tcPr>
                <w:p w14:paraId="07686EF6">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60086F76">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46</w:t>
                  </w:r>
                </w:p>
              </w:tc>
              <w:tc>
                <w:tcPr>
                  <w:tcW w:w="314" w:type="pct"/>
                  <w:noWrap w:val="0"/>
                  <w:vAlign w:val="center"/>
                </w:tcPr>
                <w:p w14:paraId="5DCDDD41">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38</w:t>
                  </w:r>
                </w:p>
              </w:tc>
              <w:tc>
                <w:tcPr>
                  <w:tcW w:w="327" w:type="pct"/>
                  <w:noWrap w:val="0"/>
                  <w:vAlign w:val="center"/>
                </w:tcPr>
                <w:p w14:paraId="311AAB3E">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c>
                <w:tcPr>
                  <w:tcW w:w="295" w:type="pct"/>
                  <w:noWrap w:val="0"/>
                  <w:vAlign w:val="center"/>
                </w:tcPr>
                <w:p w14:paraId="19BC61B7">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w:t>
                  </w:r>
                </w:p>
              </w:tc>
              <w:tc>
                <w:tcPr>
                  <w:tcW w:w="295" w:type="pct"/>
                  <w:vMerge w:val="continue"/>
                  <w:noWrap w:val="0"/>
                  <w:vAlign w:val="center"/>
                </w:tcPr>
                <w:p w14:paraId="40F0DD41">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1FBAB94C">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30</w:t>
                  </w:r>
                </w:p>
              </w:tc>
              <w:tc>
                <w:tcPr>
                  <w:tcW w:w="549" w:type="pct"/>
                  <w:shd w:val="clear" w:color="auto" w:fill="auto"/>
                  <w:noWrap w:val="0"/>
                  <w:vAlign w:val="center"/>
                </w:tcPr>
                <w:p w14:paraId="0FD8B283">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60</w:t>
                  </w:r>
                </w:p>
              </w:tc>
              <w:tc>
                <w:tcPr>
                  <w:tcW w:w="500" w:type="pct"/>
                  <w:noWrap w:val="0"/>
                  <w:vAlign w:val="center"/>
                </w:tcPr>
                <w:p w14:paraId="51DA44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color w:val="auto"/>
                      <w:sz w:val="21"/>
                      <w:szCs w:val="21"/>
                      <w:vertAlign w:val="baseline"/>
                      <w:lang w:val="en-US" w:eastAsia="zh-CN"/>
                    </w:rPr>
                    <w:t>14</w:t>
                  </w:r>
                </w:p>
              </w:tc>
            </w:tr>
            <w:tr w14:paraId="5F8C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noWrap w:val="0"/>
                  <w:vAlign w:val="center"/>
                </w:tcPr>
                <w:p w14:paraId="24AC4370">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13</w:t>
                  </w:r>
                </w:p>
              </w:tc>
              <w:tc>
                <w:tcPr>
                  <w:tcW w:w="556" w:type="pct"/>
                  <w:noWrap w:val="0"/>
                  <w:vAlign w:val="center"/>
                </w:tcPr>
                <w:p w14:paraId="28D8B6AA">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热风炉风机1</w:t>
                  </w:r>
                </w:p>
              </w:tc>
              <w:tc>
                <w:tcPr>
                  <w:tcW w:w="533" w:type="pct"/>
                  <w:noWrap w:val="0"/>
                  <w:vAlign w:val="center"/>
                </w:tcPr>
                <w:p w14:paraId="609448BA">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continue"/>
                  <w:noWrap w:val="0"/>
                  <w:vAlign w:val="center"/>
                </w:tcPr>
                <w:p w14:paraId="0EA277F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722D9AE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26</w:t>
                  </w:r>
                </w:p>
              </w:tc>
              <w:tc>
                <w:tcPr>
                  <w:tcW w:w="314" w:type="pct"/>
                  <w:noWrap w:val="0"/>
                  <w:vAlign w:val="center"/>
                </w:tcPr>
                <w:p w14:paraId="093011B6">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61</w:t>
                  </w:r>
                </w:p>
              </w:tc>
              <w:tc>
                <w:tcPr>
                  <w:tcW w:w="327" w:type="pct"/>
                  <w:noWrap w:val="0"/>
                  <w:vAlign w:val="center"/>
                </w:tcPr>
                <w:p w14:paraId="216985BB">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0.3</w:t>
                  </w:r>
                </w:p>
              </w:tc>
              <w:tc>
                <w:tcPr>
                  <w:tcW w:w="295" w:type="pct"/>
                  <w:noWrap w:val="0"/>
                  <w:vAlign w:val="center"/>
                </w:tcPr>
                <w:p w14:paraId="14046872">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8</w:t>
                  </w:r>
                </w:p>
              </w:tc>
              <w:tc>
                <w:tcPr>
                  <w:tcW w:w="295" w:type="pct"/>
                  <w:vMerge w:val="continue"/>
                  <w:noWrap w:val="0"/>
                  <w:vAlign w:val="center"/>
                </w:tcPr>
                <w:p w14:paraId="37939EA6">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1B20D9EF">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i w:val="0"/>
                      <w:iCs w:val="0"/>
                      <w:color w:val="auto"/>
                      <w:kern w:val="0"/>
                      <w:sz w:val="22"/>
                      <w:szCs w:val="22"/>
                      <w:u w:val="none"/>
                      <w:lang w:val="en-US" w:eastAsia="zh-CN" w:bidi="ar"/>
                    </w:rPr>
                    <w:t>20</w:t>
                  </w:r>
                </w:p>
              </w:tc>
              <w:tc>
                <w:tcPr>
                  <w:tcW w:w="549" w:type="pct"/>
                  <w:shd w:val="clear" w:color="auto" w:fill="auto"/>
                  <w:noWrap w:val="0"/>
                  <w:vAlign w:val="center"/>
                </w:tcPr>
                <w:p w14:paraId="6A4008FF">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42</w:t>
                  </w:r>
                </w:p>
              </w:tc>
              <w:tc>
                <w:tcPr>
                  <w:tcW w:w="500" w:type="pct"/>
                  <w:noWrap w:val="0"/>
                  <w:vAlign w:val="center"/>
                </w:tcPr>
                <w:p w14:paraId="5A5098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color w:val="auto"/>
                      <w:sz w:val="21"/>
                      <w:szCs w:val="21"/>
                      <w:vertAlign w:val="baseline"/>
                      <w:lang w:val="en-US" w:eastAsia="zh-CN"/>
                    </w:rPr>
                    <w:t>14</w:t>
                  </w:r>
                </w:p>
              </w:tc>
            </w:tr>
            <w:tr w14:paraId="08A0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noWrap w:val="0"/>
                  <w:vAlign w:val="center"/>
                </w:tcPr>
                <w:p w14:paraId="228CAA67">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14</w:t>
                  </w:r>
                </w:p>
              </w:tc>
              <w:tc>
                <w:tcPr>
                  <w:tcW w:w="556" w:type="pct"/>
                  <w:noWrap w:val="0"/>
                  <w:vAlign w:val="center"/>
                </w:tcPr>
                <w:p w14:paraId="3B132D72">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热风炉风机1</w:t>
                  </w:r>
                </w:p>
              </w:tc>
              <w:tc>
                <w:tcPr>
                  <w:tcW w:w="533" w:type="pct"/>
                  <w:noWrap w:val="0"/>
                  <w:vAlign w:val="center"/>
                </w:tcPr>
                <w:p w14:paraId="38277ABA">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90/1</w:t>
                  </w:r>
                </w:p>
              </w:tc>
              <w:tc>
                <w:tcPr>
                  <w:tcW w:w="501" w:type="pct"/>
                  <w:vMerge w:val="continue"/>
                  <w:noWrap w:val="0"/>
                  <w:vAlign w:val="center"/>
                </w:tcPr>
                <w:p w14:paraId="2AAA72A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8" w:type="pct"/>
                  <w:noWrap w:val="0"/>
                  <w:vAlign w:val="center"/>
                </w:tcPr>
                <w:p w14:paraId="62130437">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54</w:t>
                  </w:r>
                </w:p>
              </w:tc>
              <w:tc>
                <w:tcPr>
                  <w:tcW w:w="314" w:type="pct"/>
                  <w:noWrap w:val="0"/>
                  <w:vAlign w:val="center"/>
                </w:tcPr>
                <w:p w14:paraId="7CF4EC34">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61</w:t>
                  </w:r>
                </w:p>
              </w:tc>
              <w:tc>
                <w:tcPr>
                  <w:tcW w:w="327" w:type="pct"/>
                  <w:noWrap w:val="0"/>
                  <w:vAlign w:val="center"/>
                </w:tcPr>
                <w:p w14:paraId="26CEF1D0">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w:t>
                  </w:r>
                </w:p>
              </w:tc>
              <w:tc>
                <w:tcPr>
                  <w:tcW w:w="295" w:type="pct"/>
                  <w:noWrap w:val="0"/>
                  <w:vAlign w:val="center"/>
                </w:tcPr>
                <w:p w14:paraId="68E99CAB">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w:t>
                  </w:r>
                </w:p>
              </w:tc>
              <w:tc>
                <w:tcPr>
                  <w:tcW w:w="295" w:type="pct"/>
                  <w:vMerge w:val="continue"/>
                  <w:noWrap w:val="0"/>
                  <w:vAlign w:val="center"/>
                </w:tcPr>
                <w:p w14:paraId="6033BDF8">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3" w:type="pct"/>
                  <w:noWrap w:val="0"/>
                  <w:vAlign w:val="center"/>
                </w:tcPr>
                <w:p w14:paraId="26C1AA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cs="Times New Roman"/>
                      <w:i w:val="0"/>
                      <w:iCs w:val="0"/>
                      <w:color w:val="auto"/>
                      <w:kern w:val="0"/>
                      <w:sz w:val="22"/>
                      <w:szCs w:val="22"/>
                      <w:u w:val="none"/>
                      <w:lang w:val="en-US" w:eastAsia="zh-CN" w:bidi="ar"/>
                    </w:rPr>
                    <w:t>20</w:t>
                  </w:r>
                </w:p>
              </w:tc>
              <w:tc>
                <w:tcPr>
                  <w:tcW w:w="549" w:type="pct"/>
                  <w:shd w:val="clear" w:color="auto" w:fill="auto"/>
                  <w:noWrap w:val="0"/>
                  <w:vAlign w:val="center"/>
                </w:tcPr>
                <w:p w14:paraId="5AD9C88C">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w:t>
                  </w:r>
                </w:p>
              </w:tc>
              <w:tc>
                <w:tcPr>
                  <w:tcW w:w="500" w:type="pct"/>
                  <w:noWrap w:val="0"/>
                  <w:vAlign w:val="center"/>
                </w:tcPr>
                <w:p w14:paraId="5A2E3C4C">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r>
          </w:tbl>
          <w:p w14:paraId="55EB9671">
            <w:pPr>
              <w:adjustRightInd w:val="0"/>
              <w:snapToGrid w:val="0"/>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eastAsia="zh-CN"/>
              </w:rPr>
              <w:t>2</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rPr>
              <w:t>降噪治理措施</w:t>
            </w:r>
          </w:p>
          <w:p w14:paraId="50820FC6">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①生产设施均设置在厂房内，采用建筑物隔声，防止噪声的扩散和传播，并避免高噪声设备集中放置；生产作业时尽量避免开窗，以增强隔声效果</w:t>
            </w:r>
            <w:r>
              <w:rPr>
                <w:rFonts w:hint="default" w:ascii="Times New Roman" w:hAnsi="Times New Roman" w:cs="Times New Roman"/>
                <w:color w:val="auto"/>
                <w:sz w:val="24"/>
                <w:szCs w:val="24"/>
              </w:rPr>
              <w:t>；</w:t>
            </w:r>
          </w:p>
          <w:p w14:paraId="302E7123">
            <w:pPr>
              <w:adjustRightInd w:val="0"/>
              <w:snapToGrid w:val="0"/>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②</w:t>
            </w:r>
            <w:r>
              <w:rPr>
                <w:rFonts w:hint="default" w:ascii="Times New Roman" w:hAnsi="Times New Roman" w:cs="Times New Roman"/>
                <w:color w:val="auto"/>
                <w:sz w:val="24"/>
                <w:szCs w:val="24"/>
              </w:rPr>
              <w:t>对原辅料、成品的装卸做到轻拿轻放，从而降低噪声的传播</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厂区内建筑隔声</w:t>
            </w:r>
            <w:r>
              <w:rPr>
                <w:rFonts w:hint="default" w:ascii="Times New Roman" w:hAnsi="Times New Roman" w:cs="Times New Roman"/>
                <w:color w:val="auto"/>
                <w:kern w:val="0"/>
                <w:sz w:val="24"/>
                <w:szCs w:val="24"/>
              </w:rPr>
              <w:t>；</w:t>
            </w:r>
          </w:p>
          <w:p w14:paraId="0D449B77">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③</w:t>
            </w:r>
            <w:r>
              <w:rPr>
                <w:rFonts w:hint="default" w:ascii="Times New Roman" w:hAnsi="Times New Roman" w:cs="Times New Roman"/>
                <w:color w:val="auto"/>
                <w:sz w:val="24"/>
                <w:szCs w:val="24"/>
                <w:lang w:val="en-US" w:eastAsia="zh-CN"/>
              </w:rPr>
              <w:t>静电喷涂机在静电喷涂室内进行，通过喷涂室、厂房隔声，减少噪声传播。</w:t>
            </w:r>
          </w:p>
          <w:p w14:paraId="225A1805">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④对厂内环保设备风机采取隔声罩、橡胶减振垫等措施，并安装于厂房内；</w:t>
            </w:r>
          </w:p>
          <w:p w14:paraId="0C75FA5F">
            <w:pPr>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⑤对空压机下方设置基础减振，并安装于厂房内；</w:t>
            </w:r>
          </w:p>
          <w:p w14:paraId="31C18463">
            <w:pP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kern w:val="0"/>
                <w:sz w:val="24"/>
                <w:szCs w:val="24"/>
                <w:lang w:val="en-US" w:eastAsia="zh-CN"/>
              </w:rPr>
              <w:t>⑥</w:t>
            </w:r>
            <w:r>
              <w:rPr>
                <w:rFonts w:hint="default" w:ascii="Times New Roman" w:hAnsi="Times New Roman" w:cs="Times New Roman"/>
                <w:color w:val="auto"/>
                <w:kern w:val="0"/>
                <w:sz w:val="24"/>
                <w:szCs w:val="24"/>
              </w:rPr>
              <w:t>加强设备的维护和保养，确保设备处于良好的运转状态</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预防维修不良的机械设备因部件</w:t>
            </w:r>
            <w:r>
              <w:rPr>
                <w:rFonts w:hint="default" w:ascii="Times New Roman" w:hAnsi="Times New Roman" w:cs="Times New Roman"/>
                <w:color w:val="auto"/>
                <w:kern w:val="0"/>
                <w:sz w:val="24"/>
                <w:szCs w:val="24"/>
                <w:lang w:eastAsia="zh-CN"/>
              </w:rPr>
              <w:t>振动</w:t>
            </w:r>
            <w:r>
              <w:rPr>
                <w:rFonts w:hint="default" w:ascii="Times New Roman" w:hAnsi="Times New Roman" w:cs="Times New Roman"/>
                <w:color w:val="auto"/>
                <w:kern w:val="0"/>
                <w:sz w:val="24"/>
                <w:szCs w:val="24"/>
              </w:rPr>
              <w:t>而增加其工作噪声，从而在声源处达到降噪措施</w:t>
            </w:r>
            <w:r>
              <w:rPr>
                <w:rFonts w:hint="default" w:ascii="Times New Roman" w:hAnsi="Times New Roman" w:cs="Times New Roman"/>
                <w:color w:val="auto"/>
                <w:kern w:val="0"/>
                <w:sz w:val="24"/>
                <w:szCs w:val="24"/>
                <w:lang w:eastAsia="zh-CN"/>
              </w:rPr>
              <w:t>。</w:t>
            </w:r>
          </w:p>
          <w:p w14:paraId="10728992">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3</w:t>
            </w:r>
            <w:r>
              <w:rPr>
                <w:rFonts w:hint="default" w:ascii="Times New Roman" w:hAnsi="Times New Roman" w:eastAsia="宋体" w:cs="Times New Roman"/>
                <w:b/>
                <w:bCs/>
                <w:color w:val="auto"/>
                <w:sz w:val="24"/>
                <w:szCs w:val="24"/>
                <w:lang w:val="en-US" w:eastAsia="zh-CN"/>
              </w:rPr>
              <w:t>.预测模式</w:t>
            </w:r>
          </w:p>
          <w:p w14:paraId="0F657E14">
            <w:pPr>
              <w:widowControl/>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（1）预测方法</w:t>
            </w:r>
          </w:p>
          <w:p w14:paraId="5F705434">
            <w:pPr>
              <w:widowControl/>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①</w:t>
            </w:r>
            <w:r>
              <w:rPr>
                <w:rFonts w:hint="default" w:ascii="Times New Roman" w:hAnsi="Times New Roman" w:cs="Times New Roman"/>
                <w:bCs/>
                <w:color w:val="auto"/>
                <w:sz w:val="24"/>
              </w:rPr>
              <w:t>预测方案</w:t>
            </w:r>
          </w:p>
          <w:p w14:paraId="3C3966A5">
            <w:pPr>
              <w:widowControl/>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A.</w:t>
            </w:r>
            <w:r>
              <w:rPr>
                <w:rFonts w:hint="default" w:ascii="Times New Roman" w:hAnsi="Times New Roman" w:cs="Times New Roman"/>
                <w:bCs/>
                <w:color w:val="auto"/>
                <w:sz w:val="24"/>
              </w:rPr>
              <w:t>本次评价对厂界昼间噪声达标性进行预测分析。</w:t>
            </w:r>
          </w:p>
          <w:p w14:paraId="2477DCD9">
            <w:pPr>
              <w:widowControl/>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B.</w:t>
            </w:r>
            <w:r>
              <w:rPr>
                <w:rFonts w:hint="default" w:ascii="Times New Roman" w:hAnsi="Times New Roman" w:cs="Times New Roman"/>
                <w:bCs/>
                <w:color w:val="auto"/>
                <w:sz w:val="24"/>
              </w:rPr>
              <w:t>厂界以工程噪声贡献值作为评价量。</w:t>
            </w:r>
          </w:p>
          <w:p w14:paraId="544D53AD">
            <w:pPr>
              <w:widowControl/>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②</w:t>
            </w:r>
            <w:r>
              <w:rPr>
                <w:rFonts w:hint="default" w:ascii="Times New Roman" w:hAnsi="Times New Roman" w:cs="Times New Roman"/>
                <w:bCs/>
                <w:color w:val="auto"/>
                <w:sz w:val="24"/>
              </w:rPr>
              <w:t>预测模式</w:t>
            </w:r>
          </w:p>
          <w:p w14:paraId="07FE014D">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按照《环境影响评价技术导则 声环境》（HJ2.4—2021）中推荐的模式进行预测计算。</w:t>
            </w:r>
          </w:p>
          <w:p w14:paraId="01C01C76">
            <w:pPr>
              <w:widowControl/>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kern w:val="0"/>
                <w:sz w:val="24"/>
              </w:rPr>
              <w:t>靠近室外围护结构处的噪声级的计算</w:t>
            </w:r>
          </w:p>
          <w:p w14:paraId="5D39818B">
            <w:pPr>
              <w:widowControl/>
              <w:spacing w:line="360" w:lineRule="auto"/>
              <w:jc w:val="center"/>
              <w:rPr>
                <w:rFonts w:hint="default" w:ascii="Times New Roman" w:hAnsi="Times New Roman" w:cs="Times New Roman"/>
                <w:i/>
                <w:iCs/>
                <w:color w:val="auto"/>
                <w:kern w:val="0"/>
                <w:sz w:val="24"/>
              </w:rPr>
            </w:pPr>
            <w:r>
              <w:rPr>
                <w:rFonts w:hint="default" w:ascii="Times New Roman" w:hAnsi="Times New Roman" w:cs="Times New Roman"/>
                <w:i/>
                <w:iCs/>
                <w:color w:val="auto"/>
                <w:kern w:val="0"/>
                <w:sz w:val="24"/>
              </w:rPr>
              <w:t>L</w:t>
            </w:r>
            <w:r>
              <w:rPr>
                <w:rFonts w:hint="default" w:ascii="Times New Roman" w:hAnsi="Times New Roman" w:cs="Times New Roman"/>
                <w:i/>
                <w:iCs/>
                <w:color w:val="auto"/>
                <w:kern w:val="0"/>
                <w:sz w:val="24"/>
                <w:vertAlign w:val="subscript"/>
              </w:rPr>
              <w:t>p2i</w:t>
            </w:r>
            <w:r>
              <w:rPr>
                <w:rFonts w:hint="eastAsia" w:ascii="Times New Roman" w:hAnsi="Times New Roman" w:cs="Times New Roman"/>
                <w:i/>
                <w:iCs/>
                <w:color w:val="auto"/>
                <w:kern w:val="0"/>
                <w:sz w:val="24"/>
                <w:vertAlign w:val="subscript"/>
                <w:lang w:eastAsia="zh-CN"/>
              </w:rPr>
              <w:t>(</w:t>
            </w:r>
            <w:r>
              <w:rPr>
                <w:rFonts w:hint="default" w:ascii="Times New Roman" w:hAnsi="Times New Roman" w:cs="Times New Roman"/>
                <w:i/>
                <w:iCs/>
                <w:color w:val="auto"/>
                <w:kern w:val="0"/>
                <w:sz w:val="24"/>
              </w:rPr>
              <w:t>T</w:t>
            </w:r>
            <w:r>
              <w:rPr>
                <w:rFonts w:hint="eastAsia" w:ascii="Times New Roman" w:hAnsi="Times New Roman" w:cs="Times New Roman"/>
                <w:i/>
                <w:iCs/>
                <w:color w:val="auto"/>
                <w:kern w:val="0"/>
                <w:sz w:val="24"/>
                <w:lang w:eastAsia="zh-CN"/>
              </w:rPr>
              <w:t>)</w:t>
            </w:r>
            <w:r>
              <w:rPr>
                <w:rFonts w:hint="default" w:ascii="Times New Roman" w:hAnsi="Times New Roman" w:cs="Times New Roman"/>
                <w:i/>
                <w:iCs/>
                <w:color w:val="auto"/>
                <w:kern w:val="0"/>
                <w:sz w:val="24"/>
              </w:rPr>
              <w:t>=L</w:t>
            </w:r>
            <w:r>
              <w:rPr>
                <w:rFonts w:hint="default" w:ascii="Times New Roman" w:hAnsi="Times New Roman" w:cs="Times New Roman"/>
                <w:i/>
                <w:iCs/>
                <w:color w:val="auto"/>
                <w:kern w:val="0"/>
                <w:sz w:val="24"/>
                <w:vertAlign w:val="subscript"/>
              </w:rPr>
              <w:t>p1i</w:t>
            </w:r>
            <w:r>
              <w:rPr>
                <w:rFonts w:hint="eastAsia" w:ascii="Times New Roman" w:hAnsi="Times New Roman" w:cs="Times New Roman"/>
                <w:i/>
                <w:iCs/>
                <w:color w:val="auto"/>
                <w:kern w:val="0"/>
                <w:sz w:val="24"/>
                <w:vertAlign w:val="subscript"/>
                <w:lang w:eastAsia="zh-CN"/>
              </w:rPr>
              <w:t>(</w:t>
            </w:r>
            <w:r>
              <w:rPr>
                <w:rFonts w:hint="default" w:ascii="Times New Roman" w:hAnsi="Times New Roman" w:cs="Times New Roman"/>
                <w:i/>
                <w:iCs/>
                <w:color w:val="auto"/>
                <w:kern w:val="0"/>
                <w:sz w:val="24"/>
              </w:rPr>
              <w:t>T</w:t>
            </w:r>
            <w:r>
              <w:rPr>
                <w:rFonts w:hint="eastAsia" w:ascii="Times New Roman" w:hAnsi="Times New Roman" w:cs="Times New Roman"/>
                <w:i/>
                <w:iCs/>
                <w:color w:val="auto"/>
                <w:kern w:val="0"/>
                <w:sz w:val="24"/>
                <w:lang w:eastAsia="zh-CN"/>
              </w:rPr>
              <w:t>)</w:t>
            </w:r>
            <w:r>
              <w:rPr>
                <w:rFonts w:hint="default" w:ascii="Times New Roman" w:hAnsi="Times New Roman" w:cs="Times New Roman"/>
                <w:i/>
                <w:iCs/>
                <w:color w:val="auto"/>
                <w:kern w:val="0"/>
                <w:sz w:val="24"/>
              </w:rPr>
              <w:t>—</w:t>
            </w:r>
            <w:r>
              <w:rPr>
                <w:rFonts w:hint="eastAsia" w:ascii="Times New Roman" w:hAnsi="Times New Roman" w:cs="Times New Roman"/>
                <w:i/>
                <w:iCs/>
                <w:color w:val="auto"/>
                <w:kern w:val="0"/>
                <w:sz w:val="24"/>
                <w:lang w:eastAsia="zh-CN"/>
              </w:rPr>
              <w:t>(</w:t>
            </w:r>
            <w:r>
              <w:rPr>
                <w:rFonts w:hint="default" w:ascii="Times New Roman" w:hAnsi="Times New Roman" w:cs="Times New Roman"/>
                <w:i/>
                <w:iCs/>
                <w:color w:val="auto"/>
                <w:kern w:val="0"/>
                <w:sz w:val="24"/>
              </w:rPr>
              <w:t>TL</w:t>
            </w:r>
            <w:r>
              <w:rPr>
                <w:rFonts w:hint="default" w:ascii="Times New Roman" w:hAnsi="Times New Roman" w:cs="Times New Roman"/>
                <w:i/>
                <w:iCs/>
                <w:color w:val="auto"/>
                <w:kern w:val="0"/>
                <w:sz w:val="24"/>
                <w:vertAlign w:val="subscript"/>
              </w:rPr>
              <w:t>i</w:t>
            </w:r>
            <w:r>
              <w:rPr>
                <w:rFonts w:hint="default" w:ascii="Times New Roman" w:hAnsi="Times New Roman" w:cs="Times New Roman"/>
                <w:i/>
                <w:iCs/>
                <w:color w:val="auto"/>
                <w:kern w:val="0"/>
                <w:sz w:val="24"/>
              </w:rPr>
              <w:t>+6</w:t>
            </w:r>
            <w:r>
              <w:rPr>
                <w:rFonts w:hint="eastAsia" w:ascii="Times New Roman" w:hAnsi="Times New Roman" w:cs="Times New Roman"/>
                <w:i/>
                <w:iCs/>
                <w:color w:val="auto"/>
                <w:kern w:val="0"/>
                <w:sz w:val="24"/>
                <w:lang w:eastAsia="zh-CN"/>
              </w:rPr>
              <w:t>)</w:t>
            </w:r>
            <w:r>
              <w:rPr>
                <w:rFonts w:hint="default" w:ascii="Times New Roman" w:hAnsi="Times New Roman" w:cs="Times New Roman"/>
                <w:i/>
                <w:iCs/>
                <w:color w:val="auto"/>
                <w:kern w:val="0"/>
                <w:sz w:val="24"/>
              </w:rPr>
              <w:t xml:space="preserve">        </w:t>
            </w:r>
          </w:p>
          <w:p w14:paraId="435C671E">
            <w:pPr>
              <w:widowControl/>
              <w:spacing w:line="360" w:lineRule="auto"/>
              <w:ind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式中：</w:t>
            </w:r>
          </w:p>
          <w:p w14:paraId="715DAB3C">
            <w:pPr>
              <w:widowControl/>
              <w:spacing w:line="360" w:lineRule="auto"/>
              <w:ind w:left="2158" w:leftChars="456" w:hanging="1200" w:hangingChars="500"/>
              <w:rPr>
                <w:rFonts w:hint="default" w:ascii="Times New Roman" w:hAnsi="Times New Roman" w:cs="Times New Roman"/>
                <w:color w:val="auto"/>
                <w:kern w:val="0"/>
                <w:sz w:val="24"/>
              </w:rPr>
            </w:pPr>
            <w:r>
              <w:rPr>
                <w:rFonts w:hint="default" w:ascii="Times New Roman" w:hAnsi="Times New Roman" w:cs="Times New Roman"/>
                <w:i/>
                <w:iCs/>
                <w:color w:val="auto"/>
                <w:kern w:val="0"/>
                <w:sz w:val="24"/>
              </w:rPr>
              <w:t>L</w:t>
            </w:r>
            <w:r>
              <w:rPr>
                <w:rFonts w:hint="default" w:ascii="Times New Roman" w:hAnsi="Times New Roman" w:cs="Times New Roman"/>
                <w:i/>
                <w:iCs/>
                <w:color w:val="auto"/>
                <w:kern w:val="0"/>
                <w:sz w:val="24"/>
                <w:vertAlign w:val="subscript"/>
              </w:rPr>
              <w:t>p2i</w:t>
            </w:r>
            <w:r>
              <w:rPr>
                <w:rFonts w:hint="default" w:ascii="Times New Roman" w:hAnsi="Times New Roman" w:cs="Times New Roman"/>
                <w:i/>
                <w:iCs/>
                <w:color w:val="auto"/>
                <w:kern w:val="0"/>
                <w:sz w:val="24"/>
              </w:rPr>
              <w:t>（T）</w:t>
            </w:r>
            <w:r>
              <w:rPr>
                <w:rFonts w:hint="default" w:ascii="Times New Roman" w:hAnsi="Times New Roman" w:cs="Times New Roman"/>
                <w:bCs/>
                <w:color w:val="auto"/>
                <w:sz w:val="24"/>
              </w:rPr>
              <w:t>—</w:t>
            </w:r>
            <w:r>
              <w:rPr>
                <w:rFonts w:hint="default" w:ascii="Times New Roman" w:hAnsi="Times New Roman" w:cs="Times New Roman"/>
                <w:color w:val="auto"/>
                <w:kern w:val="0"/>
                <w:sz w:val="24"/>
              </w:rPr>
              <w:t>靠近围护结构处室外N个声源i倍频带的叠加声压级，dB；</w:t>
            </w:r>
          </w:p>
          <w:p w14:paraId="325B98BD">
            <w:pPr>
              <w:widowControl/>
              <w:spacing w:line="360" w:lineRule="auto"/>
              <w:ind w:left="2398" w:leftChars="456" w:hanging="1440" w:hangingChars="600"/>
              <w:rPr>
                <w:rFonts w:hint="default" w:ascii="Times New Roman" w:hAnsi="Times New Roman" w:cs="Times New Roman"/>
                <w:i/>
                <w:iCs/>
                <w:color w:val="auto"/>
                <w:kern w:val="0"/>
                <w:sz w:val="24"/>
              </w:rPr>
            </w:pPr>
            <w:r>
              <w:rPr>
                <w:rFonts w:hint="default" w:ascii="Times New Roman" w:hAnsi="Times New Roman" w:cs="Times New Roman"/>
                <w:i/>
                <w:iCs/>
                <w:color w:val="auto"/>
                <w:kern w:val="0"/>
                <w:sz w:val="24"/>
              </w:rPr>
              <w:t>L</w:t>
            </w:r>
            <w:r>
              <w:rPr>
                <w:rFonts w:hint="default" w:ascii="Times New Roman" w:hAnsi="Times New Roman" w:cs="Times New Roman"/>
                <w:i/>
                <w:iCs/>
                <w:color w:val="auto"/>
                <w:kern w:val="0"/>
                <w:sz w:val="24"/>
                <w:vertAlign w:val="subscript"/>
              </w:rPr>
              <w:t>p1i</w:t>
            </w:r>
            <w:r>
              <w:rPr>
                <w:rFonts w:hint="default" w:ascii="Times New Roman" w:hAnsi="Times New Roman" w:cs="Times New Roman"/>
                <w:i/>
                <w:iCs/>
                <w:color w:val="auto"/>
                <w:kern w:val="0"/>
                <w:sz w:val="24"/>
              </w:rPr>
              <w:t>（T）</w:t>
            </w:r>
            <w:r>
              <w:rPr>
                <w:rFonts w:hint="default" w:ascii="Times New Roman" w:hAnsi="Times New Roman" w:cs="Times New Roman"/>
                <w:bCs/>
                <w:color w:val="auto"/>
                <w:sz w:val="24"/>
              </w:rPr>
              <w:t>—</w:t>
            </w:r>
            <w:r>
              <w:rPr>
                <w:rFonts w:hint="default" w:ascii="Times New Roman" w:hAnsi="Times New Roman" w:cs="Times New Roman"/>
                <w:color w:val="auto"/>
                <w:kern w:val="0"/>
                <w:sz w:val="24"/>
              </w:rPr>
              <w:t>靠近围护结构处室内N个声源i倍频带的叠加声压级，dB；</w:t>
            </w:r>
          </w:p>
          <w:p w14:paraId="2FA5821D">
            <w:pPr>
              <w:widowControl/>
              <w:spacing w:line="360" w:lineRule="auto"/>
              <w:ind w:firstLine="960" w:firstLineChars="40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TL</w:t>
            </w:r>
            <w:r>
              <w:rPr>
                <w:rFonts w:hint="default" w:ascii="Times New Roman" w:hAnsi="Times New Roman" w:cs="Times New Roman"/>
                <w:color w:val="auto"/>
                <w:kern w:val="0"/>
                <w:sz w:val="24"/>
                <w:vertAlign w:val="subscript"/>
              </w:rPr>
              <w:t>i</w:t>
            </w:r>
            <w:r>
              <w:rPr>
                <w:rFonts w:hint="default" w:ascii="Times New Roman" w:hAnsi="Times New Roman" w:cs="Times New Roman"/>
                <w:bCs/>
                <w:color w:val="auto"/>
                <w:sz w:val="24"/>
              </w:rPr>
              <w:t>—</w:t>
            </w:r>
            <w:r>
              <w:rPr>
                <w:rFonts w:hint="default" w:ascii="Times New Roman" w:hAnsi="Times New Roman" w:cs="Times New Roman"/>
                <w:color w:val="auto"/>
                <w:kern w:val="0"/>
                <w:sz w:val="24"/>
              </w:rPr>
              <w:t>围护结构i倍频带的隔音量，dB</w:t>
            </w:r>
            <w:r>
              <w:rPr>
                <w:rFonts w:hint="default" w:ascii="Times New Roman" w:hAnsi="Times New Roman" w:cs="Times New Roman"/>
                <w:color w:val="auto"/>
                <w:kern w:val="0"/>
                <w:sz w:val="24"/>
                <w:lang w:val="en-US" w:eastAsia="zh-CN"/>
              </w:rPr>
              <w:t>。</w:t>
            </w:r>
          </w:p>
          <w:p w14:paraId="37F2A92D">
            <w:pPr>
              <w:widowControl/>
              <w:spacing w:line="360" w:lineRule="auto"/>
              <w:rPr>
                <w:rFonts w:hint="default" w:ascii="Times New Roman" w:hAnsi="Times New Roman" w:cs="Times New Roman"/>
                <w:color w:val="auto"/>
                <w:sz w:val="24"/>
              </w:rPr>
            </w:pPr>
            <w:r>
              <w:rPr>
                <w:rFonts w:hint="default" w:ascii="Times New Roman" w:hAnsi="Times New Roman" w:cs="Times New Roman"/>
                <w:color w:val="auto"/>
                <w:kern w:val="0"/>
                <w:sz w:val="24"/>
              </w:rPr>
              <w:t>B</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室内声源等效室外声源噪声级的计算</w:t>
            </w:r>
          </w:p>
          <w:p w14:paraId="4659ECFA">
            <w:pPr>
              <w:widowControl/>
              <w:spacing w:line="360" w:lineRule="auto"/>
              <w:jc w:val="center"/>
              <w:rPr>
                <w:rFonts w:hint="default" w:ascii="Times New Roman" w:hAnsi="Times New Roman" w:cs="Times New Roman"/>
                <w:i/>
                <w:iCs/>
                <w:color w:val="auto"/>
                <w:kern w:val="0"/>
                <w:sz w:val="24"/>
              </w:rPr>
            </w:pPr>
            <w:r>
              <w:rPr>
                <w:rFonts w:hint="default" w:ascii="Times New Roman" w:hAnsi="Times New Roman" w:cs="Times New Roman"/>
                <w:i/>
                <w:iCs/>
                <w:color w:val="auto"/>
                <w:kern w:val="0"/>
                <w:sz w:val="24"/>
              </w:rPr>
              <w:t>L</w:t>
            </w:r>
            <w:r>
              <w:rPr>
                <w:rFonts w:hint="default" w:ascii="Times New Roman" w:hAnsi="Times New Roman" w:cs="Times New Roman"/>
                <w:i/>
                <w:iCs/>
                <w:color w:val="auto"/>
                <w:kern w:val="0"/>
                <w:sz w:val="24"/>
                <w:vertAlign w:val="subscript"/>
              </w:rPr>
              <w:t>w</w:t>
            </w:r>
            <w:r>
              <w:rPr>
                <w:rFonts w:hint="default" w:ascii="Times New Roman" w:hAnsi="Times New Roman" w:cs="Times New Roman"/>
                <w:i/>
                <w:iCs/>
                <w:color w:val="auto"/>
                <w:kern w:val="0"/>
                <w:sz w:val="24"/>
              </w:rPr>
              <w:t>=L</w:t>
            </w:r>
            <w:r>
              <w:rPr>
                <w:rFonts w:hint="default" w:ascii="Times New Roman" w:hAnsi="Times New Roman" w:cs="Times New Roman"/>
                <w:i/>
                <w:iCs/>
                <w:color w:val="auto"/>
                <w:kern w:val="0"/>
                <w:sz w:val="24"/>
                <w:vertAlign w:val="subscript"/>
              </w:rPr>
              <w:t>p2</w:t>
            </w:r>
            <w:r>
              <w:rPr>
                <w:rFonts w:hint="eastAsia" w:ascii="Times New Roman" w:hAnsi="Times New Roman" w:cs="Times New Roman"/>
                <w:i/>
                <w:iCs/>
                <w:color w:val="auto"/>
                <w:kern w:val="0"/>
                <w:sz w:val="24"/>
                <w:vertAlign w:val="subscript"/>
                <w:lang w:eastAsia="zh-CN"/>
              </w:rPr>
              <w:t>(</w:t>
            </w:r>
            <w:r>
              <w:rPr>
                <w:rFonts w:hint="default" w:ascii="Times New Roman" w:hAnsi="Times New Roman" w:cs="Times New Roman"/>
                <w:i/>
                <w:iCs/>
                <w:color w:val="auto"/>
                <w:kern w:val="0"/>
                <w:sz w:val="24"/>
              </w:rPr>
              <w:t>T</w:t>
            </w:r>
            <w:r>
              <w:rPr>
                <w:rFonts w:hint="eastAsia" w:ascii="Times New Roman" w:hAnsi="Times New Roman" w:cs="Times New Roman"/>
                <w:i/>
                <w:iCs/>
                <w:color w:val="auto"/>
                <w:kern w:val="0"/>
                <w:sz w:val="24"/>
                <w:lang w:eastAsia="zh-CN"/>
              </w:rPr>
              <w:t>)</w:t>
            </w:r>
            <w:r>
              <w:rPr>
                <w:rFonts w:hint="default" w:ascii="Times New Roman" w:hAnsi="Times New Roman" w:cs="Times New Roman"/>
                <w:i/>
                <w:iCs/>
                <w:color w:val="auto"/>
                <w:kern w:val="0"/>
                <w:sz w:val="24"/>
              </w:rPr>
              <w:t xml:space="preserve">+10lgS         </w:t>
            </w:r>
          </w:p>
          <w:p w14:paraId="54AD3029">
            <w:pPr>
              <w:pStyle w:val="24"/>
              <w:keepNext w:val="0"/>
              <w:keepLines w:val="0"/>
              <w:pageBreakBefore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i/>
                <w:iCs/>
                <w:color w:val="auto"/>
                <w:kern w:val="0"/>
                <w:sz w:val="24"/>
                <w:szCs w:val="24"/>
              </w:rPr>
            </w:pPr>
            <w:r>
              <w:rPr>
                <w:rFonts w:hint="default" w:ascii="Times New Roman" w:hAnsi="Times New Roman" w:cs="Times New Roman"/>
                <w:i/>
                <w:iCs/>
                <w:color w:val="auto"/>
                <w:kern w:val="0"/>
                <w:sz w:val="24"/>
                <w:szCs w:val="24"/>
              </w:rPr>
              <w:t>式中：</w:t>
            </w:r>
          </w:p>
          <w:p w14:paraId="3E5CF460">
            <w:pPr>
              <w:pStyle w:val="24"/>
              <w:keepNext w:val="0"/>
              <w:keepLines w:val="0"/>
              <w:pageBreakBefore w:val="0"/>
              <w:kinsoku/>
              <w:wordWrap/>
              <w:overflowPunct/>
              <w:topLinePunct w:val="0"/>
              <w:autoSpaceDE/>
              <w:autoSpaceDN/>
              <w:bidi w:val="0"/>
              <w:adjustRightInd/>
              <w:snapToGrid/>
              <w:spacing w:line="360" w:lineRule="auto"/>
              <w:ind w:left="0" w:leftChars="0" w:firstLine="720" w:firstLineChars="300"/>
              <w:jc w:val="both"/>
              <w:textAlignment w:val="auto"/>
              <w:rPr>
                <w:rFonts w:hint="default" w:ascii="Times New Roman" w:hAnsi="Times New Roman" w:cs="Times New Roman"/>
                <w:bCs/>
                <w:color w:val="auto"/>
                <w:sz w:val="24"/>
                <w:szCs w:val="24"/>
              </w:rPr>
            </w:pPr>
            <w:r>
              <w:rPr>
                <w:rFonts w:hint="default" w:ascii="Times New Roman" w:hAnsi="Times New Roman" w:cs="Times New Roman"/>
                <w:i/>
                <w:iCs/>
                <w:color w:val="auto"/>
                <w:kern w:val="0"/>
                <w:sz w:val="24"/>
                <w:szCs w:val="24"/>
              </w:rPr>
              <w:t>L</w:t>
            </w:r>
            <w:r>
              <w:rPr>
                <w:rFonts w:hint="default" w:ascii="Times New Roman" w:hAnsi="Times New Roman" w:cs="Times New Roman"/>
                <w:i/>
                <w:iCs/>
                <w:color w:val="auto"/>
                <w:kern w:val="0"/>
                <w:sz w:val="24"/>
                <w:szCs w:val="24"/>
                <w:vertAlign w:val="subscript"/>
              </w:rPr>
              <w:t>w</w:t>
            </w:r>
            <w:r>
              <w:rPr>
                <w:rFonts w:hint="default" w:ascii="Times New Roman" w:hAnsi="Times New Roman" w:cs="Times New Roman"/>
                <w:bCs/>
                <w:color w:val="auto"/>
                <w:sz w:val="24"/>
                <w:szCs w:val="24"/>
              </w:rPr>
              <w:t>—中心位置位于透声面积（S）处的等效声源的倍频带声功率级，dB；</w:t>
            </w:r>
          </w:p>
          <w:p w14:paraId="07AB349A">
            <w:pPr>
              <w:pStyle w:val="24"/>
              <w:keepNext w:val="0"/>
              <w:keepLines w:val="0"/>
              <w:pageBreakBefore w:val="0"/>
              <w:kinsoku/>
              <w:wordWrap/>
              <w:overflowPunct/>
              <w:topLinePunct w:val="0"/>
              <w:autoSpaceDE/>
              <w:autoSpaceDN/>
              <w:bidi w:val="0"/>
              <w:adjustRightInd/>
              <w:snapToGrid/>
              <w:spacing w:line="360" w:lineRule="auto"/>
              <w:ind w:left="899" w:leftChars="314" w:hanging="240" w:hangingChars="1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i/>
                <w:iCs/>
                <w:color w:val="auto"/>
                <w:kern w:val="0"/>
                <w:sz w:val="24"/>
                <w:szCs w:val="24"/>
              </w:rPr>
              <w:t>L</w:t>
            </w:r>
            <w:r>
              <w:rPr>
                <w:rFonts w:hint="default" w:ascii="Times New Roman" w:hAnsi="Times New Roman" w:cs="Times New Roman"/>
                <w:i/>
                <w:iCs/>
                <w:color w:val="auto"/>
                <w:kern w:val="0"/>
                <w:sz w:val="24"/>
                <w:szCs w:val="24"/>
                <w:vertAlign w:val="subscript"/>
              </w:rPr>
              <w:t>p2</w:t>
            </w:r>
            <w:r>
              <w:rPr>
                <w:rFonts w:hint="default" w:ascii="Times New Roman" w:hAnsi="Times New Roman" w:cs="Times New Roman"/>
                <w:i/>
                <w:iCs/>
                <w:color w:val="auto"/>
                <w:kern w:val="0"/>
                <w:sz w:val="24"/>
                <w:szCs w:val="24"/>
              </w:rPr>
              <w:t>（T）</w:t>
            </w:r>
            <w:r>
              <w:rPr>
                <w:rFonts w:hint="default" w:ascii="Times New Roman" w:hAnsi="Times New Roman" w:cs="Times New Roman"/>
                <w:bCs/>
                <w:color w:val="auto"/>
                <w:sz w:val="24"/>
                <w:szCs w:val="24"/>
              </w:rPr>
              <w:t>—</w:t>
            </w:r>
            <w:r>
              <w:rPr>
                <w:rFonts w:hint="default" w:ascii="Times New Roman" w:hAnsi="Times New Roman" w:cs="Times New Roman"/>
                <w:color w:val="auto"/>
                <w:kern w:val="0"/>
                <w:sz w:val="24"/>
                <w:szCs w:val="24"/>
              </w:rPr>
              <w:t>靠近围护结构处室外声源的声压级，dB；</w:t>
            </w:r>
          </w:p>
          <w:p w14:paraId="665000BC">
            <w:pPr>
              <w:keepNext w:val="0"/>
              <w:keepLines w:val="0"/>
              <w:pageBreakBefore w:val="0"/>
              <w:widowControl/>
              <w:kinsoku/>
              <w:wordWrap/>
              <w:overflowPunct/>
              <w:topLinePunct w:val="0"/>
              <w:autoSpaceDE/>
              <w:autoSpaceDN/>
              <w:bidi w:val="0"/>
              <w:adjustRightInd/>
              <w:snapToGrid/>
              <w:spacing w:line="360" w:lineRule="auto"/>
              <w:ind w:firstLine="720" w:firstLineChars="3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S-透声面积，m</w:t>
            </w:r>
            <w:r>
              <w:rPr>
                <w:rFonts w:hint="default" w:ascii="Times New Roman" w:hAnsi="Times New Roman" w:cs="Times New Roman"/>
                <w:color w:val="auto"/>
                <w:kern w:val="0"/>
                <w:sz w:val="24"/>
                <w:szCs w:val="24"/>
                <w:vertAlign w:val="superscript"/>
              </w:rPr>
              <w:t>2</w:t>
            </w:r>
            <w:r>
              <w:rPr>
                <w:rFonts w:hint="default" w:ascii="Times New Roman" w:hAnsi="Times New Roman" w:cs="Times New Roman"/>
                <w:color w:val="auto"/>
                <w:kern w:val="0"/>
                <w:sz w:val="24"/>
                <w:szCs w:val="24"/>
              </w:rPr>
              <w:t>。</w:t>
            </w:r>
          </w:p>
          <w:p w14:paraId="3B6BB5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室外点声源在预测点产生的噪声级</w:t>
            </w:r>
          </w:p>
          <w:p w14:paraId="4B76B780">
            <w:pPr>
              <w:widowControl/>
              <w:spacing w:line="360" w:lineRule="auto"/>
              <w:ind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drawing>
                <wp:inline distT="0" distB="0" distL="114300" distR="114300">
                  <wp:extent cx="4028440" cy="270510"/>
                  <wp:effectExtent l="0" t="0" r="10160" b="15240"/>
                  <wp:docPr id="23" name="图片 67" descr="微信图片_202208091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7" descr="微信图片_20220809162056"/>
                          <pic:cNvPicPr>
                            <a:picLocks noChangeAspect="1"/>
                          </pic:cNvPicPr>
                        </pic:nvPicPr>
                        <pic:blipFill>
                          <a:blip r:embed="rId16"/>
                          <a:stretch>
                            <a:fillRect/>
                          </a:stretch>
                        </pic:blipFill>
                        <pic:spPr>
                          <a:xfrm>
                            <a:off x="0" y="0"/>
                            <a:ext cx="4028440" cy="270510"/>
                          </a:xfrm>
                          <a:prstGeom prst="rect">
                            <a:avLst/>
                          </a:prstGeom>
                          <a:noFill/>
                          <a:ln>
                            <a:noFill/>
                          </a:ln>
                        </pic:spPr>
                      </pic:pic>
                    </a:graphicData>
                  </a:graphic>
                </wp:inline>
              </w:drawing>
            </w:r>
          </w:p>
          <w:p w14:paraId="41397393">
            <w:pPr>
              <w:widowControl/>
              <w:spacing w:line="360" w:lineRule="auto"/>
              <w:ind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式中：</w:t>
            </w:r>
          </w:p>
          <w:p w14:paraId="08D23363">
            <w:pPr>
              <w:widowControl/>
              <w:spacing w:line="360" w:lineRule="auto"/>
              <w:ind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L</w:t>
            </w:r>
            <w:r>
              <w:rPr>
                <w:rFonts w:hint="default" w:ascii="Times New Roman" w:hAnsi="Times New Roman" w:cs="Times New Roman"/>
                <w:color w:val="auto"/>
                <w:kern w:val="0"/>
                <w:sz w:val="24"/>
                <w:vertAlign w:val="subscript"/>
              </w:rPr>
              <w:t>p</w:t>
            </w:r>
            <w:r>
              <w:rPr>
                <w:rFonts w:hint="default" w:ascii="Times New Roman" w:hAnsi="Times New Roman" w:cs="Times New Roman"/>
                <w:color w:val="auto"/>
                <w:kern w:val="0"/>
                <w:sz w:val="24"/>
              </w:rPr>
              <w:t>（r）—预测点处声压级</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dB；</w:t>
            </w:r>
          </w:p>
          <w:p w14:paraId="2C8BA58A">
            <w:pPr>
              <w:widowControl/>
              <w:spacing w:line="360" w:lineRule="auto"/>
              <w:ind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L</w:t>
            </w:r>
            <w:r>
              <w:rPr>
                <w:rFonts w:hint="default" w:ascii="Times New Roman" w:hAnsi="Times New Roman" w:cs="Times New Roman"/>
                <w:color w:val="auto"/>
                <w:kern w:val="0"/>
                <w:sz w:val="24"/>
                <w:vertAlign w:val="subscript"/>
              </w:rPr>
              <w:t>w</w:t>
            </w:r>
            <w:r>
              <w:rPr>
                <w:rFonts w:hint="default" w:ascii="Times New Roman" w:hAnsi="Times New Roman" w:cs="Times New Roman"/>
                <w:color w:val="auto"/>
                <w:kern w:val="0"/>
                <w:sz w:val="24"/>
              </w:rPr>
              <w:t>—由点声源产生的声功率级（A计权或倍频带）</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dB；</w:t>
            </w:r>
          </w:p>
          <w:p w14:paraId="111F044D">
            <w:pPr>
              <w:pStyle w:val="24"/>
              <w:spacing w:before="0" w:beforeAutospacing="0" w:after="0" w:afterAutospacing="0"/>
              <w:ind w:left="1678" w:leftChars="456" w:hanging="720" w:hangingChars="300"/>
              <w:rPr>
                <w:rFonts w:hint="default" w:ascii="Times New Roman" w:hAnsi="Times New Roman" w:cs="Times New Roman"/>
                <w:color w:val="auto"/>
                <w:kern w:val="0"/>
              </w:rPr>
            </w:pPr>
            <w:r>
              <w:rPr>
                <w:rFonts w:hint="default" w:ascii="Times New Roman" w:hAnsi="Times New Roman" w:cs="Times New Roman"/>
                <w:color w:val="auto"/>
                <w:kern w:val="0"/>
              </w:rPr>
              <w:t>Dc—指向性校正，它描述点声源的等效连续声压级与产生声功率级L</w:t>
            </w:r>
            <w:r>
              <w:rPr>
                <w:rFonts w:hint="default" w:ascii="Times New Roman" w:hAnsi="Times New Roman" w:cs="Times New Roman"/>
                <w:color w:val="auto"/>
                <w:kern w:val="0"/>
                <w:vertAlign w:val="subscript"/>
              </w:rPr>
              <w:t>w</w:t>
            </w:r>
            <w:r>
              <w:rPr>
                <w:rFonts w:hint="default" w:ascii="Times New Roman" w:hAnsi="Times New Roman" w:cs="Times New Roman"/>
                <w:color w:val="auto"/>
                <w:kern w:val="0"/>
              </w:rPr>
              <w:t>的全向点声源在规定方向的声级的偏差程度</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dB；</w:t>
            </w:r>
          </w:p>
          <w:p w14:paraId="0DCE4C3D">
            <w:pPr>
              <w:widowControl/>
              <w:spacing w:line="360" w:lineRule="auto"/>
              <w:ind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A</w:t>
            </w:r>
            <w:r>
              <w:rPr>
                <w:rFonts w:hint="default" w:ascii="Times New Roman" w:hAnsi="Times New Roman" w:cs="Times New Roman"/>
                <w:color w:val="auto"/>
                <w:kern w:val="0"/>
                <w:sz w:val="24"/>
                <w:vertAlign w:val="subscript"/>
              </w:rPr>
              <w:t>div</w:t>
            </w:r>
            <w:r>
              <w:rPr>
                <w:rFonts w:hint="default" w:ascii="Times New Roman" w:hAnsi="Times New Roman" w:cs="Times New Roman"/>
                <w:color w:val="auto"/>
                <w:kern w:val="0"/>
                <w:sz w:val="24"/>
              </w:rPr>
              <w:t>—几何发散引起的衰减</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dB；</w:t>
            </w:r>
          </w:p>
          <w:p w14:paraId="762B6EFB">
            <w:pPr>
              <w:widowControl/>
              <w:spacing w:line="360" w:lineRule="auto"/>
              <w:ind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A</w:t>
            </w:r>
            <w:r>
              <w:rPr>
                <w:rFonts w:hint="default" w:ascii="Times New Roman" w:hAnsi="Times New Roman" w:cs="Times New Roman"/>
                <w:color w:val="auto"/>
                <w:kern w:val="0"/>
                <w:sz w:val="24"/>
                <w:vertAlign w:val="subscript"/>
              </w:rPr>
              <w:t>atm</w:t>
            </w:r>
            <w:r>
              <w:rPr>
                <w:rFonts w:hint="default" w:ascii="Times New Roman" w:hAnsi="Times New Roman" w:cs="Times New Roman"/>
                <w:color w:val="auto"/>
                <w:kern w:val="0"/>
                <w:sz w:val="24"/>
              </w:rPr>
              <w:t>—大气吸收引起的衰减</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dB；</w:t>
            </w:r>
          </w:p>
          <w:p w14:paraId="265CB200">
            <w:pPr>
              <w:widowControl/>
              <w:spacing w:line="360" w:lineRule="auto"/>
              <w:ind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A</w:t>
            </w:r>
            <w:r>
              <w:rPr>
                <w:rFonts w:hint="default" w:ascii="Times New Roman" w:hAnsi="Times New Roman" w:cs="Times New Roman"/>
                <w:color w:val="auto"/>
                <w:kern w:val="0"/>
                <w:sz w:val="24"/>
                <w:vertAlign w:val="subscript"/>
              </w:rPr>
              <w:t>gr</w:t>
            </w:r>
            <w:r>
              <w:rPr>
                <w:rFonts w:hint="default" w:ascii="Times New Roman" w:hAnsi="Times New Roman" w:cs="Times New Roman"/>
                <w:color w:val="auto"/>
                <w:kern w:val="0"/>
                <w:sz w:val="24"/>
              </w:rPr>
              <w:t>—地面效应引起的衰减</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dB；</w:t>
            </w:r>
          </w:p>
          <w:p w14:paraId="2B6CA9BF">
            <w:pPr>
              <w:widowControl/>
              <w:spacing w:line="360" w:lineRule="auto"/>
              <w:ind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A</w:t>
            </w:r>
            <w:r>
              <w:rPr>
                <w:rFonts w:hint="default" w:ascii="Times New Roman" w:hAnsi="Times New Roman" w:cs="Times New Roman"/>
                <w:color w:val="auto"/>
                <w:kern w:val="0"/>
                <w:sz w:val="24"/>
                <w:vertAlign w:val="subscript"/>
              </w:rPr>
              <w:t>bar</w:t>
            </w:r>
            <w:r>
              <w:rPr>
                <w:rFonts w:hint="default" w:ascii="Times New Roman" w:hAnsi="Times New Roman" w:cs="Times New Roman"/>
                <w:color w:val="auto"/>
                <w:kern w:val="0"/>
                <w:sz w:val="24"/>
              </w:rPr>
              <w:t>—障碍物屏蔽引起的衰减</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dB；</w:t>
            </w:r>
          </w:p>
          <w:p w14:paraId="103BBDC4">
            <w:pPr>
              <w:widowControl/>
              <w:spacing w:line="360" w:lineRule="auto"/>
              <w:ind w:firstLine="960" w:firstLineChars="400"/>
              <w:rPr>
                <w:rFonts w:hint="default" w:ascii="Times New Roman" w:hAnsi="Times New Roman" w:cs="Times New Roman"/>
                <w:color w:val="auto"/>
                <w:kern w:val="0"/>
                <w:sz w:val="24"/>
              </w:rPr>
            </w:pPr>
            <w:r>
              <w:rPr>
                <w:rFonts w:hint="default" w:ascii="Times New Roman" w:hAnsi="Times New Roman" w:cs="Times New Roman"/>
                <w:color w:val="auto"/>
                <w:kern w:val="0"/>
                <w:sz w:val="24"/>
              </w:rPr>
              <w:t>A</w:t>
            </w:r>
            <w:r>
              <w:rPr>
                <w:rFonts w:hint="default" w:ascii="Times New Roman" w:hAnsi="Times New Roman" w:cs="Times New Roman"/>
                <w:color w:val="auto"/>
                <w:kern w:val="0"/>
                <w:sz w:val="24"/>
                <w:vertAlign w:val="subscript"/>
              </w:rPr>
              <w:t>misc</w:t>
            </w:r>
            <w:r>
              <w:rPr>
                <w:rFonts w:hint="default" w:ascii="Times New Roman" w:hAnsi="Times New Roman" w:cs="Times New Roman"/>
                <w:color w:val="auto"/>
                <w:kern w:val="0"/>
                <w:sz w:val="24"/>
              </w:rPr>
              <w:t>—其他多方面效应引起的衰减</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dB；</w:t>
            </w:r>
          </w:p>
          <w:p w14:paraId="0A60D3E9">
            <w:pPr>
              <w:widowControl/>
              <w:spacing w:line="44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为避免计算中增大衰减量而造成预测值偏小，计算</w:t>
            </w:r>
            <w:r>
              <w:rPr>
                <w:rFonts w:hint="default" w:ascii="Times New Roman" w:hAnsi="Times New Roman" w:cs="Times New Roman"/>
                <w:color w:val="auto"/>
                <w:sz w:val="24"/>
                <w:lang w:eastAsia="zh-CN"/>
              </w:rPr>
              <w:t>时</w:t>
            </w:r>
            <w:r>
              <w:rPr>
                <w:rFonts w:hint="default" w:ascii="Times New Roman" w:hAnsi="Times New Roman" w:cs="Times New Roman"/>
                <w:color w:val="auto"/>
                <w:sz w:val="24"/>
              </w:rPr>
              <w:t>忽略</w:t>
            </w:r>
            <w:r>
              <w:rPr>
                <w:rFonts w:hint="default" w:ascii="Times New Roman" w:hAnsi="Times New Roman" w:cs="Times New Roman"/>
                <w:color w:val="auto"/>
                <w:kern w:val="0"/>
                <w:sz w:val="24"/>
              </w:rPr>
              <w:t>A</w:t>
            </w:r>
            <w:r>
              <w:rPr>
                <w:rFonts w:hint="default" w:ascii="Times New Roman" w:hAnsi="Times New Roman" w:cs="Times New Roman"/>
                <w:color w:val="auto"/>
                <w:kern w:val="0"/>
                <w:sz w:val="24"/>
                <w:vertAlign w:val="subscript"/>
              </w:rPr>
              <w:t>atm</w:t>
            </w:r>
            <w:r>
              <w:rPr>
                <w:rFonts w:hint="default" w:ascii="Times New Roman" w:hAnsi="Times New Roman" w:cs="Times New Roman"/>
                <w:color w:val="auto"/>
                <w:sz w:val="24"/>
              </w:rPr>
              <w:t>和</w:t>
            </w:r>
            <w:r>
              <w:rPr>
                <w:rFonts w:hint="default" w:ascii="Times New Roman" w:hAnsi="Times New Roman" w:cs="Times New Roman"/>
                <w:color w:val="auto"/>
                <w:kern w:val="0"/>
                <w:sz w:val="24"/>
              </w:rPr>
              <w:t>A</w:t>
            </w:r>
            <w:r>
              <w:rPr>
                <w:rFonts w:hint="default" w:ascii="Times New Roman" w:hAnsi="Times New Roman" w:cs="Times New Roman"/>
                <w:color w:val="auto"/>
                <w:kern w:val="0"/>
                <w:sz w:val="24"/>
                <w:vertAlign w:val="subscript"/>
              </w:rPr>
              <w:t>misc</w:t>
            </w:r>
            <w:r>
              <w:rPr>
                <w:rFonts w:hint="default" w:ascii="Times New Roman" w:hAnsi="Times New Roman" w:cs="Times New Roman"/>
                <w:color w:val="auto"/>
                <w:kern w:val="0"/>
                <w:sz w:val="24"/>
              </w:rPr>
              <w:t>。</w:t>
            </w:r>
          </w:p>
          <w:p w14:paraId="2303EE74">
            <w:pPr>
              <w:keepNext w:val="0"/>
              <w:keepLines w:val="0"/>
              <w:suppressLineNumbers w:val="0"/>
              <w:spacing w:before="0" w:beforeAutospacing="0" w:after="0" w:afterAutospacing="0"/>
              <w:ind w:left="0" w:right="0" w:firstLine="422" w:firstLineChars="200"/>
              <w:jc w:val="center"/>
              <w:rPr>
                <w:rFonts w:hint="default" w:ascii="Times New Roman" w:hAnsi="Times New Roman" w:eastAsia="宋体" w:cs="Times New Roman"/>
                <w:b/>
                <w:bCs/>
                <w:color w:val="auto"/>
                <w:sz w:val="21"/>
                <w:szCs w:val="21"/>
                <w:lang w:val="en-GB" w:eastAsia="zh-CN"/>
              </w:rPr>
            </w:pPr>
            <w:r>
              <w:rPr>
                <w:rFonts w:hint="default" w:ascii="Times New Roman" w:hAnsi="Times New Roman" w:eastAsia="宋体" w:cs="Times New Roman"/>
                <w:b/>
                <w:bCs/>
                <w:color w:val="auto"/>
                <w:sz w:val="21"/>
                <w:szCs w:val="21"/>
                <w:lang w:val="en-GB" w:eastAsia="zh-CN"/>
              </w:rPr>
              <w:t>表4-</w:t>
            </w:r>
            <w:r>
              <w:rPr>
                <w:rFonts w:hint="default" w:ascii="Times New Roman" w:hAnsi="Times New Roman" w:cs="Times New Roman"/>
                <w:b/>
                <w:bCs/>
                <w:color w:val="auto"/>
                <w:sz w:val="21"/>
                <w:szCs w:val="21"/>
                <w:lang w:val="en-US" w:eastAsia="zh-CN"/>
              </w:rPr>
              <w:t>8</w:t>
            </w:r>
            <w:r>
              <w:rPr>
                <w:rFonts w:hint="default" w:ascii="Times New Roman" w:hAnsi="Times New Roman" w:eastAsia="宋体" w:cs="Times New Roman"/>
                <w:b/>
                <w:bCs/>
                <w:color w:val="auto"/>
                <w:sz w:val="21"/>
                <w:szCs w:val="21"/>
                <w:lang w:val="en-GB" w:eastAsia="zh-CN"/>
              </w:rPr>
              <w:t xml:space="preserve">   隔墙等遮挡物引起的A声级衰减一览表</w:t>
            </w:r>
          </w:p>
          <w:tbl>
            <w:tblPr>
              <w:tblStyle w:val="32"/>
              <w:tblW w:w="798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993"/>
              <w:gridCol w:w="3996"/>
            </w:tblGrid>
            <w:tr w14:paraId="457BF6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36DD85D8">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条件</w:t>
                  </w:r>
                </w:p>
              </w:tc>
              <w:tc>
                <w:tcPr>
                  <w:tcW w:w="2501" w:type="pct"/>
                  <w:noWrap w:val="0"/>
                  <w:vAlign w:val="center"/>
                </w:tcPr>
                <w:p w14:paraId="7D63DB90">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rPr>
                    <w:t>A</w:t>
                  </w:r>
                  <w:r>
                    <w:rPr>
                      <w:rFonts w:hint="default" w:ascii="Times New Roman" w:hAnsi="Times New Roman" w:cs="Times New Roman"/>
                      <w:b/>
                      <w:bCs/>
                      <w:color w:val="auto"/>
                      <w:kern w:val="0"/>
                      <w:szCs w:val="21"/>
                      <w:vertAlign w:val="subscript"/>
                    </w:rPr>
                    <w:t>bar</w:t>
                  </w:r>
                  <w:r>
                    <w:rPr>
                      <w:rFonts w:hint="default" w:ascii="Times New Roman" w:hAnsi="Times New Roman" w:cs="Times New Roman"/>
                      <w:b/>
                      <w:bCs/>
                      <w:color w:val="auto"/>
                      <w:kern w:val="0"/>
                      <w:szCs w:val="21"/>
                    </w:rPr>
                    <w:t xml:space="preserve"> dB</w:t>
                  </w:r>
                  <w:r>
                    <w:rPr>
                      <w:rFonts w:hint="eastAsia" w:ascii="Times New Roman" w:hAnsi="Times New Roman" w:cs="Times New Roman"/>
                      <w:b/>
                      <w:bCs/>
                      <w:color w:val="auto"/>
                      <w:kern w:val="0"/>
                      <w:szCs w:val="21"/>
                      <w:lang w:eastAsia="zh-CN"/>
                    </w:rPr>
                    <w:t>(</w:t>
                  </w:r>
                  <w:r>
                    <w:rPr>
                      <w:rFonts w:hint="default" w:ascii="Times New Roman" w:hAnsi="Times New Roman" w:cs="Times New Roman"/>
                      <w:b/>
                      <w:bCs/>
                      <w:color w:val="auto"/>
                      <w:kern w:val="0"/>
                      <w:szCs w:val="21"/>
                    </w:rPr>
                    <w:t>A</w:t>
                  </w:r>
                  <w:r>
                    <w:rPr>
                      <w:rFonts w:hint="eastAsia" w:ascii="Times New Roman" w:hAnsi="Times New Roman" w:cs="Times New Roman"/>
                      <w:b/>
                      <w:bCs/>
                      <w:color w:val="auto"/>
                      <w:kern w:val="0"/>
                      <w:szCs w:val="21"/>
                      <w:lang w:eastAsia="zh-CN"/>
                    </w:rPr>
                    <w:t>)</w:t>
                  </w:r>
                </w:p>
              </w:tc>
            </w:tr>
            <w:tr w14:paraId="63DC27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257C871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开小窗，密闭，门经隔声处理</w:t>
                  </w:r>
                </w:p>
              </w:tc>
              <w:tc>
                <w:tcPr>
                  <w:tcW w:w="2501" w:type="pct"/>
                  <w:noWrap w:val="0"/>
                  <w:vAlign w:val="center"/>
                </w:tcPr>
                <w:p w14:paraId="6D01E78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r>
            <w:tr w14:paraId="2AFD86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291B91A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开大窗且不密闭，门较密闭</w:t>
                  </w:r>
                </w:p>
              </w:tc>
              <w:tc>
                <w:tcPr>
                  <w:tcW w:w="2501" w:type="pct"/>
                  <w:noWrap w:val="0"/>
                  <w:vAlign w:val="center"/>
                </w:tcPr>
                <w:p w14:paraId="2DD151B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14:paraId="6526F0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06A65C6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开大窗且不密闭，门不密闭</w:t>
                  </w:r>
                </w:p>
              </w:tc>
              <w:tc>
                <w:tcPr>
                  <w:tcW w:w="2501" w:type="pct"/>
                  <w:noWrap w:val="0"/>
                  <w:vAlign w:val="center"/>
                </w:tcPr>
                <w:p w14:paraId="4712728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13</w:t>
                  </w:r>
                </w:p>
              </w:tc>
            </w:tr>
            <w:tr w14:paraId="54113D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3B6D25D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门与窗全部敞开</w:t>
                  </w:r>
                </w:p>
              </w:tc>
              <w:tc>
                <w:tcPr>
                  <w:tcW w:w="2501" w:type="pct"/>
                  <w:noWrap w:val="0"/>
                  <w:vAlign w:val="center"/>
                </w:tcPr>
                <w:p w14:paraId="3EC620D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r>
          </w:tbl>
          <w:p w14:paraId="66452FE2">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（2）预测结果：</w:t>
            </w:r>
          </w:p>
          <w:p w14:paraId="2F9B5F00">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rPr>
              <w:t>由于项目夜间不生产，且生产设备及工艺集中在生产车间，故只对项目生产车间的昼间噪声进行预测，</w:t>
            </w:r>
            <w:r>
              <w:rPr>
                <w:rFonts w:hint="default" w:ascii="Times New Roman" w:hAnsi="Times New Roman" w:cs="Times New Roman"/>
                <w:color w:val="auto"/>
                <w:kern w:val="0"/>
                <w:sz w:val="24"/>
                <w:lang w:bidi="ar"/>
              </w:rPr>
              <w:t>按照最不利情况预测厂界受到的影响，预测结果见</w:t>
            </w:r>
            <w:r>
              <w:rPr>
                <w:rFonts w:hint="default" w:ascii="Times New Roman" w:hAnsi="Times New Roman" w:cs="Times New Roman"/>
                <w:color w:val="auto"/>
                <w:sz w:val="24"/>
              </w:rPr>
              <w:t>表</w:t>
            </w:r>
            <w:r>
              <w:rPr>
                <w:rFonts w:hint="default" w:ascii="Times New Roman" w:hAnsi="Times New Roman" w:cs="Times New Roman"/>
                <w:color w:val="auto"/>
                <w:sz w:val="24"/>
                <w:lang w:val="en-US" w:eastAsia="zh-CN"/>
              </w:rPr>
              <w:t>4-9：</w:t>
            </w:r>
          </w:p>
          <w:p w14:paraId="6F58227F">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4-9</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cs="Times New Roman"/>
                <w:b/>
                <w:bCs/>
                <w:color w:val="auto"/>
                <w:sz w:val="21"/>
                <w:szCs w:val="21"/>
              </w:rPr>
              <w:t>项目主要噪声源产生及治理情况</w:t>
            </w:r>
          </w:p>
          <w:tbl>
            <w:tblPr>
              <w:tblStyle w:val="32"/>
              <w:tblW w:w="5032"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32"/>
              <w:gridCol w:w="1266"/>
              <w:gridCol w:w="805"/>
              <w:gridCol w:w="1146"/>
              <w:gridCol w:w="1139"/>
              <w:gridCol w:w="1226"/>
              <w:gridCol w:w="1124"/>
              <w:gridCol w:w="1339"/>
            </w:tblGrid>
            <w:tr w14:paraId="225190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7" w:hRule="atLeast"/>
              </w:trPr>
              <w:tc>
                <w:tcPr>
                  <w:tcW w:w="310" w:type="pct"/>
                  <w:vMerge w:val="restart"/>
                  <w:tcBorders>
                    <w:tl2br w:val="nil"/>
                    <w:tr2bl w:val="nil"/>
                  </w:tcBorders>
                  <w:noWrap w:val="0"/>
                  <w:vAlign w:val="center"/>
                </w:tcPr>
                <w:p w14:paraId="16E9286C">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738" w:type="pct"/>
                  <w:vMerge w:val="restart"/>
                  <w:tcBorders>
                    <w:tl2br w:val="nil"/>
                    <w:tr2bl w:val="nil"/>
                  </w:tcBorders>
                  <w:noWrap w:val="0"/>
                  <w:vAlign w:val="center"/>
                </w:tcPr>
                <w:p w14:paraId="578AEB43">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w:t>
                  </w:r>
                </w:p>
              </w:tc>
              <w:tc>
                <w:tcPr>
                  <w:tcW w:w="469" w:type="pct"/>
                  <w:vMerge w:val="restart"/>
                  <w:tcBorders>
                    <w:tl2br w:val="nil"/>
                    <w:tr2bl w:val="nil"/>
                  </w:tcBorders>
                  <w:noWrap w:val="0"/>
                  <w:vAlign w:val="center"/>
                </w:tcPr>
                <w:p w14:paraId="0AA86FA9">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降噪后</w:t>
                  </w:r>
                </w:p>
                <w:p w14:paraId="481AFF2B">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源强</w:t>
                  </w:r>
                </w:p>
              </w:tc>
              <w:tc>
                <w:tcPr>
                  <w:tcW w:w="3482" w:type="pct"/>
                  <w:gridSpan w:val="5"/>
                  <w:tcBorders>
                    <w:tl2br w:val="nil"/>
                    <w:tr2bl w:val="nil"/>
                  </w:tcBorders>
                  <w:noWrap w:val="0"/>
                  <w:vAlign w:val="center"/>
                </w:tcPr>
                <w:p w14:paraId="7F0567C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厂界</w:t>
                  </w:r>
                </w:p>
              </w:tc>
            </w:tr>
            <w:tr w14:paraId="4933CD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continue"/>
                  <w:tcBorders>
                    <w:tl2br w:val="nil"/>
                    <w:tr2bl w:val="nil"/>
                  </w:tcBorders>
                  <w:noWrap w:val="0"/>
                  <w:vAlign w:val="center"/>
                </w:tcPr>
                <w:p w14:paraId="6EFDED9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738" w:type="pct"/>
                  <w:vMerge w:val="continue"/>
                  <w:tcBorders>
                    <w:tl2br w:val="nil"/>
                    <w:tr2bl w:val="nil"/>
                  </w:tcBorders>
                  <w:noWrap w:val="0"/>
                  <w:vAlign w:val="center"/>
                </w:tcPr>
                <w:p w14:paraId="5F91663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469" w:type="pct"/>
                  <w:vMerge w:val="continue"/>
                  <w:tcBorders>
                    <w:tl2br w:val="nil"/>
                    <w:tr2bl w:val="nil"/>
                  </w:tcBorders>
                  <w:noWrap w:val="0"/>
                  <w:vAlign w:val="center"/>
                </w:tcPr>
                <w:p w14:paraId="5C0BEDF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668" w:type="pct"/>
                  <w:tcBorders>
                    <w:tl2br w:val="nil"/>
                    <w:tr2bl w:val="nil"/>
                  </w:tcBorders>
                  <w:noWrap w:val="0"/>
                  <w:vAlign w:val="center"/>
                </w:tcPr>
                <w:p w14:paraId="005794F2">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方位</w:t>
                  </w:r>
                </w:p>
              </w:tc>
              <w:tc>
                <w:tcPr>
                  <w:tcW w:w="663" w:type="pct"/>
                  <w:tcBorders>
                    <w:tl2br w:val="nil"/>
                    <w:tr2bl w:val="nil"/>
                  </w:tcBorders>
                  <w:noWrap w:val="0"/>
                  <w:vAlign w:val="center"/>
                </w:tcPr>
                <w:p w14:paraId="13645480">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东</w:t>
                  </w:r>
                </w:p>
              </w:tc>
              <w:tc>
                <w:tcPr>
                  <w:tcW w:w="714" w:type="pct"/>
                  <w:tcBorders>
                    <w:tl2br w:val="nil"/>
                    <w:tr2bl w:val="nil"/>
                  </w:tcBorders>
                  <w:noWrap w:val="0"/>
                  <w:vAlign w:val="center"/>
                </w:tcPr>
                <w:p w14:paraId="4D3584BC">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w w:val="100"/>
                      <w:sz w:val="21"/>
                      <w:szCs w:val="21"/>
                      <w:highlight w:val="none"/>
                    </w:rPr>
                    <w:t>南</w:t>
                  </w:r>
                </w:p>
              </w:tc>
              <w:tc>
                <w:tcPr>
                  <w:tcW w:w="655" w:type="pct"/>
                  <w:tcBorders>
                    <w:tl2br w:val="nil"/>
                    <w:tr2bl w:val="nil"/>
                  </w:tcBorders>
                  <w:noWrap w:val="0"/>
                  <w:vAlign w:val="center"/>
                </w:tcPr>
                <w:p w14:paraId="1A085235">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西</w:t>
                  </w:r>
                </w:p>
              </w:tc>
              <w:tc>
                <w:tcPr>
                  <w:tcW w:w="780" w:type="pct"/>
                  <w:tcBorders>
                    <w:tl2br w:val="nil"/>
                    <w:tr2bl w:val="nil"/>
                  </w:tcBorders>
                  <w:noWrap w:val="0"/>
                  <w:vAlign w:val="center"/>
                </w:tcPr>
                <w:p w14:paraId="6237B916">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北</w:t>
                  </w:r>
                </w:p>
              </w:tc>
            </w:tr>
            <w:tr w14:paraId="0323C9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restart"/>
                  <w:tcBorders>
                    <w:tl2br w:val="nil"/>
                    <w:tr2bl w:val="nil"/>
                  </w:tcBorders>
                  <w:noWrap w:val="0"/>
                  <w:vAlign w:val="center"/>
                </w:tcPr>
                <w:p w14:paraId="27D12C4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38" w:type="pct"/>
                  <w:vMerge w:val="restart"/>
                  <w:tcBorders>
                    <w:tl2br w:val="nil"/>
                    <w:tr2bl w:val="nil"/>
                  </w:tcBorders>
                  <w:noWrap w:val="0"/>
                  <w:vAlign w:val="center"/>
                </w:tcPr>
                <w:p w14:paraId="7F968EAC">
                  <w:pP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rPr>
                    <w:t>激光切割机</w:t>
                  </w:r>
                  <w:r>
                    <w:rPr>
                      <w:rFonts w:hint="default" w:ascii="Times New Roman" w:hAnsi="Times New Roman" w:cs="Times New Roman"/>
                      <w:color w:val="auto"/>
                      <w:sz w:val="21"/>
                      <w:szCs w:val="21"/>
                      <w:lang w:val="en-US" w:eastAsia="zh-CN"/>
                    </w:rPr>
                    <w:t>1</w:t>
                  </w:r>
                </w:p>
              </w:tc>
              <w:tc>
                <w:tcPr>
                  <w:tcW w:w="469" w:type="pct"/>
                  <w:vMerge w:val="restart"/>
                  <w:tcBorders>
                    <w:tl2br w:val="nil"/>
                    <w:tr2bl w:val="nil"/>
                  </w:tcBorders>
                  <w:noWrap w:val="0"/>
                  <w:vAlign w:val="center"/>
                </w:tcPr>
                <w:p w14:paraId="78432CAC">
                  <w:pPr>
                    <w:pageBreakBefore w:val="0"/>
                    <w:kinsoku/>
                    <w:wordWrap/>
                    <w:overflowPunct w:val="0"/>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lang w:val="en-US" w:eastAsia="zh-CN"/>
                    </w:rPr>
                    <w:t>65</w:t>
                  </w:r>
                </w:p>
              </w:tc>
              <w:tc>
                <w:tcPr>
                  <w:tcW w:w="668" w:type="pct"/>
                  <w:tcBorders>
                    <w:tl2br w:val="nil"/>
                    <w:tr2bl w:val="nil"/>
                  </w:tcBorders>
                  <w:noWrap w:val="0"/>
                  <w:vAlign w:val="center"/>
                </w:tcPr>
                <w:p w14:paraId="1B784AE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1A6EAFCE">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101</w:t>
                  </w:r>
                </w:p>
              </w:tc>
              <w:tc>
                <w:tcPr>
                  <w:tcW w:w="714" w:type="pct"/>
                  <w:tcBorders>
                    <w:tl2br w:val="nil"/>
                    <w:tr2bl w:val="nil"/>
                  </w:tcBorders>
                  <w:noWrap w:val="0"/>
                  <w:vAlign w:val="center"/>
                </w:tcPr>
                <w:p w14:paraId="0E8A2846">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42</w:t>
                  </w:r>
                </w:p>
              </w:tc>
              <w:tc>
                <w:tcPr>
                  <w:tcW w:w="655" w:type="pct"/>
                  <w:tcBorders>
                    <w:tl2br w:val="nil"/>
                    <w:tr2bl w:val="nil"/>
                  </w:tcBorders>
                  <w:noWrap w:val="0"/>
                  <w:vAlign w:val="center"/>
                </w:tcPr>
                <w:p w14:paraId="531B9205">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w:t>
                  </w:r>
                </w:p>
              </w:tc>
              <w:tc>
                <w:tcPr>
                  <w:tcW w:w="780" w:type="pct"/>
                  <w:tcBorders>
                    <w:tl2br w:val="nil"/>
                    <w:tr2bl w:val="nil"/>
                  </w:tcBorders>
                  <w:noWrap w:val="0"/>
                  <w:vAlign w:val="center"/>
                </w:tcPr>
                <w:p w14:paraId="7432C4E0">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r>
            <w:tr w14:paraId="0DC157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continue"/>
                  <w:tcBorders>
                    <w:tl2br w:val="nil"/>
                    <w:tr2bl w:val="nil"/>
                  </w:tcBorders>
                  <w:noWrap w:val="0"/>
                  <w:vAlign w:val="center"/>
                </w:tcPr>
                <w:p w14:paraId="3FFFA01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4918435E">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469" w:type="pct"/>
                  <w:vMerge w:val="continue"/>
                  <w:tcBorders>
                    <w:tl2br w:val="nil"/>
                    <w:tr2bl w:val="nil"/>
                  </w:tcBorders>
                  <w:noWrap w:val="0"/>
                  <w:vAlign w:val="center"/>
                </w:tcPr>
                <w:p w14:paraId="40C24668">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736CF4B4">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0D85DC9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714" w:type="pct"/>
                  <w:tcBorders>
                    <w:tl2br w:val="nil"/>
                    <w:tr2bl w:val="nil"/>
                  </w:tcBorders>
                  <w:noWrap w:val="0"/>
                  <w:vAlign w:val="center"/>
                </w:tcPr>
                <w:p w14:paraId="0180B9D9">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p>
              </w:tc>
              <w:tc>
                <w:tcPr>
                  <w:tcW w:w="655" w:type="pct"/>
                  <w:tcBorders>
                    <w:tl2br w:val="nil"/>
                    <w:tr2bl w:val="nil"/>
                  </w:tcBorders>
                  <w:noWrap w:val="0"/>
                  <w:vAlign w:val="center"/>
                </w:tcPr>
                <w:p w14:paraId="642DFC30">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c>
                <w:tcPr>
                  <w:tcW w:w="780" w:type="pct"/>
                  <w:tcBorders>
                    <w:tl2br w:val="nil"/>
                    <w:tr2bl w:val="nil"/>
                  </w:tcBorders>
                  <w:noWrap w:val="0"/>
                  <w:vAlign w:val="center"/>
                </w:tcPr>
                <w:p w14:paraId="3CD5B6CB">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r>
            <w:tr w14:paraId="3FE8DC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restart"/>
                  <w:tcBorders>
                    <w:tl2br w:val="nil"/>
                    <w:tr2bl w:val="nil"/>
                  </w:tcBorders>
                  <w:noWrap w:val="0"/>
                  <w:vAlign w:val="center"/>
                </w:tcPr>
                <w:p w14:paraId="5B81603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738" w:type="pct"/>
                  <w:vMerge w:val="restart"/>
                  <w:tcBorders>
                    <w:tl2br w:val="nil"/>
                    <w:tr2bl w:val="nil"/>
                  </w:tcBorders>
                  <w:noWrap w:val="0"/>
                  <w:vAlign w:val="center"/>
                </w:tcPr>
                <w:p w14:paraId="382DD83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激光切割机</w:t>
                  </w:r>
                  <w:r>
                    <w:rPr>
                      <w:rFonts w:hint="default" w:ascii="Times New Roman" w:hAnsi="Times New Roman" w:cs="Times New Roman"/>
                      <w:color w:val="auto"/>
                      <w:sz w:val="21"/>
                      <w:szCs w:val="21"/>
                      <w:lang w:val="en-US" w:eastAsia="zh-CN"/>
                    </w:rPr>
                    <w:t>2</w:t>
                  </w:r>
                </w:p>
              </w:tc>
              <w:tc>
                <w:tcPr>
                  <w:tcW w:w="469" w:type="pct"/>
                  <w:vMerge w:val="restart"/>
                  <w:tcBorders>
                    <w:tl2br w:val="nil"/>
                    <w:tr2bl w:val="nil"/>
                  </w:tcBorders>
                  <w:noWrap w:val="0"/>
                  <w:vAlign w:val="center"/>
                </w:tcPr>
                <w:p w14:paraId="42380931">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65</w:t>
                  </w:r>
                </w:p>
              </w:tc>
              <w:tc>
                <w:tcPr>
                  <w:tcW w:w="668" w:type="pct"/>
                  <w:tcBorders>
                    <w:tl2br w:val="nil"/>
                    <w:tr2bl w:val="nil"/>
                  </w:tcBorders>
                  <w:noWrap w:val="0"/>
                  <w:vAlign w:val="center"/>
                </w:tcPr>
                <w:p w14:paraId="481C374C">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2F6CD36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100</w:t>
                  </w:r>
                </w:p>
              </w:tc>
              <w:tc>
                <w:tcPr>
                  <w:tcW w:w="714" w:type="pct"/>
                  <w:tcBorders>
                    <w:tl2br w:val="nil"/>
                    <w:tr2bl w:val="nil"/>
                  </w:tcBorders>
                  <w:noWrap w:val="0"/>
                  <w:vAlign w:val="center"/>
                </w:tcPr>
                <w:p w14:paraId="573DF0E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31</w:t>
                  </w:r>
                </w:p>
              </w:tc>
              <w:tc>
                <w:tcPr>
                  <w:tcW w:w="655" w:type="pct"/>
                  <w:tcBorders>
                    <w:tl2br w:val="nil"/>
                    <w:tr2bl w:val="nil"/>
                  </w:tcBorders>
                  <w:noWrap w:val="0"/>
                  <w:vAlign w:val="center"/>
                </w:tcPr>
                <w:p w14:paraId="634F933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13</w:t>
                  </w:r>
                </w:p>
              </w:tc>
              <w:tc>
                <w:tcPr>
                  <w:tcW w:w="780" w:type="pct"/>
                  <w:tcBorders>
                    <w:tl2br w:val="nil"/>
                    <w:tr2bl w:val="nil"/>
                  </w:tcBorders>
                  <w:noWrap w:val="0"/>
                  <w:vAlign w:val="center"/>
                </w:tcPr>
                <w:p w14:paraId="10C5EC27">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39</w:t>
                  </w:r>
                </w:p>
              </w:tc>
            </w:tr>
            <w:tr w14:paraId="4AE284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continue"/>
                  <w:tcBorders>
                    <w:tl2br w:val="nil"/>
                    <w:tr2bl w:val="nil"/>
                  </w:tcBorders>
                  <w:noWrap w:val="0"/>
                  <w:vAlign w:val="center"/>
                </w:tcPr>
                <w:p w14:paraId="10C4284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16AB46E0">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5031FEA9">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13B624A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0DB0788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714" w:type="pct"/>
                  <w:tcBorders>
                    <w:tl2br w:val="nil"/>
                    <w:tr2bl w:val="nil"/>
                  </w:tcBorders>
                  <w:noWrap w:val="0"/>
                  <w:vAlign w:val="center"/>
                </w:tcPr>
                <w:p w14:paraId="5A4FC5BC">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655" w:type="pct"/>
                  <w:tcBorders>
                    <w:tl2br w:val="nil"/>
                    <w:tr2bl w:val="nil"/>
                  </w:tcBorders>
                  <w:noWrap w:val="0"/>
                  <w:vAlign w:val="center"/>
                </w:tcPr>
                <w:p w14:paraId="639711B6">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42</w:t>
                  </w:r>
                </w:p>
              </w:tc>
              <w:tc>
                <w:tcPr>
                  <w:tcW w:w="780" w:type="pct"/>
                  <w:tcBorders>
                    <w:tl2br w:val="nil"/>
                    <w:tr2bl w:val="nil"/>
                  </w:tcBorders>
                  <w:noWrap w:val="0"/>
                  <w:vAlign w:val="center"/>
                </w:tcPr>
                <w:p w14:paraId="4C9F049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w:t>
                  </w:r>
                </w:p>
              </w:tc>
            </w:tr>
            <w:tr w14:paraId="7FF70A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restart"/>
                  <w:tcBorders>
                    <w:tl2br w:val="nil"/>
                    <w:tr2bl w:val="nil"/>
                  </w:tcBorders>
                  <w:noWrap w:val="0"/>
                  <w:vAlign w:val="center"/>
                </w:tcPr>
                <w:p w14:paraId="74C9C91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738" w:type="pct"/>
                  <w:vMerge w:val="restart"/>
                  <w:tcBorders>
                    <w:tl2br w:val="nil"/>
                    <w:tr2bl w:val="nil"/>
                  </w:tcBorders>
                  <w:noWrap w:val="0"/>
                  <w:vAlign w:val="center"/>
                </w:tcPr>
                <w:p w14:paraId="207E6EA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火焰切割机</w:t>
                  </w:r>
                </w:p>
              </w:tc>
              <w:tc>
                <w:tcPr>
                  <w:tcW w:w="469" w:type="pct"/>
                  <w:vMerge w:val="restart"/>
                  <w:tcBorders>
                    <w:tl2br w:val="nil"/>
                    <w:tr2bl w:val="nil"/>
                  </w:tcBorders>
                  <w:noWrap w:val="0"/>
                  <w:vAlign w:val="center"/>
                </w:tcPr>
                <w:p w14:paraId="6B063BD7">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65</w:t>
                  </w:r>
                </w:p>
              </w:tc>
              <w:tc>
                <w:tcPr>
                  <w:tcW w:w="668" w:type="pct"/>
                  <w:tcBorders>
                    <w:tl2br w:val="nil"/>
                    <w:tr2bl w:val="nil"/>
                  </w:tcBorders>
                  <w:noWrap w:val="0"/>
                  <w:vAlign w:val="center"/>
                </w:tcPr>
                <w:p w14:paraId="44213571">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39D5B84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99</w:t>
                  </w:r>
                </w:p>
              </w:tc>
              <w:tc>
                <w:tcPr>
                  <w:tcW w:w="714" w:type="pct"/>
                  <w:tcBorders>
                    <w:tl2br w:val="nil"/>
                    <w:tr2bl w:val="nil"/>
                  </w:tcBorders>
                  <w:noWrap w:val="0"/>
                  <w:vAlign w:val="center"/>
                </w:tcPr>
                <w:p w14:paraId="33B32F0E">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26</w:t>
                  </w:r>
                </w:p>
              </w:tc>
              <w:tc>
                <w:tcPr>
                  <w:tcW w:w="655" w:type="pct"/>
                  <w:tcBorders>
                    <w:tl2br w:val="nil"/>
                    <w:tr2bl w:val="nil"/>
                  </w:tcBorders>
                  <w:noWrap w:val="0"/>
                  <w:vAlign w:val="center"/>
                </w:tcPr>
                <w:p w14:paraId="374DDC27">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13</w:t>
                  </w:r>
                </w:p>
              </w:tc>
              <w:tc>
                <w:tcPr>
                  <w:tcW w:w="780" w:type="pct"/>
                  <w:tcBorders>
                    <w:tl2br w:val="nil"/>
                    <w:tr2bl w:val="nil"/>
                  </w:tcBorders>
                  <w:noWrap w:val="0"/>
                  <w:vAlign w:val="center"/>
                </w:tcPr>
                <w:p w14:paraId="4ECD38A9">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45</w:t>
                  </w:r>
                </w:p>
              </w:tc>
            </w:tr>
            <w:tr w14:paraId="01C000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continue"/>
                  <w:tcBorders>
                    <w:tl2br w:val="nil"/>
                    <w:tr2bl w:val="nil"/>
                  </w:tcBorders>
                  <w:noWrap w:val="0"/>
                  <w:vAlign w:val="center"/>
                </w:tcPr>
                <w:p w14:paraId="52A9BC2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51B57652">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024F6D4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5BA7C34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6496A98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714" w:type="pct"/>
                  <w:tcBorders>
                    <w:tl2br w:val="nil"/>
                    <w:tr2bl w:val="nil"/>
                  </w:tcBorders>
                  <w:noWrap w:val="0"/>
                  <w:vAlign w:val="center"/>
                </w:tcPr>
                <w:p w14:paraId="00F2739C">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37</w:t>
                  </w:r>
                </w:p>
              </w:tc>
              <w:tc>
                <w:tcPr>
                  <w:tcW w:w="655" w:type="pct"/>
                  <w:tcBorders>
                    <w:tl2br w:val="nil"/>
                    <w:tr2bl w:val="nil"/>
                  </w:tcBorders>
                  <w:noWrap w:val="0"/>
                  <w:vAlign w:val="center"/>
                </w:tcPr>
                <w:p w14:paraId="5AC067EB">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42</w:t>
                  </w:r>
                </w:p>
              </w:tc>
              <w:tc>
                <w:tcPr>
                  <w:tcW w:w="780" w:type="pct"/>
                  <w:tcBorders>
                    <w:tl2br w:val="nil"/>
                    <w:tr2bl w:val="nil"/>
                  </w:tcBorders>
                  <w:noWrap w:val="0"/>
                  <w:vAlign w:val="center"/>
                </w:tcPr>
                <w:p w14:paraId="4BE97058">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32</w:t>
                  </w:r>
                </w:p>
              </w:tc>
            </w:tr>
            <w:tr w14:paraId="182768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restart"/>
                  <w:tcBorders>
                    <w:tl2br w:val="nil"/>
                    <w:tr2bl w:val="nil"/>
                  </w:tcBorders>
                  <w:noWrap w:val="0"/>
                  <w:vAlign w:val="center"/>
                </w:tcPr>
                <w:p w14:paraId="675853F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738" w:type="pct"/>
                  <w:vMerge w:val="restart"/>
                  <w:tcBorders>
                    <w:tl2br w:val="nil"/>
                    <w:tr2bl w:val="nil"/>
                  </w:tcBorders>
                  <w:noWrap w:val="0"/>
                  <w:vAlign w:val="center"/>
                </w:tcPr>
                <w:p w14:paraId="40043BD0">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静电喷塑机1</w:t>
                  </w:r>
                </w:p>
              </w:tc>
              <w:tc>
                <w:tcPr>
                  <w:tcW w:w="469" w:type="pct"/>
                  <w:vMerge w:val="restart"/>
                  <w:tcBorders>
                    <w:tl2br w:val="nil"/>
                    <w:tr2bl w:val="nil"/>
                  </w:tcBorders>
                  <w:noWrap w:val="0"/>
                  <w:vAlign w:val="center"/>
                </w:tcPr>
                <w:p w14:paraId="131BEEF3">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55</w:t>
                  </w:r>
                </w:p>
              </w:tc>
              <w:tc>
                <w:tcPr>
                  <w:tcW w:w="668" w:type="pct"/>
                  <w:tcBorders>
                    <w:tl2br w:val="nil"/>
                    <w:tr2bl w:val="nil"/>
                  </w:tcBorders>
                  <w:noWrap w:val="0"/>
                  <w:vAlign w:val="center"/>
                </w:tcPr>
                <w:p w14:paraId="7CFBD15B">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177456E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w:t>
                  </w:r>
                </w:p>
              </w:tc>
              <w:tc>
                <w:tcPr>
                  <w:tcW w:w="714" w:type="pct"/>
                  <w:tcBorders>
                    <w:tl2br w:val="nil"/>
                    <w:tr2bl w:val="nil"/>
                  </w:tcBorders>
                  <w:noWrap w:val="0"/>
                  <w:vAlign w:val="center"/>
                </w:tcPr>
                <w:p w14:paraId="5902E0AE">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113</w:t>
                  </w:r>
                </w:p>
              </w:tc>
              <w:tc>
                <w:tcPr>
                  <w:tcW w:w="655" w:type="pct"/>
                  <w:tcBorders>
                    <w:tl2br w:val="nil"/>
                    <w:tr2bl w:val="nil"/>
                  </w:tcBorders>
                  <w:noWrap w:val="0"/>
                  <w:vAlign w:val="center"/>
                </w:tcPr>
                <w:p w14:paraId="7BC87541">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c>
                <w:tcPr>
                  <w:tcW w:w="780" w:type="pct"/>
                  <w:tcBorders>
                    <w:tl2br w:val="nil"/>
                    <w:tr2bl w:val="nil"/>
                  </w:tcBorders>
                  <w:noWrap w:val="0"/>
                  <w:vAlign w:val="center"/>
                </w:tcPr>
                <w:p w14:paraId="0B2AF2AA">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w:t>
                  </w:r>
                </w:p>
              </w:tc>
            </w:tr>
            <w:tr w14:paraId="69777C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continue"/>
                  <w:tcBorders>
                    <w:tl2br w:val="nil"/>
                    <w:tr2bl w:val="nil"/>
                  </w:tcBorders>
                  <w:noWrap w:val="0"/>
                  <w:vAlign w:val="center"/>
                </w:tcPr>
                <w:p w14:paraId="261A411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2CEC291C">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0D1C26E4">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01BFCE61">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6EF5B63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714" w:type="pct"/>
                  <w:tcBorders>
                    <w:tl2br w:val="nil"/>
                    <w:tr2bl w:val="nil"/>
                  </w:tcBorders>
                  <w:noWrap w:val="0"/>
                  <w:vAlign w:val="center"/>
                </w:tcPr>
                <w:p w14:paraId="7A2A7DDF">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w:t>
                  </w:r>
                </w:p>
              </w:tc>
              <w:tc>
                <w:tcPr>
                  <w:tcW w:w="655" w:type="pct"/>
                  <w:tcBorders>
                    <w:tl2br w:val="nil"/>
                    <w:tr2bl w:val="nil"/>
                  </w:tcBorders>
                  <w:noWrap w:val="0"/>
                  <w:vAlign w:val="center"/>
                </w:tcPr>
                <w:p w14:paraId="11B017D3">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w:t>
                  </w:r>
                </w:p>
              </w:tc>
              <w:tc>
                <w:tcPr>
                  <w:tcW w:w="780" w:type="pct"/>
                  <w:tcBorders>
                    <w:tl2br w:val="nil"/>
                    <w:tr2bl w:val="nil"/>
                  </w:tcBorders>
                  <w:noWrap w:val="0"/>
                  <w:vAlign w:val="center"/>
                </w:tcPr>
                <w:p w14:paraId="53E943AF">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w:t>
                  </w:r>
                </w:p>
              </w:tc>
            </w:tr>
            <w:tr w14:paraId="290DF7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restart"/>
                  <w:tcBorders>
                    <w:tl2br w:val="nil"/>
                    <w:tr2bl w:val="nil"/>
                  </w:tcBorders>
                  <w:noWrap w:val="0"/>
                  <w:vAlign w:val="center"/>
                </w:tcPr>
                <w:p w14:paraId="24BEB5F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738" w:type="pct"/>
                  <w:vMerge w:val="restart"/>
                  <w:tcBorders>
                    <w:tl2br w:val="nil"/>
                    <w:tr2bl w:val="nil"/>
                  </w:tcBorders>
                  <w:noWrap w:val="0"/>
                  <w:vAlign w:val="center"/>
                </w:tcPr>
                <w:p w14:paraId="7434D03F">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静电喷塑机2</w:t>
                  </w:r>
                </w:p>
              </w:tc>
              <w:tc>
                <w:tcPr>
                  <w:tcW w:w="469" w:type="pct"/>
                  <w:vMerge w:val="restart"/>
                  <w:tcBorders>
                    <w:tl2br w:val="nil"/>
                    <w:tr2bl w:val="nil"/>
                  </w:tcBorders>
                  <w:noWrap w:val="0"/>
                  <w:vAlign w:val="center"/>
                </w:tcPr>
                <w:p w14:paraId="57ADC4B7">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70</w:t>
                  </w:r>
                </w:p>
              </w:tc>
              <w:tc>
                <w:tcPr>
                  <w:tcW w:w="668" w:type="pct"/>
                  <w:tcBorders>
                    <w:tl2br w:val="nil"/>
                    <w:tr2bl w:val="nil"/>
                  </w:tcBorders>
                  <w:noWrap w:val="0"/>
                  <w:vAlign w:val="center"/>
                </w:tcPr>
                <w:p w14:paraId="515FDDEF">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4C65C16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w:t>
                  </w:r>
                </w:p>
              </w:tc>
              <w:tc>
                <w:tcPr>
                  <w:tcW w:w="714" w:type="pct"/>
                  <w:tcBorders>
                    <w:tl2br w:val="nil"/>
                    <w:tr2bl w:val="nil"/>
                  </w:tcBorders>
                  <w:noWrap w:val="0"/>
                  <w:vAlign w:val="center"/>
                </w:tcPr>
                <w:p w14:paraId="4D4D81E8">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123</w:t>
                  </w:r>
                </w:p>
              </w:tc>
              <w:tc>
                <w:tcPr>
                  <w:tcW w:w="655" w:type="pct"/>
                  <w:tcBorders>
                    <w:tl2br w:val="nil"/>
                    <w:tr2bl w:val="nil"/>
                  </w:tcBorders>
                  <w:noWrap w:val="0"/>
                  <w:vAlign w:val="center"/>
                </w:tcPr>
                <w:p w14:paraId="47B387EB">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73</w:t>
                  </w:r>
                </w:p>
              </w:tc>
              <w:tc>
                <w:tcPr>
                  <w:tcW w:w="780" w:type="pct"/>
                  <w:tcBorders>
                    <w:tl2br w:val="nil"/>
                    <w:tr2bl w:val="nil"/>
                  </w:tcBorders>
                  <w:noWrap w:val="0"/>
                  <w:vAlign w:val="center"/>
                </w:tcPr>
                <w:p w14:paraId="62A6BAD1">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w:t>
                  </w:r>
                </w:p>
              </w:tc>
            </w:tr>
            <w:tr w14:paraId="120D16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continue"/>
                  <w:tcBorders>
                    <w:tl2br w:val="nil"/>
                    <w:tr2bl w:val="nil"/>
                  </w:tcBorders>
                  <w:noWrap w:val="0"/>
                  <w:vAlign w:val="center"/>
                </w:tcPr>
                <w:p w14:paraId="7E680FE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7C2B7408">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106F3428">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786FDB11">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06F0CB5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38</w:t>
                  </w:r>
                </w:p>
              </w:tc>
              <w:tc>
                <w:tcPr>
                  <w:tcW w:w="714" w:type="pct"/>
                  <w:tcBorders>
                    <w:tl2br w:val="nil"/>
                    <w:tr2bl w:val="nil"/>
                  </w:tcBorders>
                  <w:noWrap w:val="0"/>
                  <w:vAlign w:val="center"/>
                </w:tcPr>
                <w:p w14:paraId="65B1775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w:t>
                  </w:r>
                </w:p>
              </w:tc>
              <w:tc>
                <w:tcPr>
                  <w:tcW w:w="655" w:type="pct"/>
                  <w:tcBorders>
                    <w:tl2br w:val="nil"/>
                    <w:tr2bl w:val="nil"/>
                  </w:tcBorders>
                  <w:noWrap w:val="0"/>
                  <w:vAlign w:val="center"/>
                </w:tcPr>
                <w:p w14:paraId="0160B80F">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w:t>
                  </w:r>
                </w:p>
              </w:tc>
              <w:tc>
                <w:tcPr>
                  <w:tcW w:w="780" w:type="pct"/>
                  <w:tcBorders>
                    <w:tl2br w:val="nil"/>
                    <w:tr2bl w:val="nil"/>
                  </w:tcBorders>
                  <w:noWrap w:val="0"/>
                  <w:vAlign w:val="center"/>
                </w:tcPr>
                <w:p w14:paraId="77BCC5AF">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47</w:t>
                  </w:r>
                </w:p>
              </w:tc>
            </w:tr>
            <w:tr w14:paraId="4D58FB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restart"/>
                  <w:tcBorders>
                    <w:tl2br w:val="nil"/>
                    <w:tr2bl w:val="nil"/>
                  </w:tcBorders>
                  <w:noWrap w:val="0"/>
                  <w:vAlign w:val="center"/>
                </w:tcPr>
                <w:p w14:paraId="4172D8F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738" w:type="pct"/>
                  <w:vMerge w:val="restart"/>
                  <w:tcBorders>
                    <w:tl2br w:val="nil"/>
                    <w:tr2bl w:val="nil"/>
                  </w:tcBorders>
                  <w:noWrap w:val="0"/>
                  <w:vAlign w:val="center"/>
                </w:tcPr>
                <w:p w14:paraId="5673FF07">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静电喷塑机3</w:t>
                  </w:r>
                </w:p>
              </w:tc>
              <w:tc>
                <w:tcPr>
                  <w:tcW w:w="469" w:type="pct"/>
                  <w:vMerge w:val="restart"/>
                  <w:tcBorders>
                    <w:tl2br w:val="nil"/>
                    <w:tr2bl w:val="nil"/>
                  </w:tcBorders>
                  <w:noWrap w:val="0"/>
                  <w:vAlign w:val="center"/>
                </w:tcPr>
                <w:p w14:paraId="5640ABD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1"/>
                      <w:szCs w:val="21"/>
                      <w:lang w:val="en-US" w:eastAsia="zh-CN" w:bidi="ar-SA"/>
                    </w:rPr>
                    <w:t>70</w:t>
                  </w:r>
                </w:p>
              </w:tc>
              <w:tc>
                <w:tcPr>
                  <w:tcW w:w="668" w:type="pct"/>
                  <w:tcBorders>
                    <w:tl2br w:val="nil"/>
                    <w:tr2bl w:val="nil"/>
                  </w:tcBorders>
                  <w:noWrap w:val="0"/>
                  <w:vAlign w:val="center"/>
                </w:tcPr>
                <w:p w14:paraId="4FBB811E">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70BCFE7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58</w:t>
                  </w:r>
                </w:p>
              </w:tc>
              <w:tc>
                <w:tcPr>
                  <w:tcW w:w="714" w:type="pct"/>
                  <w:tcBorders>
                    <w:tl2br w:val="nil"/>
                    <w:tr2bl w:val="nil"/>
                  </w:tcBorders>
                  <w:noWrap w:val="0"/>
                  <w:vAlign w:val="center"/>
                </w:tcPr>
                <w:p w14:paraId="01A27F67">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86</w:t>
                  </w:r>
                </w:p>
              </w:tc>
              <w:tc>
                <w:tcPr>
                  <w:tcW w:w="655" w:type="pct"/>
                  <w:tcBorders>
                    <w:tl2br w:val="nil"/>
                    <w:tr2bl w:val="nil"/>
                  </w:tcBorders>
                  <w:noWrap w:val="0"/>
                  <w:vAlign w:val="center"/>
                </w:tcPr>
                <w:p w14:paraId="02FCEF6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52</w:t>
                  </w:r>
                </w:p>
              </w:tc>
              <w:tc>
                <w:tcPr>
                  <w:tcW w:w="780" w:type="pct"/>
                  <w:tcBorders>
                    <w:tl2br w:val="nil"/>
                    <w:tr2bl w:val="nil"/>
                  </w:tcBorders>
                  <w:noWrap w:val="0"/>
                  <w:vAlign w:val="center"/>
                </w:tcPr>
                <w:p w14:paraId="481B0474">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w:t>
                  </w:r>
                </w:p>
              </w:tc>
            </w:tr>
            <w:tr w14:paraId="1EB438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continue"/>
                  <w:tcBorders>
                    <w:tl2br w:val="nil"/>
                    <w:tr2bl w:val="nil"/>
                  </w:tcBorders>
                  <w:noWrap w:val="0"/>
                  <w:vAlign w:val="center"/>
                </w:tcPr>
                <w:p w14:paraId="18C8D7B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2A5D0A87">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7A6FAE7C">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670248A7">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16FA572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714" w:type="pct"/>
                  <w:tcBorders>
                    <w:tl2br w:val="nil"/>
                    <w:tr2bl w:val="nil"/>
                  </w:tcBorders>
                  <w:noWrap w:val="0"/>
                  <w:vAlign w:val="center"/>
                </w:tcPr>
                <w:p w14:paraId="548B0572">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31</w:t>
                  </w:r>
                </w:p>
              </w:tc>
              <w:tc>
                <w:tcPr>
                  <w:tcW w:w="655" w:type="pct"/>
                  <w:tcBorders>
                    <w:tl2br w:val="nil"/>
                    <w:tr2bl w:val="nil"/>
                  </w:tcBorders>
                  <w:noWrap w:val="0"/>
                  <w:vAlign w:val="center"/>
                </w:tcPr>
                <w:p w14:paraId="3C588495">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780" w:type="pct"/>
                  <w:tcBorders>
                    <w:tl2br w:val="nil"/>
                    <w:tr2bl w:val="nil"/>
                  </w:tcBorders>
                  <w:noWrap w:val="0"/>
                  <w:vAlign w:val="center"/>
                </w:tcPr>
                <w:p w14:paraId="6C8C2140">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36</w:t>
                  </w:r>
                </w:p>
              </w:tc>
            </w:tr>
            <w:tr w14:paraId="115E4C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restart"/>
                  <w:tcBorders>
                    <w:tl2br w:val="nil"/>
                    <w:tr2bl w:val="nil"/>
                  </w:tcBorders>
                  <w:noWrap w:val="0"/>
                  <w:vAlign w:val="center"/>
                </w:tcPr>
                <w:p w14:paraId="0DC5A6F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738" w:type="pct"/>
                  <w:vMerge w:val="restart"/>
                  <w:tcBorders>
                    <w:tl2br w:val="nil"/>
                    <w:tr2bl w:val="nil"/>
                  </w:tcBorders>
                  <w:noWrap w:val="0"/>
                  <w:vAlign w:val="center"/>
                </w:tcPr>
                <w:p w14:paraId="6022028D">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空气压缩机1</w:t>
                  </w:r>
                </w:p>
              </w:tc>
              <w:tc>
                <w:tcPr>
                  <w:tcW w:w="469" w:type="pct"/>
                  <w:vMerge w:val="restart"/>
                  <w:tcBorders>
                    <w:tl2br w:val="nil"/>
                    <w:tr2bl w:val="nil"/>
                  </w:tcBorders>
                  <w:noWrap w:val="0"/>
                  <w:vAlign w:val="center"/>
                </w:tcPr>
                <w:p w14:paraId="47717BD6">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1"/>
                      <w:szCs w:val="21"/>
                      <w:lang w:val="en-US" w:eastAsia="zh-CN" w:bidi="ar-SA"/>
                    </w:rPr>
                    <w:t>70</w:t>
                  </w:r>
                </w:p>
              </w:tc>
              <w:tc>
                <w:tcPr>
                  <w:tcW w:w="668" w:type="pct"/>
                  <w:tcBorders>
                    <w:tl2br w:val="nil"/>
                    <w:tr2bl w:val="nil"/>
                  </w:tcBorders>
                  <w:noWrap w:val="0"/>
                  <w:vAlign w:val="center"/>
                </w:tcPr>
                <w:p w14:paraId="4D32F887">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2EE4CF5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c>
                <w:tcPr>
                  <w:tcW w:w="714" w:type="pct"/>
                  <w:tcBorders>
                    <w:tl2br w:val="nil"/>
                    <w:tr2bl w:val="nil"/>
                  </w:tcBorders>
                  <w:noWrap w:val="0"/>
                  <w:vAlign w:val="center"/>
                </w:tcPr>
                <w:p w14:paraId="26A7B270">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27</w:t>
                  </w:r>
                </w:p>
              </w:tc>
              <w:tc>
                <w:tcPr>
                  <w:tcW w:w="655" w:type="pct"/>
                  <w:tcBorders>
                    <w:tl2br w:val="nil"/>
                    <w:tr2bl w:val="nil"/>
                  </w:tcBorders>
                  <w:noWrap w:val="0"/>
                  <w:vAlign w:val="center"/>
                </w:tcPr>
                <w:p w14:paraId="7DD741B7">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w:t>
                  </w:r>
                </w:p>
              </w:tc>
              <w:tc>
                <w:tcPr>
                  <w:tcW w:w="780" w:type="pct"/>
                  <w:tcBorders>
                    <w:tl2br w:val="nil"/>
                    <w:tr2bl w:val="nil"/>
                  </w:tcBorders>
                  <w:noWrap w:val="0"/>
                  <w:vAlign w:val="center"/>
                </w:tcPr>
                <w:p w14:paraId="6A74FA0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46</w:t>
                  </w:r>
                </w:p>
              </w:tc>
            </w:tr>
            <w:tr w14:paraId="2C6CE6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continue"/>
                  <w:tcBorders>
                    <w:tl2br w:val="nil"/>
                    <w:tr2bl w:val="nil"/>
                  </w:tcBorders>
                  <w:noWrap w:val="0"/>
                  <w:vAlign w:val="center"/>
                </w:tcPr>
                <w:p w14:paraId="78F59AA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2609AF3F">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251BAB04">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6C7B26F7">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7664507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31</w:t>
                  </w:r>
                </w:p>
              </w:tc>
              <w:tc>
                <w:tcPr>
                  <w:tcW w:w="714" w:type="pct"/>
                  <w:tcBorders>
                    <w:tl2br w:val="nil"/>
                    <w:tr2bl w:val="nil"/>
                  </w:tcBorders>
                  <w:noWrap w:val="0"/>
                  <w:vAlign w:val="center"/>
                </w:tcPr>
                <w:p w14:paraId="723C6C1F">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w:t>
                  </w:r>
                </w:p>
              </w:tc>
              <w:tc>
                <w:tcPr>
                  <w:tcW w:w="655" w:type="pct"/>
                  <w:tcBorders>
                    <w:tl2br w:val="nil"/>
                    <w:tr2bl w:val="nil"/>
                  </w:tcBorders>
                  <w:noWrap w:val="0"/>
                  <w:vAlign w:val="center"/>
                </w:tcPr>
                <w:p w14:paraId="251529F1">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42</w:t>
                  </w:r>
                </w:p>
              </w:tc>
              <w:tc>
                <w:tcPr>
                  <w:tcW w:w="780" w:type="pct"/>
                  <w:tcBorders>
                    <w:tl2br w:val="nil"/>
                    <w:tr2bl w:val="nil"/>
                  </w:tcBorders>
                  <w:noWrap w:val="0"/>
                  <w:vAlign w:val="center"/>
                </w:tcPr>
                <w:p w14:paraId="58804182">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37</w:t>
                  </w:r>
                </w:p>
              </w:tc>
            </w:tr>
            <w:tr w14:paraId="7C9F66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restart"/>
                  <w:tcBorders>
                    <w:tl2br w:val="nil"/>
                    <w:tr2bl w:val="nil"/>
                  </w:tcBorders>
                  <w:noWrap w:val="0"/>
                  <w:vAlign w:val="center"/>
                </w:tcPr>
                <w:p w14:paraId="0C1173A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738" w:type="pct"/>
                  <w:vMerge w:val="restart"/>
                  <w:tcBorders>
                    <w:tl2br w:val="nil"/>
                    <w:tr2bl w:val="nil"/>
                  </w:tcBorders>
                  <w:noWrap w:val="0"/>
                  <w:vAlign w:val="center"/>
                </w:tcPr>
                <w:p w14:paraId="5A254660">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角磨机1</w:t>
                  </w:r>
                </w:p>
              </w:tc>
              <w:tc>
                <w:tcPr>
                  <w:tcW w:w="469" w:type="pct"/>
                  <w:vMerge w:val="restart"/>
                  <w:tcBorders>
                    <w:tl2br w:val="nil"/>
                    <w:tr2bl w:val="nil"/>
                  </w:tcBorders>
                  <w:noWrap w:val="0"/>
                  <w:vAlign w:val="center"/>
                </w:tcPr>
                <w:p w14:paraId="4E06C7A3">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1"/>
                      <w:szCs w:val="21"/>
                      <w:lang w:val="en-US" w:eastAsia="zh-CN" w:bidi="ar-SA"/>
                    </w:rPr>
                    <w:t>60</w:t>
                  </w:r>
                </w:p>
              </w:tc>
              <w:tc>
                <w:tcPr>
                  <w:tcW w:w="668" w:type="pct"/>
                  <w:tcBorders>
                    <w:tl2br w:val="nil"/>
                    <w:tr2bl w:val="nil"/>
                  </w:tcBorders>
                  <w:noWrap w:val="0"/>
                  <w:vAlign w:val="center"/>
                </w:tcPr>
                <w:p w14:paraId="007E0872">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2789199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101</w:t>
                  </w:r>
                </w:p>
              </w:tc>
              <w:tc>
                <w:tcPr>
                  <w:tcW w:w="714" w:type="pct"/>
                  <w:tcBorders>
                    <w:tl2br w:val="nil"/>
                    <w:tr2bl w:val="nil"/>
                  </w:tcBorders>
                  <w:noWrap w:val="0"/>
                  <w:vAlign w:val="center"/>
                </w:tcPr>
                <w:p w14:paraId="53036F76">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w:t>
                  </w:r>
                </w:p>
              </w:tc>
              <w:tc>
                <w:tcPr>
                  <w:tcW w:w="655" w:type="pct"/>
                  <w:tcBorders>
                    <w:tl2br w:val="nil"/>
                    <w:tr2bl w:val="nil"/>
                  </w:tcBorders>
                  <w:noWrap w:val="0"/>
                  <w:vAlign w:val="center"/>
                </w:tcPr>
                <w:p w14:paraId="22CDE293">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w:t>
                  </w:r>
                </w:p>
              </w:tc>
              <w:tc>
                <w:tcPr>
                  <w:tcW w:w="780" w:type="pct"/>
                  <w:tcBorders>
                    <w:tl2br w:val="nil"/>
                    <w:tr2bl w:val="nil"/>
                  </w:tcBorders>
                  <w:noWrap w:val="0"/>
                  <w:vAlign w:val="center"/>
                </w:tcPr>
                <w:p w14:paraId="27801425">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44</w:t>
                  </w:r>
                </w:p>
              </w:tc>
            </w:tr>
            <w:tr w14:paraId="412167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continue"/>
                  <w:tcBorders>
                    <w:tl2br w:val="nil"/>
                    <w:tr2bl w:val="nil"/>
                  </w:tcBorders>
                  <w:noWrap w:val="0"/>
                  <w:vAlign w:val="center"/>
                </w:tcPr>
                <w:p w14:paraId="5AC5673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2A419D50">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4387586F">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6E1F1189">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75F739A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714" w:type="pct"/>
                  <w:tcBorders>
                    <w:tl2br w:val="nil"/>
                    <w:tr2bl w:val="nil"/>
                  </w:tcBorders>
                  <w:noWrap w:val="0"/>
                  <w:vAlign w:val="center"/>
                </w:tcPr>
                <w:p w14:paraId="62CCE6AC">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31</w:t>
                  </w:r>
                </w:p>
              </w:tc>
              <w:tc>
                <w:tcPr>
                  <w:tcW w:w="655" w:type="pct"/>
                  <w:tcBorders>
                    <w:tl2br w:val="nil"/>
                    <w:tr2bl w:val="nil"/>
                  </w:tcBorders>
                  <w:noWrap w:val="0"/>
                  <w:vAlign w:val="center"/>
                </w:tcPr>
                <w:p w14:paraId="635EE723">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38</w:t>
                  </w:r>
                </w:p>
              </w:tc>
              <w:tc>
                <w:tcPr>
                  <w:tcW w:w="780" w:type="pct"/>
                  <w:tcBorders>
                    <w:tl2br w:val="nil"/>
                    <w:tr2bl w:val="nil"/>
                  </w:tcBorders>
                  <w:noWrap w:val="0"/>
                  <w:vAlign w:val="center"/>
                </w:tcPr>
                <w:p w14:paraId="4DC42836">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27</w:t>
                  </w:r>
                </w:p>
              </w:tc>
            </w:tr>
            <w:tr w14:paraId="443C27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restart"/>
                  <w:tcBorders>
                    <w:tl2br w:val="nil"/>
                    <w:tr2bl w:val="nil"/>
                  </w:tcBorders>
                  <w:noWrap w:val="0"/>
                  <w:vAlign w:val="center"/>
                </w:tcPr>
                <w:p w14:paraId="77085D2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738" w:type="pct"/>
                  <w:vMerge w:val="restart"/>
                  <w:tcBorders>
                    <w:tl2br w:val="nil"/>
                    <w:tr2bl w:val="nil"/>
                  </w:tcBorders>
                  <w:noWrap w:val="0"/>
                  <w:vAlign w:val="center"/>
                </w:tcPr>
                <w:p w14:paraId="2BE94BAF">
                  <w:pPr>
                    <w:adjustRightInd w:val="0"/>
                    <w:snapToGrid w:val="0"/>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lang w:val="en-US" w:eastAsia="zh-CN"/>
                    </w:rPr>
                    <w:t>角磨机2</w:t>
                  </w:r>
                </w:p>
              </w:tc>
              <w:tc>
                <w:tcPr>
                  <w:tcW w:w="469" w:type="pct"/>
                  <w:vMerge w:val="restart"/>
                  <w:tcBorders>
                    <w:tl2br w:val="nil"/>
                    <w:tr2bl w:val="nil"/>
                  </w:tcBorders>
                  <w:noWrap w:val="0"/>
                  <w:vAlign w:val="center"/>
                </w:tcPr>
                <w:p w14:paraId="4CCB50D4">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w:t>
                  </w:r>
                </w:p>
              </w:tc>
              <w:tc>
                <w:tcPr>
                  <w:tcW w:w="668" w:type="pct"/>
                  <w:tcBorders>
                    <w:tl2br w:val="nil"/>
                    <w:tr2bl w:val="nil"/>
                  </w:tcBorders>
                  <w:noWrap w:val="0"/>
                  <w:vAlign w:val="center"/>
                </w:tcPr>
                <w:p w14:paraId="3F82961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481D796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w:t>
                  </w:r>
                </w:p>
              </w:tc>
              <w:tc>
                <w:tcPr>
                  <w:tcW w:w="714" w:type="pct"/>
                  <w:tcBorders>
                    <w:tl2br w:val="nil"/>
                    <w:tr2bl w:val="nil"/>
                  </w:tcBorders>
                  <w:noWrap w:val="0"/>
                  <w:vAlign w:val="center"/>
                </w:tcPr>
                <w:p w14:paraId="4C83809E">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118</w:t>
                  </w:r>
                </w:p>
              </w:tc>
              <w:tc>
                <w:tcPr>
                  <w:tcW w:w="655" w:type="pct"/>
                  <w:tcBorders>
                    <w:tl2br w:val="nil"/>
                    <w:tr2bl w:val="nil"/>
                  </w:tcBorders>
                  <w:noWrap w:val="0"/>
                  <w:vAlign w:val="center"/>
                </w:tcPr>
                <w:p w14:paraId="75EC37E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76</w:t>
                  </w:r>
                </w:p>
              </w:tc>
              <w:tc>
                <w:tcPr>
                  <w:tcW w:w="780" w:type="pct"/>
                  <w:tcBorders>
                    <w:tl2br w:val="nil"/>
                    <w:tr2bl w:val="nil"/>
                  </w:tcBorders>
                  <w:noWrap w:val="0"/>
                  <w:vAlign w:val="center"/>
                </w:tcPr>
                <w:p w14:paraId="462EE2E7">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r>
            <w:tr w14:paraId="6FF0A2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continue"/>
                  <w:tcBorders>
                    <w:tl2br w:val="nil"/>
                    <w:tr2bl w:val="nil"/>
                  </w:tcBorders>
                  <w:noWrap w:val="0"/>
                  <w:vAlign w:val="center"/>
                </w:tcPr>
                <w:p w14:paraId="096A00E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1E066DC2">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41D88BD6">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53AD1449">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50A7895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w:t>
                  </w:r>
                </w:p>
              </w:tc>
              <w:tc>
                <w:tcPr>
                  <w:tcW w:w="714" w:type="pct"/>
                  <w:tcBorders>
                    <w:tl2br w:val="nil"/>
                    <w:tr2bl w:val="nil"/>
                  </w:tcBorders>
                  <w:noWrap w:val="0"/>
                  <w:vAlign w:val="center"/>
                </w:tcPr>
                <w:p w14:paraId="6A883B9B">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w:t>
                  </w:r>
                </w:p>
              </w:tc>
              <w:tc>
                <w:tcPr>
                  <w:tcW w:w="655" w:type="pct"/>
                  <w:tcBorders>
                    <w:tl2br w:val="nil"/>
                    <w:tr2bl w:val="nil"/>
                  </w:tcBorders>
                  <w:noWrap w:val="0"/>
                  <w:vAlign w:val="center"/>
                </w:tcPr>
                <w:p w14:paraId="487A7475">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w:t>
                  </w:r>
                </w:p>
              </w:tc>
              <w:tc>
                <w:tcPr>
                  <w:tcW w:w="780" w:type="pct"/>
                  <w:tcBorders>
                    <w:tl2br w:val="nil"/>
                    <w:tr2bl w:val="nil"/>
                  </w:tcBorders>
                  <w:noWrap w:val="0"/>
                  <w:vAlign w:val="center"/>
                </w:tcPr>
                <w:p w14:paraId="28511669">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r>
            <w:tr w14:paraId="29EC12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restart"/>
                  <w:tcBorders>
                    <w:tl2br w:val="nil"/>
                    <w:tr2bl w:val="nil"/>
                  </w:tcBorders>
                  <w:noWrap w:val="0"/>
                  <w:vAlign w:val="center"/>
                </w:tcPr>
                <w:p w14:paraId="7C621E7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738" w:type="pct"/>
                  <w:vMerge w:val="restart"/>
                  <w:tcBorders>
                    <w:tl2br w:val="nil"/>
                    <w:tr2bl w:val="nil"/>
                  </w:tcBorders>
                  <w:noWrap w:val="0"/>
                  <w:vAlign w:val="center"/>
                </w:tcPr>
                <w:p w14:paraId="63627AF0">
                  <w:pPr>
                    <w:adjustRightInd w:val="0"/>
                    <w:snapToGrid w:val="0"/>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lang w:val="en-US" w:eastAsia="zh-CN"/>
                    </w:rPr>
                    <w:t>环保设备风机1</w:t>
                  </w:r>
                </w:p>
              </w:tc>
              <w:tc>
                <w:tcPr>
                  <w:tcW w:w="469" w:type="pct"/>
                  <w:vMerge w:val="restart"/>
                  <w:tcBorders>
                    <w:tl2br w:val="nil"/>
                    <w:tr2bl w:val="nil"/>
                  </w:tcBorders>
                  <w:noWrap w:val="0"/>
                  <w:vAlign w:val="center"/>
                </w:tcPr>
                <w:p w14:paraId="21BE7115">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w:t>
                  </w:r>
                </w:p>
              </w:tc>
              <w:tc>
                <w:tcPr>
                  <w:tcW w:w="668" w:type="pct"/>
                  <w:tcBorders>
                    <w:tl2br w:val="nil"/>
                    <w:tr2bl w:val="nil"/>
                  </w:tcBorders>
                  <w:noWrap w:val="0"/>
                  <w:vAlign w:val="center"/>
                </w:tcPr>
                <w:p w14:paraId="4D12E606">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773EA8C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51</w:t>
                  </w:r>
                </w:p>
              </w:tc>
              <w:tc>
                <w:tcPr>
                  <w:tcW w:w="714" w:type="pct"/>
                  <w:tcBorders>
                    <w:tl2br w:val="nil"/>
                    <w:tr2bl w:val="nil"/>
                  </w:tcBorders>
                  <w:noWrap w:val="0"/>
                  <w:vAlign w:val="center"/>
                </w:tcPr>
                <w:p w14:paraId="62848A02">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121</w:t>
                  </w:r>
                </w:p>
              </w:tc>
              <w:tc>
                <w:tcPr>
                  <w:tcW w:w="655" w:type="pct"/>
                  <w:tcBorders>
                    <w:tl2br w:val="nil"/>
                    <w:tr2bl w:val="nil"/>
                  </w:tcBorders>
                  <w:noWrap w:val="0"/>
                  <w:vAlign w:val="center"/>
                </w:tcPr>
                <w:p w14:paraId="48FCD29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c>
                <w:tcPr>
                  <w:tcW w:w="780" w:type="pct"/>
                  <w:tcBorders>
                    <w:tl2br w:val="nil"/>
                    <w:tr2bl w:val="nil"/>
                  </w:tcBorders>
                  <w:noWrap w:val="0"/>
                  <w:vAlign w:val="center"/>
                </w:tcPr>
                <w:p w14:paraId="58B927BF">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w:t>
                  </w:r>
                </w:p>
              </w:tc>
            </w:tr>
            <w:tr w14:paraId="7875C5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continue"/>
                  <w:tcBorders>
                    <w:tl2br w:val="nil"/>
                    <w:tr2bl w:val="nil"/>
                  </w:tcBorders>
                  <w:noWrap w:val="0"/>
                  <w:vAlign w:val="center"/>
                </w:tcPr>
                <w:p w14:paraId="4B204DC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77AF53E8">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72EC4919">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18D3A7EC">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4EF5B9B3">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26</w:t>
                  </w:r>
                </w:p>
              </w:tc>
              <w:tc>
                <w:tcPr>
                  <w:tcW w:w="714" w:type="pct"/>
                  <w:tcBorders>
                    <w:tl2br w:val="nil"/>
                    <w:tr2bl w:val="nil"/>
                  </w:tcBorders>
                  <w:noWrap w:val="0"/>
                  <w:vAlign w:val="center"/>
                </w:tcPr>
                <w:p w14:paraId="6C0AB22B">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c>
                <w:tcPr>
                  <w:tcW w:w="655" w:type="pct"/>
                  <w:tcBorders>
                    <w:tl2br w:val="nil"/>
                    <w:tr2bl w:val="nil"/>
                  </w:tcBorders>
                  <w:noWrap w:val="0"/>
                  <w:vAlign w:val="center"/>
                </w:tcPr>
                <w:p w14:paraId="3A6BF5E2">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w:t>
                  </w:r>
                </w:p>
              </w:tc>
              <w:tc>
                <w:tcPr>
                  <w:tcW w:w="780" w:type="pct"/>
                  <w:tcBorders>
                    <w:tl2br w:val="nil"/>
                    <w:tr2bl w:val="nil"/>
                  </w:tcBorders>
                  <w:noWrap w:val="0"/>
                  <w:vAlign w:val="center"/>
                </w:tcPr>
                <w:p w14:paraId="45C4807C">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37</w:t>
                  </w:r>
                </w:p>
              </w:tc>
            </w:tr>
            <w:tr w14:paraId="39164B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restart"/>
                  <w:tcBorders>
                    <w:tl2br w:val="nil"/>
                    <w:tr2bl w:val="nil"/>
                  </w:tcBorders>
                  <w:noWrap w:val="0"/>
                  <w:vAlign w:val="center"/>
                </w:tcPr>
                <w:p w14:paraId="48F0F98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738" w:type="pct"/>
                  <w:vMerge w:val="restart"/>
                  <w:tcBorders>
                    <w:tl2br w:val="nil"/>
                    <w:tr2bl w:val="nil"/>
                  </w:tcBorders>
                  <w:noWrap w:val="0"/>
                  <w:vAlign w:val="center"/>
                </w:tcPr>
                <w:p w14:paraId="7736CCA3">
                  <w:pPr>
                    <w:adjustRightInd w:val="0"/>
                    <w:snapToGrid w:val="0"/>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lang w:val="en-US" w:eastAsia="zh-CN"/>
                    </w:rPr>
                    <w:t>环保设备风机2</w:t>
                  </w:r>
                </w:p>
              </w:tc>
              <w:tc>
                <w:tcPr>
                  <w:tcW w:w="469" w:type="pct"/>
                  <w:vMerge w:val="restart"/>
                  <w:tcBorders>
                    <w:tl2br w:val="nil"/>
                    <w:tr2bl w:val="nil"/>
                  </w:tcBorders>
                  <w:noWrap w:val="0"/>
                  <w:vAlign w:val="center"/>
                </w:tcPr>
                <w:p w14:paraId="6352B976">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w:t>
                  </w:r>
                </w:p>
              </w:tc>
              <w:tc>
                <w:tcPr>
                  <w:tcW w:w="668" w:type="pct"/>
                  <w:tcBorders>
                    <w:tl2br w:val="nil"/>
                    <w:tr2bl w:val="nil"/>
                  </w:tcBorders>
                  <w:noWrap w:val="0"/>
                  <w:vAlign w:val="center"/>
                </w:tcPr>
                <w:p w14:paraId="540E78D9">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1DDFAEE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w:t>
                  </w:r>
                </w:p>
              </w:tc>
              <w:tc>
                <w:tcPr>
                  <w:tcW w:w="714" w:type="pct"/>
                  <w:tcBorders>
                    <w:tl2br w:val="nil"/>
                    <w:tr2bl w:val="nil"/>
                  </w:tcBorders>
                  <w:noWrap w:val="0"/>
                  <w:vAlign w:val="center"/>
                </w:tcPr>
                <w:p w14:paraId="301D08A5">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114</w:t>
                  </w:r>
                </w:p>
              </w:tc>
              <w:tc>
                <w:tcPr>
                  <w:tcW w:w="655" w:type="pct"/>
                  <w:tcBorders>
                    <w:tl2br w:val="nil"/>
                    <w:tr2bl w:val="nil"/>
                  </w:tcBorders>
                  <w:noWrap w:val="0"/>
                  <w:vAlign w:val="center"/>
                </w:tcPr>
                <w:p w14:paraId="761097B6">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77</w:t>
                  </w:r>
                </w:p>
              </w:tc>
              <w:tc>
                <w:tcPr>
                  <w:tcW w:w="780" w:type="pct"/>
                  <w:tcBorders>
                    <w:tl2br w:val="nil"/>
                    <w:tr2bl w:val="nil"/>
                  </w:tcBorders>
                  <w:noWrap w:val="0"/>
                  <w:vAlign w:val="center"/>
                </w:tcPr>
                <w:p w14:paraId="2DC7BF6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w:t>
                  </w:r>
                </w:p>
              </w:tc>
            </w:tr>
            <w:tr w14:paraId="30E2D4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continue"/>
                  <w:tcBorders>
                    <w:tl2br w:val="nil"/>
                    <w:tr2bl w:val="nil"/>
                  </w:tcBorders>
                  <w:noWrap w:val="0"/>
                  <w:vAlign w:val="center"/>
                </w:tcPr>
                <w:p w14:paraId="0074470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0E474190">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1A9509E0">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0D86E543">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3BDEDBE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w:t>
                  </w:r>
                </w:p>
              </w:tc>
              <w:tc>
                <w:tcPr>
                  <w:tcW w:w="714" w:type="pct"/>
                  <w:tcBorders>
                    <w:tl2br w:val="nil"/>
                    <w:tr2bl w:val="nil"/>
                  </w:tcBorders>
                  <w:noWrap w:val="0"/>
                  <w:vAlign w:val="center"/>
                </w:tcPr>
                <w:p w14:paraId="1E0368B5">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w:t>
                  </w:r>
                </w:p>
              </w:tc>
              <w:tc>
                <w:tcPr>
                  <w:tcW w:w="655" w:type="pct"/>
                  <w:tcBorders>
                    <w:tl2br w:val="nil"/>
                    <w:tr2bl w:val="nil"/>
                  </w:tcBorders>
                  <w:noWrap w:val="0"/>
                  <w:vAlign w:val="center"/>
                </w:tcPr>
                <w:p w14:paraId="730E685C">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w:t>
                  </w:r>
                </w:p>
              </w:tc>
              <w:tc>
                <w:tcPr>
                  <w:tcW w:w="780" w:type="pct"/>
                  <w:tcBorders>
                    <w:tl2br w:val="nil"/>
                    <w:tr2bl w:val="nil"/>
                  </w:tcBorders>
                  <w:noWrap w:val="0"/>
                  <w:vAlign w:val="center"/>
                </w:tcPr>
                <w:p w14:paraId="2E13C9FA">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33</w:t>
                  </w:r>
                </w:p>
              </w:tc>
            </w:tr>
            <w:tr w14:paraId="523E3E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restart"/>
                  <w:tcBorders>
                    <w:tl2br w:val="nil"/>
                    <w:tr2bl w:val="nil"/>
                  </w:tcBorders>
                  <w:noWrap w:val="0"/>
                  <w:vAlign w:val="center"/>
                </w:tcPr>
                <w:p w14:paraId="659D7DA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738" w:type="pct"/>
                  <w:vMerge w:val="restart"/>
                  <w:tcBorders>
                    <w:tl2br w:val="nil"/>
                    <w:tr2bl w:val="nil"/>
                  </w:tcBorders>
                  <w:noWrap w:val="0"/>
                  <w:vAlign w:val="center"/>
                </w:tcPr>
                <w:p w14:paraId="2A2CD38C">
                  <w:pPr>
                    <w:adjustRightInd w:val="0"/>
                    <w:snapToGrid w:val="0"/>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lang w:val="en-US" w:eastAsia="zh-CN"/>
                    </w:rPr>
                    <w:t>环保设备风机3</w:t>
                  </w:r>
                </w:p>
              </w:tc>
              <w:tc>
                <w:tcPr>
                  <w:tcW w:w="469" w:type="pct"/>
                  <w:vMerge w:val="restart"/>
                  <w:tcBorders>
                    <w:tl2br w:val="nil"/>
                    <w:tr2bl w:val="nil"/>
                  </w:tcBorders>
                  <w:noWrap w:val="0"/>
                  <w:vAlign w:val="center"/>
                </w:tcPr>
                <w:p w14:paraId="43BA9102">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w:t>
                  </w:r>
                </w:p>
              </w:tc>
              <w:tc>
                <w:tcPr>
                  <w:tcW w:w="668" w:type="pct"/>
                  <w:tcBorders>
                    <w:tl2br w:val="nil"/>
                    <w:tr2bl w:val="nil"/>
                  </w:tcBorders>
                  <w:noWrap w:val="0"/>
                  <w:vAlign w:val="center"/>
                </w:tcPr>
                <w:p w14:paraId="74CD3AA5">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5EC4BCE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88</w:t>
                  </w:r>
                </w:p>
              </w:tc>
              <w:tc>
                <w:tcPr>
                  <w:tcW w:w="714" w:type="pct"/>
                  <w:tcBorders>
                    <w:tl2br w:val="nil"/>
                    <w:tr2bl w:val="nil"/>
                  </w:tcBorders>
                  <w:noWrap w:val="0"/>
                  <w:vAlign w:val="center"/>
                </w:tcPr>
                <w:p w14:paraId="4B04C87A">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56</w:t>
                  </w:r>
                </w:p>
              </w:tc>
              <w:tc>
                <w:tcPr>
                  <w:tcW w:w="655" w:type="pct"/>
                  <w:tcBorders>
                    <w:tl2br w:val="nil"/>
                    <w:tr2bl w:val="nil"/>
                  </w:tcBorders>
                  <w:noWrap w:val="0"/>
                  <w:vAlign w:val="center"/>
                </w:tcPr>
                <w:p w14:paraId="755CB531">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26</w:t>
                  </w:r>
                </w:p>
              </w:tc>
              <w:tc>
                <w:tcPr>
                  <w:tcW w:w="780" w:type="pct"/>
                  <w:tcBorders>
                    <w:tl2br w:val="nil"/>
                    <w:tr2bl w:val="nil"/>
                  </w:tcBorders>
                  <w:noWrap w:val="0"/>
                  <w:vAlign w:val="center"/>
                </w:tcPr>
                <w:p w14:paraId="0C24F054">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w:t>
                  </w:r>
                </w:p>
              </w:tc>
            </w:tr>
            <w:tr w14:paraId="5978E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continue"/>
                  <w:tcBorders>
                    <w:tl2br w:val="nil"/>
                    <w:tr2bl w:val="nil"/>
                  </w:tcBorders>
                  <w:noWrap w:val="0"/>
                  <w:vAlign w:val="center"/>
                </w:tcPr>
                <w:p w14:paraId="40FA18B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31C3C8DA">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1D10D14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3A98EC3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291AB7F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w:t>
                  </w:r>
                </w:p>
              </w:tc>
              <w:tc>
                <w:tcPr>
                  <w:tcW w:w="714" w:type="pct"/>
                  <w:tcBorders>
                    <w:tl2br w:val="nil"/>
                    <w:tr2bl w:val="nil"/>
                  </w:tcBorders>
                  <w:noWrap w:val="0"/>
                  <w:vAlign w:val="center"/>
                </w:tcPr>
                <w:p w14:paraId="0A53F1EE">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655" w:type="pct"/>
                  <w:tcBorders>
                    <w:tl2br w:val="nil"/>
                    <w:tr2bl w:val="nil"/>
                  </w:tcBorders>
                  <w:noWrap w:val="0"/>
                  <w:vAlign w:val="center"/>
                </w:tcPr>
                <w:p w14:paraId="023C144F">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31</w:t>
                  </w:r>
                </w:p>
              </w:tc>
              <w:tc>
                <w:tcPr>
                  <w:tcW w:w="780" w:type="pct"/>
                  <w:tcBorders>
                    <w:tl2br w:val="nil"/>
                    <w:tr2bl w:val="nil"/>
                  </w:tcBorders>
                  <w:noWrap w:val="0"/>
                  <w:vAlign w:val="center"/>
                </w:tcPr>
                <w:p w14:paraId="40FB7764">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r>
            <w:tr w14:paraId="16F8C4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restart"/>
                  <w:tcBorders>
                    <w:tl2br w:val="nil"/>
                    <w:tr2bl w:val="nil"/>
                  </w:tcBorders>
                  <w:noWrap w:val="0"/>
                  <w:vAlign w:val="center"/>
                </w:tcPr>
                <w:p w14:paraId="6849093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w:t>
                  </w:r>
                </w:p>
              </w:tc>
              <w:tc>
                <w:tcPr>
                  <w:tcW w:w="738" w:type="pct"/>
                  <w:vMerge w:val="restart"/>
                  <w:tcBorders>
                    <w:tl2br w:val="nil"/>
                    <w:tr2bl w:val="nil"/>
                  </w:tcBorders>
                  <w:noWrap w:val="0"/>
                  <w:vAlign w:val="center"/>
                </w:tcPr>
                <w:p w14:paraId="5048A0DF">
                  <w:pPr>
                    <w:adjustRightInd w:val="0"/>
                    <w:snapToGrid w:val="0"/>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lang w:val="en-US" w:eastAsia="zh-CN"/>
                    </w:rPr>
                    <w:t>热风炉风机1</w:t>
                  </w:r>
                </w:p>
              </w:tc>
              <w:tc>
                <w:tcPr>
                  <w:tcW w:w="469" w:type="pct"/>
                  <w:vMerge w:val="restart"/>
                  <w:tcBorders>
                    <w:tl2br w:val="nil"/>
                    <w:tr2bl w:val="nil"/>
                  </w:tcBorders>
                  <w:noWrap w:val="0"/>
                  <w:vAlign w:val="center"/>
                </w:tcPr>
                <w:p w14:paraId="5A09277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w:t>
                  </w:r>
                </w:p>
              </w:tc>
              <w:tc>
                <w:tcPr>
                  <w:tcW w:w="668" w:type="pct"/>
                  <w:tcBorders>
                    <w:tl2br w:val="nil"/>
                    <w:tr2bl w:val="nil"/>
                  </w:tcBorders>
                  <w:noWrap w:val="0"/>
                  <w:vAlign w:val="center"/>
                </w:tcPr>
                <w:p w14:paraId="7E95CBF6">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37D297F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714" w:type="pct"/>
                  <w:tcBorders>
                    <w:tl2br w:val="nil"/>
                    <w:tr2bl w:val="nil"/>
                  </w:tcBorders>
                  <w:noWrap w:val="0"/>
                  <w:vAlign w:val="center"/>
                </w:tcPr>
                <w:p w14:paraId="1C8F5004">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w:t>
                  </w:r>
                </w:p>
              </w:tc>
              <w:tc>
                <w:tcPr>
                  <w:tcW w:w="655" w:type="pct"/>
                  <w:tcBorders>
                    <w:tl2br w:val="nil"/>
                    <w:tr2bl w:val="nil"/>
                  </w:tcBorders>
                  <w:noWrap w:val="0"/>
                  <w:vAlign w:val="center"/>
                </w:tcPr>
                <w:p w14:paraId="5DEDA526">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780" w:type="pct"/>
                  <w:tcBorders>
                    <w:tl2br w:val="nil"/>
                    <w:tr2bl w:val="nil"/>
                  </w:tcBorders>
                  <w:noWrap w:val="0"/>
                  <w:vAlign w:val="center"/>
                </w:tcPr>
                <w:p w14:paraId="02C571E5">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w:t>
                  </w:r>
                </w:p>
              </w:tc>
            </w:tr>
            <w:tr w14:paraId="3DF20B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continue"/>
                  <w:tcBorders>
                    <w:tl2br w:val="nil"/>
                    <w:tr2bl w:val="nil"/>
                  </w:tcBorders>
                  <w:noWrap w:val="0"/>
                  <w:vAlign w:val="center"/>
                </w:tcPr>
                <w:p w14:paraId="4A69B29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514D3D06">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3F32DA9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18830C37">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499364E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714" w:type="pct"/>
                  <w:tcBorders>
                    <w:tl2br w:val="nil"/>
                    <w:tr2bl w:val="nil"/>
                  </w:tcBorders>
                  <w:noWrap w:val="0"/>
                  <w:vAlign w:val="center"/>
                </w:tcPr>
                <w:p w14:paraId="5DBFB15A">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46</w:t>
                  </w:r>
                </w:p>
              </w:tc>
              <w:tc>
                <w:tcPr>
                  <w:tcW w:w="655" w:type="pct"/>
                  <w:tcBorders>
                    <w:tl2br w:val="nil"/>
                    <w:tr2bl w:val="nil"/>
                  </w:tcBorders>
                  <w:noWrap w:val="0"/>
                  <w:vAlign w:val="center"/>
                </w:tcPr>
                <w:p w14:paraId="39ACD403">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w:t>
                  </w:r>
                </w:p>
              </w:tc>
              <w:tc>
                <w:tcPr>
                  <w:tcW w:w="780" w:type="pct"/>
                  <w:tcBorders>
                    <w:tl2br w:val="nil"/>
                    <w:tr2bl w:val="nil"/>
                  </w:tcBorders>
                  <w:noWrap w:val="0"/>
                  <w:vAlign w:val="center"/>
                </w:tcPr>
                <w:p w14:paraId="089931EE">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43</w:t>
                  </w:r>
                </w:p>
              </w:tc>
            </w:tr>
            <w:tr w14:paraId="7704ED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restart"/>
                  <w:tcBorders>
                    <w:tl2br w:val="nil"/>
                    <w:tr2bl w:val="nil"/>
                  </w:tcBorders>
                  <w:noWrap w:val="0"/>
                  <w:vAlign w:val="center"/>
                </w:tcPr>
                <w:p w14:paraId="20BC4726">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w:t>
                  </w:r>
                </w:p>
              </w:tc>
              <w:tc>
                <w:tcPr>
                  <w:tcW w:w="738" w:type="pct"/>
                  <w:vMerge w:val="restart"/>
                  <w:tcBorders>
                    <w:tl2br w:val="nil"/>
                    <w:tr2bl w:val="nil"/>
                  </w:tcBorders>
                  <w:noWrap w:val="0"/>
                  <w:vAlign w:val="center"/>
                </w:tcPr>
                <w:p w14:paraId="7D21075D">
                  <w:pPr>
                    <w:adjustRightInd w:val="0"/>
                    <w:snapToGrid w:val="0"/>
                    <w:spacing w:line="24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 w:val="21"/>
                      <w:szCs w:val="21"/>
                      <w:lang w:val="en-US" w:eastAsia="zh-CN"/>
                    </w:rPr>
                    <w:t>热风炉风机1</w:t>
                  </w:r>
                </w:p>
              </w:tc>
              <w:tc>
                <w:tcPr>
                  <w:tcW w:w="469" w:type="pct"/>
                  <w:vMerge w:val="restart"/>
                  <w:tcBorders>
                    <w:tl2br w:val="nil"/>
                    <w:tr2bl w:val="nil"/>
                  </w:tcBorders>
                  <w:noWrap w:val="0"/>
                  <w:vAlign w:val="center"/>
                </w:tcPr>
                <w:p w14:paraId="341250A3">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w:t>
                  </w:r>
                </w:p>
              </w:tc>
              <w:tc>
                <w:tcPr>
                  <w:tcW w:w="668" w:type="pct"/>
                  <w:tcBorders>
                    <w:tl2br w:val="nil"/>
                    <w:tr2bl w:val="nil"/>
                  </w:tcBorders>
                  <w:noWrap w:val="0"/>
                  <w:vAlign w:val="center"/>
                </w:tcPr>
                <w:p w14:paraId="5F2216A5">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663" w:type="pct"/>
                  <w:tcBorders>
                    <w:tl2br w:val="nil"/>
                    <w:tr2bl w:val="nil"/>
                  </w:tcBorders>
                  <w:noWrap w:val="0"/>
                  <w:vAlign w:val="center"/>
                </w:tcPr>
                <w:p w14:paraId="57AA2A5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w:t>
                  </w:r>
                </w:p>
              </w:tc>
              <w:tc>
                <w:tcPr>
                  <w:tcW w:w="714" w:type="pct"/>
                  <w:tcBorders>
                    <w:tl2br w:val="nil"/>
                    <w:tr2bl w:val="nil"/>
                  </w:tcBorders>
                  <w:noWrap w:val="0"/>
                  <w:vAlign w:val="center"/>
                </w:tcPr>
                <w:p w14:paraId="383B24E0">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w:t>
                  </w:r>
                </w:p>
              </w:tc>
              <w:tc>
                <w:tcPr>
                  <w:tcW w:w="655" w:type="pct"/>
                  <w:tcBorders>
                    <w:tl2br w:val="nil"/>
                    <w:tr2bl w:val="nil"/>
                  </w:tcBorders>
                  <w:noWrap w:val="0"/>
                  <w:vAlign w:val="center"/>
                </w:tcPr>
                <w:p w14:paraId="0E34937C">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26</w:t>
                  </w:r>
                </w:p>
              </w:tc>
              <w:tc>
                <w:tcPr>
                  <w:tcW w:w="780" w:type="pct"/>
                  <w:tcBorders>
                    <w:tl2br w:val="nil"/>
                    <w:tr2bl w:val="nil"/>
                  </w:tcBorders>
                  <w:noWrap w:val="0"/>
                  <w:vAlign w:val="center"/>
                </w:tcPr>
                <w:p w14:paraId="447381E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27</w:t>
                  </w:r>
                </w:p>
              </w:tc>
            </w:tr>
            <w:tr w14:paraId="06AE09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310" w:type="pct"/>
                  <w:vMerge w:val="continue"/>
                  <w:tcBorders>
                    <w:tl2br w:val="nil"/>
                    <w:tr2bl w:val="nil"/>
                  </w:tcBorders>
                  <w:noWrap w:val="0"/>
                  <w:vAlign w:val="center"/>
                </w:tcPr>
                <w:p w14:paraId="658A597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738" w:type="pct"/>
                  <w:vMerge w:val="continue"/>
                  <w:tcBorders>
                    <w:tl2br w:val="nil"/>
                    <w:tr2bl w:val="nil"/>
                  </w:tcBorders>
                  <w:noWrap w:val="0"/>
                  <w:vAlign w:val="center"/>
                </w:tcPr>
                <w:p w14:paraId="156C5538">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469" w:type="pct"/>
                  <w:vMerge w:val="continue"/>
                  <w:tcBorders>
                    <w:tl2br w:val="nil"/>
                    <w:tr2bl w:val="nil"/>
                  </w:tcBorders>
                  <w:noWrap w:val="0"/>
                  <w:vAlign w:val="center"/>
                </w:tcPr>
                <w:p w14:paraId="27DB9C15">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68" w:type="pct"/>
                  <w:tcBorders>
                    <w:tl2br w:val="nil"/>
                    <w:tr2bl w:val="nil"/>
                  </w:tcBorders>
                  <w:noWrap w:val="0"/>
                  <w:vAlign w:val="center"/>
                </w:tcPr>
                <w:p w14:paraId="00A7310E">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34CCEFF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714" w:type="pct"/>
                  <w:tcBorders>
                    <w:tl2br w:val="nil"/>
                    <w:tr2bl w:val="nil"/>
                  </w:tcBorders>
                  <w:noWrap w:val="0"/>
                  <w:vAlign w:val="center"/>
                </w:tcPr>
                <w:p w14:paraId="352C9AC3">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39</w:t>
                  </w:r>
                </w:p>
              </w:tc>
              <w:tc>
                <w:tcPr>
                  <w:tcW w:w="655" w:type="pct"/>
                  <w:tcBorders>
                    <w:tl2br w:val="nil"/>
                    <w:tr2bl w:val="nil"/>
                  </w:tcBorders>
                  <w:noWrap w:val="0"/>
                  <w:vAlign w:val="center"/>
                </w:tcPr>
                <w:p w14:paraId="5DEC0690">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w:t>
                  </w:r>
                </w:p>
              </w:tc>
              <w:tc>
                <w:tcPr>
                  <w:tcW w:w="780" w:type="pct"/>
                  <w:tcBorders>
                    <w:tl2br w:val="nil"/>
                    <w:tr2bl w:val="nil"/>
                  </w:tcBorders>
                  <w:noWrap w:val="0"/>
                  <w:vAlign w:val="center"/>
                </w:tcPr>
                <w:p w14:paraId="4E4414EB">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w:t>
                  </w:r>
                </w:p>
              </w:tc>
            </w:tr>
            <w:tr w14:paraId="1FA934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2185" w:type="pct"/>
                  <w:gridSpan w:val="4"/>
                  <w:tcBorders>
                    <w:tl2br w:val="nil"/>
                    <w:tr2bl w:val="nil"/>
                  </w:tcBorders>
                  <w:noWrap w:val="0"/>
                  <w:vAlign w:val="center"/>
                </w:tcPr>
                <w:p w14:paraId="6F3278AA">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叠加</w:t>
                  </w:r>
                  <w:r>
                    <w:rPr>
                      <w:rFonts w:hint="default" w:ascii="Times New Roman" w:hAnsi="Times New Roman" w:eastAsia="宋体" w:cs="Times New Roman"/>
                      <w:color w:val="auto"/>
                      <w:sz w:val="21"/>
                      <w:szCs w:val="21"/>
                      <w:highlight w:val="none"/>
                    </w:rPr>
                    <w:t>贡献值</w:t>
                  </w:r>
                </w:p>
              </w:tc>
              <w:tc>
                <w:tcPr>
                  <w:tcW w:w="663" w:type="pct"/>
                  <w:tcBorders>
                    <w:tl2br w:val="nil"/>
                    <w:tr2bl w:val="nil"/>
                  </w:tcBorders>
                  <w:noWrap w:val="0"/>
                  <w:vAlign w:val="center"/>
                </w:tcPr>
                <w:p w14:paraId="12C79696">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42</w:t>
                  </w:r>
                </w:p>
              </w:tc>
              <w:tc>
                <w:tcPr>
                  <w:tcW w:w="714" w:type="pct"/>
                  <w:tcBorders>
                    <w:tl2br w:val="nil"/>
                    <w:tr2bl w:val="nil"/>
                  </w:tcBorders>
                  <w:noWrap w:val="0"/>
                  <w:vAlign w:val="center"/>
                </w:tcPr>
                <w:p w14:paraId="4F782BB9">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w:t>
                  </w:r>
                </w:p>
              </w:tc>
              <w:tc>
                <w:tcPr>
                  <w:tcW w:w="655" w:type="pct"/>
                  <w:tcBorders>
                    <w:tl2br w:val="nil"/>
                    <w:tr2bl w:val="nil"/>
                  </w:tcBorders>
                  <w:noWrap w:val="0"/>
                  <w:vAlign w:val="center"/>
                </w:tcPr>
                <w:p w14:paraId="6823E15A">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w:t>
                  </w:r>
                </w:p>
              </w:tc>
              <w:tc>
                <w:tcPr>
                  <w:tcW w:w="780" w:type="pct"/>
                  <w:tcBorders>
                    <w:tl2br w:val="nil"/>
                    <w:tr2bl w:val="nil"/>
                  </w:tcBorders>
                  <w:noWrap w:val="0"/>
                  <w:vAlign w:val="center"/>
                </w:tcPr>
                <w:p w14:paraId="300585F0">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r>
            <w:tr w14:paraId="578FCF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2" w:hRule="atLeast"/>
              </w:trPr>
              <w:tc>
                <w:tcPr>
                  <w:tcW w:w="2185" w:type="pct"/>
                  <w:gridSpan w:val="4"/>
                  <w:tcBorders>
                    <w:tl2br w:val="nil"/>
                    <w:tr2bl w:val="nil"/>
                  </w:tcBorders>
                  <w:noWrap w:val="0"/>
                  <w:vAlign w:val="center"/>
                </w:tcPr>
                <w:p w14:paraId="2737BAED">
                  <w:pPr>
                    <w:pStyle w:val="127"/>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标准限值（昼间）</w:t>
                  </w:r>
                </w:p>
              </w:tc>
              <w:tc>
                <w:tcPr>
                  <w:tcW w:w="663" w:type="pct"/>
                  <w:tcBorders>
                    <w:tl2br w:val="nil"/>
                    <w:tr2bl w:val="nil"/>
                  </w:tcBorders>
                  <w:noWrap w:val="0"/>
                  <w:vAlign w:val="center"/>
                </w:tcPr>
                <w:p w14:paraId="5ED81D2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60</w:t>
                  </w:r>
                </w:p>
              </w:tc>
              <w:tc>
                <w:tcPr>
                  <w:tcW w:w="714" w:type="pct"/>
                  <w:tcBorders>
                    <w:tl2br w:val="nil"/>
                    <w:tr2bl w:val="nil"/>
                  </w:tcBorders>
                  <w:noWrap w:val="0"/>
                  <w:vAlign w:val="center"/>
                </w:tcPr>
                <w:p w14:paraId="12BD4E1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60</w:t>
                  </w:r>
                </w:p>
              </w:tc>
              <w:tc>
                <w:tcPr>
                  <w:tcW w:w="655" w:type="pct"/>
                  <w:tcBorders>
                    <w:tl2br w:val="nil"/>
                    <w:tr2bl w:val="nil"/>
                  </w:tcBorders>
                  <w:noWrap w:val="0"/>
                  <w:vAlign w:val="center"/>
                </w:tcPr>
                <w:p w14:paraId="5C111D0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60</w:t>
                  </w:r>
                </w:p>
              </w:tc>
              <w:tc>
                <w:tcPr>
                  <w:tcW w:w="780" w:type="pct"/>
                  <w:tcBorders>
                    <w:tl2br w:val="nil"/>
                    <w:tr2bl w:val="nil"/>
                  </w:tcBorders>
                  <w:noWrap w:val="0"/>
                  <w:vAlign w:val="center"/>
                </w:tcPr>
                <w:p w14:paraId="31124EE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60</w:t>
                  </w:r>
                </w:p>
              </w:tc>
            </w:tr>
          </w:tbl>
          <w:p w14:paraId="21BE2AA3">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经上文分析、预测，项目厂界</w:t>
            </w:r>
            <w:r>
              <w:rPr>
                <w:rFonts w:hint="default" w:ascii="Times New Roman" w:hAnsi="Times New Roman" w:cs="Times New Roman"/>
                <w:color w:val="auto"/>
                <w:sz w:val="24"/>
                <w:szCs w:val="24"/>
                <w:lang w:val="en-US" w:eastAsia="zh-CN"/>
              </w:rPr>
              <w:t>东、南、西、北侧</w:t>
            </w:r>
            <w:r>
              <w:rPr>
                <w:rFonts w:hint="default" w:ascii="Times New Roman" w:hAnsi="Times New Roman" w:cs="Times New Roman"/>
                <w:color w:val="auto"/>
                <w:sz w:val="24"/>
                <w:szCs w:val="24"/>
              </w:rPr>
              <w:t>昼间噪声贡献值均符合《工业企业厂界环境噪声排放标准》（GB12348—2008）</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类限值要求。</w:t>
            </w:r>
          </w:p>
          <w:p w14:paraId="4478888A">
            <w:pPr>
              <w:adjustRightInd w:val="0"/>
              <w:snapToGrid w:val="0"/>
              <w:spacing w:line="360" w:lineRule="auto"/>
              <w:ind w:firstLine="482"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color w:val="auto"/>
                <w:sz w:val="24"/>
                <w:szCs w:val="24"/>
                <w:lang w:val="en-US" w:eastAsia="zh-CN"/>
              </w:rPr>
              <w:t>5.监测计划</w:t>
            </w:r>
          </w:p>
          <w:p w14:paraId="7B8EAA6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4-10</w:t>
            </w:r>
            <w:r>
              <w:rPr>
                <w:rFonts w:hint="default" w:ascii="Times New Roman" w:hAnsi="Times New Roman" w:eastAsia="宋体" w:cs="Times New Roman"/>
                <w:b/>
                <w:bCs/>
                <w:color w:val="auto"/>
                <w:sz w:val="21"/>
                <w:szCs w:val="21"/>
              </w:rPr>
              <w:t xml:space="preserve">  </w:t>
            </w:r>
            <w:r>
              <w:rPr>
                <w:rFonts w:hint="default" w:ascii="Times New Roman" w:hAnsi="Times New Roman" w:cs="Times New Roman"/>
                <w:b/>
                <w:bCs/>
                <w:color w:val="auto"/>
                <w:sz w:val="21"/>
                <w:szCs w:val="21"/>
              </w:rPr>
              <w:t>项目噪声监测计划一览表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
            <w:tblGrid>
              <w:gridCol w:w="1944"/>
              <w:gridCol w:w="1279"/>
              <w:gridCol w:w="1543"/>
              <w:gridCol w:w="3755"/>
            </w:tblGrid>
            <w:tr w14:paraId="6DA36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90" w:hRule="atLeast"/>
                <w:jc w:val="center"/>
              </w:trPr>
              <w:tc>
                <w:tcPr>
                  <w:tcW w:w="1140" w:type="pct"/>
                  <w:tcBorders>
                    <w:tl2br w:val="nil"/>
                    <w:tr2bl w:val="nil"/>
                  </w:tcBorders>
                  <w:noWrap w:val="0"/>
                  <w:vAlign w:val="center"/>
                </w:tcPr>
                <w:p w14:paraId="0B99DF4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750" w:type="pct"/>
                  <w:tcBorders>
                    <w:tl2br w:val="nil"/>
                    <w:tr2bl w:val="nil"/>
                  </w:tcBorders>
                  <w:noWrap w:val="0"/>
                  <w:vAlign w:val="center"/>
                </w:tcPr>
                <w:p w14:paraId="7408943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监测项目</w:t>
                  </w:r>
                </w:p>
              </w:tc>
              <w:tc>
                <w:tcPr>
                  <w:tcW w:w="905" w:type="pct"/>
                  <w:tcBorders>
                    <w:tl2br w:val="nil"/>
                    <w:tr2bl w:val="nil"/>
                  </w:tcBorders>
                  <w:noWrap w:val="0"/>
                  <w:vAlign w:val="center"/>
                </w:tcPr>
                <w:p w14:paraId="54C32B3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频次</w:t>
                  </w:r>
                </w:p>
              </w:tc>
              <w:tc>
                <w:tcPr>
                  <w:tcW w:w="2203" w:type="pct"/>
                  <w:tcBorders>
                    <w:tl2br w:val="nil"/>
                    <w:tr2bl w:val="nil"/>
                  </w:tcBorders>
                  <w:noWrap w:val="0"/>
                  <w:vAlign w:val="center"/>
                </w:tcPr>
                <w:p w14:paraId="4809B25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r>
            <w:tr w14:paraId="6EF48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90" w:hRule="atLeast"/>
                <w:jc w:val="center"/>
              </w:trPr>
              <w:tc>
                <w:tcPr>
                  <w:tcW w:w="1140" w:type="pct"/>
                  <w:tcBorders>
                    <w:tl2br w:val="nil"/>
                    <w:tr2bl w:val="nil"/>
                  </w:tcBorders>
                  <w:noWrap w:val="0"/>
                  <w:vAlign w:val="center"/>
                </w:tcPr>
                <w:p w14:paraId="1850100C">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厂界四周</w:t>
                  </w:r>
                </w:p>
              </w:tc>
              <w:tc>
                <w:tcPr>
                  <w:tcW w:w="750" w:type="pct"/>
                  <w:tcBorders>
                    <w:tl2br w:val="nil"/>
                    <w:tr2bl w:val="nil"/>
                  </w:tcBorders>
                  <w:noWrap w:val="0"/>
                  <w:vAlign w:val="center"/>
                </w:tcPr>
                <w:p w14:paraId="0F492E7E">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噪声</w:t>
                  </w:r>
                </w:p>
              </w:tc>
              <w:tc>
                <w:tcPr>
                  <w:tcW w:w="905" w:type="pct"/>
                  <w:tcBorders>
                    <w:tl2br w:val="nil"/>
                    <w:tr2bl w:val="nil"/>
                  </w:tcBorders>
                  <w:noWrap w:val="0"/>
                  <w:vAlign w:val="center"/>
                </w:tcPr>
                <w:p w14:paraId="1FEA51D2">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每季度</w:t>
                  </w:r>
                  <w:r>
                    <w:rPr>
                      <w:rFonts w:hint="default" w:ascii="Times New Roman" w:hAnsi="Times New Roman" w:cs="Times New Roman"/>
                      <w:bCs/>
                      <w:color w:val="auto"/>
                      <w:sz w:val="21"/>
                      <w:szCs w:val="21"/>
                      <w:lang w:val="en-US" w:eastAsia="zh-CN"/>
                    </w:rPr>
                    <w:t>一</w:t>
                  </w:r>
                  <w:r>
                    <w:rPr>
                      <w:rFonts w:hint="default" w:ascii="Times New Roman" w:hAnsi="Times New Roman" w:cs="Times New Roman"/>
                      <w:bCs/>
                      <w:color w:val="auto"/>
                      <w:sz w:val="21"/>
                      <w:szCs w:val="21"/>
                    </w:rPr>
                    <w:t>次</w:t>
                  </w:r>
                </w:p>
              </w:tc>
              <w:tc>
                <w:tcPr>
                  <w:tcW w:w="2203" w:type="pct"/>
                  <w:tcBorders>
                    <w:tl2br w:val="nil"/>
                    <w:tr2bl w:val="nil"/>
                  </w:tcBorders>
                  <w:noWrap w:val="0"/>
                  <w:vAlign w:val="center"/>
                </w:tcPr>
                <w:p w14:paraId="708BC136">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《工业企业厂界环境噪声排放标准》（GB12348—2008）</w:t>
                  </w:r>
                  <w:r>
                    <w:rPr>
                      <w:rFonts w:hint="default" w:ascii="Times New Roman" w:hAnsi="Times New Roman" w:cs="Times New Roman"/>
                      <w:bCs/>
                      <w:color w:val="auto"/>
                      <w:sz w:val="21"/>
                      <w:szCs w:val="21"/>
                      <w:lang w:val="en-US" w:eastAsia="zh-CN"/>
                    </w:rPr>
                    <w:t>3</w:t>
                  </w:r>
                  <w:r>
                    <w:rPr>
                      <w:rFonts w:hint="default" w:ascii="Times New Roman" w:hAnsi="Times New Roman" w:cs="Times New Roman"/>
                      <w:bCs/>
                      <w:color w:val="auto"/>
                      <w:sz w:val="21"/>
                      <w:szCs w:val="21"/>
                    </w:rPr>
                    <w:t>类</w:t>
                  </w:r>
                  <w:r>
                    <w:rPr>
                      <w:rFonts w:hint="default"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lang w:val="en-US" w:eastAsia="zh-CN"/>
                    </w:rPr>
                    <w:t>4类</w:t>
                  </w:r>
                  <w:r>
                    <w:rPr>
                      <w:rFonts w:hint="default" w:ascii="Times New Roman" w:hAnsi="Times New Roman" w:cs="Times New Roman"/>
                      <w:bCs/>
                      <w:color w:val="auto"/>
                      <w:sz w:val="21"/>
                      <w:szCs w:val="21"/>
                    </w:rPr>
                    <w:t>标准限值</w:t>
                  </w:r>
                </w:p>
              </w:tc>
            </w:tr>
          </w:tbl>
          <w:p w14:paraId="687CDDE1">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四、运营期固体废物环境影响和保护措施</w:t>
            </w:r>
          </w:p>
          <w:p w14:paraId="411CEEB9">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1.固体废物产生及处置情况</w:t>
            </w:r>
          </w:p>
          <w:p w14:paraId="6E84E5C8">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8"/>
              </w:rPr>
            </w:pPr>
            <w:bookmarkStart w:id="4" w:name="_Hlk41381177"/>
            <w:r>
              <w:rPr>
                <w:rFonts w:hint="default" w:ascii="Times New Roman" w:hAnsi="Times New Roman" w:cs="Times New Roman"/>
                <w:color w:val="auto"/>
                <w:sz w:val="24"/>
                <w:szCs w:val="28"/>
              </w:rPr>
              <w:t>项目固体废弃物主要</w:t>
            </w:r>
            <w:r>
              <w:rPr>
                <w:rFonts w:hint="default" w:ascii="Times New Roman" w:hAnsi="Times New Roman" w:cs="Times New Roman"/>
                <w:color w:val="auto"/>
                <w:sz w:val="24"/>
                <w:szCs w:val="28"/>
                <w:lang w:eastAsia="zh-CN"/>
              </w:rPr>
              <w:t>分</w:t>
            </w:r>
            <w:r>
              <w:rPr>
                <w:rFonts w:hint="default" w:ascii="Times New Roman" w:hAnsi="Times New Roman" w:cs="Times New Roman"/>
                <w:color w:val="auto"/>
                <w:sz w:val="24"/>
                <w:szCs w:val="28"/>
              </w:rPr>
              <w:t>为</w:t>
            </w:r>
            <w:bookmarkEnd w:id="4"/>
            <w:r>
              <w:rPr>
                <w:rFonts w:hint="default" w:ascii="Times New Roman" w:hAnsi="Times New Roman" w:cs="Times New Roman"/>
                <w:color w:val="auto"/>
                <w:sz w:val="24"/>
                <w:szCs w:val="28"/>
              </w:rPr>
              <w:t>生活垃圾</w:t>
            </w:r>
            <w:r>
              <w:rPr>
                <w:rFonts w:hint="default" w:ascii="Times New Roman" w:hAnsi="Times New Roman" w:cs="Times New Roman"/>
                <w:color w:val="auto"/>
                <w:sz w:val="24"/>
                <w:szCs w:val="28"/>
                <w:lang w:eastAsia="zh-CN"/>
              </w:rPr>
              <w:t>、一般固废（</w:t>
            </w:r>
            <w:r>
              <w:rPr>
                <w:rFonts w:hint="default" w:ascii="Times New Roman" w:hAnsi="Times New Roman" w:cs="Times New Roman"/>
                <w:color w:val="auto"/>
                <w:sz w:val="24"/>
                <w:szCs w:val="28"/>
                <w:lang w:val="en-US" w:eastAsia="zh-CN"/>
              </w:rPr>
              <w:t>废金属屑、废边角料、</w:t>
            </w:r>
            <w:r>
              <w:rPr>
                <w:rFonts w:hint="default" w:ascii="Times New Roman" w:hAnsi="Times New Roman" w:cs="Times New Roman"/>
                <w:color w:val="auto"/>
                <w:sz w:val="24"/>
                <w:szCs w:val="28"/>
                <w:lang w:eastAsia="zh-CN"/>
              </w:rPr>
              <w:t>废钢丸、</w:t>
            </w:r>
            <w:r>
              <w:rPr>
                <w:rFonts w:hint="default" w:ascii="Times New Roman" w:hAnsi="Times New Roman" w:cs="Times New Roman"/>
                <w:color w:val="auto"/>
                <w:sz w:val="24"/>
                <w:szCs w:val="28"/>
                <w:lang w:val="en-US" w:eastAsia="zh-CN"/>
              </w:rPr>
              <w:t>收尘灰</w:t>
            </w:r>
            <w:r>
              <w:rPr>
                <w:rFonts w:hint="default" w:ascii="Times New Roman" w:hAnsi="Times New Roman" w:cs="Times New Roman"/>
                <w:color w:val="auto"/>
                <w:sz w:val="24"/>
                <w:szCs w:val="28"/>
                <w:lang w:eastAsia="zh-CN"/>
              </w:rPr>
              <w:t>、</w:t>
            </w:r>
            <w:r>
              <w:rPr>
                <w:rFonts w:hint="default" w:ascii="Times New Roman" w:hAnsi="Times New Roman" w:cs="Times New Roman"/>
                <w:color w:val="auto"/>
                <w:sz w:val="24"/>
                <w:szCs w:val="28"/>
                <w:lang w:val="en-US" w:eastAsia="zh-CN"/>
              </w:rPr>
              <w:t>废粉</w:t>
            </w:r>
            <w:r>
              <w:rPr>
                <w:rFonts w:hint="default" w:ascii="Times New Roman" w:hAnsi="Times New Roman" w:cs="Times New Roman"/>
                <w:color w:val="auto"/>
                <w:sz w:val="24"/>
                <w:szCs w:val="28"/>
                <w:lang w:eastAsia="zh-CN"/>
              </w:rPr>
              <w:t>）及危险废物（</w:t>
            </w:r>
            <w:r>
              <w:rPr>
                <w:rFonts w:hint="default" w:ascii="Times New Roman" w:hAnsi="Times New Roman" w:cs="Times New Roman"/>
                <w:color w:val="auto"/>
                <w:sz w:val="24"/>
                <w:szCs w:val="28"/>
                <w:lang w:val="en-US" w:eastAsia="zh-CN"/>
              </w:rPr>
              <w:t>废活性炭、废润滑油</w:t>
            </w:r>
            <w:r>
              <w:rPr>
                <w:rFonts w:hint="default" w:ascii="Times New Roman" w:hAnsi="Times New Roman" w:cs="Times New Roman"/>
                <w:color w:val="auto"/>
                <w:sz w:val="24"/>
                <w:szCs w:val="28"/>
                <w:lang w:eastAsia="zh-CN"/>
              </w:rPr>
              <w:t>、废油桶及含油抹布手套）</w:t>
            </w:r>
            <w:r>
              <w:rPr>
                <w:rFonts w:hint="default" w:ascii="Times New Roman" w:hAnsi="Times New Roman" w:cs="Times New Roman"/>
                <w:color w:val="auto"/>
                <w:sz w:val="24"/>
                <w:szCs w:val="28"/>
              </w:rPr>
              <w:t>。</w:t>
            </w:r>
          </w:p>
          <w:p w14:paraId="5A705D2D">
            <w:pPr>
              <w:keepNext/>
              <w:keepLines/>
              <w:pageBreakBefore w:val="0"/>
              <w:widowControl/>
              <w:numPr>
                <w:ilvl w:val="0"/>
                <w:numId w:val="5"/>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生活垃圾</w:t>
            </w:r>
          </w:p>
          <w:p w14:paraId="061B0A60">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项目劳动定员30人，生活垃圾产生量按0.44kg/d·人计，项目生活垃圾产生量为3.96t/a。设置生活垃圾桶进行收集，定期交由环卫部门处置。</w:t>
            </w:r>
          </w:p>
          <w:p w14:paraId="6FC4CFA2">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szCs w:val="22"/>
                <w:lang w:val="en-US" w:eastAsia="zh-CN"/>
              </w:rPr>
              <w:t>2</w:t>
            </w:r>
            <w:r>
              <w:rPr>
                <w:rFonts w:hint="default" w:ascii="Times New Roman" w:hAnsi="Times New Roman" w:cs="Times New Roman"/>
                <w:color w:val="auto"/>
                <w:sz w:val="24"/>
                <w:szCs w:val="22"/>
                <w:lang w:eastAsia="zh-CN"/>
              </w:rPr>
              <w:t>）</w:t>
            </w:r>
            <w:r>
              <w:rPr>
                <w:rFonts w:hint="default" w:ascii="Times New Roman" w:hAnsi="Times New Roman" w:cs="Times New Roman"/>
                <w:color w:val="auto"/>
                <w:sz w:val="24"/>
              </w:rPr>
              <w:t>一般工业固废</w:t>
            </w:r>
          </w:p>
          <w:p w14:paraId="1F79B8A2">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color w:val="auto"/>
                <w:sz w:val="24"/>
                <w:szCs w:val="22"/>
                <w:lang w:eastAsia="zh-CN"/>
              </w:rPr>
            </w:pPr>
            <w:r>
              <w:rPr>
                <w:rFonts w:hint="default" w:ascii="Times New Roman" w:hAnsi="Times New Roman" w:cs="Times New Roman"/>
                <w:color w:val="auto"/>
                <w:sz w:val="24"/>
                <w:szCs w:val="22"/>
                <w:lang w:eastAsia="zh-CN"/>
              </w:rPr>
              <w:t>①废边角料</w:t>
            </w:r>
          </w:p>
          <w:p w14:paraId="776F3354">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color w:val="auto"/>
                <w:sz w:val="24"/>
                <w:szCs w:val="28"/>
                <w:lang w:val="en-US" w:eastAsia="zh-CN"/>
              </w:rPr>
            </w:pPr>
            <w:r>
              <w:rPr>
                <w:rFonts w:hint="default" w:ascii="Times New Roman" w:hAnsi="Times New Roman" w:cs="Times New Roman"/>
                <w:color w:val="auto"/>
                <w:sz w:val="24"/>
                <w:szCs w:val="22"/>
                <w:lang w:eastAsia="zh-CN"/>
              </w:rPr>
              <w:t>项目切割机等设备运行会产生相应的废边角料。</w:t>
            </w:r>
            <w:r>
              <w:rPr>
                <w:rFonts w:hint="default" w:ascii="Times New Roman" w:hAnsi="Times New Roman" w:cs="Times New Roman"/>
                <w:color w:val="auto"/>
                <w:sz w:val="24"/>
                <w:szCs w:val="22"/>
                <w:lang w:val="en-US" w:eastAsia="zh-CN"/>
              </w:rPr>
              <w:t>根据建设单位提供</w:t>
            </w:r>
            <w:r>
              <w:rPr>
                <w:rFonts w:hint="eastAsia" w:ascii="Times New Roman" w:hAnsi="Times New Roman" w:cs="Times New Roman"/>
                <w:color w:val="auto"/>
                <w:sz w:val="24"/>
                <w:szCs w:val="22"/>
                <w:lang w:val="en-US" w:eastAsia="zh-CN"/>
              </w:rPr>
              <w:t>的</w:t>
            </w:r>
            <w:r>
              <w:rPr>
                <w:rFonts w:hint="default" w:ascii="Times New Roman" w:hAnsi="Times New Roman" w:cs="Times New Roman"/>
                <w:color w:val="auto"/>
                <w:sz w:val="24"/>
                <w:szCs w:val="22"/>
                <w:lang w:val="en-US" w:eastAsia="zh-CN"/>
              </w:rPr>
              <w:t>经验</w:t>
            </w:r>
            <w:r>
              <w:rPr>
                <w:rFonts w:hint="eastAsia" w:ascii="Times New Roman" w:hAnsi="Times New Roman" w:cs="Times New Roman"/>
                <w:color w:val="auto"/>
                <w:sz w:val="24"/>
                <w:szCs w:val="22"/>
                <w:lang w:val="en-US" w:eastAsia="zh-CN"/>
              </w:rPr>
              <w:t>和资料</w:t>
            </w:r>
            <w:r>
              <w:rPr>
                <w:rFonts w:hint="default" w:ascii="Times New Roman" w:hAnsi="Times New Roman" w:cs="Times New Roman"/>
                <w:color w:val="auto"/>
                <w:sz w:val="24"/>
                <w:szCs w:val="22"/>
                <w:lang w:val="en-US" w:eastAsia="zh-CN"/>
              </w:rPr>
              <w:t>，</w:t>
            </w:r>
            <w:r>
              <w:rPr>
                <w:rFonts w:hint="default" w:ascii="Times New Roman" w:hAnsi="Times New Roman" w:cs="Times New Roman"/>
                <w:color w:val="auto"/>
                <w:sz w:val="24"/>
                <w:szCs w:val="22"/>
                <w:lang w:eastAsia="zh-CN"/>
              </w:rPr>
              <w:t>废边角料</w:t>
            </w:r>
            <w:r>
              <w:rPr>
                <w:rFonts w:hint="default" w:ascii="Times New Roman" w:hAnsi="Times New Roman" w:cs="Times New Roman"/>
                <w:color w:val="auto"/>
                <w:sz w:val="24"/>
                <w:szCs w:val="28"/>
              </w:rPr>
              <w:t>产生量约</w:t>
            </w:r>
            <w:r>
              <w:rPr>
                <w:rFonts w:hint="default" w:ascii="Times New Roman" w:hAnsi="Times New Roman" w:cs="Times New Roman"/>
                <w:color w:val="auto"/>
                <w:sz w:val="24"/>
                <w:szCs w:val="28"/>
                <w:lang w:eastAsia="zh-CN"/>
              </w:rPr>
              <w:t>占加工量的</w:t>
            </w:r>
            <w:r>
              <w:rPr>
                <w:rFonts w:hint="default" w:ascii="Times New Roman" w:hAnsi="Times New Roman" w:cs="Times New Roman"/>
                <w:color w:val="auto"/>
                <w:sz w:val="24"/>
                <w:szCs w:val="28"/>
                <w:lang w:val="en-US" w:eastAsia="zh-CN"/>
              </w:rPr>
              <w:t>5%，经核算本项目废边角料产生量约为500t/a。暂存一般固废暂存区后外售处理。</w:t>
            </w:r>
          </w:p>
          <w:p w14:paraId="209329BF">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②废钢丸</w:t>
            </w:r>
          </w:p>
          <w:p w14:paraId="2DA1E900">
            <w:pPr>
              <w:pStyle w:val="3"/>
              <w:snapToGrid/>
              <w:spacing w:before="0" w:after="0" w:line="360" w:lineRule="auto"/>
              <w:ind w:right="0" w:firstLine="480" w:firstLineChars="20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项目在抛丸工序使用辅料钢丸重复利用直至处理效果不佳后更换，废钢丸产生量为3.2t/a（约占使用量的40%，使用量为8t/a）。废钢丸暂存于一般固废暂存区（10㎡），外售相关单位综合利用。</w:t>
            </w:r>
          </w:p>
          <w:p w14:paraId="0F4F9050">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③</w:t>
            </w:r>
            <w:r>
              <w:rPr>
                <w:rFonts w:hint="default" w:ascii="Times New Roman" w:hAnsi="Times New Roman" w:cs="Times New Roman"/>
                <w:color w:val="auto"/>
                <w:sz w:val="24"/>
                <w:lang w:eastAsia="zh-CN"/>
              </w:rPr>
              <w:t>收尘灰：根据前文</w:t>
            </w:r>
            <w:r>
              <w:rPr>
                <w:rFonts w:hint="default" w:ascii="Times New Roman" w:hAnsi="Times New Roman" w:cs="Times New Roman"/>
                <w:color w:val="auto"/>
                <w:sz w:val="24"/>
                <w:lang w:val="en-US" w:eastAsia="zh-CN"/>
              </w:rPr>
              <w:t>废气源强</w:t>
            </w:r>
            <w:r>
              <w:rPr>
                <w:rFonts w:hint="default" w:ascii="Times New Roman" w:hAnsi="Times New Roman" w:cs="Times New Roman"/>
                <w:color w:val="auto"/>
                <w:sz w:val="24"/>
                <w:lang w:eastAsia="zh-CN"/>
              </w:rPr>
              <w:t>核算，项目废气处理过程产生的除尘灰共计</w:t>
            </w:r>
            <w:r>
              <w:rPr>
                <w:rFonts w:hint="default" w:ascii="Times New Roman" w:hAnsi="Times New Roman" w:cs="Times New Roman"/>
                <w:color w:val="auto"/>
                <w:sz w:val="24"/>
                <w:lang w:val="en-US" w:eastAsia="zh-CN"/>
              </w:rPr>
              <w:t>43.386t/a，定期收集后暂存一般固废暂存区外售处理。</w:t>
            </w:r>
          </w:p>
          <w:p w14:paraId="447CCA18">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④废粉：</w:t>
            </w:r>
            <w:r>
              <w:rPr>
                <w:rFonts w:hint="default" w:ascii="Times New Roman" w:hAnsi="Times New Roman" w:cs="Times New Roman"/>
                <w:color w:val="auto"/>
                <w:sz w:val="24"/>
                <w:lang w:eastAsia="zh-CN"/>
              </w:rPr>
              <w:t>根据前文</w:t>
            </w:r>
            <w:r>
              <w:rPr>
                <w:rFonts w:hint="default" w:ascii="Times New Roman" w:hAnsi="Times New Roman" w:cs="Times New Roman"/>
                <w:color w:val="auto"/>
                <w:sz w:val="24"/>
                <w:lang w:val="en-US" w:eastAsia="zh-CN"/>
              </w:rPr>
              <w:t>废气源强</w:t>
            </w:r>
            <w:r>
              <w:rPr>
                <w:rFonts w:hint="default" w:ascii="Times New Roman" w:hAnsi="Times New Roman" w:cs="Times New Roman"/>
                <w:color w:val="auto"/>
                <w:sz w:val="24"/>
                <w:lang w:eastAsia="zh-CN"/>
              </w:rPr>
              <w:t>核算，</w:t>
            </w:r>
            <w:r>
              <w:rPr>
                <w:rFonts w:hint="default" w:ascii="Times New Roman" w:hAnsi="Times New Roman" w:cs="Times New Roman"/>
                <w:color w:val="auto"/>
                <w:sz w:val="24"/>
                <w:lang w:val="en-US" w:eastAsia="zh-CN"/>
              </w:rPr>
              <w:t>项目喷粉工序产生的废粉总量为6.755t/a，定期收集后暂存一般固废暂存区外售处理。</w:t>
            </w:r>
          </w:p>
          <w:p w14:paraId="77B1E6C1">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）危险废物</w:t>
            </w:r>
          </w:p>
          <w:p w14:paraId="14C541BC">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危险废物主要为</w:t>
            </w:r>
            <w:r>
              <w:rPr>
                <w:rFonts w:hint="default" w:ascii="Times New Roman" w:hAnsi="Times New Roman" w:cs="Times New Roman"/>
                <w:color w:val="auto"/>
                <w:sz w:val="24"/>
                <w:lang w:val="en-US" w:eastAsia="zh-CN"/>
              </w:rPr>
              <w:t>废活性炭、</w:t>
            </w:r>
            <w:r>
              <w:rPr>
                <w:rFonts w:hint="default" w:ascii="Times New Roman" w:hAnsi="Times New Roman" w:cs="Times New Roman"/>
                <w:color w:val="auto"/>
                <w:sz w:val="24"/>
                <w:lang w:eastAsia="zh-CN"/>
              </w:rPr>
              <w:t>废</w:t>
            </w:r>
            <w:r>
              <w:rPr>
                <w:rFonts w:hint="default" w:ascii="Times New Roman" w:hAnsi="Times New Roman" w:cs="Times New Roman"/>
                <w:color w:val="auto"/>
                <w:sz w:val="24"/>
                <w:lang w:val="en-US" w:eastAsia="zh-CN"/>
              </w:rPr>
              <w:t>润滑油</w:t>
            </w:r>
            <w:r>
              <w:rPr>
                <w:rFonts w:hint="default" w:ascii="Times New Roman" w:hAnsi="Times New Roman" w:cs="Times New Roman"/>
                <w:color w:val="auto"/>
                <w:sz w:val="24"/>
                <w:lang w:eastAsia="zh-CN"/>
              </w:rPr>
              <w:t>、废油桶、废含油抹布、手套</w:t>
            </w:r>
            <w:r>
              <w:rPr>
                <w:rFonts w:hint="default" w:ascii="Times New Roman" w:hAnsi="Times New Roman" w:cs="Times New Roman"/>
                <w:color w:val="auto"/>
                <w:sz w:val="24"/>
              </w:rPr>
              <w:t>。</w:t>
            </w:r>
          </w:p>
          <w:p w14:paraId="12C83A94">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①废活性炭</w:t>
            </w:r>
          </w:p>
          <w:p w14:paraId="6AD3A7E6">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1"/>
                <w:lang w:val="en-US" w:eastAsia="zh-CN"/>
              </w:rPr>
            </w:pPr>
            <w:r>
              <w:rPr>
                <w:rFonts w:hint="default" w:ascii="Times New Roman" w:hAnsi="Times New Roman" w:cs="Times New Roman"/>
                <w:color w:val="auto"/>
                <w:sz w:val="24"/>
                <w:lang w:val="en-US" w:eastAsia="zh-CN"/>
              </w:rPr>
              <w:t>废气处理活性炭量3.312t/a，</w:t>
            </w:r>
            <w:r>
              <w:rPr>
                <w:rFonts w:hint="default" w:ascii="Times New Roman" w:hAnsi="Times New Roman" w:cs="Times New Roman"/>
                <w:color w:val="auto"/>
                <w:kern w:val="0"/>
                <w:sz w:val="24"/>
                <w:szCs w:val="21"/>
              </w:rPr>
              <w:t>经查阅《国家危险废物名录》（202</w:t>
            </w:r>
            <w:r>
              <w:rPr>
                <w:rFonts w:hint="default" w:ascii="Times New Roman" w:hAnsi="Times New Roman" w:cs="Times New Roman"/>
                <w:color w:val="auto"/>
                <w:kern w:val="0"/>
                <w:sz w:val="24"/>
                <w:szCs w:val="21"/>
                <w:lang w:val="en-US" w:eastAsia="zh-CN"/>
              </w:rPr>
              <w:t>5</w:t>
            </w:r>
            <w:r>
              <w:rPr>
                <w:rFonts w:hint="default" w:ascii="Times New Roman" w:hAnsi="Times New Roman" w:cs="Times New Roman"/>
                <w:color w:val="auto"/>
                <w:kern w:val="0"/>
                <w:sz w:val="24"/>
                <w:szCs w:val="21"/>
              </w:rPr>
              <w:t>年版），废活性炭废物代码为HW49 （900-039-49）</w:t>
            </w:r>
            <w:r>
              <w:rPr>
                <w:rFonts w:hint="default" w:ascii="Times New Roman" w:hAnsi="Times New Roman" w:cs="Times New Roman"/>
                <w:color w:val="auto"/>
                <w:kern w:val="0"/>
                <w:sz w:val="24"/>
                <w:szCs w:val="21"/>
                <w:lang w:eastAsia="zh-CN"/>
              </w:rPr>
              <w:t>，</w:t>
            </w:r>
            <w:r>
              <w:rPr>
                <w:rFonts w:hint="default" w:ascii="Times New Roman" w:hAnsi="Times New Roman" w:cs="Times New Roman"/>
                <w:color w:val="auto"/>
                <w:kern w:val="0"/>
                <w:sz w:val="24"/>
                <w:szCs w:val="21"/>
                <w:lang w:val="en-US" w:eastAsia="zh-CN"/>
              </w:rPr>
              <w:t>废气、废水处理过程中产生的废活性炭及其他废弃过滤吸附介质。</w:t>
            </w:r>
          </w:p>
          <w:p w14:paraId="20ECDDA9">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eastAsia="zh-CN"/>
              </w:rPr>
              <w:t>②废</w:t>
            </w:r>
            <w:r>
              <w:rPr>
                <w:rFonts w:hint="default" w:ascii="Times New Roman" w:hAnsi="Times New Roman" w:cs="Times New Roman"/>
                <w:color w:val="auto"/>
                <w:sz w:val="24"/>
                <w:szCs w:val="22"/>
                <w:lang w:val="en-US" w:eastAsia="zh-CN"/>
              </w:rPr>
              <w:t>润滑油、油桶</w:t>
            </w:r>
          </w:p>
          <w:p w14:paraId="5B28C02D">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2"/>
                <w:lang w:val="en-US" w:eastAsia="zh-CN"/>
              </w:rPr>
              <w:t>本项目设备运行需定期使用润滑油保养及维护，产生的废润滑油及废油桶约0.06t/a，经查阅《国家危险废物名录》（2025年版），废润滑油及废油桶属于“HW08废矿物油与含矿物油废物”中“900-249-08”。废润滑油、废油桶收集后妥善暂存于危险废物贮存库（现有），定期交由有资质的危废处理单位清运处置。</w:t>
            </w:r>
          </w:p>
          <w:p w14:paraId="3E7AA892">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2"/>
                <w:lang w:eastAsia="zh-CN"/>
              </w:rPr>
            </w:pPr>
            <w:r>
              <w:rPr>
                <w:rFonts w:hint="default" w:ascii="Times New Roman" w:hAnsi="Times New Roman" w:cs="Times New Roman"/>
                <w:color w:val="auto"/>
                <w:sz w:val="24"/>
                <w:szCs w:val="22"/>
                <w:lang w:val="en-US" w:eastAsia="zh-CN"/>
              </w:rPr>
              <w:t>③</w:t>
            </w:r>
            <w:r>
              <w:rPr>
                <w:rFonts w:hint="default" w:ascii="Times New Roman" w:hAnsi="Times New Roman" w:cs="Times New Roman"/>
                <w:color w:val="auto"/>
                <w:sz w:val="24"/>
                <w:szCs w:val="22"/>
                <w:lang w:eastAsia="zh-CN"/>
              </w:rPr>
              <w:t>废含油抹布、手套</w:t>
            </w:r>
          </w:p>
          <w:p w14:paraId="44FD7CDE">
            <w:pPr>
              <w:pStyle w:val="3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szCs w:val="22"/>
                <w:lang w:eastAsia="zh-CN"/>
              </w:rPr>
              <w:t>企业在零件维修擦拭过程中会有部分沾染在抹布、手套上，废含油抹布、手套产生总量约为</w:t>
            </w:r>
            <w:r>
              <w:rPr>
                <w:rFonts w:hint="default" w:ascii="Times New Roman" w:hAnsi="Times New Roman" w:cs="Times New Roman"/>
                <w:color w:val="auto"/>
                <w:sz w:val="24"/>
                <w:szCs w:val="22"/>
                <w:lang w:val="en-US" w:eastAsia="zh-CN"/>
              </w:rPr>
              <w:t>0.002t/a，属于危险废物，对照《国家危险废物名录》（2025年版），危废代码为“HW49其他废物中900-041-49（含有或沾染毒性、感染性危险废物的废弃包装物、容器、过滤吸附介质）”。废含油抹布、手套采用塑料桶收集，贮存于车间内危险废物暂存间，定期交由有相应资质的危险废物处置单位处置。</w:t>
            </w:r>
          </w:p>
          <w:p w14:paraId="5D83291C">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Cs/>
                <w:color w:val="auto"/>
                <w:kern w:val="0"/>
                <w:sz w:val="24"/>
              </w:rPr>
            </w:pPr>
            <w:r>
              <w:rPr>
                <w:rFonts w:hint="default" w:ascii="Times New Roman" w:hAnsi="Times New Roman" w:cs="Times New Roman"/>
                <w:color w:val="auto"/>
                <w:sz w:val="24"/>
                <w:szCs w:val="22"/>
              </w:rPr>
              <w:t>本项目固体废物产生量与处理措施见表4-</w:t>
            </w:r>
            <w:r>
              <w:rPr>
                <w:rFonts w:hint="default" w:ascii="Times New Roman" w:hAnsi="Times New Roman" w:cs="Times New Roman"/>
                <w:color w:val="auto"/>
                <w:sz w:val="24"/>
                <w:szCs w:val="22"/>
                <w:lang w:val="en-US" w:eastAsia="zh-CN"/>
              </w:rPr>
              <w:t>11</w:t>
            </w:r>
            <w:r>
              <w:rPr>
                <w:rFonts w:hint="default" w:ascii="Times New Roman" w:hAnsi="Times New Roman" w:cs="Times New Roman"/>
                <w:color w:val="auto"/>
                <w:sz w:val="24"/>
                <w:szCs w:val="22"/>
              </w:rPr>
              <w:t>。</w:t>
            </w:r>
          </w:p>
          <w:p w14:paraId="6413FCB1">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default" w:ascii="Times New Roman" w:hAnsi="Times New Roman" w:cs="Times New Roman"/>
                <w:b/>
                <w:color w:val="auto"/>
                <w:sz w:val="21"/>
                <w:szCs w:val="21"/>
                <w:lang w:val="en-US" w:eastAsia="zh-CN"/>
              </w:rPr>
              <w:t>11</w:t>
            </w:r>
            <w:r>
              <w:rPr>
                <w:rFonts w:hint="default" w:ascii="Times New Roman" w:hAnsi="Times New Roman" w:cs="Times New Roman"/>
                <w:b/>
                <w:color w:val="auto"/>
                <w:sz w:val="21"/>
                <w:szCs w:val="21"/>
              </w:rPr>
              <w:t xml:space="preserve">  项目</w:t>
            </w:r>
            <w:r>
              <w:rPr>
                <w:rFonts w:hint="default" w:ascii="Times New Roman" w:hAnsi="Times New Roman" w:cs="Times New Roman"/>
                <w:b/>
                <w:color w:val="auto"/>
                <w:sz w:val="21"/>
                <w:szCs w:val="21"/>
                <w:lang w:val="en-US" w:eastAsia="zh-CN"/>
              </w:rPr>
              <w:t>一般</w:t>
            </w:r>
            <w:r>
              <w:rPr>
                <w:rFonts w:hint="default" w:ascii="Times New Roman" w:hAnsi="Times New Roman" w:cs="Times New Roman"/>
                <w:b/>
                <w:color w:val="auto"/>
                <w:sz w:val="21"/>
                <w:szCs w:val="21"/>
              </w:rPr>
              <w:t>固体废物产生情况及处理措施一览表</w:t>
            </w:r>
          </w:p>
          <w:tbl>
            <w:tblPr>
              <w:tblStyle w:val="33"/>
              <w:tblW w:w="4998" w:type="pct"/>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22"/>
              <w:gridCol w:w="1124"/>
              <w:gridCol w:w="1126"/>
              <w:gridCol w:w="1109"/>
              <w:gridCol w:w="1495"/>
              <w:gridCol w:w="1441"/>
            </w:tblGrid>
            <w:tr w14:paraId="64922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tcBorders>
                    <w:tl2br w:val="nil"/>
                    <w:tr2bl w:val="nil"/>
                  </w:tcBorders>
                  <w:noWrap w:val="0"/>
                  <w:vAlign w:val="center"/>
                </w:tcPr>
                <w:p w14:paraId="76B5E5D4">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产污环节</w:t>
                  </w:r>
                </w:p>
              </w:tc>
              <w:tc>
                <w:tcPr>
                  <w:tcW w:w="659" w:type="pct"/>
                  <w:tcBorders>
                    <w:tl2br w:val="nil"/>
                    <w:tr2bl w:val="nil"/>
                  </w:tcBorders>
                  <w:noWrap w:val="0"/>
                  <w:vAlign w:val="center"/>
                </w:tcPr>
                <w:p w14:paraId="3B2BC685">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员工生活</w:t>
                  </w:r>
                </w:p>
              </w:tc>
              <w:tc>
                <w:tcPr>
                  <w:tcW w:w="1312" w:type="pct"/>
                  <w:gridSpan w:val="2"/>
                  <w:tcBorders>
                    <w:tl2br w:val="nil"/>
                    <w:tr2bl w:val="nil"/>
                  </w:tcBorders>
                  <w:noWrap w:val="0"/>
                  <w:vAlign w:val="center"/>
                </w:tcPr>
                <w:p w14:paraId="5D0B163F">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生产过程</w:t>
                  </w:r>
                </w:p>
              </w:tc>
              <w:tc>
                <w:tcPr>
                  <w:tcW w:w="1723" w:type="pct"/>
                  <w:gridSpan w:val="2"/>
                  <w:tcBorders>
                    <w:tl2br w:val="nil"/>
                    <w:tr2bl w:val="nil"/>
                  </w:tcBorders>
                  <w:noWrap w:val="0"/>
                  <w:vAlign w:val="center"/>
                </w:tcPr>
                <w:p w14:paraId="6236B3C6">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废气治理</w:t>
                  </w:r>
                </w:p>
              </w:tc>
            </w:tr>
            <w:tr w14:paraId="71DE8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tcBorders>
                    <w:tl2br w:val="nil"/>
                    <w:tr2bl w:val="nil"/>
                  </w:tcBorders>
                  <w:noWrap w:val="0"/>
                  <w:vAlign w:val="center"/>
                </w:tcPr>
                <w:p w14:paraId="04A1D36B">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名称</w:t>
                  </w:r>
                </w:p>
              </w:tc>
              <w:tc>
                <w:tcPr>
                  <w:tcW w:w="659" w:type="pct"/>
                  <w:tcBorders>
                    <w:tl2br w:val="nil"/>
                    <w:tr2bl w:val="nil"/>
                  </w:tcBorders>
                  <w:noWrap w:val="0"/>
                  <w:vAlign w:val="center"/>
                </w:tcPr>
                <w:p w14:paraId="093CDD36">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生活垃圾</w:t>
                  </w:r>
                </w:p>
              </w:tc>
              <w:tc>
                <w:tcPr>
                  <w:tcW w:w="661" w:type="pct"/>
                  <w:tcBorders>
                    <w:tl2br w:val="nil"/>
                    <w:tr2bl w:val="nil"/>
                  </w:tcBorders>
                  <w:noWrap w:val="0"/>
                  <w:vAlign w:val="center"/>
                </w:tcPr>
                <w:p w14:paraId="11D28B90">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废钢丸</w:t>
                  </w:r>
                </w:p>
              </w:tc>
              <w:tc>
                <w:tcPr>
                  <w:tcW w:w="651" w:type="pct"/>
                  <w:tcBorders>
                    <w:tl2br w:val="nil"/>
                    <w:tr2bl w:val="nil"/>
                  </w:tcBorders>
                  <w:noWrap w:val="0"/>
                  <w:vAlign w:val="center"/>
                </w:tcPr>
                <w:p w14:paraId="01BA681A">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废边角料</w:t>
                  </w:r>
                </w:p>
              </w:tc>
              <w:tc>
                <w:tcPr>
                  <w:tcW w:w="877" w:type="pct"/>
                  <w:tcBorders>
                    <w:tl2br w:val="nil"/>
                    <w:tr2bl w:val="nil"/>
                  </w:tcBorders>
                  <w:noWrap w:val="0"/>
                  <w:vAlign w:val="center"/>
                </w:tcPr>
                <w:p w14:paraId="104262BC">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收集粉尘（其他工序）</w:t>
                  </w:r>
                </w:p>
              </w:tc>
              <w:tc>
                <w:tcPr>
                  <w:tcW w:w="845" w:type="pct"/>
                  <w:tcBorders>
                    <w:tl2br w:val="nil"/>
                    <w:tr2bl w:val="nil"/>
                  </w:tcBorders>
                  <w:shd w:val="clear" w:color="auto" w:fill="auto"/>
                  <w:noWrap w:val="0"/>
                  <w:vAlign w:val="center"/>
                </w:tcPr>
                <w:p w14:paraId="1AA52B88">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收集粉尘（喷塑工序）</w:t>
                  </w:r>
                </w:p>
              </w:tc>
            </w:tr>
            <w:tr w14:paraId="5C5861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tcBorders>
                    <w:tl2br w:val="nil"/>
                    <w:tr2bl w:val="nil"/>
                  </w:tcBorders>
                  <w:noWrap w:val="0"/>
                  <w:vAlign w:val="center"/>
                </w:tcPr>
                <w:p w14:paraId="489840ED">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属性</w:t>
                  </w:r>
                </w:p>
              </w:tc>
              <w:tc>
                <w:tcPr>
                  <w:tcW w:w="659" w:type="pct"/>
                  <w:tcBorders>
                    <w:tl2br w:val="nil"/>
                    <w:tr2bl w:val="nil"/>
                  </w:tcBorders>
                  <w:noWrap w:val="0"/>
                  <w:vAlign w:val="center"/>
                </w:tcPr>
                <w:p w14:paraId="711FEB00">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生活垃圾</w:t>
                  </w:r>
                </w:p>
              </w:tc>
              <w:tc>
                <w:tcPr>
                  <w:tcW w:w="661" w:type="pct"/>
                  <w:tcBorders>
                    <w:tl2br w:val="nil"/>
                    <w:tr2bl w:val="nil"/>
                  </w:tcBorders>
                  <w:noWrap w:val="0"/>
                  <w:vAlign w:val="center"/>
                </w:tcPr>
                <w:p w14:paraId="155B3086">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一般固废</w:t>
                  </w:r>
                </w:p>
              </w:tc>
              <w:tc>
                <w:tcPr>
                  <w:tcW w:w="651" w:type="pct"/>
                  <w:tcBorders>
                    <w:tl2br w:val="nil"/>
                    <w:tr2bl w:val="nil"/>
                  </w:tcBorders>
                  <w:shd w:val="clear" w:color="auto" w:fill="auto"/>
                  <w:noWrap w:val="0"/>
                  <w:vAlign w:val="center"/>
                </w:tcPr>
                <w:p w14:paraId="6CAC7483">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一般固废</w:t>
                  </w:r>
                </w:p>
              </w:tc>
              <w:tc>
                <w:tcPr>
                  <w:tcW w:w="877" w:type="pct"/>
                  <w:tcBorders>
                    <w:tl2br w:val="nil"/>
                    <w:tr2bl w:val="nil"/>
                  </w:tcBorders>
                  <w:shd w:val="clear" w:color="auto" w:fill="auto"/>
                  <w:noWrap w:val="0"/>
                  <w:vAlign w:val="center"/>
                </w:tcPr>
                <w:p w14:paraId="5D869B30">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一般固废</w:t>
                  </w:r>
                </w:p>
              </w:tc>
              <w:tc>
                <w:tcPr>
                  <w:tcW w:w="845" w:type="pct"/>
                  <w:tcBorders>
                    <w:tl2br w:val="nil"/>
                    <w:tr2bl w:val="nil"/>
                  </w:tcBorders>
                  <w:shd w:val="clear" w:color="auto" w:fill="auto"/>
                  <w:noWrap w:val="0"/>
                  <w:vAlign w:val="center"/>
                </w:tcPr>
                <w:p w14:paraId="4607F850">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一般固废</w:t>
                  </w:r>
                </w:p>
              </w:tc>
            </w:tr>
            <w:tr w14:paraId="0C5CE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tcBorders>
                    <w:tl2br w:val="nil"/>
                    <w:tr2bl w:val="nil"/>
                  </w:tcBorders>
                  <w:noWrap w:val="0"/>
                  <w:vAlign w:val="center"/>
                </w:tcPr>
                <w:p w14:paraId="306035CA">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废物类别及代码</w:t>
                  </w:r>
                </w:p>
              </w:tc>
              <w:tc>
                <w:tcPr>
                  <w:tcW w:w="659" w:type="pct"/>
                  <w:tcBorders>
                    <w:tl2br w:val="nil"/>
                    <w:tr2bl w:val="nil"/>
                  </w:tcBorders>
                  <w:noWrap w:val="0"/>
                  <w:vAlign w:val="center"/>
                </w:tcPr>
                <w:p w14:paraId="59BAB934">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w:t>
                  </w:r>
                </w:p>
              </w:tc>
              <w:tc>
                <w:tcPr>
                  <w:tcW w:w="661" w:type="pct"/>
                  <w:tcBorders>
                    <w:tl2br w:val="nil"/>
                    <w:tr2bl w:val="nil"/>
                  </w:tcBorders>
                  <w:noWrap w:val="0"/>
                  <w:vAlign w:val="center"/>
                </w:tcPr>
                <w:p w14:paraId="0BBCB54E">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t>/</w:t>
                  </w:r>
                </w:p>
              </w:tc>
              <w:tc>
                <w:tcPr>
                  <w:tcW w:w="651" w:type="pct"/>
                  <w:tcBorders>
                    <w:tl2br w:val="nil"/>
                    <w:tr2bl w:val="nil"/>
                  </w:tcBorders>
                  <w:shd w:val="clear" w:color="auto" w:fill="auto"/>
                  <w:noWrap w:val="0"/>
                  <w:vAlign w:val="center"/>
                </w:tcPr>
                <w:p w14:paraId="1DDCA97F">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t>/</w:t>
                  </w:r>
                </w:p>
              </w:tc>
              <w:tc>
                <w:tcPr>
                  <w:tcW w:w="877" w:type="pct"/>
                  <w:tcBorders>
                    <w:tl2br w:val="nil"/>
                    <w:tr2bl w:val="nil"/>
                  </w:tcBorders>
                  <w:shd w:val="clear" w:color="auto" w:fill="auto"/>
                  <w:noWrap w:val="0"/>
                  <w:vAlign w:val="center"/>
                </w:tcPr>
                <w:p w14:paraId="230AA256">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t>/</w:t>
                  </w:r>
                </w:p>
              </w:tc>
              <w:tc>
                <w:tcPr>
                  <w:tcW w:w="845" w:type="pct"/>
                  <w:tcBorders>
                    <w:tl2br w:val="nil"/>
                    <w:tr2bl w:val="nil"/>
                  </w:tcBorders>
                  <w:shd w:val="clear" w:color="auto" w:fill="auto"/>
                  <w:noWrap w:val="0"/>
                  <w:vAlign w:val="center"/>
                </w:tcPr>
                <w:p w14:paraId="21714A4A">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t>/</w:t>
                  </w:r>
                </w:p>
              </w:tc>
            </w:tr>
            <w:tr w14:paraId="4B1F3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tcBorders>
                    <w:tl2br w:val="nil"/>
                    <w:tr2bl w:val="nil"/>
                  </w:tcBorders>
                  <w:noWrap w:val="0"/>
                  <w:vAlign w:val="center"/>
                </w:tcPr>
                <w:p w14:paraId="666751A2">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有毒有害物质名称</w:t>
                  </w:r>
                </w:p>
              </w:tc>
              <w:tc>
                <w:tcPr>
                  <w:tcW w:w="659" w:type="pct"/>
                  <w:tcBorders>
                    <w:tl2br w:val="nil"/>
                    <w:tr2bl w:val="nil"/>
                  </w:tcBorders>
                  <w:noWrap w:val="0"/>
                  <w:vAlign w:val="center"/>
                </w:tcPr>
                <w:p w14:paraId="2A761C81">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w:t>
                  </w:r>
                </w:p>
              </w:tc>
              <w:tc>
                <w:tcPr>
                  <w:tcW w:w="661" w:type="pct"/>
                  <w:tcBorders>
                    <w:tl2br w:val="nil"/>
                    <w:tr2bl w:val="nil"/>
                  </w:tcBorders>
                  <w:noWrap w:val="0"/>
                  <w:vAlign w:val="center"/>
                </w:tcPr>
                <w:p w14:paraId="0400AC2D">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w:t>
                  </w:r>
                </w:p>
              </w:tc>
              <w:tc>
                <w:tcPr>
                  <w:tcW w:w="651" w:type="pct"/>
                  <w:tcBorders>
                    <w:tl2br w:val="nil"/>
                    <w:tr2bl w:val="nil"/>
                  </w:tcBorders>
                  <w:shd w:val="clear" w:color="auto" w:fill="auto"/>
                  <w:noWrap w:val="0"/>
                  <w:vAlign w:val="center"/>
                </w:tcPr>
                <w:p w14:paraId="7DFFEB08">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w:t>
                  </w:r>
                </w:p>
              </w:tc>
              <w:tc>
                <w:tcPr>
                  <w:tcW w:w="877" w:type="pct"/>
                  <w:tcBorders>
                    <w:tl2br w:val="nil"/>
                    <w:tr2bl w:val="nil"/>
                  </w:tcBorders>
                  <w:shd w:val="clear" w:color="auto" w:fill="auto"/>
                  <w:noWrap w:val="0"/>
                  <w:vAlign w:val="center"/>
                </w:tcPr>
                <w:p w14:paraId="545031E0">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w:t>
                  </w:r>
                </w:p>
              </w:tc>
              <w:tc>
                <w:tcPr>
                  <w:tcW w:w="845" w:type="pct"/>
                  <w:tcBorders>
                    <w:tl2br w:val="nil"/>
                    <w:tr2bl w:val="nil"/>
                  </w:tcBorders>
                  <w:shd w:val="clear" w:color="auto" w:fill="auto"/>
                  <w:noWrap w:val="0"/>
                  <w:vAlign w:val="center"/>
                </w:tcPr>
                <w:p w14:paraId="5BC752D1">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w:t>
                  </w:r>
                </w:p>
              </w:tc>
            </w:tr>
            <w:tr w14:paraId="30C54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tcBorders>
                    <w:tl2br w:val="nil"/>
                    <w:tr2bl w:val="nil"/>
                  </w:tcBorders>
                  <w:noWrap w:val="0"/>
                  <w:vAlign w:val="center"/>
                </w:tcPr>
                <w:p w14:paraId="0F53B677">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物理性状</w:t>
                  </w:r>
                </w:p>
              </w:tc>
              <w:tc>
                <w:tcPr>
                  <w:tcW w:w="659" w:type="pct"/>
                  <w:tcBorders>
                    <w:tl2br w:val="nil"/>
                    <w:tr2bl w:val="nil"/>
                  </w:tcBorders>
                  <w:noWrap w:val="0"/>
                  <w:vAlign w:val="center"/>
                </w:tcPr>
                <w:p w14:paraId="73B9CFA9">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固态</w:t>
                  </w:r>
                </w:p>
              </w:tc>
              <w:tc>
                <w:tcPr>
                  <w:tcW w:w="661" w:type="pct"/>
                  <w:tcBorders>
                    <w:tl2br w:val="nil"/>
                    <w:tr2bl w:val="nil"/>
                  </w:tcBorders>
                  <w:noWrap w:val="0"/>
                  <w:vAlign w:val="center"/>
                </w:tcPr>
                <w:p w14:paraId="10050B7F">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固态</w:t>
                  </w:r>
                </w:p>
              </w:tc>
              <w:tc>
                <w:tcPr>
                  <w:tcW w:w="651" w:type="pct"/>
                  <w:tcBorders>
                    <w:tl2br w:val="nil"/>
                    <w:tr2bl w:val="nil"/>
                  </w:tcBorders>
                  <w:shd w:val="clear" w:color="auto" w:fill="auto"/>
                  <w:noWrap w:val="0"/>
                  <w:vAlign w:val="center"/>
                </w:tcPr>
                <w:p w14:paraId="5DD30A61">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固态</w:t>
                  </w:r>
                </w:p>
              </w:tc>
              <w:tc>
                <w:tcPr>
                  <w:tcW w:w="877" w:type="pct"/>
                  <w:tcBorders>
                    <w:tl2br w:val="nil"/>
                    <w:tr2bl w:val="nil"/>
                  </w:tcBorders>
                  <w:shd w:val="clear" w:color="auto" w:fill="auto"/>
                  <w:noWrap w:val="0"/>
                  <w:vAlign w:val="center"/>
                </w:tcPr>
                <w:p w14:paraId="60D982C9">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固态</w:t>
                  </w:r>
                </w:p>
              </w:tc>
              <w:tc>
                <w:tcPr>
                  <w:tcW w:w="845" w:type="pct"/>
                  <w:tcBorders>
                    <w:tl2br w:val="nil"/>
                    <w:tr2bl w:val="nil"/>
                  </w:tcBorders>
                  <w:shd w:val="clear" w:color="auto" w:fill="auto"/>
                  <w:noWrap w:val="0"/>
                  <w:vAlign w:val="center"/>
                </w:tcPr>
                <w:p w14:paraId="706BE4DD">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固态</w:t>
                  </w:r>
                </w:p>
              </w:tc>
            </w:tr>
            <w:tr w14:paraId="50718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tcBorders>
                    <w:tl2br w:val="nil"/>
                    <w:tr2bl w:val="nil"/>
                  </w:tcBorders>
                  <w:noWrap w:val="0"/>
                  <w:vAlign w:val="center"/>
                </w:tcPr>
                <w:p w14:paraId="53CAC987">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环境危险特性</w:t>
                  </w:r>
                </w:p>
              </w:tc>
              <w:tc>
                <w:tcPr>
                  <w:tcW w:w="659" w:type="pct"/>
                  <w:tcBorders>
                    <w:tl2br w:val="nil"/>
                    <w:tr2bl w:val="nil"/>
                  </w:tcBorders>
                  <w:noWrap w:val="0"/>
                  <w:vAlign w:val="center"/>
                </w:tcPr>
                <w:p w14:paraId="26DA7298">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w:t>
                  </w:r>
                </w:p>
              </w:tc>
              <w:tc>
                <w:tcPr>
                  <w:tcW w:w="661" w:type="pct"/>
                  <w:tcBorders>
                    <w:tl2br w:val="nil"/>
                    <w:tr2bl w:val="nil"/>
                  </w:tcBorders>
                  <w:noWrap w:val="0"/>
                  <w:vAlign w:val="center"/>
                </w:tcPr>
                <w:p w14:paraId="3AFD2B83">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w:t>
                  </w:r>
                </w:p>
              </w:tc>
              <w:tc>
                <w:tcPr>
                  <w:tcW w:w="651" w:type="pct"/>
                  <w:tcBorders>
                    <w:tl2br w:val="nil"/>
                    <w:tr2bl w:val="nil"/>
                  </w:tcBorders>
                  <w:shd w:val="clear" w:color="auto" w:fill="auto"/>
                  <w:noWrap w:val="0"/>
                  <w:vAlign w:val="center"/>
                </w:tcPr>
                <w:p w14:paraId="25508FD5">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w:t>
                  </w:r>
                </w:p>
              </w:tc>
              <w:tc>
                <w:tcPr>
                  <w:tcW w:w="877" w:type="pct"/>
                  <w:tcBorders>
                    <w:tl2br w:val="nil"/>
                    <w:tr2bl w:val="nil"/>
                  </w:tcBorders>
                  <w:shd w:val="clear" w:color="auto" w:fill="auto"/>
                  <w:noWrap w:val="0"/>
                  <w:vAlign w:val="center"/>
                </w:tcPr>
                <w:p w14:paraId="72D28161">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w:t>
                  </w:r>
                </w:p>
              </w:tc>
              <w:tc>
                <w:tcPr>
                  <w:tcW w:w="845" w:type="pct"/>
                  <w:tcBorders>
                    <w:tl2br w:val="nil"/>
                    <w:tr2bl w:val="nil"/>
                  </w:tcBorders>
                  <w:shd w:val="clear" w:color="auto" w:fill="auto"/>
                  <w:noWrap w:val="0"/>
                  <w:vAlign w:val="center"/>
                </w:tcPr>
                <w:p w14:paraId="615283F1">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w:t>
                  </w:r>
                </w:p>
              </w:tc>
            </w:tr>
            <w:tr w14:paraId="2CF58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tcBorders>
                    <w:tl2br w:val="nil"/>
                    <w:tr2bl w:val="nil"/>
                  </w:tcBorders>
                  <w:noWrap w:val="0"/>
                  <w:vAlign w:val="center"/>
                </w:tcPr>
                <w:p w14:paraId="40F02310">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年产量（t/a）</w:t>
                  </w:r>
                </w:p>
              </w:tc>
              <w:tc>
                <w:tcPr>
                  <w:tcW w:w="659" w:type="pct"/>
                  <w:tcBorders>
                    <w:tl2br w:val="nil"/>
                    <w:tr2bl w:val="nil"/>
                  </w:tcBorders>
                  <w:noWrap w:val="0"/>
                  <w:vAlign w:val="center"/>
                </w:tcPr>
                <w:p w14:paraId="16CAC428">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3.96</w:t>
                  </w:r>
                </w:p>
              </w:tc>
              <w:tc>
                <w:tcPr>
                  <w:tcW w:w="661" w:type="pct"/>
                  <w:tcBorders>
                    <w:tl2br w:val="nil"/>
                    <w:tr2bl w:val="nil"/>
                  </w:tcBorders>
                  <w:noWrap w:val="0"/>
                  <w:vAlign w:val="center"/>
                </w:tcPr>
                <w:p w14:paraId="6CDB3C4C">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bidi="ar-SA"/>
                      <w14:textFill>
                        <w14:solidFill>
                          <w14:schemeClr w14:val="tx1"/>
                        </w14:solidFill>
                      </w14:textFill>
                    </w:rPr>
                    <w:t>3.2</w:t>
                  </w:r>
                </w:p>
              </w:tc>
              <w:tc>
                <w:tcPr>
                  <w:tcW w:w="651" w:type="pct"/>
                  <w:tcBorders>
                    <w:tl2br w:val="nil"/>
                    <w:tr2bl w:val="nil"/>
                  </w:tcBorders>
                  <w:noWrap w:val="0"/>
                  <w:vAlign w:val="center"/>
                </w:tcPr>
                <w:p w14:paraId="5B33B2A2">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500</w:t>
                  </w:r>
                </w:p>
              </w:tc>
              <w:tc>
                <w:tcPr>
                  <w:tcW w:w="877" w:type="pct"/>
                  <w:tcBorders>
                    <w:tl2br w:val="nil"/>
                    <w:tr2bl w:val="nil"/>
                  </w:tcBorders>
                  <w:shd w:val="clear" w:color="auto" w:fill="auto"/>
                  <w:noWrap w:val="0"/>
                  <w:vAlign w:val="center"/>
                </w:tcPr>
                <w:p w14:paraId="119505D5">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auto"/>
                      <w:sz w:val="21"/>
                      <w:szCs w:val="21"/>
                      <w:lang w:val="en-US" w:eastAsia="zh-CN"/>
                    </w:rPr>
                    <w:t>43.386</w:t>
                  </w:r>
                </w:p>
              </w:tc>
              <w:tc>
                <w:tcPr>
                  <w:tcW w:w="845" w:type="pct"/>
                  <w:tcBorders>
                    <w:tl2br w:val="nil"/>
                    <w:tr2bl w:val="nil"/>
                  </w:tcBorders>
                  <w:shd w:val="clear" w:color="auto" w:fill="auto"/>
                  <w:noWrap w:val="0"/>
                  <w:vAlign w:val="center"/>
                </w:tcPr>
                <w:p w14:paraId="34446471">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auto"/>
                      <w:sz w:val="21"/>
                      <w:szCs w:val="21"/>
                      <w:lang w:val="en-US" w:eastAsia="zh-CN"/>
                    </w:rPr>
                    <w:t>6.755</w:t>
                  </w:r>
                </w:p>
              </w:tc>
            </w:tr>
            <w:tr w14:paraId="7704D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tcBorders>
                    <w:tl2br w:val="nil"/>
                    <w:tr2bl w:val="nil"/>
                  </w:tcBorders>
                  <w:noWrap w:val="0"/>
                  <w:vAlign w:val="center"/>
                </w:tcPr>
                <w:p w14:paraId="783466D9">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贮存方式</w:t>
                  </w:r>
                </w:p>
              </w:tc>
              <w:tc>
                <w:tcPr>
                  <w:tcW w:w="659" w:type="pct"/>
                  <w:tcBorders>
                    <w:tl2br w:val="nil"/>
                    <w:tr2bl w:val="nil"/>
                  </w:tcBorders>
                  <w:noWrap w:val="0"/>
                  <w:vAlign w:val="center"/>
                </w:tcPr>
                <w:p w14:paraId="01443CB1">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桶装</w:t>
                  </w:r>
                </w:p>
              </w:tc>
              <w:tc>
                <w:tcPr>
                  <w:tcW w:w="661" w:type="pct"/>
                  <w:tcBorders>
                    <w:tl2br w:val="nil"/>
                    <w:tr2bl w:val="nil"/>
                  </w:tcBorders>
                  <w:noWrap w:val="0"/>
                  <w:vAlign w:val="center"/>
                </w:tcPr>
                <w:p w14:paraId="7BD244F3">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桶装</w:t>
                  </w:r>
                </w:p>
              </w:tc>
              <w:tc>
                <w:tcPr>
                  <w:tcW w:w="651" w:type="pct"/>
                  <w:tcBorders>
                    <w:tl2br w:val="nil"/>
                    <w:tr2bl w:val="nil"/>
                  </w:tcBorders>
                  <w:noWrap w:val="0"/>
                  <w:vAlign w:val="center"/>
                </w:tcPr>
                <w:p w14:paraId="305E0D4A">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堆存</w:t>
                  </w:r>
                </w:p>
              </w:tc>
              <w:tc>
                <w:tcPr>
                  <w:tcW w:w="877" w:type="pct"/>
                  <w:tcBorders>
                    <w:tl2br w:val="nil"/>
                    <w:tr2bl w:val="nil"/>
                  </w:tcBorders>
                  <w:shd w:val="clear" w:color="auto" w:fill="auto"/>
                  <w:noWrap w:val="0"/>
                  <w:vAlign w:val="center"/>
                </w:tcPr>
                <w:p w14:paraId="0A7E9FEF">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桶装</w:t>
                  </w:r>
                </w:p>
              </w:tc>
              <w:tc>
                <w:tcPr>
                  <w:tcW w:w="845" w:type="pct"/>
                  <w:tcBorders>
                    <w:tl2br w:val="nil"/>
                    <w:tr2bl w:val="nil"/>
                  </w:tcBorders>
                  <w:shd w:val="clear" w:color="auto" w:fill="auto"/>
                  <w:noWrap w:val="0"/>
                  <w:vAlign w:val="center"/>
                </w:tcPr>
                <w:p w14:paraId="6D935AC2">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桶装</w:t>
                  </w:r>
                </w:p>
              </w:tc>
            </w:tr>
            <w:tr w14:paraId="61B73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tcBorders>
                    <w:tl2br w:val="nil"/>
                    <w:tr2bl w:val="nil"/>
                  </w:tcBorders>
                  <w:noWrap w:val="0"/>
                  <w:vAlign w:val="center"/>
                </w:tcPr>
                <w:p w14:paraId="0DA41CB2">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利用处置方式和去向</w:t>
                  </w:r>
                </w:p>
              </w:tc>
              <w:tc>
                <w:tcPr>
                  <w:tcW w:w="659" w:type="pct"/>
                  <w:tcBorders>
                    <w:tl2br w:val="nil"/>
                    <w:tr2bl w:val="nil"/>
                  </w:tcBorders>
                  <w:noWrap w:val="0"/>
                  <w:vAlign w:val="center"/>
                </w:tcPr>
                <w:p w14:paraId="4A7F9EB2">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环卫部门清运</w:t>
                  </w:r>
                </w:p>
              </w:tc>
              <w:tc>
                <w:tcPr>
                  <w:tcW w:w="2190" w:type="pct"/>
                  <w:gridSpan w:val="3"/>
                  <w:tcBorders>
                    <w:tl2br w:val="nil"/>
                    <w:tr2bl w:val="nil"/>
                  </w:tcBorders>
                  <w:noWrap w:val="0"/>
                  <w:vAlign w:val="center"/>
                </w:tcPr>
                <w:p w14:paraId="63935738">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设置一般固废暂存区暂存，定期外售</w:t>
                  </w:r>
                </w:p>
              </w:tc>
              <w:tc>
                <w:tcPr>
                  <w:tcW w:w="845" w:type="pct"/>
                  <w:tcBorders>
                    <w:tl2br w:val="nil"/>
                    <w:tr2bl w:val="nil"/>
                  </w:tcBorders>
                  <w:noWrap w:val="0"/>
                  <w:vAlign w:val="center"/>
                </w:tcPr>
                <w:p w14:paraId="50949DD6">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收集后回用于生产</w:t>
                  </w:r>
                </w:p>
              </w:tc>
            </w:tr>
            <w:tr w14:paraId="171D8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tcBorders>
                    <w:tl2br w:val="nil"/>
                    <w:tr2bl w:val="nil"/>
                  </w:tcBorders>
                  <w:noWrap w:val="0"/>
                  <w:vAlign w:val="center"/>
                </w:tcPr>
                <w:p w14:paraId="09AA9B87">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利用或处置量（t/a）</w:t>
                  </w:r>
                </w:p>
              </w:tc>
              <w:tc>
                <w:tcPr>
                  <w:tcW w:w="659" w:type="pct"/>
                  <w:tcBorders>
                    <w:tl2br w:val="nil"/>
                    <w:tr2bl w:val="nil"/>
                  </w:tcBorders>
                  <w:noWrap w:val="0"/>
                  <w:vAlign w:val="center"/>
                </w:tcPr>
                <w:p w14:paraId="3DDA72D6">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3.96</w:t>
                  </w:r>
                </w:p>
              </w:tc>
              <w:tc>
                <w:tcPr>
                  <w:tcW w:w="661" w:type="pct"/>
                  <w:tcBorders>
                    <w:tl2br w:val="nil"/>
                    <w:tr2bl w:val="nil"/>
                  </w:tcBorders>
                  <w:noWrap w:val="0"/>
                  <w:vAlign w:val="center"/>
                </w:tcPr>
                <w:p w14:paraId="613276ED">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bidi="ar-SA"/>
                      <w14:textFill>
                        <w14:solidFill>
                          <w14:schemeClr w14:val="tx1"/>
                        </w14:solidFill>
                      </w14:textFill>
                    </w:rPr>
                    <w:t>3.2</w:t>
                  </w:r>
                </w:p>
              </w:tc>
              <w:tc>
                <w:tcPr>
                  <w:tcW w:w="651" w:type="pct"/>
                  <w:tcBorders>
                    <w:tl2br w:val="nil"/>
                    <w:tr2bl w:val="nil"/>
                  </w:tcBorders>
                  <w:noWrap w:val="0"/>
                  <w:vAlign w:val="center"/>
                </w:tcPr>
                <w:p w14:paraId="44DAB03F">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500</w:t>
                  </w:r>
                </w:p>
              </w:tc>
              <w:tc>
                <w:tcPr>
                  <w:tcW w:w="877" w:type="pct"/>
                  <w:tcBorders>
                    <w:tl2br w:val="nil"/>
                    <w:tr2bl w:val="nil"/>
                  </w:tcBorders>
                  <w:noWrap w:val="0"/>
                  <w:vAlign w:val="center"/>
                </w:tcPr>
                <w:p w14:paraId="4031A7B1">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auto"/>
                      <w:sz w:val="21"/>
                      <w:szCs w:val="21"/>
                      <w:lang w:val="en-US" w:eastAsia="zh-CN"/>
                    </w:rPr>
                    <w:t>43.386</w:t>
                  </w:r>
                </w:p>
              </w:tc>
              <w:tc>
                <w:tcPr>
                  <w:tcW w:w="845" w:type="pct"/>
                  <w:tcBorders>
                    <w:tl2br w:val="nil"/>
                    <w:tr2bl w:val="nil"/>
                  </w:tcBorders>
                  <w:noWrap w:val="0"/>
                  <w:vAlign w:val="center"/>
                </w:tcPr>
                <w:p w14:paraId="7AE29027">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auto"/>
                      <w:sz w:val="21"/>
                      <w:szCs w:val="21"/>
                      <w:lang w:val="en-US" w:eastAsia="zh-CN"/>
                    </w:rPr>
                    <w:t>6.755</w:t>
                  </w:r>
                </w:p>
              </w:tc>
            </w:tr>
          </w:tbl>
          <w:p w14:paraId="53446F23">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w:t>
            </w:r>
            <w:r>
              <w:rPr>
                <w:rFonts w:hint="default" w:ascii="Times New Roman" w:hAnsi="Times New Roman" w:cs="Times New Roman"/>
                <w:b/>
                <w:color w:val="auto"/>
                <w:sz w:val="21"/>
                <w:szCs w:val="21"/>
                <w:lang w:val="en-US" w:eastAsia="zh-CN"/>
              </w:rPr>
              <w:t>12</w:t>
            </w:r>
            <w:r>
              <w:rPr>
                <w:rFonts w:hint="default" w:ascii="Times New Roman" w:hAnsi="Times New Roman" w:cs="Times New Roman"/>
                <w:b/>
                <w:color w:val="auto"/>
                <w:sz w:val="21"/>
                <w:szCs w:val="21"/>
              </w:rPr>
              <w:t xml:space="preserve">  项目</w:t>
            </w:r>
            <w:r>
              <w:rPr>
                <w:rFonts w:hint="default" w:ascii="Times New Roman" w:hAnsi="Times New Roman" w:cs="Times New Roman"/>
                <w:b/>
                <w:color w:val="auto"/>
                <w:sz w:val="21"/>
                <w:szCs w:val="21"/>
                <w:lang w:val="en-US" w:eastAsia="zh-CN"/>
              </w:rPr>
              <w:t>危险</w:t>
            </w:r>
            <w:r>
              <w:rPr>
                <w:rFonts w:hint="default" w:ascii="Times New Roman" w:hAnsi="Times New Roman" w:cs="Times New Roman"/>
                <w:b/>
                <w:color w:val="auto"/>
                <w:sz w:val="21"/>
                <w:szCs w:val="21"/>
              </w:rPr>
              <w:t>废物产生情况及处理措施一览表</w:t>
            </w:r>
          </w:p>
          <w:tbl>
            <w:tblPr>
              <w:tblStyle w:val="33"/>
              <w:tblW w:w="4975" w:type="pct"/>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03"/>
              <w:gridCol w:w="2025"/>
              <w:gridCol w:w="2145"/>
              <w:gridCol w:w="2106"/>
            </w:tblGrid>
            <w:tr w14:paraId="44B39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99" w:type="pct"/>
                  <w:tcBorders>
                    <w:tl2br w:val="nil"/>
                    <w:tr2bl w:val="nil"/>
                  </w:tcBorders>
                  <w:noWrap w:val="0"/>
                  <w:vAlign w:val="center"/>
                </w:tcPr>
                <w:p w14:paraId="6B7AA0CF">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产污环节</w:t>
                  </w:r>
                </w:p>
              </w:tc>
              <w:tc>
                <w:tcPr>
                  <w:tcW w:w="1194" w:type="pct"/>
                  <w:tcBorders>
                    <w:tl2br w:val="nil"/>
                    <w:tr2bl w:val="nil"/>
                  </w:tcBorders>
                  <w:noWrap w:val="0"/>
                  <w:vAlign w:val="center"/>
                </w:tcPr>
                <w:p w14:paraId="3B528E4F">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废气治理</w:t>
                  </w:r>
                </w:p>
              </w:tc>
              <w:tc>
                <w:tcPr>
                  <w:tcW w:w="2506" w:type="pct"/>
                  <w:gridSpan w:val="2"/>
                  <w:tcBorders>
                    <w:tl2br w:val="nil"/>
                    <w:tr2bl w:val="nil"/>
                  </w:tcBorders>
                  <w:noWrap w:val="0"/>
                  <w:vAlign w:val="center"/>
                </w:tcPr>
                <w:p w14:paraId="0385BACE">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设备维护</w:t>
                  </w:r>
                </w:p>
              </w:tc>
            </w:tr>
            <w:tr w14:paraId="5AAC7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99" w:type="pct"/>
                  <w:tcBorders>
                    <w:tl2br w:val="nil"/>
                    <w:tr2bl w:val="nil"/>
                  </w:tcBorders>
                  <w:noWrap w:val="0"/>
                  <w:vAlign w:val="center"/>
                </w:tcPr>
                <w:p w14:paraId="4F9DAD0F">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名称</w:t>
                  </w:r>
                </w:p>
              </w:tc>
              <w:tc>
                <w:tcPr>
                  <w:tcW w:w="1194" w:type="pct"/>
                  <w:tcBorders>
                    <w:tl2br w:val="nil"/>
                    <w:tr2bl w:val="nil"/>
                  </w:tcBorders>
                  <w:noWrap w:val="0"/>
                  <w:vAlign w:val="center"/>
                </w:tcPr>
                <w:p w14:paraId="459F05E2">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废活性炭</w:t>
                  </w:r>
                </w:p>
              </w:tc>
              <w:tc>
                <w:tcPr>
                  <w:tcW w:w="1264" w:type="pct"/>
                  <w:tcBorders>
                    <w:tl2br w:val="nil"/>
                    <w:tr2bl w:val="nil"/>
                  </w:tcBorders>
                  <w:noWrap w:val="0"/>
                  <w:vAlign w:val="center"/>
                </w:tcPr>
                <w:p w14:paraId="57102065">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废润滑油、油桶</w:t>
                  </w:r>
                </w:p>
              </w:tc>
              <w:tc>
                <w:tcPr>
                  <w:tcW w:w="1241" w:type="pct"/>
                  <w:tcBorders>
                    <w:tl2br w:val="nil"/>
                    <w:tr2bl w:val="nil"/>
                  </w:tcBorders>
                  <w:noWrap w:val="0"/>
                  <w:vAlign w:val="center"/>
                </w:tcPr>
                <w:p w14:paraId="2EB84B03">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废含油抹布、手套</w:t>
                  </w:r>
                </w:p>
              </w:tc>
            </w:tr>
            <w:tr w14:paraId="749307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99" w:type="pct"/>
                  <w:tcBorders>
                    <w:tl2br w:val="nil"/>
                    <w:tr2bl w:val="nil"/>
                  </w:tcBorders>
                  <w:noWrap w:val="0"/>
                  <w:vAlign w:val="center"/>
                </w:tcPr>
                <w:p w14:paraId="48B8D064">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属性</w:t>
                  </w:r>
                </w:p>
              </w:tc>
              <w:tc>
                <w:tcPr>
                  <w:tcW w:w="3700" w:type="pct"/>
                  <w:gridSpan w:val="3"/>
                  <w:tcBorders>
                    <w:tl2br w:val="nil"/>
                    <w:tr2bl w:val="nil"/>
                  </w:tcBorders>
                  <w:noWrap w:val="0"/>
                  <w:vAlign w:val="center"/>
                </w:tcPr>
                <w:p w14:paraId="1FBED7FA">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t>危险废物</w:t>
                  </w:r>
                </w:p>
              </w:tc>
            </w:tr>
            <w:tr w14:paraId="541CF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99" w:type="pct"/>
                  <w:tcBorders>
                    <w:tl2br w:val="nil"/>
                    <w:tr2bl w:val="nil"/>
                  </w:tcBorders>
                  <w:noWrap w:val="0"/>
                  <w:vAlign w:val="center"/>
                </w:tcPr>
                <w:p w14:paraId="18422DA6">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废物类别及代码</w:t>
                  </w:r>
                </w:p>
              </w:tc>
              <w:tc>
                <w:tcPr>
                  <w:tcW w:w="1194" w:type="pct"/>
                  <w:tcBorders>
                    <w:tl2br w:val="nil"/>
                    <w:tr2bl w:val="nil"/>
                  </w:tcBorders>
                  <w:noWrap w:val="0"/>
                  <w:vAlign w:val="center"/>
                </w:tcPr>
                <w:p w14:paraId="4D028F35">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900-039-49</w:t>
                  </w:r>
                </w:p>
              </w:tc>
              <w:tc>
                <w:tcPr>
                  <w:tcW w:w="1264" w:type="pct"/>
                  <w:tcBorders>
                    <w:tl2br w:val="nil"/>
                    <w:tr2bl w:val="nil"/>
                  </w:tcBorders>
                  <w:noWrap w:val="0"/>
                  <w:vAlign w:val="center"/>
                </w:tcPr>
                <w:p w14:paraId="1B6AD870">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900-249-08</w:t>
                  </w:r>
                </w:p>
              </w:tc>
              <w:tc>
                <w:tcPr>
                  <w:tcW w:w="1241" w:type="pct"/>
                  <w:tcBorders>
                    <w:tl2br w:val="nil"/>
                    <w:tr2bl w:val="nil"/>
                  </w:tcBorders>
                  <w:noWrap w:val="0"/>
                  <w:vAlign w:val="center"/>
                </w:tcPr>
                <w:p w14:paraId="40ACE220">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r>
            <w:tr w14:paraId="48E68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99" w:type="pct"/>
                  <w:tcBorders>
                    <w:tl2br w:val="nil"/>
                    <w:tr2bl w:val="nil"/>
                  </w:tcBorders>
                  <w:noWrap w:val="0"/>
                  <w:vAlign w:val="center"/>
                </w:tcPr>
                <w:p w14:paraId="3026D9F6">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物理性状</w:t>
                  </w:r>
                </w:p>
              </w:tc>
              <w:tc>
                <w:tcPr>
                  <w:tcW w:w="1194" w:type="pct"/>
                  <w:tcBorders>
                    <w:tl2br w:val="nil"/>
                    <w:tr2bl w:val="nil"/>
                  </w:tcBorders>
                  <w:noWrap w:val="0"/>
                  <w:vAlign w:val="center"/>
                </w:tcPr>
                <w:p w14:paraId="474AF023">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固态</w:t>
                  </w:r>
                </w:p>
              </w:tc>
              <w:tc>
                <w:tcPr>
                  <w:tcW w:w="1264" w:type="pct"/>
                  <w:tcBorders>
                    <w:tl2br w:val="nil"/>
                    <w:tr2bl w:val="nil"/>
                  </w:tcBorders>
                  <w:noWrap w:val="0"/>
                  <w:vAlign w:val="center"/>
                </w:tcPr>
                <w:p w14:paraId="21A61D04">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液态、固态</w:t>
                  </w:r>
                </w:p>
              </w:tc>
              <w:tc>
                <w:tcPr>
                  <w:tcW w:w="1241" w:type="pct"/>
                  <w:tcBorders>
                    <w:tl2br w:val="nil"/>
                    <w:tr2bl w:val="nil"/>
                  </w:tcBorders>
                  <w:noWrap w:val="0"/>
                  <w:vAlign w:val="center"/>
                </w:tcPr>
                <w:p w14:paraId="4D7D3A48">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固态</w:t>
                  </w:r>
                </w:p>
              </w:tc>
            </w:tr>
            <w:tr w14:paraId="794838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99" w:type="pct"/>
                  <w:tcBorders>
                    <w:tl2br w:val="nil"/>
                    <w:tr2bl w:val="nil"/>
                  </w:tcBorders>
                  <w:noWrap w:val="0"/>
                  <w:vAlign w:val="center"/>
                </w:tcPr>
                <w:p w14:paraId="6A64A0A6">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环境危险特性</w:t>
                  </w:r>
                </w:p>
              </w:tc>
              <w:tc>
                <w:tcPr>
                  <w:tcW w:w="1194" w:type="pct"/>
                  <w:tcBorders>
                    <w:tl2br w:val="nil"/>
                    <w:tr2bl w:val="nil"/>
                  </w:tcBorders>
                  <w:noWrap w:val="0"/>
                  <w:vAlign w:val="center"/>
                </w:tcPr>
                <w:p w14:paraId="07FCF02E">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T（毒性）</w:t>
                  </w:r>
                </w:p>
              </w:tc>
              <w:tc>
                <w:tcPr>
                  <w:tcW w:w="2506" w:type="pct"/>
                  <w:gridSpan w:val="2"/>
                  <w:tcBorders>
                    <w:tl2br w:val="nil"/>
                    <w:tr2bl w:val="nil"/>
                  </w:tcBorders>
                  <w:noWrap w:val="0"/>
                  <w:vAlign w:val="center"/>
                </w:tcPr>
                <w:p w14:paraId="36ED6BAD">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auto"/>
                      <w:sz w:val="21"/>
                      <w:szCs w:val="21"/>
                    </w:rPr>
                    <w:t>T/In（毒性/感染性）</w:t>
                  </w:r>
                </w:p>
              </w:tc>
            </w:tr>
            <w:tr w14:paraId="77E3CD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99" w:type="pct"/>
                  <w:tcBorders>
                    <w:tl2br w:val="nil"/>
                    <w:tr2bl w:val="nil"/>
                  </w:tcBorders>
                  <w:noWrap w:val="0"/>
                  <w:vAlign w:val="center"/>
                </w:tcPr>
                <w:p w14:paraId="15F96537">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年产量（t/a）</w:t>
                  </w:r>
                </w:p>
              </w:tc>
              <w:tc>
                <w:tcPr>
                  <w:tcW w:w="1194" w:type="pct"/>
                  <w:tcBorders>
                    <w:tl2br w:val="nil"/>
                    <w:tr2bl w:val="nil"/>
                  </w:tcBorders>
                  <w:noWrap w:val="0"/>
                  <w:vAlign w:val="center"/>
                </w:tcPr>
                <w:p w14:paraId="4340E0C2">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3.312</w:t>
                  </w:r>
                </w:p>
              </w:tc>
              <w:tc>
                <w:tcPr>
                  <w:tcW w:w="1264" w:type="pct"/>
                  <w:tcBorders>
                    <w:tl2br w:val="nil"/>
                    <w:tr2bl w:val="nil"/>
                  </w:tcBorders>
                  <w:noWrap w:val="0"/>
                  <w:vAlign w:val="center"/>
                </w:tcPr>
                <w:p w14:paraId="7B41158E">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bidi="ar-SA"/>
                      <w14:textFill>
                        <w14:solidFill>
                          <w14:schemeClr w14:val="tx1"/>
                        </w14:solidFill>
                      </w14:textFill>
                    </w:rPr>
                    <w:t>0.06</w:t>
                  </w:r>
                </w:p>
              </w:tc>
              <w:tc>
                <w:tcPr>
                  <w:tcW w:w="1241" w:type="pct"/>
                  <w:tcBorders>
                    <w:tl2br w:val="nil"/>
                    <w:tr2bl w:val="nil"/>
                  </w:tcBorders>
                  <w:noWrap w:val="0"/>
                  <w:vAlign w:val="center"/>
                </w:tcPr>
                <w:p w14:paraId="1A9D2CF6">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bidi="ar-SA"/>
                      <w14:textFill>
                        <w14:solidFill>
                          <w14:schemeClr w14:val="tx1"/>
                        </w14:solidFill>
                      </w14:textFill>
                    </w:rPr>
                    <w:t>0.002</w:t>
                  </w:r>
                </w:p>
              </w:tc>
            </w:tr>
            <w:tr w14:paraId="38714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99" w:type="pct"/>
                  <w:tcBorders>
                    <w:tl2br w:val="nil"/>
                    <w:tr2bl w:val="nil"/>
                  </w:tcBorders>
                  <w:noWrap w:val="0"/>
                  <w:vAlign w:val="center"/>
                </w:tcPr>
                <w:p w14:paraId="31AB8F92">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贮存方式</w:t>
                  </w:r>
                </w:p>
              </w:tc>
              <w:tc>
                <w:tcPr>
                  <w:tcW w:w="1194" w:type="pct"/>
                  <w:tcBorders>
                    <w:tl2br w:val="nil"/>
                    <w:tr2bl w:val="nil"/>
                  </w:tcBorders>
                  <w:noWrap w:val="0"/>
                  <w:vAlign w:val="center"/>
                </w:tcPr>
                <w:p w14:paraId="3945B1F2">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桶装</w:t>
                  </w:r>
                </w:p>
              </w:tc>
              <w:tc>
                <w:tcPr>
                  <w:tcW w:w="2506" w:type="pct"/>
                  <w:gridSpan w:val="2"/>
                  <w:tcBorders>
                    <w:tl2br w:val="nil"/>
                    <w:tr2bl w:val="nil"/>
                  </w:tcBorders>
                  <w:noWrap w:val="0"/>
                  <w:vAlign w:val="center"/>
                </w:tcPr>
                <w:p w14:paraId="7043BD02">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桶装</w:t>
                  </w:r>
                </w:p>
              </w:tc>
            </w:tr>
            <w:tr w14:paraId="29A07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99" w:type="pct"/>
                  <w:tcBorders>
                    <w:tl2br w:val="nil"/>
                    <w:tr2bl w:val="nil"/>
                  </w:tcBorders>
                  <w:noWrap w:val="0"/>
                  <w:vAlign w:val="center"/>
                </w:tcPr>
                <w:p w14:paraId="63F19CD4">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利用处置方式和去向</w:t>
                  </w:r>
                </w:p>
              </w:tc>
              <w:tc>
                <w:tcPr>
                  <w:tcW w:w="3700" w:type="pct"/>
                  <w:gridSpan w:val="3"/>
                  <w:tcBorders>
                    <w:tl2br w:val="nil"/>
                    <w:tr2bl w:val="nil"/>
                  </w:tcBorders>
                  <w:noWrap w:val="0"/>
                  <w:vAlign w:val="center"/>
                </w:tcPr>
                <w:p w14:paraId="0D9BCB24">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设置危废贮存库暂存，定期</w:t>
                  </w:r>
                  <w:r>
                    <w:rPr>
                      <w:rFonts w:hint="eastAsia"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交由</w:t>
                  </w: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资质单位转运处置</w:t>
                  </w:r>
                </w:p>
              </w:tc>
            </w:tr>
            <w:tr w14:paraId="73BAF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99" w:type="pct"/>
                  <w:tcBorders>
                    <w:tl2br w:val="nil"/>
                    <w:tr2bl w:val="nil"/>
                  </w:tcBorders>
                  <w:noWrap w:val="0"/>
                  <w:vAlign w:val="center"/>
                </w:tcPr>
                <w:p w14:paraId="34A2C17E">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t>利用或处置量（t/a）</w:t>
                  </w:r>
                </w:p>
              </w:tc>
              <w:tc>
                <w:tcPr>
                  <w:tcW w:w="1194" w:type="pct"/>
                  <w:tcBorders>
                    <w:tl2br w:val="nil"/>
                    <w:tr2bl w:val="nil"/>
                  </w:tcBorders>
                  <w:noWrap w:val="0"/>
                  <w:vAlign w:val="center"/>
                </w:tcPr>
                <w:p w14:paraId="7A8C75A9">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14:textFill>
                        <w14:solidFill>
                          <w14:schemeClr w14:val="tx1"/>
                        </w14:solidFill>
                      </w14:textFill>
                    </w:rPr>
                    <w:t>3.312</w:t>
                  </w:r>
                </w:p>
              </w:tc>
              <w:tc>
                <w:tcPr>
                  <w:tcW w:w="1264" w:type="pct"/>
                  <w:tcBorders>
                    <w:tl2br w:val="nil"/>
                    <w:tr2bl w:val="nil"/>
                  </w:tcBorders>
                  <w:noWrap w:val="0"/>
                  <w:vAlign w:val="center"/>
                </w:tcPr>
                <w:p w14:paraId="0827F905">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bidi="ar-SA"/>
                      <w14:textFill>
                        <w14:solidFill>
                          <w14:schemeClr w14:val="tx1"/>
                        </w14:solidFill>
                      </w14:textFill>
                    </w:rPr>
                    <w:t>0.06</w:t>
                  </w:r>
                </w:p>
              </w:tc>
              <w:tc>
                <w:tcPr>
                  <w:tcW w:w="1241" w:type="pct"/>
                  <w:tcBorders>
                    <w:tl2br w:val="nil"/>
                    <w:tr2bl w:val="nil"/>
                  </w:tcBorders>
                  <w:noWrap w:val="0"/>
                  <w:vAlign w:val="center"/>
                </w:tcPr>
                <w:p w14:paraId="4A532CE8">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cs="Times New Roman"/>
                      <w:b w:val="0"/>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0"/>
                      <w:sz w:val="21"/>
                      <w:szCs w:val="21"/>
                      <w:highlight w:val="none"/>
                      <w:vertAlign w:val="baseline"/>
                      <w:lang w:val="en-US" w:eastAsia="zh-CN" w:bidi="ar-SA"/>
                      <w14:textFill>
                        <w14:solidFill>
                          <w14:schemeClr w14:val="tx1"/>
                        </w14:solidFill>
                      </w14:textFill>
                    </w:rPr>
                    <w:t>0.002</w:t>
                  </w:r>
                </w:p>
              </w:tc>
            </w:tr>
          </w:tbl>
          <w:p w14:paraId="0464E31C">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2.环境管理要求</w:t>
            </w:r>
          </w:p>
          <w:p w14:paraId="69EC6B9E">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①本项目产</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生的</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一般固废主要</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为废钢丸、废砂、废包装物、收集粉尘等</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，要求企业在厂房内设置一般固废暂存区</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位于厂</w:t>
            </w:r>
            <w:r>
              <w:rPr>
                <w:rFonts w:hint="default" w:ascii="Times New Roman" w:hAnsi="Times New Roman" w:cs="Times New Roman"/>
                <w:color w:val="000000" w:themeColor="text1"/>
                <w:sz w:val="24"/>
                <w:szCs w:val="24"/>
                <w:lang w:val="en-US" w:eastAsia="zh-CN"/>
                <w14:textFill>
                  <w14:solidFill>
                    <w14:schemeClr w14:val="tx1"/>
                  </w14:solidFill>
                </w14:textFill>
              </w:rPr>
              <w:t>房内东</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北侧，占地约</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对项目运营过程中产生的一般固废</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进行</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收集</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暂存，定期外售物资回收公司</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，其中回收的塑粉回用于生产</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14:paraId="693AA92D">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一般工业废物应分类收集、定点堆放在厂区内专设区暂存，其贮存过程应满足相应防渗漏、防雨淋、防扬尘等环境保护要求。</w:t>
            </w:r>
          </w:p>
          <w:p w14:paraId="1C0487F2">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危险废物贮存场所环境影响分析：</w:t>
            </w:r>
          </w:p>
          <w:p w14:paraId="5042D53B">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要求企业在厂区内设置1个危废贮存库</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位于厂</w:t>
            </w:r>
            <w:r>
              <w:rPr>
                <w:rFonts w:hint="default" w:ascii="Times New Roman" w:hAnsi="Times New Roman" w:cs="Times New Roman"/>
                <w:color w:val="000000" w:themeColor="text1"/>
                <w:sz w:val="24"/>
                <w:szCs w:val="24"/>
                <w:lang w:val="en-US" w:eastAsia="zh-CN"/>
                <w14:textFill>
                  <w14:solidFill>
                    <w14:schemeClr w14:val="tx1"/>
                  </w14:solidFill>
                </w14:textFill>
              </w:rPr>
              <w:t>房内东南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侧，占地约</w:t>
            </w:r>
            <w:r>
              <w:rPr>
                <w:rFonts w:hint="default" w:ascii="Times New Roman" w:hAnsi="Times New Roman" w:cs="Times New Roman"/>
                <w:color w:val="000000" w:themeColor="text1"/>
                <w:sz w:val="24"/>
                <w:szCs w:val="24"/>
                <w:lang w:val="en-US" w:eastAsia="zh-CN"/>
                <w14:textFill>
                  <w14:solidFill>
                    <w14:schemeClr w14:val="tx1"/>
                  </w14:solidFill>
                </w14:textFill>
              </w:rPr>
              <w:t>7.5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，对本项目产生的危险废物进行收集暂存，</w:t>
            </w:r>
            <w:r>
              <w:rPr>
                <w:rFonts w:hint="default" w:ascii="Times New Roman" w:hAnsi="Times New Roman" w:cs="Times New Roman"/>
                <w:color w:val="000000" w:themeColor="text1"/>
                <w:kern w:val="0"/>
                <w:sz w:val="24"/>
                <w:szCs w:val="24"/>
                <w:lang w:val="en-US" w:eastAsia="zh-CN"/>
                <w14:textFill>
                  <w14:solidFill>
                    <w14:schemeClr w14:val="tx1"/>
                  </w14:solidFill>
                </w14:textFill>
              </w:rPr>
              <w:t>危废贮存库</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建设需满足以下要求：</w:t>
            </w:r>
          </w:p>
          <w:p w14:paraId="5FD91849">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A</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收集、管理措施</w:t>
            </w:r>
          </w:p>
          <w:p w14:paraId="2046EA02">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建设单位应当以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控制</w:t>
            </w:r>
            <w:r>
              <w:rPr>
                <w:rFonts w:hint="default" w:ascii="Times New Roman" w:hAnsi="Times New Roman" w:eastAsia="宋体" w:cs="Times New Roman"/>
                <w:color w:val="000000" w:themeColor="text1"/>
                <w:sz w:val="24"/>
                <w:szCs w:val="24"/>
                <w14:textFill>
                  <w14:solidFill>
                    <w14:schemeClr w14:val="tx1"/>
                  </w14:solidFill>
                </w14:textFill>
              </w:rPr>
              <w:t>危险废物的环境风险为目标，制定危险废物管理计划，建立完善的危险废物管理台账和企业内部产生和收集、贮存部门危险废物交接制度，</w:t>
            </w:r>
            <w:r>
              <w:rPr>
                <w:rFonts w:hint="default" w:ascii="Times New Roman" w:hAnsi="Times New Roman" w:cs="Times New Roman"/>
                <w:color w:val="000000" w:themeColor="text1"/>
                <w:sz w:val="24"/>
                <w:szCs w:val="24"/>
                <w:lang w:val="en-US" w:eastAsia="zh-CN"/>
                <w14:textFill>
                  <w14:solidFill>
                    <w14:schemeClr w14:val="tx1"/>
                  </w14:solidFill>
                </w14:textFill>
              </w:rPr>
              <w:t>并</w:t>
            </w:r>
            <w:r>
              <w:rPr>
                <w:rFonts w:hint="default" w:ascii="Times New Roman" w:hAnsi="Times New Roman" w:eastAsia="宋体" w:cs="Times New Roman"/>
                <w:color w:val="000000" w:themeColor="text1"/>
                <w:sz w:val="24"/>
                <w:szCs w:val="24"/>
                <w14:textFill>
                  <w14:solidFill>
                    <w14:schemeClr w14:val="tx1"/>
                  </w14:solidFill>
                </w14:textFill>
              </w:rPr>
              <w:t>严格记录每种危险废物产生量、进出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危废贮存库</w:t>
            </w:r>
            <w:r>
              <w:rPr>
                <w:rFonts w:hint="default" w:ascii="Times New Roman" w:hAnsi="Times New Roman" w:eastAsia="宋体" w:cs="Times New Roman"/>
                <w:color w:val="000000" w:themeColor="text1"/>
                <w:sz w:val="24"/>
                <w:szCs w:val="24"/>
                <w14:textFill>
                  <w14:solidFill>
                    <w14:schemeClr w14:val="tx1"/>
                  </w14:solidFill>
                </w14:textFill>
              </w:rPr>
              <w:t>的量、处置量及各个时间节点负责人、用途或处置方式等</w:t>
            </w:r>
            <w:r>
              <w:rPr>
                <w:rFonts w:hint="default" w:ascii="Times New Roman" w:hAnsi="Times New Roman" w:cs="Times New Roman"/>
                <w:color w:val="000000" w:themeColor="text1"/>
                <w:sz w:val="24"/>
                <w:szCs w:val="24"/>
                <w:lang w:val="en-US" w:eastAsia="zh-CN"/>
                <w14:textFill>
                  <w14:solidFill>
                    <w14:schemeClr w14:val="tx1"/>
                  </w14:solidFill>
                </w14:textFill>
              </w:rPr>
              <w:t>信息</w:t>
            </w:r>
            <w:r>
              <w:rPr>
                <w:rFonts w:hint="default" w:ascii="Times New Roman" w:hAnsi="Times New Roman" w:eastAsia="宋体" w:cs="Times New Roman"/>
                <w:color w:val="000000" w:themeColor="text1"/>
                <w:sz w:val="24"/>
                <w:szCs w:val="24"/>
                <w14:textFill>
                  <w14:solidFill>
                    <w14:schemeClr w14:val="tx1"/>
                  </w14:solidFill>
                </w14:textFill>
              </w:rPr>
              <w:t>，加强对危险废物包装、贮存的管理，严格执行危险废物转移联单制度。</w:t>
            </w:r>
          </w:p>
          <w:p w14:paraId="44687F59">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危险废物在收集时，应清楚废物的类别及</w:t>
            </w:r>
            <w:r>
              <w:rPr>
                <w:rFonts w:hint="default" w:ascii="Times New Roman" w:hAnsi="Times New Roman" w:eastAsia="宋体" w:cs="Times New Roman"/>
                <w:color w:val="000000" w:themeColor="text1"/>
                <w:sz w:val="24"/>
                <w:szCs w:val="24"/>
                <w:lang w:eastAsia="zh-CN"/>
                <w14:textFill>
                  <w14:solidFill>
                    <w14:schemeClr w14:val="tx1"/>
                  </w14:solidFill>
                </w14:textFill>
              </w:rPr>
              <w:t>主要成分</w:t>
            </w:r>
            <w:r>
              <w:rPr>
                <w:rFonts w:hint="default" w:ascii="Times New Roman" w:hAnsi="Times New Roman" w:eastAsia="宋体" w:cs="Times New Roman"/>
                <w:color w:val="000000" w:themeColor="text1"/>
                <w:sz w:val="24"/>
                <w:szCs w:val="24"/>
                <w14:textFill>
                  <w14:solidFill>
                    <w14:schemeClr w14:val="tx1"/>
                  </w14:solidFill>
                </w14:textFill>
              </w:rPr>
              <w:t>，以方便委托处理单位处理</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并由有资质单位及时清运</w:t>
            </w:r>
            <w:r>
              <w:rPr>
                <w:rFonts w:hint="default" w:ascii="Times New Roman" w:hAnsi="Times New Roman" w:eastAsia="宋体" w:cs="Times New Roman"/>
                <w:color w:val="000000" w:themeColor="text1"/>
                <w:sz w:val="24"/>
                <w:szCs w:val="24"/>
                <w14:textFill>
                  <w14:solidFill>
                    <w14:schemeClr w14:val="tx1"/>
                  </w14:solidFill>
                </w14:textFill>
              </w:rPr>
              <w:t>。</w:t>
            </w:r>
          </w:p>
          <w:p w14:paraId="0CD092AA">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B</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暂存措施</w:t>
            </w:r>
          </w:p>
          <w:p w14:paraId="56A09BE6">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建设单位在厂区内按照</w:t>
            </w:r>
            <w:r>
              <w:rPr>
                <w:rFonts w:hint="default" w:ascii="Times New Roman" w:hAnsi="Times New Roman" w:eastAsia="宋体" w:cs="Times New Roman"/>
                <w:bCs/>
                <w:color w:val="000000" w:themeColor="text1"/>
                <w:sz w:val="24"/>
                <w:szCs w:val="24"/>
                <w14:textFill>
                  <w14:solidFill>
                    <w14:schemeClr w14:val="tx1"/>
                  </w14:solidFill>
                </w14:textFill>
              </w:rPr>
              <w:t>《危险废物贮存污染控制标准》（GB18597-20</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及《危险废物识别标志设置技术规范》（HJ 1276-2022）</w:t>
            </w:r>
            <w:r>
              <w:rPr>
                <w:rFonts w:hint="default" w:ascii="Times New Roman" w:hAnsi="Times New Roman" w:eastAsia="宋体" w:cs="Times New Roman"/>
                <w:color w:val="000000" w:themeColor="text1"/>
                <w:sz w:val="24"/>
                <w:szCs w:val="24"/>
                <w14:textFill>
                  <w14:solidFill>
                    <w14:schemeClr w14:val="tx1"/>
                  </w14:solidFill>
                </w14:textFill>
              </w:rPr>
              <w:t>中的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建设要求</w:t>
            </w:r>
            <w:r>
              <w:rPr>
                <w:rFonts w:hint="default" w:ascii="Times New Roman" w:hAnsi="Times New Roman" w:eastAsia="宋体" w:cs="Times New Roman"/>
                <w:color w:val="000000" w:themeColor="text1"/>
                <w:sz w:val="24"/>
                <w:szCs w:val="24"/>
                <w14:textFill>
                  <w14:solidFill>
                    <w14:schemeClr w14:val="tx1"/>
                  </w14:solidFill>
                </w14:textFill>
              </w:rPr>
              <w:t>设置</w:t>
            </w:r>
            <w:r>
              <w:rPr>
                <w:rFonts w:hint="default" w:ascii="Times New Roman" w:hAnsi="Times New Roman" w:cs="Times New Roman"/>
                <w:color w:val="000000" w:themeColor="text1"/>
                <w:sz w:val="24"/>
                <w:szCs w:val="24"/>
                <w:lang w:val="en-US" w:eastAsia="zh-CN"/>
                <w14:textFill>
                  <w14:solidFill>
                    <w14:schemeClr w14:val="tx1"/>
                  </w14:solidFill>
                </w14:textFill>
              </w:rPr>
              <w:t>危废贮存库</w:t>
            </w:r>
            <w:r>
              <w:rPr>
                <w:rFonts w:hint="default" w:ascii="Times New Roman" w:hAnsi="Times New Roman" w:eastAsia="宋体" w:cs="Times New Roman"/>
                <w:color w:val="000000" w:themeColor="text1"/>
                <w:sz w:val="24"/>
                <w:szCs w:val="24"/>
                <w14:textFill>
                  <w14:solidFill>
                    <w14:schemeClr w14:val="tx1"/>
                  </w14:solidFill>
                </w14:textFill>
              </w:rPr>
              <w:t>，具体要求如下：</w:t>
            </w:r>
          </w:p>
          <w:p w14:paraId="288554BF">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①不同类别、形态、物理化学性质的危险废物，其容器和包装物应满足相应的防渗、防漏、防腐和强度等要求。</w:t>
            </w:r>
          </w:p>
          <w:p w14:paraId="08CB4248">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w:t>
            </w:r>
            <w:r>
              <w:rPr>
                <w:rFonts w:hint="default" w:ascii="Times New Roman" w:hAnsi="Times New Roman" w:cs="Times New Roman"/>
                <w:color w:val="000000" w:themeColor="text1"/>
                <w:sz w:val="24"/>
                <w:szCs w:val="24"/>
                <w:lang w:val="en-US" w:eastAsia="zh-CN"/>
                <w14:textFill>
                  <w14:solidFill>
                    <w14:schemeClr w14:val="tx1"/>
                  </w14:solidFill>
                </w14:textFill>
              </w:rPr>
              <w:t>危废贮存库</w:t>
            </w:r>
            <w:r>
              <w:rPr>
                <w:rFonts w:hint="default" w:ascii="Times New Roman" w:hAnsi="Times New Roman" w:eastAsia="宋体" w:cs="Times New Roman"/>
                <w:color w:val="000000" w:themeColor="text1"/>
                <w:sz w:val="24"/>
                <w:szCs w:val="24"/>
                <w14:textFill>
                  <w14:solidFill>
                    <w14:schemeClr w14:val="tx1"/>
                  </w14:solidFill>
                </w14:textFill>
              </w:rPr>
              <w:t>地面、墙面</w:t>
            </w:r>
            <w:r>
              <w:rPr>
                <w:rFonts w:hint="default" w:ascii="Times New Roman" w:hAnsi="Times New Roman" w:cs="Times New Roman"/>
                <w:color w:val="000000" w:themeColor="text1"/>
                <w:sz w:val="24"/>
                <w:szCs w:val="24"/>
                <w:lang w:eastAsia="zh-CN"/>
                <w14:textFill>
                  <w14:solidFill>
                    <w14:schemeClr w14:val="tx1"/>
                  </w14:solidFill>
                </w14:textFill>
              </w:rPr>
              <w:t>裙角</w:t>
            </w:r>
            <w:r>
              <w:rPr>
                <w:rFonts w:hint="default" w:ascii="Times New Roman" w:hAnsi="Times New Roman" w:eastAsia="宋体" w:cs="Times New Roman"/>
                <w:color w:val="000000" w:themeColor="text1"/>
                <w:sz w:val="24"/>
                <w:szCs w:val="24"/>
                <w14:textFill>
                  <w14:solidFill>
                    <w14:schemeClr w14:val="tx1"/>
                  </w14:solidFill>
                </w14:textFill>
              </w:rPr>
              <w:t>、堵截泄漏的围堰、接触危险废物的隔板和墙体等应采用坚固的材料建造，表面无裂缝。</w:t>
            </w:r>
          </w:p>
          <w:p w14:paraId="5465624A">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w:t>
            </w:r>
            <w:r>
              <w:rPr>
                <w:rFonts w:hint="default" w:ascii="Times New Roman" w:hAnsi="Times New Roman" w:cs="Times New Roman"/>
                <w:color w:val="000000" w:themeColor="text1"/>
                <w:sz w:val="24"/>
                <w:szCs w:val="24"/>
                <w:lang w:val="en-US" w:eastAsia="zh-CN"/>
                <w14:textFill>
                  <w14:solidFill>
                    <w14:schemeClr w14:val="tx1"/>
                  </w14:solidFill>
                </w14:textFill>
              </w:rPr>
              <w:t>危废贮存库</w:t>
            </w:r>
            <w:r>
              <w:rPr>
                <w:rFonts w:hint="default" w:ascii="Times New Roman" w:hAnsi="Times New Roman" w:eastAsia="宋体" w:cs="Times New Roman"/>
                <w:color w:val="000000" w:themeColor="text1"/>
                <w:sz w:val="24"/>
                <w:szCs w:val="24"/>
                <w14:textFill>
                  <w14:solidFill>
                    <w14:schemeClr w14:val="tx1"/>
                  </w14:solidFill>
                </w14:textFill>
              </w:rPr>
              <w:t>地面与裙脚应采取表面防渗措施；表面防渗材料应与所接触的物料或污染物相容，可采用抗渗混凝土、高密度聚乙烯膜、钠基膨润土</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 xml:space="preserve">7 </w:t>
            </w:r>
            <w:r>
              <w:rPr>
                <w:rFonts w:hint="default" w:ascii="Times New Roman" w:hAnsi="Times New Roman" w:eastAsia="宋体" w:cs="Times New Roman"/>
                <w:color w:val="000000" w:themeColor="text1"/>
                <w:sz w:val="24"/>
                <w:szCs w:val="24"/>
                <w14:textFill>
                  <w14:solidFill>
                    <w14:schemeClr w14:val="tx1"/>
                  </w14:solidFill>
                </w14:textFill>
              </w:rPr>
              <w:t>cm/s），或至少2mm厚高密度聚乙烯膜等人工防渗材料（渗透系数不大于10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 xml:space="preserve"> cm/s），或其他防渗性能等效的材料。</w:t>
            </w:r>
          </w:p>
          <w:p w14:paraId="53FEC184">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④</w:t>
            </w:r>
            <w:r>
              <w:rPr>
                <w:rFonts w:hint="default" w:ascii="Times New Roman" w:hAnsi="Times New Roman" w:cs="Times New Roman"/>
                <w:color w:val="000000" w:themeColor="text1"/>
                <w:sz w:val="24"/>
                <w:szCs w:val="24"/>
                <w:lang w:val="en-US" w:eastAsia="zh-CN"/>
                <w14:textFill>
                  <w14:solidFill>
                    <w14:schemeClr w14:val="tx1"/>
                  </w14:solidFill>
                </w14:textFill>
              </w:rPr>
              <w:t>危废贮存库</w:t>
            </w:r>
            <w:r>
              <w:rPr>
                <w:rFonts w:hint="default" w:ascii="Times New Roman" w:hAnsi="Times New Roman" w:eastAsia="宋体" w:cs="Times New Roman"/>
                <w:color w:val="000000" w:themeColor="text1"/>
                <w:sz w:val="24"/>
                <w:szCs w:val="24"/>
                <w14:textFill>
                  <w14:solidFill>
                    <w14:schemeClr w14:val="tx1"/>
                  </w14:solidFill>
                </w14:textFill>
              </w:rPr>
              <w:t>要满足防风、防雨、防晒和防止危险废物流失、扬散。</w:t>
            </w:r>
          </w:p>
          <w:p w14:paraId="3CAB8895">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⑤</w:t>
            </w:r>
            <w:r>
              <w:rPr>
                <w:rFonts w:hint="default" w:ascii="Times New Roman" w:hAnsi="Times New Roman" w:cs="Times New Roman"/>
                <w:color w:val="000000" w:themeColor="text1"/>
                <w:sz w:val="24"/>
                <w:szCs w:val="24"/>
                <w:lang w:val="en-US" w:eastAsia="zh-CN"/>
                <w14:textFill>
                  <w14:solidFill>
                    <w14:schemeClr w14:val="tx1"/>
                  </w14:solidFill>
                </w14:textFill>
              </w:rPr>
              <w:t>危废贮存库</w:t>
            </w:r>
            <w:r>
              <w:rPr>
                <w:rFonts w:hint="default" w:ascii="Times New Roman" w:hAnsi="Times New Roman" w:eastAsia="宋体" w:cs="Times New Roman"/>
                <w:color w:val="000000" w:themeColor="text1"/>
                <w:sz w:val="24"/>
                <w:szCs w:val="24"/>
                <w14:textFill>
                  <w14:solidFill>
                    <w14:schemeClr w14:val="tx1"/>
                  </w14:solidFill>
                </w14:textFill>
              </w:rPr>
              <w:t>、容器和包装物应按</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《危险废物识别标志设置技术规范》（HJ 1276-2022）</w:t>
            </w:r>
            <w:r>
              <w:rPr>
                <w:rFonts w:hint="default" w:ascii="Times New Roman" w:hAnsi="Times New Roman" w:eastAsia="宋体" w:cs="Times New Roman"/>
                <w:color w:val="000000" w:themeColor="text1"/>
                <w:sz w:val="24"/>
                <w:szCs w:val="24"/>
                <w14:textFill>
                  <w14:solidFill>
                    <w14:schemeClr w14:val="tx1"/>
                  </w14:solidFill>
                </w14:textFill>
              </w:rPr>
              <w:t>要求设置</w:t>
            </w:r>
            <w:r>
              <w:rPr>
                <w:rFonts w:hint="default" w:ascii="Times New Roman" w:hAnsi="Times New Roman" w:cs="Times New Roman"/>
                <w:color w:val="000000" w:themeColor="text1"/>
                <w:sz w:val="24"/>
                <w:szCs w:val="24"/>
                <w:lang w:eastAsia="zh-CN"/>
                <w14:textFill>
                  <w14:solidFill>
                    <w14:schemeClr w14:val="tx1"/>
                  </w14:solidFill>
                </w14:textFill>
              </w:rPr>
              <w:t>危废贮存库</w:t>
            </w:r>
            <w:r>
              <w:rPr>
                <w:rFonts w:hint="default" w:ascii="Times New Roman" w:hAnsi="Times New Roman" w:eastAsia="宋体" w:cs="Times New Roman"/>
                <w:color w:val="000000" w:themeColor="text1"/>
                <w:sz w:val="24"/>
                <w:szCs w:val="24"/>
                <w14:textFill>
                  <w14:solidFill>
                    <w14:schemeClr w14:val="tx1"/>
                  </w14:solidFill>
                </w14:textFill>
              </w:rPr>
              <w:t>或场所标志、危险废物贮存分区标志和危险废物标签等识别标志。</w:t>
            </w:r>
          </w:p>
          <w:p w14:paraId="792F00AB">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⑥使用容器盛装液态危险废物时，容器内部应留有适当的空间，以适应因温度变化等可能引发的收缩和膨胀，防止其导致容器渗漏或永久变形。</w:t>
            </w:r>
          </w:p>
          <w:p w14:paraId="4EAC409B">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⑦</w:t>
            </w:r>
            <w:r>
              <w:rPr>
                <w:rFonts w:hint="default" w:ascii="Times New Roman" w:hAnsi="Times New Roman" w:cs="Times New Roman"/>
                <w:color w:val="000000" w:themeColor="text1"/>
                <w:sz w:val="24"/>
                <w:szCs w:val="24"/>
                <w:lang w:val="en-US" w:eastAsia="zh-CN"/>
                <w14:textFill>
                  <w14:solidFill>
                    <w14:schemeClr w14:val="tx1"/>
                  </w14:solidFill>
                </w14:textFill>
              </w:rPr>
              <w:t>危废贮存库</w:t>
            </w:r>
            <w:r>
              <w:rPr>
                <w:rFonts w:hint="default" w:ascii="Times New Roman" w:hAnsi="Times New Roman" w:eastAsia="宋体" w:cs="Times New Roman"/>
                <w:color w:val="000000" w:themeColor="text1"/>
                <w:sz w:val="24"/>
                <w:szCs w:val="24"/>
                <w14:textFill>
                  <w14:solidFill>
                    <w14:schemeClr w14:val="tx1"/>
                  </w14:solidFill>
                </w14:textFill>
              </w:rPr>
              <w:t>运行期间，应按国家有关标准和规定建立危险废物管理台账并保存。</w:t>
            </w:r>
          </w:p>
          <w:p w14:paraId="338467D5">
            <w:pPr>
              <w:pStyle w:val="24"/>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通过以上措施，本项目运营期产生的各类固</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废处置合理可行，去向明确，其处置措施体现了</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减量化、资源化、无害化</w:t>
            </w: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的治理原则，对周围环境不会产生明显影响。</w:t>
            </w:r>
          </w:p>
          <w:p w14:paraId="010EA0FF">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项目固体废弃物主要为</w:t>
            </w:r>
            <w:r>
              <w:rPr>
                <w:rFonts w:hint="default" w:ascii="Times New Roman" w:hAnsi="Times New Roman" w:cs="Times New Roman"/>
                <w:color w:val="auto"/>
                <w:sz w:val="24"/>
                <w:szCs w:val="28"/>
                <w:lang w:eastAsia="zh-CN"/>
              </w:rPr>
              <w:t>一般固废（</w:t>
            </w:r>
            <w:r>
              <w:rPr>
                <w:rFonts w:hint="default" w:ascii="Times New Roman" w:hAnsi="Times New Roman" w:cs="Times New Roman"/>
                <w:color w:val="auto"/>
                <w:sz w:val="24"/>
                <w:szCs w:val="28"/>
              </w:rPr>
              <w:t>废边角料金属屑</w:t>
            </w:r>
            <w:r>
              <w:rPr>
                <w:rFonts w:hint="default" w:ascii="Times New Roman" w:hAnsi="Times New Roman" w:cs="Times New Roman"/>
                <w:color w:val="auto"/>
                <w:sz w:val="24"/>
                <w:szCs w:val="28"/>
                <w:lang w:eastAsia="zh-CN"/>
              </w:rPr>
              <w:t>、废钢丸、</w:t>
            </w:r>
            <w:r>
              <w:rPr>
                <w:rFonts w:hint="default" w:ascii="Times New Roman" w:hAnsi="Times New Roman" w:cs="Times New Roman"/>
                <w:color w:val="auto"/>
                <w:sz w:val="24"/>
                <w:szCs w:val="28"/>
                <w:lang w:val="en-US" w:eastAsia="zh-CN"/>
              </w:rPr>
              <w:t>收尘灰</w:t>
            </w:r>
            <w:r>
              <w:rPr>
                <w:rFonts w:hint="default" w:ascii="Times New Roman" w:hAnsi="Times New Roman" w:cs="Times New Roman"/>
                <w:color w:val="auto"/>
                <w:sz w:val="24"/>
                <w:szCs w:val="28"/>
                <w:lang w:eastAsia="zh-CN"/>
              </w:rPr>
              <w:t>、</w:t>
            </w:r>
            <w:r>
              <w:rPr>
                <w:rFonts w:hint="default" w:ascii="Times New Roman" w:hAnsi="Times New Roman" w:cs="Times New Roman"/>
                <w:color w:val="auto"/>
                <w:sz w:val="24"/>
                <w:szCs w:val="28"/>
                <w:lang w:val="en-US" w:eastAsia="zh-CN"/>
              </w:rPr>
              <w:t>废粉</w:t>
            </w:r>
            <w:r>
              <w:rPr>
                <w:rFonts w:hint="default" w:ascii="Times New Roman" w:hAnsi="Times New Roman" w:cs="Times New Roman"/>
                <w:color w:val="auto"/>
                <w:sz w:val="24"/>
                <w:szCs w:val="28"/>
                <w:lang w:eastAsia="zh-CN"/>
              </w:rPr>
              <w:t>）</w:t>
            </w:r>
            <w:r>
              <w:rPr>
                <w:rFonts w:hint="default" w:ascii="Times New Roman" w:hAnsi="Times New Roman" w:cs="Times New Roman"/>
                <w:color w:val="auto"/>
                <w:sz w:val="24"/>
                <w:szCs w:val="28"/>
              </w:rPr>
              <w:t>、危险废物</w:t>
            </w:r>
            <w:r>
              <w:rPr>
                <w:rFonts w:hint="default" w:ascii="Times New Roman" w:hAnsi="Times New Roman" w:cs="Times New Roman"/>
                <w:color w:val="auto"/>
                <w:sz w:val="24"/>
                <w:szCs w:val="28"/>
                <w:lang w:eastAsia="zh-CN"/>
              </w:rPr>
              <w:t>（废</w:t>
            </w:r>
            <w:r>
              <w:rPr>
                <w:rFonts w:hint="default" w:ascii="Times New Roman" w:hAnsi="Times New Roman" w:cs="Times New Roman"/>
                <w:color w:val="auto"/>
                <w:sz w:val="24"/>
                <w:szCs w:val="28"/>
                <w:lang w:val="en-US" w:eastAsia="zh-CN"/>
              </w:rPr>
              <w:t>活性炭</w:t>
            </w:r>
            <w:r>
              <w:rPr>
                <w:rFonts w:hint="default" w:ascii="Times New Roman" w:hAnsi="Times New Roman" w:cs="Times New Roman"/>
                <w:color w:val="auto"/>
                <w:sz w:val="24"/>
                <w:szCs w:val="28"/>
                <w:lang w:eastAsia="zh-CN"/>
              </w:rPr>
              <w:t>、废</w:t>
            </w:r>
            <w:r>
              <w:rPr>
                <w:rFonts w:hint="default" w:ascii="Times New Roman" w:hAnsi="Times New Roman" w:cs="Times New Roman"/>
                <w:color w:val="auto"/>
                <w:sz w:val="24"/>
                <w:szCs w:val="28"/>
                <w:lang w:val="en-US" w:eastAsia="zh-CN"/>
              </w:rPr>
              <w:t>润滑油、</w:t>
            </w:r>
            <w:r>
              <w:rPr>
                <w:rFonts w:hint="default" w:ascii="Times New Roman" w:hAnsi="Times New Roman" w:cs="Times New Roman"/>
                <w:color w:val="auto"/>
                <w:sz w:val="24"/>
                <w:szCs w:val="28"/>
                <w:lang w:eastAsia="zh-CN"/>
              </w:rPr>
              <w:t>油桶、废含油抹布、手套）</w:t>
            </w:r>
            <w:r>
              <w:rPr>
                <w:rFonts w:hint="default" w:ascii="Times New Roman" w:hAnsi="Times New Roman" w:cs="Times New Roman"/>
                <w:color w:val="auto"/>
                <w:sz w:val="24"/>
                <w:szCs w:val="28"/>
              </w:rPr>
              <w:t>。</w:t>
            </w:r>
          </w:p>
          <w:p w14:paraId="6BEF9BF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eastAsia="zh-CN"/>
              </w:rPr>
            </w:pPr>
            <w:r>
              <w:rPr>
                <w:rFonts w:hint="default" w:ascii="Times New Roman" w:hAnsi="Times New Roman" w:cs="Times New Roman"/>
                <w:color w:val="auto"/>
                <w:sz w:val="24"/>
                <w:lang w:eastAsia="zh-CN" w:bidi="ar"/>
              </w:rPr>
              <w:t>一般固废</w:t>
            </w:r>
            <w:r>
              <w:rPr>
                <w:rFonts w:hint="default" w:ascii="Times New Roman" w:hAnsi="Times New Roman" w:cs="Times New Roman"/>
                <w:color w:val="auto"/>
                <w:sz w:val="24"/>
                <w:szCs w:val="28"/>
                <w:lang w:eastAsia="zh-CN"/>
              </w:rPr>
              <w:t>（</w:t>
            </w:r>
            <w:r>
              <w:rPr>
                <w:rFonts w:hint="default" w:ascii="Times New Roman" w:hAnsi="Times New Roman" w:cs="Times New Roman"/>
                <w:color w:val="auto"/>
                <w:sz w:val="24"/>
                <w:szCs w:val="28"/>
              </w:rPr>
              <w:t>废边角料、金属屑</w:t>
            </w:r>
            <w:r>
              <w:rPr>
                <w:rFonts w:hint="default" w:ascii="Times New Roman" w:hAnsi="Times New Roman" w:cs="Times New Roman"/>
                <w:color w:val="auto"/>
                <w:sz w:val="24"/>
                <w:szCs w:val="28"/>
                <w:lang w:eastAsia="zh-CN"/>
              </w:rPr>
              <w:t>、废钢丸、</w:t>
            </w:r>
            <w:r>
              <w:rPr>
                <w:rFonts w:hint="default" w:ascii="Times New Roman" w:hAnsi="Times New Roman" w:cs="Times New Roman"/>
                <w:color w:val="auto"/>
                <w:sz w:val="24"/>
                <w:szCs w:val="28"/>
                <w:lang w:val="en-US" w:eastAsia="zh-CN"/>
              </w:rPr>
              <w:t>收尘灰、废粉</w:t>
            </w:r>
            <w:r>
              <w:rPr>
                <w:rFonts w:hint="default" w:ascii="Times New Roman" w:hAnsi="Times New Roman" w:cs="Times New Roman"/>
                <w:color w:val="auto"/>
                <w:sz w:val="24"/>
                <w:szCs w:val="28"/>
                <w:lang w:eastAsia="zh-CN"/>
              </w:rPr>
              <w:t>）暂存一般固废暂存区后定期外售物资回收单位综合利用；</w:t>
            </w:r>
            <w:r>
              <w:rPr>
                <w:rFonts w:hint="default" w:ascii="Times New Roman" w:hAnsi="Times New Roman" w:cs="Times New Roman"/>
                <w:color w:val="auto"/>
                <w:sz w:val="24"/>
                <w:lang w:bidi="ar"/>
              </w:rPr>
              <w:t>危险废物</w:t>
            </w:r>
            <w:r>
              <w:rPr>
                <w:rFonts w:hint="default" w:ascii="Times New Roman" w:hAnsi="Times New Roman" w:cs="Times New Roman"/>
                <w:color w:val="auto"/>
                <w:sz w:val="24"/>
                <w:szCs w:val="28"/>
                <w:lang w:eastAsia="zh-CN"/>
              </w:rPr>
              <w:t>（废</w:t>
            </w:r>
            <w:r>
              <w:rPr>
                <w:rFonts w:hint="default" w:ascii="Times New Roman" w:hAnsi="Times New Roman" w:cs="Times New Roman"/>
                <w:color w:val="auto"/>
                <w:sz w:val="24"/>
                <w:szCs w:val="28"/>
                <w:lang w:val="en-US" w:eastAsia="zh-CN"/>
              </w:rPr>
              <w:t>活性炭</w:t>
            </w:r>
            <w:r>
              <w:rPr>
                <w:rFonts w:hint="default" w:ascii="Times New Roman" w:hAnsi="Times New Roman" w:cs="Times New Roman"/>
                <w:color w:val="auto"/>
                <w:sz w:val="24"/>
                <w:szCs w:val="28"/>
                <w:lang w:eastAsia="zh-CN"/>
              </w:rPr>
              <w:t>、</w:t>
            </w:r>
            <w:r>
              <w:rPr>
                <w:rFonts w:hint="default" w:ascii="Times New Roman" w:hAnsi="Times New Roman" w:cs="Times New Roman"/>
                <w:color w:val="auto"/>
                <w:sz w:val="24"/>
                <w:szCs w:val="28"/>
                <w:lang w:val="en-US" w:eastAsia="zh-CN"/>
              </w:rPr>
              <w:t>污泥、</w:t>
            </w:r>
            <w:r>
              <w:rPr>
                <w:rFonts w:hint="default" w:ascii="Times New Roman" w:hAnsi="Times New Roman" w:cs="Times New Roman"/>
                <w:color w:val="auto"/>
                <w:sz w:val="24"/>
                <w:szCs w:val="28"/>
                <w:lang w:eastAsia="zh-CN"/>
              </w:rPr>
              <w:t>废</w:t>
            </w:r>
            <w:r>
              <w:rPr>
                <w:rFonts w:hint="default" w:ascii="Times New Roman" w:hAnsi="Times New Roman" w:cs="Times New Roman"/>
                <w:color w:val="auto"/>
                <w:sz w:val="24"/>
                <w:szCs w:val="28"/>
                <w:lang w:val="en-US" w:eastAsia="zh-CN"/>
              </w:rPr>
              <w:t>液压油</w:t>
            </w:r>
            <w:r>
              <w:rPr>
                <w:rFonts w:hint="default" w:ascii="Times New Roman" w:hAnsi="Times New Roman" w:cs="Times New Roman"/>
                <w:color w:val="auto"/>
                <w:sz w:val="24"/>
                <w:szCs w:val="28"/>
                <w:lang w:eastAsia="zh-CN"/>
              </w:rPr>
              <w:t>、废油桶、废含油抹布、手套）</w:t>
            </w:r>
            <w:r>
              <w:rPr>
                <w:rFonts w:hint="default" w:ascii="Times New Roman" w:hAnsi="Times New Roman" w:cs="Times New Roman"/>
                <w:color w:val="auto"/>
                <w:sz w:val="24"/>
                <w:lang w:bidi="ar"/>
              </w:rPr>
              <w:t>暂存于</w:t>
            </w:r>
            <w:r>
              <w:rPr>
                <w:rFonts w:hint="default" w:ascii="Times New Roman" w:hAnsi="Times New Roman" w:cs="Times New Roman"/>
                <w:bCs/>
                <w:color w:val="auto"/>
                <w:sz w:val="24"/>
                <w:lang w:bidi="ar"/>
              </w:rPr>
              <w:t>危废暂存间，定期交由</w:t>
            </w:r>
            <w:r>
              <w:rPr>
                <w:rFonts w:hint="default" w:ascii="Times New Roman" w:hAnsi="Times New Roman" w:cs="Times New Roman"/>
                <w:bCs/>
                <w:color w:val="auto"/>
                <w:sz w:val="24"/>
                <w:lang w:eastAsia="zh-CN" w:bidi="ar"/>
              </w:rPr>
              <w:t>宝鸡明瑞昕盛环保科技有限公司清运</w:t>
            </w:r>
            <w:r>
              <w:rPr>
                <w:rFonts w:hint="default" w:ascii="Times New Roman" w:hAnsi="Times New Roman" w:cs="Times New Roman"/>
                <w:bCs/>
                <w:color w:val="auto"/>
                <w:sz w:val="24"/>
                <w:lang w:bidi="ar"/>
              </w:rPr>
              <w:t>处理</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val="en-US" w:eastAsia="zh-CN" w:bidi="ar"/>
              </w:rPr>
              <w:t>及时与资质单位签订危废处置补充协议，将本次新增危险废物纳入处置范围内</w:t>
            </w:r>
            <w:r>
              <w:rPr>
                <w:rFonts w:hint="default" w:ascii="Times New Roman" w:hAnsi="Times New Roman" w:eastAsia="宋体" w:cs="Times New Roman"/>
                <w:color w:val="auto"/>
                <w:sz w:val="24"/>
                <w:szCs w:val="22"/>
                <w:lang w:eastAsia="zh-CN"/>
              </w:rPr>
              <w:t>。</w:t>
            </w:r>
          </w:p>
          <w:p w14:paraId="361AC98A">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五、地下水环境影响分析</w:t>
            </w:r>
          </w:p>
          <w:p w14:paraId="6466893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工程分析，本项目无生产废水排放。本项目均在生产车间内进行，车间按照标准化厂房建设，具备防渗功能。项目产生的危险废物暂存于危险废物贮存设施内，贮存设施内严格按照相关规范进行重点防渗防腐处理。本项目无地下水污染源，故不进行地下水环境影响分析。</w:t>
            </w:r>
          </w:p>
          <w:p w14:paraId="4A2A5461">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六、土壤环境影响分析</w:t>
            </w:r>
          </w:p>
          <w:p w14:paraId="4CFA1670">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1"/>
              <w:rPr>
                <w:rFonts w:hint="default" w:ascii="Times New Roman" w:hAnsi="Times New Roman" w:cs="Times New Roman"/>
                <w:color w:val="auto"/>
                <w:sz w:val="24"/>
              </w:rPr>
            </w:pPr>
            <w:r>
              <w:rPr>
                <w:rFonts w:hint="default" w:ascii="Times New Roman" w:hAnsi="Times New Roman" w:cs="Times New Roman"/>
                <w:color w:val="auto"/>
                <w:sz w:val="24"/>
              </w:rPr>
              <w:t>根据工程分析，项目建成后厂区生产车间、运输路面、危险废物贮存设施等地面均进行硬化，且生产过程中产生的非甲烷总烃经处理后排放量较小，经自然沉降对土壤发生污染的可能性极小。综合分析，本项目无土壤污染途径，本次评价不对土壤环境进行评价。</w:t>
            </w:r>
          </w:p>
          <w:p w14:paraId="29D321DD">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七、环境风险</w:t>
            </w:r>
          </w:p>
          <w:p w14:paraId="0ABE00AB">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lang w:val="en-US" w:eastAsia="zh-CN"/>
              </w:rPr>
              <w:t>（1）危险物质和风险等级评判</w:t>
            </w:r>
          </w:p>
          <w:p w14:paraId="7D85E91D">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依据《建设项目环境风险评价技术导则》（HJ169-2018）要求，结合《企业突发环境事件风险分级方法HJ941-2018》附录A第四部分，本项目生产、使用、储存过程中涉及易燃液态物质润滑油（废）、液压油（废），主要对全厂仓库及危废暂存间危险废物最大储存量进行风险分析，具体危险特性及分布情况见下表：</w:t>
            </w:r>
          </w:p>
          <w:p w14:paraId="7B7F7AEF">
            <w:pPr>
              <w:keepNext/>
              <w:keepLines/>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auto"/>
                <w:sz w:val="21"/>
                <w:szCs w:val="21"/>
                <w:lang w:val="de-DE" w:eastAsia="zh-CN"/>
              </w:rPr>
            </w:pPr>
            <w:r>
              <w:rPr>
                <w:rFonts w:hint="default" w:ascii="Times New Roman" w:hAnsi="Times New Roman" w:eastAsia="宋体" w:cs="Times New Roman"/>
                <w:b/>
                <w:bCs/>
                <w:color w:val="auto"/>
                <w:sz w:val="21"/>
                <w:szCs w:val="21"/>
                <w:lang w:val="de-DE" w:eastAsia="zh-CN"/>
              </w:rPr>
              <w:t>表4-</w:t>
            </w:r>
            <w:r>
              <w:rPr>
                <w:rFonts w:hint="default" w:ascii="Times New Roman" w:hAnsi="Times New Roman" w:cs="Times New Roman"/>
                <w:b/>
                <w:bCs/>
                <w:color w:val="auto"/>
                <w:sz w:val="21"/>
                <w:szCs w:val="21"/>
                <w:lang w:val="en-US" w:eastAsia="zh-CN"/>
              </w:rPr>
              <w:t>12</w:t>
            </w:r>
            <w:r>
              <w:rPr>
                <w:rFonts w:hint="default" w:ascii="Times New Roman" w:hAnsi="Times New Roman" w:eastAsia="宋体" w:cs="Times New Roman"/>
                <w:b/>
                <w:bCs/>
                <w:color w:val="auto"/>
                <w:sz w:val="21"/>
                <w:szCs w:val="21"/>
                <w:lang w:val="de-DE" w:eastAsia="zh-CN"/>
              </w:rPr>
              <w:t xml:space="preserve">  主要危险物质年用量及存储量一览表</w:t>
            </w:r>
          </w:p>
          <w:tbl>
            <w:tblPr>
              <w:tblStyle w:val="32"/>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7"/>
              <w:gridCol w:w="480"/>
              <w:gridCol w:w="1085"/>
              <w:gridCol w:w="967"/>
              <w:gridCol w:w="1176"/>
              <w:gridCol w:w="1395"/>
              <w:gridCol w:w="888"/>
              <w:gridCol w:w="1733"/>
            </w:tblGrid>
            <w:tr w14:paraId="5699B5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3" w:type="pct"/>
                  <w:noWrap w:val="0"/>
                  <w:vAlign w:val="center"/>
                </w:tcPr>
                <w:p w14:paraId="71667E14">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282" w:type="pct"/>
                  <w:noWrap w:val="0"/>
                  <w:vAlign w:val="center"/>
                </w:tcPr>
                <w:p w14:paraId="53C7E2CC">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形态</w:t>
                  </w:r>
                </w:p>
              </w:tc>
              <w:tc>
                <w:tcPr>
                  <w:tcW w:w="637" w:type="pct"/>
                  <w:noWrap w:val="0"/>
                  <w:vAlign w:val="center"/>
                </w:tcPr>
                <w:p w14:paraId="7E9DC71F">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性 质</w:t>
                  </w:r>
                </w:p>
              </w:tc>
              <w:tc>
                <w:tcPr>
                  <w:tcW w:w="568" w:type="pct"/>
                  <w:noWrap w:val="0"/>
                  <w:vAlign w:val="center"/>
                </w:tcPr>
                <w:p w14:paraId="57B055DB">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CAS号</w:t>
                  </w:r>
                </w:p>
              </w:tc>
              <w:tc>
                <w:tcPr>
                  <w:tcW w:w="691" w:type="pct"/>
                  <w:noWrap w:val="0"/>
                  <w:vAlign w:val="center"/>
                </w:tcPr>
                <w:p w14:paraId="64B54EF3">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分布位置</w:t>
                  </w:r>
                </w:p>
              </w:tc>
              <w:tc>
                <w:tcPr>
                  <w:tcW w:w="819" w:type="pct"/>
                  <w:noWrap w:val="0"/>
                  <w:vAlign w:val="center"/>
                </w:tcPr>
                <w:p w14:paraId="7711E864">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最大储存量</w:t>
                  </w:r>
                  <w:r>
                    <w:rPr>
                      <w:rFonts w:hint="default" w:ascii="Times New Roman" w:hAnsi="Times New Roman" w:eastAsia="宋体" w:cs="Times New Roman"/>
                      <w:b/>
                      <w:bCs/>
                      <w:color w:val="auto"/>
                      <w:szCs w:val="21"/>
                    </w:rPr>
                    <w:t>（t）</w:t>
                  </w:r>
                </w:p>
              </w:tc>
              <w:tc>
                <w:tcPr>
                  <w:tcW w:w="522" w:type="pct"/>
                  <w:noWrap w:val="0"/>
                  <w:vAlign w:val="center"/>
                </w:tcPr>
                <w:p w14:paraId="502A7307">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临界量（t）</w:t>
                  </w:r>
                </w:p>
              </w:tc>
              <w:tc>
                <w:tcPr>
                  <w:tcW w:w="1014" w:type="pct"/>
                  <w:noWrap w:val="0"/>
                  <w:vAlign w:val="center"/>
                </w:tcPr>
                <w:p w14:paraId="294DE782">
                  <w:pPr>
                    <w:keepNext/>
                    <w:keepLines/>
                    <w:pageBreakBefore w:val="0"/>
                    <w:widowControl/>
                    <w:kinsoku/>
                    <w:wordWrap/>
                    <w:overflowPunct/>
                    <w:topLinePunct w:val="0"/>
                    <w:autoSpaceDE/>
                    <w:autoSpaceDN/>
                    <w:bidi w:val="0"/>
                    <w:adjustRightInd/>
                    <w:snapToGrid/>
                    <w:spacing w:beforeAutospacing="0" w:afterAutospacing="0"/>
                    <w:jc w:val="both"/>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eastAsia="zh-CN"/>
                    </w:rPr>
                    <w:t>危险物质</w:t>
                  </w:r>
                  <w:r>
                    <w:rPr>
                      <w:rFonts w:hint="default" w:ascii="Times New Roman" w:hAnsi="Times New Roman" w:eastAsia="宋体" w:cs="Times New Roman"/>
                      <w:b/>
                      <w:bCs/>
                      <w:color w:val="auto"/>
                      <w:szCs w:val="21"/>
                      <w:lang w:val="en-US" w:eastAsia="zh-CN"/>
                    </w:rPr>
                    <w:t>Q值</w:t>
                  </w:r>
                </w:p>
              </w:tc>
            </w:tr>
            <w:tr w14:paraId="0C021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3" w:type="pct"/>
                  <w:noWrap w:val="0"/>
                  <w:vAlign w:val="center"/>
                </w:tcPr>
                <w:p w14:paraId="674D9BD8">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矿物油</w:t>
                  </w:r>
                </w:p>
              </w:tc>
              <w:tc>
                <w:tcPr>
                  <w:tcW w:w="282" w:type="pct"/>
                  <w:noWrap w:val="0"/>
                  <w:vAlign w:val="center"/>
                </w:tcPr>
                <w:p w14:paraId="3276BB93">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液态</w:t>
                  </w:r>
                </w:p>
              </w:tc>
              <w:tc>
                <w:tcPr>
                  <w:tcW w:w="637" w:type="pct"/>
                  <w:noWrap w:val="0"/>
                  <w:vAlign w:val="center"/>
                </w:tcPr>
                <w:p w14:paraId="28B54422">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易燃</w:t>
                  </w:r>
                </w:p>
                <w:p w14:paraId="52E5F5FE">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物质</w:t>
                  </w:r>
                </w:p>
              </w:tc>
              <w:tc>
                <w:tcPr>
                  <w:tcW w:w="568" w:type="pct"/>
                  <w:noWrap w:val="0"/>
                  <w:vAlign w:val="center"/>
                </w:tcPr>
                <w:p w14:paraId="03BCF51D">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691" w:type="pct"/>
                  <w:noWrap w:val="0"/>
                  <w:vAlign w:val="center"/>
                </w:tcPr>
                <w:p w14:paraId="49E21DE6">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仓库、危废暂存间</w:t>
                  </w:r>
                </w:p>
              </w:tc>
              <w:tc>
                <w:tcPr>
                  <w:tcW w:w="819" w:type="pct"/>
                  <w:noWrap w:val="0"/>
                  <w:vAlign w:val="center"/>
                </w:tcPr>
                <w:p w14:paraId="293E0712">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0.12</w:t>
                  </w:r>
                </w:p>
              </w:tc>
              <w:tc>
                <w:tcPr>
                  <w:tcW w:w="522" w:type="pct"/>
                  <w:noWrap w:val="0"/>
                  <w:vAlign w:val="center"/>
                </w:tcPr>
                <w:p w14:paraId="7A5206E9">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2500</w:t>
                  </w:r>
                </w:p>
              </w:tc>
              <w:tc>
                <w:tcPr>
                  <w:tcW w:w="1014" w:type="pct"/>
                  <w:noWrap w:val="0"/>
                  <w:vAlign w:val="center"/>
                </w:tcPr>
                <w:p w14:paraId="64FC1414">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0.000048</w:t>
                  </w:r>
                </w:p>
              </w:tc>
            </w:tr>
            <w:tr w14:paraId="0A9755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3" w:type="pct"/>
                  <w:noWrap w:val="0"/>
                  <w:vAlign w:val="center"/>
                </w:tcPr>
                <w:p w14:paraId="721ED4BB">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kern w:val="2"/>
                      <w:sz w:val="21"/>
                      <w:szCs w:val="21"/>
                      <w:lang w:val="en-US" w:eastAsia="zh-CN" w:bidi="ar-SA"/>
                    </w:rPr>
                    <w:t>液化天然气</w:t>
                  </w:r>
                </w:p>
              </w:tc>
              <w:tc>
                <w:tcPr>
                  <w:tcW w:w="282" w:type="pct"/>
                  <w:noWrap w:val="0"/>
                  <w:vAlign w:val="center"/>
                </w:tcPr>
                <w:p w14:paraId="2F3E8B64">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液态</w:t>
                  </w:r>
                </w:p>
              </w:tc>
              <w:tc>
                <w:tcPr>
                  <w:tcW w:w="637" w:type="pct"/>
                  <w:noWrap w:val="0"/>
                  <w:vAlign w:val="center"/>
                </w:tcPr>
                <w:p w14:paraId="1A8D9EA3">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易燃</w:t>
                  </w:r>
                </w:p>
                <w:p w14:paraId="5B850234">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物质</w:t>
                  </w:r>
                </w:p>
              </w:tc>
              <w:tc>
                <w:tcPr>
                  <w:tcW w:w="568" w:type="pct"/>
                  <w:noWrap w:val="0"/>
                  <w:vAlign w:val="center"/>
                </w:tcPr>
                <w:p w14:paraId="47E26E37">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691" w:type="pct"/>
                  <w:noWrap w:val="0"/>
                  <w:vAlign w:val="center"/>
                </w:tcPr>
                <w:p w14:paraId="5F7F95E2">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气瓶</w:t>
                  </w:r>
                  <w:r>
                    <w:rPr>
                      <w:rFonts w:hint="default" w:ascii="Times New Roman" w:hAnsi="Times New Roman" w:eastAsia="宋体" w:cs="Times New Roman"/>
                      <w:color w:val="auto"/>
                      <w:szCs w:val="21"/>
                      <w:lang w:eastAsia="zh-CN"/>
                    </w:rPr>
                    <w:t>罐区</w:t>
                  </w:r>
                </w:p>
              </w:tc>
              <w:tc>
                <w:tcPr>
                  <w:tcW w:w="819" w:type="pct"/>
                  <w:noWrap w:val="0"/>
                  <w:vAlign w:val="center"/>
                </w:tcPr>
                <w:p w14:paraId="7C0E46CA">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0.4</w:t>
                  </w:r>
                </w:p>
              </w:tc>
              <w:tc>
                <w:tcPr>
                  <w:tcW w:w="522" w:type="pct"/>
                  <w:noWrap w:val="0"/>
                  <w:vAlign w:val="center"/>
                </w:tcPr>
                <w:p w14:paraId="5D112DB6">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w:t>
                  </w:r>
                </w:p>
              </w:tc>
              <w:tc>
                <w:tcPr>
                  <w:tcW w:w="1014" w:type="pct"/>
                  <w:noWrap w:val="0"/>
                  <w:vAlign w:val="center"/>
                </w:tcPr>
                <w:p w14:paraId="2FCCF9D7">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0.04</w:t>
                  </w:r>
                </w:p>
              </w:tc>
            </w:tr>
            <w:tr w14:paraId="06B6A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8"/>
                  <w:noWrap w:val="0"/>
                  <w:vAlign w:val="center"/>
                </w:tcPr>
                <w:p w14:paraId="440C0DC6">
                  <w:pPr>
                    <w:keepNext/>
                    <w:keepLines/>
                    <w:pageBreakBefore w:val="0"/>
                    <w:widowControl/>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 w:val="0"/>
                      <w:bCs w:val="0"/>
                      <w:color w:val="auto"/>
                      <w:szCs w:val="21"/>
                      <w:lang w:val="en-US" w:eastAsia="zh-CN"/>
                    </w:rPr>
                    <w:t>Q=0.0</w:t>
                  </w:r>
                  <w:r>
                    <w:rPr>
                      <w:rFonts w:hint="default" w:ascii="Times New Roman" w:hAnsi="Times New Roman" w:cs="Times New Roman"/>
                      <w:b w:val="0"/>
                      <w:bCs w:val="0"/>
                      <w:color w:val="auto"/>
                      <w:szCs w:val="21"/>
                      <w:lang w:val="en-US" w:eastAsia="zh-CN"/>
                    </w:rPr>
                    <w:t>4</w:t>
                  </w:r>
                  <w:r>
                    <w:rPr>
                      <w:rFonts w:hint="default" w:ascii="Times New Roman" w:hAnsi="Times New Roman" w:eastAsia="宋体" w:cs="Times New Roman"/>
                      <w:b w:val="0"/>
                      <w:bCs w:val="0"/>
                      <w:color w:val="auto"/>
                      <w:szCs w:val="21"/>
                      <w:lang w:val="en-US" w:eastAsia="zh-CN"/>
                    </w:rPr>
                    <w:t>0048</w:t>
                  </w:r>
                </w:p>
              </w:tc>
            </w:tr>
          </w:tbl>
          <w:p w14:paraId="63D6CE33">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由《建设项目环境风险评价技术导则》（HJ 169-2018）附录C可知，Q值=0.0</w:t>
            </w:r>
            <w:r>
              <w:rPr>
                <w:rFonts w:hint="default" w:ascii="Times New Roman" w:hAnsi="Times New Roman" w:cs="Times New Roman"/>
                <w:color w:val="auto"/>
                <w:sz w:val="24"/>
                <w:lang w:val="en-US" w:eastAsia="zh-CN"/>
              </w:rPr>
              <w:t>4</w:t>
            </w:r>
            <w:r>
              <w:rPr>
                <w:rFonts w:hint="default" w:ascii="Times New Roman" w:hAnsi="Times New Roman" w:eastAsia="宋体" w:cs="Times New Roman"/>
                <w:color w:val="auto"/>
                <w:sz w:val="24"/>
                <w:lang w:val="en-US" w:eastAsia="zh-CN"/>
              </w:rPr>
              <w:t>0048＜1。根据《建设项目环境风险评价技术导则》（HJ169-2018）中项目风险等级判别表可知，评价等级为简单分析。</w:t>
            </w:r>
          </w:p>
          <w:p w14:paraId="26F05F63">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（2）可能影响环境的途径</w:t>
            </w:r>
          </w:p>
          <w:p w14:paraId="0EF1A5A2">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本项目投入的风险物料为生产使用的矿物油、液化天然气。</w:t>
            </w:r>
          </w:p>
          <w:p w14:paraId="59EC4284">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矿物油泄漏可能影响环境的途径为：泄漏后污染导致污染土壤、地下水。液化天然气属于易燃易爆品，如发生泄漏易引起火灾和爆炸 的危险，火灾衍生燃烧废气会污染大气环境。</w:t>
            </w:r>
          </w:p>
          <w:p w14:paraId="6D25C3A9">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（3）风险防范措施</w:t>
            </w:r>
          </w:p>
          <w:p w14:paraId="3377163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1）防范措施</w:t>
            </w:r>
          </w:p>
          <w:p w14:paraId="62FB279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①厂区布置及建筑安全防范措施。</w:t>
            </w:r>
          </w:p>
          <w:p w14:paraId="23B9CC2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油类物质存在发生泄漏的风险，主要原因是操作失误和管理不到位造成的。防止油类物质出现泄漏，造成污染，以免发生爆炸、火灾等。</w:t>
            </w:r>
          </w:p>
          <w:p w14:paraId="18F1E59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②油类物质贮运安全防范措施。</w:t>
            </w:r>
          </w:p>
          <w:p w14:paraId="33E3802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A.油类物质储存场所四周应设置围栏或非实体围墙，围栏或非实体围墙采用不燃烧材料；</w:t>
            </w:r>
          </w:p>
          <w:p w14:paraId="4C64AD9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B.油类物质储存场所应设置警示牌与警示语，安全告示牌，提醒人们注意，避免碰撞或者携带火种等；</w:t>
            </w:r>
          </w:p>
          <w:p w14:paraId="66E2DAE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C.原料储存区及危废暂存区设立专人管理，严禁携带火柴、打火机等火种进入油类物质储存区，严禁吸烟，加强对其人员的安全培训与教育等；</w:t>
            </w:r>
          </w:p>
          <w:p w14:paraId="165D20F3">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D.加强对油类物质的管理和检修。定期对原料储存区及危废暂存区的油类物质进行检查，发现轻微泄漏事故或怀疑有泄漏时，应立即进行维修；</w:t>
            </w:r>
          </w:p>
          <w:p w14:paraId="4C06614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③液化</w:t>
            </w:r>
            <w:r>
              <w:rPr>
                <w:rFonts w:hint="default" w:ascii="Times New Roman" w:hAnsi="Times New Roman" w:eastAsia="宋体" w:cs="Times New Roman"/>
                <w:color w:val="auto"/>
                <w:sz w:val="24"/>
                <w:lang w:eastAsia="zh-CN"/>
              </w:rPr>
              <w:t>天然</w:t>
            </w:r>
            <w:r>
              <w:rPr>
                <w:rFonts w:hint="default" w:ascii="Times New Roman" w:hAnsi="Times New Roman" w:eastAsia="宋体" w:cs="Times New Roman"/>
                <w:color w:val="auto"/>
                <w:sz w:val="24"/>
              </w:rPr>
              <w:t>气泄漏防范措施：</w:t>
            </w:r>
          </w:p>
          <w:p w14:paraId="2FBBC15A">
            <w:pPr>
              <w:pStyle w:val="167"/>
              <w:widowControl w:val="0"/>
              <w:tabs>
                <w:tab w:val="left" w:pos="1318"/>
              </w:tabs>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按照国家和行业标准、规范制定</w:t>
            </w:r>
            <w:r>
              <w:rPr>
                <w:rFonts w:hint="default" w:ascii="Times New Roman" w:hAnsi="Times New Roman" w:cs="Times New Roman"/>
                <w:color w:val="auto"/>
                <w:sz w:val="24"/>
                <w:szCs w:val="24"/>
                <w:lang w:eastAsia="zh-CN"/>
              </w:rPr>
              <w:t>液化天然气</w:t>
            </w:r>
            <w:r>
              <w:rPr>
                <w:rFonts w:hint="default" w:ascii="Times New Roman" w:hAnsi="Times New Roman" w:cs="Times New Roman"/>
                <w:color w:val="auto"/>
                <w:sz w:val="24"/>
                <w:szCs w:val="24"/>
              </w:rPr>
              <w:t>泄漏应急方案，在实施过程中，坚持“以人为本”的指导思想。</w:t>
            </w:r>
          </w:p>
          <w:p w14:paraId="611702F5">
            <w:pPr>
              <w:pStyle w:val="167"/>
              <w:widowControl w:val="0"/>
              <w:tabs>
                <w:tab w:val="left" w:pos="1318"/>
              </w:tabs>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 应迅速切断泄漏源，封闭事件现场，切断电源，发出逸散报警；</w:t>
            </w:r>
          </w:p>
          <w:p w14:paraId="78E06B53">
            <w:pPr>
              <w:pStyle w:val="167"/>
              <w:widowControl w:val="0"/>
              <w:tabs>
                <w:tab w:val="left" w:pos="1318"/>
              </w:tabs>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 组织专业医疗救护人员抢救现场中毒人员；</w:t>
            </w:r>
          </w:p>
          <w:p w14:paraId="1752389C">
            <w:pPr>
              <w:pStyle w:val="167"/>
              <w:widowControl w:val="0"/>
              <w:tabs>
                <w:tab w:val="left" w:pos="1318"/>
              </w:tabs>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 监测可燃、有害气体浓度，根据现场风向，加强现场人员的个人防护，疏散现场及周边无关人员；</w:t>
            </w:r>
          </w:p>
          <w:p w14:paraId="1539CC80">
            <w:pPr>
              <w:pStyle w:val="167"/>
              <w:widowControl w:val="0"/>
              <w:tabs>
                <w:tab w:val="left" w:pos="1318"/>
              </w:tabs>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 条件允许时，迅速组织力量对泄漏管线进行封堵、抢修作业；</w:t>
            </w:r>
          </w:p>
          <w:p w14:paraId="6DCCFAE8">
            <w:pPr>
              <w:pStyle w:val="167"/>
              <w:widowControl w:val="0"/>
              <w:tabs>
                <w:tab w:val="left" w:pos="1318"/>
              </w:tabs>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E 发生火灾爆炸时，执行《火灾爆炸事件应急预案》。</w:t>
            </w:r>
          </w:p>
          <w:p w14:paraId="6CEF59C8">
            <w:pPr>
              <w:pStyle w:val="167"/>
              <w:widowControl w:val="0"/>
              <w:tabs>
                <w:tab w:val="left" w:pos="1318"/>
              </w:tabs>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根据泄漏事故发生的类型和地点制定不同的应急方案。现场抢险人员到达现场后，首先应根据现场情况对上述危险区域进行布控，然后按以下几种情况设立隔离区：</w:t>
            </w:r>
          </w:p>
          <w:p w14:paraId="6B375192">
            <w:pPr>
              <w:pStyle w:val="167"/>
              <w:widowControl w:val="0"/>
              <w:tabs>
                <w:tab w:val="left" w:pos="1318"/>
              </w:tabs>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A </w:t>
            </w:r>
            <w:r>
              <w:rPr>
                <w:rFonts w:hint="default" w:ascii="Times New Roman" w:hAnsi="Times New Roman" w:cs="Times New Roman"/>
                <w:color w:val="auto"/>
                <w:sz w:val="24"/>
                <w:szCs w:val="24"/>
                <w:lang w:eastAsia="zh-CN"/>
              </w:rPr>
              <w:t>液化天然气</w:t>
            </w:r>
            <w:r>
              <w:rPr>
                <w:rFonts w:hint="default" w:ascii="Times New Roman" w:hAnsi="Times New Roman" w:cs="Times New Roman"/>
                <w:color w:val="auto"/>
                <w:sz w:val="24"/>
                <w:szCs w:val="24"/>
              </w:rPr>
              <w:t>泄漏，但未关火：现场抢险人员，首先对上述危险区域用可燃气体检测仪进行初步检测，当有区域出现报警时，则以泄漏点为圆心，向外延伸进行他细检测，直至不再报警时为止，并以此点外延10m，作为半径设立隔离区；如初步检测未出现报警区域，则以泄漏点为圆心向内进行检测，直至出现报警为止，并以此点外延10m，作为半径设立隔离区。隔离区的设立还应结合事件现场的地形、地貌、通风状况、交通、人员活动及居住情况等进行确定。此外，对危险区域的可燃气体要进行动态监测，及时调整隔离区范围；</w:t>
            </w:r>
          </w:p>
          <w:p w14:paraId="66E4E3C5">
            <w:pPr>
              <w:pStyle w:val="167"/>
              <w:widowControl w:val="0"/>
              <w:tabs>
                <w:tab w:val="left" w:pos="1318"/>
              </w:tabs>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B </w:t>
            </w:r>
            <w:r>
              <w:rPr>
                <w:rFonts w:hint="default" w:ascii="Times New Roman" w:hAnsi="Times New Roman" w:cs="Times New Roman"/>
                <w:color w:val="auto"/>
                <w:sz w:val="24"/>
                <w:szCs w:val="24"/>
                <w:lang w:eastAsia="zh-CN"/>
              </w:rPr>
              <w:t>液化天然气</w:t>
            </w:r>
            <w:r>
              <w:rPr>
                <w:rFonts w:hint="default" w:ascii="Times New Roman" w:hAnsi="Times New Roman" w:cs="Times New Roman"/>
                <w:color w:val="auto"/>
                <w:sz w:val="24"/>
                <w:szCs w:val="24"/>
              </w:rPr>
              <w:t>泄漏并着火：根据现场着火的能量、面积、风向等情况由现场应急指挥部确定隔离区。</w:t>
            </w:r>
          </w:p>
          <w:p w14:paraId="4F1E4066">
            <w:pPr>
              <w:pStyle w:val="167"/>
              <w:widowControl w:val="0"/>
              <w:tabs>
                <w:tab w:val="left" w:pos="1318"/>
              </w:tabs>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2）环境风险应急</w:t>
            </w:r>
          </w:p>
          <w:p w14:paraId="2FEE67F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环境风险应急预案是以“安全第一，预防为主”的方针，坚持专门机关和群众相结合的原则，实行</w:t>
            </w:r>
            <w:r>
              <w:rPr>
                <w:rFonts w:hint="eastAsia" w:ascii="Times New Roman" w:hAnsi="Times New Roman" w:cs="Times New Roman"/>
                <w:color w:val="auto"/>
                <w:sz w:val="24"/>
                <w:lang w:eastAsia="zh-CN"/>
              </w:rPr>
              <w:t>安全生产责任制</w:t>
            </w:r>
            <w:r>
              <w:rPr>
                <w:rFonts w:hint="default" w:ascii="Times New Roman" w:hAnsi="Times New Roman" w:cs="Times New Roman"/>
                <w:color w:val="auto"/>
                <w:sz w:val="24"/>
              </w:rPr>
              <w:t>，有效地防止和减少一般性安全事故，杜绝</w:t>
            </w:r>
            <w:r>
              <w:rPr>
                <w:rFonts w:hint="default" w:ascii="Times New Roman" w:hAnsi="Times New Roman" w:cs="Times New Roman"/>
                <w:color w:val="auto"/>
                <w:sz w:val="24"/>
                <w:lang w:eastAsia="zh-CN"/>
              </w:rPr>
              <w:t>重特大</w:t>
            </w:r>
            <w:r>
              <w:rPr>
                <w:rFonts w:hint="default" w:ascii="Times New Roman" w:hAnsi="Times New Roman" w:cs="Times New Roman"/>
                <w:color w:val="auto"/>
                <w:sz w:val="24"/>
              </w:rPr>
              <w:t>事故，保障人民群众生命和财产安全的指导思想，迅速有效地组织事故施救工作，防止事故扩大，最大限度地减少人员伤亡，做好统一调度与指挥为原则。制定环境应急监测方案；制定人员紧急撤离、疏散、应急剂量控制、撤离组织计划；事故应急救援关闭程序与恢复措施；加强应急演习和应急技术培训；加强公众教育和信息；加强企业的环境突发事件应急救援预案的编制。</w:t>
            </w:r>
          </w:p>
          <w:p w14:paraId="7B97CCF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项目在采取上述防范措施后，环境风险水平可接受。</w:t>
            </w:r>
          </w:p>
          <w:p w14:paraId="3D5964B3">
            <w:pPr>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p>
          <w:p w14:paraId="0D8807DA">
            <w:pPr>
              <w:pStyle w:val="31"/>
              <w:rPr>
                <w:rFonts w:hint="default" w:ascii="Times New Roman" w:hAnsi="Times New Roman" w:cs="Times New Roman"/>
                <w:color w:val="auto"/>
                <w:sz w:val="24"/>
                <w:szCs w:val="24"/>
              </w:rPr>
            </w:pPr>
          </w:p>
          <w:p w14:paraId="763189E6">
            <w:pPr>
              <w:rPr>
                <w:rFonts w:hint="default" w:ascii="Times New Roman" w:hAnsi="Times New Roman" w:cs="Times New Roman"/>
                <w:color w:val="auto"/>
                <w:sz w:val="24"/>
                <w:szCs w:val="24"/>
              </w:rPr>
            </w:pPr>
          </w:p>
          <w:p w14:paraId="136C9A11">
            <w:pPr>
              <w:pStyle w:val="31"/>
              <w:rPr>
                <w:rFonts w:hint="default" w:ascii="Times New Roman" w:hAnsi="Times New Roman" w:cs="Times New Roman"/>
                <w:color w:val="auto"/>
                <w:sz w:val="24"/>
                <w:szCs w:val="24"/>
              </w:rPr>
            </w:pPr>
          </w:p>
          <w:p w14:paraId="3202473F">
            <w:pPr>
              <w:rPr>
                <w:rFonts w:hint="default" w:ascii="Times New Roman" w:hAnsi="Times New Roman" w:cs="Times New Roman"/>
                <w:color w:val="auto"/>
                <w:sz w:val="24"/>
                <w:szCs w:val="24"/>
              </w:rPr>
            </w:pPr>
          </w:p>
          <w:p w14:paraId="5199CB2F">
            <w:pPr>
              <w:pStyle w:val="31"/>
              <w:rPr>
                <w:rFonts w:hint="default" w:ascii="Times New Roman" w:hAnsi="Times New Roman" w:cs="Times New Roman"/>
                <w:color w:val="auto"/>
                <w:sz w:val="24"/>
                <w:szCs w:val="24"/>
              </w:rPr>
            </w:pPr>
          </w:p>
          <w:p w14:paraId="474D2940">
            <w:pPr>
              <w:rPr>
                <w:rFonts w:hint="default" w:ascii="Times New Roman" w:hAnsi="Times New Roman" w:cs="Times New Roman"/>
                <w:color w:val="auto"/>
                <w:sz w:val="24"/>
                <w:szCs w:val="24"/>
              </w:rPr>
            </w:pPr>
          </w:p>
          <w:p w14:paraId="16421AF9">
            <w:pPr>
              <w:pStyle w:val="31"/>
              <w:rPr>
                <w:rFonts w:hint="default" w:ascii="Times New Roman" w:hAnsi="Times New Roman" w:cs="Times New Roman"/>
                <w:color w:val="auto"/>
                <w:sz w:val="24"/>
                <w:szCs w:val="24"/>
              </w:rPr>
            </w:pPr>
          </w:p>
          <w:p w14:paraId="1DC8734D">
            <w:pPr>
              <w:rPr>
                <w:rFonts w:hint="default" w:ascii="Times New Roman" w:hAnsi="Times New Roman" w:cs="Times New Roman"/>
              </w:rPr>
            </w:pPr>
          </w:p>
          <w:p w14:paraId="0651E10A">
            <w:pPr>
              <w:rPr>
                <w:rFonts w:hint="default" w:ascii="Times New Roman" w:hAnsi="Times New Roman" w:cs="Times New Roman"/>
              </w:rPr>
            </w:pPr>
          </w:p>
        </w:tc>
      </w:tr>
    </w:tbl>
    <w:p w14:paraId="79FCABB3">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E424CD4">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5" w:name="_Hlk54167917"/>
      <w:r>
        <w:rPr>
          <w:rFonts w:hint="default" w:ascii="Times New Roman" w:hAnsi="Times New Roman" w:eastAsia="黑体" w:cs="Times New Roman"/>
          <w:snapToGrid w:val="0"/>
          <w:color w:val="auto"/>
          <w:sz w:val="30"/>
          <w:szCs w:val="30"/>
        </w:rPr>
        <w:t>环境保护措施监督检查清单</w:t>
      </w:r>
      <w:bookmarkEnd w:id="5"/>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392"/>
        <w:gridCol w:w="835"/>
        <w:gridCol w:w="1155"/>
        <w:gridCol w:w="2730"/>
        <w:gridCol w:w="2655"/>
      </w:tblGrid>
      <w:tr w14:paraId="5D0BC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tcBorders>
              <w:tl2br w:val="single" w:color="auto" w:sz="4" w:space="0"/>
            </w:tcBorders>
            <w:noWrap w:val="0"/>
            <w:vAlign w:val="top"/>
          </w:tcPr>
          <w:p w14:paraId="068EB1F7">
            <w:pPr>
              <w:adjustRightInd w:val="0"/>
              <w:snapToGrid w:val="0"/>
              <w:ind w:firstLine="630" w:firstLineChars="300"/>
              <w:rPr>
                <w:rFonts w:hint="default" w:ascii="Times New Roman" w:hAnsi="Times New Roman" w:cs="Times New Roman"/>
                <w:color w:val="auto"/>
                <w:szCs w:val="21"/>
              </w:rPr>
            </w:pPr>
            <w:r>
              <w:rPr>
                <w:rFonts w:hint="default" w:ascii="Times New Roman" w:hAnsi="Times New Roman" w:cs="Times New Roman"/>
                <w:color w:val="auto"/>
                <w:szCs w:val="21"/>
              </w:rPr>
              <w:t>内容</w:t>
            </w:r>
          </w:p>
          <w:p w14:paraId="669A41F0">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要素</w:t>
            </w:r>
          </w:p>
        </w:tc>
        <w:tc>
          <w:tcPr>
            <w:tcW w:w="1227" w:type="dxa"/>
            <w:gridSpan w:val="2"/>
            <w:noWrap w:val="0"/>
            <w:vAlign w:val="center"/>
          </w:tcPr>
          <w:p w14:paraId="1377FC97">
            <w:pPr>
              <w:adjustRightInd w:val="0"/>
              <w:snapToGrid w:val="0"/>
              <w:jc w:val="both"/>
              <w:rPr>
                <w:rFonts w:hint="default" w:ascii="Times New Roman" w:hAnsi="Times New Roman" w:cs="Times New Roman"/>
                <w:color w:val="auto"/>
                <w:szCs w:val="21"/>
              </w:rPr>
            </w:pPr>
            <w:r>
              <w:rPr>
                <w:rFonts w:hint="default" w:ascii="Times New Roman" w:hAnsi="Times New Roman" w:cs="Times New Roman"/>
                <w:color w:val="auto"/>
                <w:szCs w:val="21"/>
              </w:rPr>
              <w:t>排放口</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编号、名称</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/污染源</w:t>
            </w:r>
          </w:p>
        </w:tc>
        <w:tc>
          <w:tcPr>
            <w:tcW w:w="1155" w:type="dxa"/>
            <w:noWrap w:val="0"/>
            <w:vAlign w:val="center"/>
          </w:tcPr>
          <w:p w14:paraId="2142F49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污染物项目</w:t>
            </w:r>
          </w:p>
        </w:tc>
        <w:tc>
          <w:tcPr>
            <w:tcW w:w="2730" w:type="dxa"/>
            <w:noWrap w:val="0"/>
            <w:vAlign w:val="center"/>
          </w:tcPr>
          <w:p w14:paraId="16B6464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环境保护措施</w:t>
            </w:r>
          </w:p>
        </w:tc>
        <w:tc>
          <w:tcPr>
            <w:tcW w:w="2655" w:type="dxa"/>
            <w:noWrap w:val="0"/>
            <w:vAlign w:val="center"/>
          </w:tcPr>
          <w:p w14:paraId="5EC810F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14:paraId="10CDD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restart"/>
            <w:noWrap w:val="0"/>
            <w:vAlign w:val="center"/>
          </w:tcPr>
          <w:p w14:paraId="7DBA3253">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大气环境</w:t>
            </w:r>
          </w:p>
        </w:tc>
        <w:tc>
          <w:tcPr>
            <w:tcW w:w="392" w:type="dxa"/>
            <w:vMerge w:val="restart"/>
            <w:noWrap w:val="0"/>
            <w:vAlign w:val="center"/>
          </w:tcPr>
          <w:p w14:paraId="40D83712">
            <w:pPr>
              <w:pStyle w:val="96"/>
              <w:adjustRightInd w:val="0"/>
              <w:snapToGrid w:val="0"/>
              <w:contextualSpacing/>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有组织废气</w:t>
            </w:r>
          </w:p>
        </w:tc>
        <w:tc>
          <w:tcPr>
            <w:tcW w:w="835" w:type="dxa"/>
            <w:noWrap w:val="0"/>
            <w:vAlign w:val="center"/>
          </w:tcPr>
          <w:p w14:paraId="6CA21C4B">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切割、焊接、修磨、抛丸废气</w:t>
            </w:r>
          </w:p>
        </w:tc>
        <w:tc>
          <w:tcPr>
            <w:tcW w:w="1155" w:type="dxa"/>
            <w:noWrap w:val="0"/>
            <w:vAlign w:val="center"/>
          </w:tcPr>
          <w:p w14:paraId="43651ED7">
            <w:pPr>
              <w:pStyle w:val="96"/>
              <w:adjustRightInd w:val="0"/>
              <w:snapToGrid w:val="0"/>
              <w:contextualSpacing/>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颗粒物</w:t>
            </w:r>
          </w:p>
        </w:tc>
        <w:tc>
          <w:tcPr>
            <w:tcW w:w="2730" w:type="dxa"/>
            <w:noWrap w:val="0"/>
            <w:vAlign w:val="center"/>
          </w:tcPr>
          <w:p w14:paraId="2BFA95EB">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抛丸废气经自带的袋式除尘器（TA002）预处理后与切割、焊接工序产生的废气统一进入滤筒除尘器（TA001）处理后由一根15米排气筒（DA001）排放；焊接设密闭焊接房。</w:t>
            </w:r>
          </w:p>
        </w:tc>
        <w:tc>
          <w:tcPr>
            <w:tcW w:w="2655" w:type="dxa"/>
            <w:vMerge w:val="restart"/>
            <w:noWrap w:val="0"/>
            <w:vAlign w:val="center"/>
          </w:tcPr>
          <w:p w14:paraId="02D2338F">
            <w:pPr>
              <w:pStyle w:val="96"/>
              <w:adjustRightInd w:val="0"/>
              <w:snapToGrid w:val="0"/>
              <w:contextualSpacing/>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Cs w:val="21"/>
                <w:lang w:val="en-US" w:eastAsia="zh-CN"/>
              </w:rPr>
              <w:t>《大气污染物综合排放标准》（GB16297-1996）表2相应标准限值</w:t>
            </w:r>
          </w:p>
        </w:tc>
      </w:tr>
      <w:tr w14:paraId="4FA2C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162F87AF">
            <w:pPr>
              <w:adjustRightInd w:val="0"/>
              <w:snapToGrid w:val="0"/>
              <w:jc w:val="center"/>
              <w:rPr>
                <w:rFonts w:hint="default" w:ascii="Times New Roman" w:hAnsi="Times New Roman" w:cs="Times New Roman"/>
                <w:color w:val="auto"/>
                <w:szCs w:val="21"/>
                <w:lang w:eastAsia="zh-CN"/>
              </w:rPr>
            </w:pPr>
          </w:p>
        </w:tc>
        <w:tc>
          <w:tcPr>
            <w:tcW w:w="392" w:type="dxa"/>
            <w:vMerge w:val="continue"/>
            <w:noWrap w:val="0"/>
            <w:vAlign w:val="center"/>
          </w:tcPr>
          <w:p w14:paraId="6A886ECE">
            <w:pPr>
              <w:pStyle w:val="96"/>
              <w:adjustRightInd w:val="0"/>
              <w:snapToGrid w:val="0"/>
              <w:contextualSpacing/>
              <w:rPr>
                <w:rFonts w:hint="default" w:ascii="Times New Roman" w:hAnsi="Times New Roman" w:cs="Times New Roman"/>
                <w:b w:val="0"/>
                <w:bCs w:val="0"/>
                <w:color w:val="auto"/>
                <w:szCs w:val="21"/>
                <w:lang w:val="en-US" w:eastAsia="zh-CN"/>
              </w:rPr>
            </w:pPr>
          </w:p>
        </w:tc>
        <w:tc>
          <w:tcPr>
            <w:tcW w:w="835" w:type="dxa"/>
            <w:noWrap w:val="0"/>
            <w:vAlign w:val="center"/>
          </w:tcPr>
          <w:p w14:paraId="0ACD4B78">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喷塑废气</w:t>
            </w:r>
          </w:p>
        </w:tc>
        <w:tc>
          <w:tcPr>
            <w:tcW w:w="1155" w:type="dxa"/>
            <w:noWrap w:val="0"/>
            <w:vAlign w:val="center"/>
          </w:tcPr>
          <w:p w14:paraId="457268AB">
            <w:pPr>
              <w:pStyle w:val="96"/>
              <w:adjustRightInd w:val="0"/>
              <w:snapToGrid w:val="0"/>
              <w:contextualSpacing/>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颗粒物</w:t>
            </w:r>
          </w:p>
        </w:tc>
        <w:tc>
          <w:tcPr>
            <w:tcW w:w="2730" w:type="dxa"/>
            <w:noWrap w:val="0"/>
            <w:vAlign w:val="center"/>
          </w:tcPr>
          <w:p w14:paraId="2A162A4B">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喷塑（静电喷涂室及自动喷涂室）产生颗粒物经风机引至滤筒除尘器（TA003）处理，最终经同一根15m排气筒（DA002）有组织排放；静电喷涂室为封闭式喷涂室</w:t>
            </w:r>
          </w:p>
        </w:tc>
        <w:tc>
          <w:tcPr>
            <w:tcW w:w="2655" w:type="dxa"/>
            <w:vMerge w:val="continue"/>
            <w:noWrap w:val="0"/>
            <w:vAlign w:val="center"/>
          </w:tcPr>
          <w:p w14:paraId="1D65C30F">
            <w:pPr>
              <w:pStyle w:val="96"/>
              <w:adjustRightInd w:val="0"/>
              <w:snapToGrid w:val="0"/>
              <w:contextualSpacing/>
              <w:rPr>
                <w:rFonts w:hint="default" w:ascii="Times New Roman" w:hAnsi="Times New Roman" w:cs="Times New Roman"/>
                <w:b w:val="0"/>
                <w:bCs w:val="0"/>
                <w:color w:val="auto"/>
                <w:szCs w:val="21"/>
                <w:lang w:val="en-US" w:eastAsia="zh-CN"/>
              </w:rPr>
            </w:pPr>
          </w:p>
        </w:tc>
      </w:tr>
      <w:tr w14:paraId="58159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1BB6CA10">
            <w:pPr>
              <w:adjustRightInd w:val="0"/>
              <w:snapToGrid w:val="0"/>
              <w:jc w:val="center"/>
              <w:rPr>
                <w:rFonts w:hint="default" w:ascii="Times New Roman" w:hAnsi="Times New Roman" w:cs="Times New Roman"/>
                <w:color w:val="auto"/>
                <w:szCs w:val="21"/>
                <w:lang w:eastAsia="zh-CN"/>
              </w:rPr>
            </w:pPr>
          </w:p>
        </w:tc>
        <w:tc>
          <w:tcPr>
            <w:tcW w:w="392" w:type="dxa"/>
            <w:vMerge w:val="continue"/>
            <w:noWrap w:val="0"/>
            <w:vAlign w:val="center"/>
          </w:tcPr>
          <w:p w14:paraId="5018DA32">
            <w:pPr>
              <w:pStyle w:val="96"/>
              <w:adjustRightInd w:val="0"/>
              <w:snapToGrid w:val="0"/>
              <w:contextualSpacing/>
              <w:rPr>
                <w:rFonts w:hint="default" w:ascii="Times New Roman" w:hAnsi="Times New Roman" w:cs="Times New Roman"/>
                <w:b w:val="0"/>
                <w:bCs w:val="0"/>
                <w:color w:val="auto"/>
                <w:szCs w:val="21"/>
                <w:lang w:val="en-US" w:eastAsia="zh-CN"/>
              </w:rPr>
            </w:pPr>
          </w:p>
        </w:tc>
        <w:tc>
          <w:tcPr>
            <w:tcW w:w="835" w:type="dxa"/>
            <w:noWrap w:val="0"/>
            <w:vAlign w:val="center"/>
          </w:tcPr>
          <w:p w14:paraId="6478E31C">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固化废气</w:t>
            </w:r>
          </w:p>
        </w:tc>
        <w:tc>
          <w:tcPr>
            <w:tcW w:w="1155" w:type="dxa"/>
            <w:noWrap w:val="0"/>
            <w:vAlign w:val="center"/>
          </w:tcPr>
          <w:p w14:paraId="176A49AE">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非甲烷总烃</w:t>
            </w:r>
          </w:p>
        </w:tc>
        <w:tc>
          <w:tcPr>
            <w:tcW w:w="2730" w:type="dxa"/>
            <w:noWrap w:val="0"/>
            <w:vAlign w:val="center"/>
          </w:tcPr>
          <w:p w14:paraId="52CD4D99">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固化室与固化廊道进出口设集气口，固化废气经收集进入二级活性炭（TA004）吸附处理，由1根15米排气筒（DA003）排放。</w:t>
            </w:r>
          </w:p>
        </w:tc>
        <w:tc>
          <w:tcPr>
            <w:tcW w:w="2655" w:type="dxa"/>
            <w:vMerge w:val="restart"/>
            <w:noWrap w:val="0"/>
            <w:vAlign w:val="center"/>
          </w:tcPr>
          <w:p w14:paraId="475E8ECF">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color w:val="auto"/>
                <w:sz w:val="21"/>
                <w:szCs w:val="21"/>
                <w:lang w:val="en-US" w:eastAsia="zh-CN"/>
              </w:rPr>
              <w:t>《挥发性有机物排放控制标准》（DB61/T1061-2017）（排放浓度为50</w:t>
            </w:r>
            <w:r>
              <w:rPr>
                <w:rFonts w:hint="default" w:ascii="Times New Roman" w:hAnsi="Times New Roman" w:eastAsia="宋体" w:cs="Times New Roman"/>
                <w:color w:val="auto"/>
                <w:sz w:val="21"/>
                <w:szCs w:val="21"/>
                <w:lang w:val="en-US" w:eastAsia="zh-CN"/>
              </w:rPr>
              <w:t>mg/</w:t>
            </w:r>
            <w:r>
              <w:rPr>
                <w:rFonts w:hint="default" w:ascii="Times New Roman" w:hAnsi="Times New Roman" w:cs="Times New Roman"/>
                <w:color w:val="auto"/>
                <w:sz w:val="21"/>
                <w:szCs w:val="21"/>
                <w:lang w:val="en-US" w:eastAsia="zh-CN"/>
              </w:rPr>
              <w:t>m³</w:t>
            </w:r>
            <w:r>
              <w:rPr>
                <w:rFonts w:hint="default" w:ascii="Times New Roman" w:hAnsi="Times New Roman" w:cs="Times New Roman"/>
                <w:b w:val="0"/>
                <w:bCs/>
                <w:color w:val="auto"/>
                <w:sz w:val="21"/>
                <w:szCs w:val="21"/>
                <w:lang w:val="en-US" w:eastAsia="zh-CN"/>
              </w:rPr>
              <w:t>），同时需满足《重污染天气重点行业应急减排措施制定技术指南》（环办大气函〔2020〕（340）号）中工业涂装A级企业“排放限值”要求（20mg/m³—30mg/m³）</w:t>
            </w:r>
          </w:p>
        </w:tc>
      </w:tr>
      <w:tr w14:paraId="29694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41096494">
            <w:pPr>
              <w:adjustRightInd w:val="0"/>
              <w:snapToGrid w:val="0"/>
              <w:jc w:val="center"/>
              <w:rPr>
                <w:rFonts w:hint="default" w:ascii="Times New Roman" w:hAnsi="Times New Roman" w:cs="Times New Roman"/>
                <w:color w:val="auto"/>
                <w:szCs w:val="21"/>
                <w:lang w:eastAsia="zh-CN"/>
              </w:rPr>
            </w:pPr>
          </w:p>
        </w:tc>
        <w:tc>
          <w:tcPr>
            <w:tcW w:w="392" w:type="dxa"/>
            <w:vMerge w:val="continue"/>
            <w:noWrap w:val="0"/>
            <w:vAlign w:val="center"/>
          </w:tcPr>
          <w:p w14:paraId="4F5A6806">
            <w:pPr>
              <w:pStyle w:val="96"/>
              <w:adjustRightInd w:val="0"/>
              <w:snapToGrid w:val="0"/>
              <w:contextualSpacing/>
              <w:rPr>
                <w:rFonts w:hint="default" w:ascii="Times New Roman" w:hAnsi="Times New Roman" w:cs="Times New Roman"/>
                <w:b w:val="0"/>
                <w:bCs w:val="0"/>
                <w:color w:val="auto"/>
                <w:szCs w:val="21"/>
                <w:lang w:val="en-US" w:eastAsia="zh-CN"/>
              </w:rPr>
            </w:pPr>
          </w:p>
        </w:tc>
        <w:tc>
          <w:tcPr>
            <w:tcW w:w="835" w:type="dxa"/>
            <w:noWrap w:val="0"/>
            <w:vAlign w:val="center"/>
          </w:tcPr>
          <w:p w14:paraId="2E935659">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喷漆废气</w:t>
            </w:r>
          </w:p>
        </w:tc>
        <w:tc>
          <w:tcPr>
            <w:tcW w:w="1155" w:type="dxa"/>
            <w:noWrap w:val="0"/>
            <w:vAlign w:val="center"/>
          </w:tcPr>
          <w:p w14:paraId="25C67CD6">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漆雾、非甲烷总烃</w:t>
            </w:r>
          </w:p>
        </w:tc>
        <w:tc>
          <w:tcPr>
            <w:tcW w:w="2730" w:type="dxa"/>
            <w:noWrap w:val="0"/>
            <w:vAlign w:val="center"/>
          </w:tcPr>
          <w:p w14:paraId="3A05754D">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喷漆废气</w:t>
            </w:r>
            <w:r>
              <w:rPr>
                <w:rFonts w:hint="default" w:ascii="Times New Roman" w:hAnsi="Times New Roman" w:cs="Times New Roman"/>
                <w:color w:val="auto"/>
                <w:szCs w:val="21"/>
                <w:lang w:val="en-US" w:eastAsia="zh-CN"/>
              </w:rPr>
              <w:t>设置在封闭喷漆房进行，经负压收集+干式纸盒+过滤棉+二级活性炭（TA004）处理，经15米排气筒（DA003）排放。</w:t>
            </w:r>
          </w:p>
        </w:tc>
        <w:tc>
          <w:tcPr>
            <w:tcW w:w="2655" w:type="dxa"/>
            <w:vMerge w:val="continue"/>
            <w:noWrap w:val="0"/>
            <w:vAlign w:val="center"/>
          </w:tcPr>
          <w:p w14:paraId="2580D477">
            <w:pPr>
              <w:pStyle w:val="96"/>
              <w:adjustRightInd w:val="0"/>
              <w:snapToGrid w:val="0"/>
              <w:contextualSpacing/>
              <w:rPr>
                <w:rFonts w:hint="default" w:ascii="Times New Roman" w:hAnsi="Times New Roman" w:cs="Times New Roman"/>
                <w:b w:val="0"/>
                <w:bCs/>
                <w:color w:val="auto"/>
                <w:sz w:val="21"/>
                <w:szCs w:val="21"/>
                <w:lang w:val="en-US" w:eastAsia="zh-CN"/>
              </w:rPr>
            </w:pPr>
          </w:p>
        </w:tc>
      </w:tr>
      <w:tr w14:paraId="465BF7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293" w:type="dxa"/>
            <w:vMerge w:val="continue"/>
            <w:noWrap w:val="0"/>
            <w:vAlign w:val="center"/>
          </w:tcPr>
          <w:p w14:paraId="5E2E63DF">
            <w:pPr>
              <w:adjustRightInd w:val="0"/>
              <w:snapToGrid w:val="0"/>
              <w:jc w:val="center"/>
              <w:rPr>
                <w:rFonts w:hint="default" w:ascii="Times New Roman" w:hAnsi="Times New Roman" w:cs="Times New Roman"/>
                <w:color w:val="auto"/>
                <w:szCs w:val="21"/>
                <w:lang w:eastAsia="zh-CN"/>
              </w:rPr>
            </w:pPr>
          </w:p>
        </w:tc>
        <w:tc>
          <w:tcPr>
            <w:tcW w:w="392" w:type="dxa"/>
            <w:vMerge w:val="continue"/>
            <w:noWrap w:val="0"/>
            <w:vAlign w:val="center"/>
          </w:tcPr>
          <w:p w14:paraId="44BDFA7E">
            <w:pPr>
              <w:pStyle w:val="96"/>
              <w:adjustRightInd w:val="0"/>
              <w:snapToGrid w:val="0"/>
              <w:contextualSpacing/>
              <w:rPr>
                <w:rFonts w:hint="default" w:ascii="Times New Roman" w:hAnsi="Times New Roman" w:cs="Times New Roman"/>
                <w:b w:val="0"/>
                <w:bCs w:val="0"/>
                <w:color w:val="auto"/>
                <w:szCs w:val="21"/>
                <w:lang w:val="en-US" w:eastAsia="zh-CN"/>
              </w:rPr>
            </w:pPr>
          </w:p>
        </w:tc>
        <w:tc>
          <w:tcPr>
            <w:tcW w:w="835" w:type="dxa"/>
            <w:noWrap w:val="0"/>
            <w:vAlign w:val="center"/>
          </w:tcPr>
          <w:p w14:paraId="7544A5DD">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液化天然气燃烧废气</w:t>
            </w:r>
          </w:p>
        </w:tc>
        <w:tc>
          <w:tcPr>
            <w:tcW w:w="1155" w:type="dxa"/>
            <w:noWrap w:val="0"/>
            <w:vAlign w:val="center"/>
          </w:tcPr>
          <w:p w14:paraId="1BC0214E">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颗粒物、二氧化硫、氮氧化物、林格曼黑度</w:t>
            </w:r>
          </w:p>
        </w:tc>
        <w:tc>
          <w:tcPr>
            <w:tcW w:w="2730" w:type="dxa"/>
            <w:noWrap w:val="0"/>
            <w:vAlign w:val="center"/>
          </w:tcPr>
          <w:p w14:paraId="624A3C94">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液化天然气（LNG）燃烧废气经低氮燃烧器处理后与固化废气经同一根15米排气筒（DA003）排放。</w:t>
            </w:r>
          </w:p>
        </w:tc>
        <w:tc>
          <w:tcPr>
            <w:tcW w:w="2655" w:type="dxa"/>
            <w:noWrap w:val="0"/>
            <w:vAlign w:val="center"/>
          </w:tcPr>
          <w:p w14:paraId="178F93A0">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eastAsia="宋体" w:cs="Times New Roman"/>
                <w:bCs/>
                <w:color w:val="auto"/>
                <w:kern w:val="0"/>
                <w:sz w:val="21"/>
                <w:szCs w:val="21"/>
              </w:rPr>
              <w:t>《锅炉大气污染物排放标准》（DB61/1226-2018）中表3标准</w:t>
            </w:r>
          </w:p>
        </w:tc>
      </w:tr>
      <w:tr w14:paraId="5EFC6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2BB34125">
            <w:pPr>
              <w:adjustRightInd w:val="0"/>
              <w:snapToGrid w:val="0"/>
              <w:jc w:val="center"/>
              <w:rPr>
                <w:rFonts w:hint="default" w:ascii="Times New Roman" w:hAnsi="Times New Roman" w:cs="Times New Roman"/>
                <w:color w:val="auto"/>
                <w:szCs w:val="21"/>
                <w:lang w:eastAsia="zh-CN"/>
              </w:rPr>
            </w:pPr>
          </w:p>
        </w:tc>
        <w:tc>
          <w:tcPr>
            <w:tcW w:w="392" w:type="dxa"/>
            <w:vMerge w:val="restart"/>
            <w:noWrap w:val="0"/>
            <w:vAlign w:val="center"/>
          </w:tcPr>
          <w:p w14:paraId="3F35D81C">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无组织废气</w:t>
            </w:r>
          </w:p>
        </w:tc>
        <w:tc>
          <w:tcPr>
            <w:tcW w:w="835" w:type="dxa"/>
            <w:noWrap w:val="0"/>
            <w:vAlign w:val="center"/>
          </w:tcPr>
          <w:p w14:paraId="5D3F918F">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喷粉、喷漆</w:t>
            </w:r>
          </w:p>
          <w:p w14:paraId="338C44A2">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废气</w:t>
            </w:r>
          </w:p>
        </w:tc>
        <w:tc>
          <w:tcPr>
            <w:tcW w:w="1155" w:type="dxa"/>
            <w:noWrap w:val="0"/>
            <w:vAlign w:val="center"/>
          </w:tcPr>
          <w:p w14:paraId="63DF6D32">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颗粒物</w:t>
            </w:r>
          </w:p>
        </w:tc>
        <w:tc>
          <w:tcPr>
            <w:tcW w:w="2730" w:type="dxa"/>
            <w:noWrap w:val="0"/>
            <w:vAlign w:val="center"/>
          </w:tcPr>
          <w:p w14:paraId="2027590C">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喷粉设密闭喷房收集；一体化封闭喷漆房；生产车间阻隔</w:t>
            </w:r>
          </w:p>
        </w:tc>
        <w:tc>
          <w:tcPr>
            <w:tcW w:w="2655" w:type="dxa"/>
            <w:vMerge w:val="restart"/>
            <w:noWrap w:val="0"/>
            <w:vAlign w:val="center"/>
          </w:tcPr>
          <w:p w14:paraId="395A11E9">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《大气污染物综合排放标准》（GB16297-1996）表2相应标准限值</w:t>
            </w:r>
          </w:p>
        </w:tc>
      </w:tr>
      <w:tr w14:paraId="39393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7067E772">
            <w:pPr>
              <w:adjustRightInd w:val="0"/>
              <w:snapToGrid w:val="0"/>
              <w:jc w:val="center"/>
              <w:rPr>
                <w:rFonts w:hint="default" w:ascii="Times New Roman" w:hAnsi="Times New Roman" w:cs="Times New Roman"/>
                <w:color w:val="auto"/>
                <w:szCs w:val="21"/>
                <w:lang w:eastAsia="zh-CN"/>
              </w:rPr>
            </w:pPr>
          </w:p>
        </w:tc>
        <w:tc>
          <w:tcPr>
            <w:tcW w:w="392" w:type="dxa"/>
            <w:vMerge w:val="continue"/>
            <w:noWrap w:val="0"/>
            <w:vAlign w:val="center"/>
          </w:tcPr>
          <w:p w14:paraId="66A9E1CD">
            <w:pPr>
              <w:pStyle w:val="96"/>
              <w:adjustRightInd w:val="0"/>
              <w:snapToGrid w:val="0"/>
              <w:contextualSpacing/>
              <w:rPr>
                <w:rFonts w:hint="default" w:ascii="Times New Roman" w:hAnsi="Times New Roman" w:cs="Times New Roman"/>
                <w:b w:val="0"/>
                <w:bCs w:val="0"/>
                <w:color w:val="auto"/>
                <w:szCs w:val="21"/>
                <w:lang w:val="en-US" w:eastAsia="zh-CN"/>
              </w:rPr>
            </w:pPr>
          </w:p>
        </w:tc>
        <w:tc>
          <w:tcPr>
            <w:tcW w:w="835" w:type="dxa"/>
            <w:noWrap w:val="0"/>
            <w:vAlign w:val="center"/>
          </w:tcPr>
          <w:p w14:paraId="7870AF0C">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切割、焊接、修磨废气、</w:t>
            </w:r>
          </w:p>
        </w:tc>
        <w:tc>
          <w:tcPr>
            <w:tcW w:w="1155" w:type="dxa"/>
            <w:noWrap w:val="0"/>
            <w:vAlign w:val="center"/>
          </w:tcPr>
          <w:p w14:paraId="7BA5F2F0">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颗粒物</w:t>
            </w:r>
          </w:p>
        </w:tc>
        <w:tc>
          <w:tcPr>
            <w:tcW w:w="2730" w:type="dxa"/>
            <w:noWrap w:val="0"/>
            <w:vAlign w:val="center"/>
          </w:tcPr>
          <w:p w14:paraId="02C21C70">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生产车间阻隔</w:t>
            </w:r>
          </w:p>
        </w:tc>
        <w:tc>
          <w:tcPr>
            <w:tcW w:w="2655" w:type="dxa"/>
            <w:vMerge w:val="continue"/>
            <w:noWrap w:val="0"/>
            <w:vAlign w:val="center"/>
          </w:tcPr>
          <w:p w14:paraId="22F41987">
            <w:pPr>
              <w:pStyle w:val="96"/>
              <w:adjustRightInd w:val="0"/>
              <w:snapToGrid w:val="0"/>
              <w:contextualSpacing/>
              <w:rPr>
                <w:rFonts w:hint="default" w:ascii="Times New Roman" w:hAnsi="Times New Roman" w:cs="Times New Roman"/>
                <w:b w:val="0"/>
                <w:bCs w:val="0"/>
                <w:color w:val="auto"/>
                <w:szCs w:val="21"/>
                <w:lang w:val="en-US" w:eastAsia="zh-CN"/>
              </w:rPr>
            </w:pPr>
          </w:p>
        </w:tc>
      </w:tr>
      <w:tr w14:paraId="045CA0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3" w:type="dxa"/>
            <w:vMerge w:val="continue"/>
            <w:noWrap w:val="0"/>
            <w:vAlign w:val="center"/>
          </w:tcPr>
          <w:p w14:paraId="03FF3AC2">
            <w:pPr>
              <w:adjustRightInd w:val="0"/>
              <w:snapToGrid w:val="0"/>
              <w:jc w:val="center"/>
              <w:rPr>
                <w:rFonts w:hint="default" w:ascii="Times New Roman" w:hAnsi="Times New Roman" w:cs="Times New Roman"/>
                <w:color w:val="auto"/>
                <w:szCs w:val="21"/>
                <w:lang w:eastAsia="zh-CN"/>
              </w:rPr>
            </w:pPr>
          </w:p>
        </w:tc>
        <w:tc>
          <w:tcPr>
            <w:tcW w:w="392" w:type="dxa"/>
            <w:vMerge w:val="continue"/>
            <w:noWrap w:val="0"/>
            <w:vAlign w:val="center"/>
          </w:tcPr>
          <w:p w14:paraId="37E4CF3D">
            <w:pPr>
              <w:pStyle w:val="96"/>
              <w:adjustRightInd w:val="0"/>
              <w:snapToGrid w:val="0"/>
              <w:contextualSpacing/>
              <w:rPr>
                <w:rFonts w:hint="default" w:ascii="Times New Roman" w:hAnsi="Times New Roman" w:cs="Times New Roman"/>
                <w:b w:val="0"/>
                <w:bCs w:val="0"/>
                <w:color w:val="auto"/>
                <w:szCs w:val="21"/>
                <w:lang w:val="en-US" w:eastAsia="zh-CN"/>
              </w:rPr>
            </w:pPr>
          </w:p>
        </w:tc>
        <w:tc>
          <w:tcPr>
            <w:tcW w:w="835" w:type="dxa"/>
            <w:noWrap w:val="0"/>
            <w:vAlign w:val="center"/>
          </w:tcPr>
          <w:p w14:paraId="098142EB">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固化、喷漆废气</w:t>
            </w:r>
          </w:p>
        </w:tc>
        <w:tc>
          <w:tcPr>
            <w:tcW w:w="1155" w:type="dxa"/>
            <w:noWrap w:val="0"/>
            <w:vAlign w:val="center"/>
          </w:tcPr>
          <w:p w14:paraId="141FD871">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非甲烷总烃</w:t>
            </w:r>
          </w:p>
        </w:tc>
        <w:tc>
          <w:tcPr>
            <w:tcW w:w="2730" w:type="dxa"/>
            <w:noWrap w:val="0"/>
            <w:vAlign w:val="center"/>
          </w:tcPr>
          <w:p w14:paraId="56238DB7">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 w:val="24"/>
                <w:szCs w:val="24"/>
                <w:lang w:val="en-US" w:eastAsia="zh-CN"/>
              </w:rPr>
              <w:t>/</w:t>
            </w:r>
          </w:p>
        </w:tc>
        <w:tc>
          <w:tcPr>
            <w:tcW w:w="2655" w:type="dxa"/>
            <w:noWrap w:val="0"/>
            <w:vAlign w:val="center"/>
          </w:tcPr>
          <w:p w14:paraId="365FA994">
            <w:pPr>
              <w:pStyle w:val="96"/>
              <w:adjustRightInd w:val="0"/>
              <w:snapToGrid w:val="0"/>
              <w:contextualSpacing/>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color w:val="auto"/>
                <w:sz w:val="21"/>
                <w:szCs w:val="21"/>
                <w:lang w:val="en-US" w:eastAsia="zh-CN"/>
              </w:rPr>
              <w:t>厂界：《挥发性有机物排放控制标准》（DB61/T1061-2017）（</w:t>
            </w:r>
            <w:r>
              <w:rPr>
                <w:rFonts w:hint="default" w:ascii="Times New Roman" w:hAnsi="Times New Roman" w:eastAsia="宋体" w:cs="Times New Roman"/>
                <w:color w:val="auto"/>
                <w:sz w:val="21"/>
                <w:szCs w:val="21"/>
                <w:lang w:val="en-US" w:eastAsia="zh-CN"/>
              </w:rPr>
              <w:t>排放浓度为</w:t>
            </w:r>
            <w:r>
              <w:rPr>
                <w:rFonts w:hint="default" w:ascii="Times New Roman" w:hAnsi="Times New Roman" w:cs="Times New Roman"/>
                <w:b w:val="0"/>
                <w:bCs/>
                <w:color w:val="auto"/>
                <w:sz w:val="21"/>
                <w:szCs w:val="21"/>
                <w:lang w:val="en-US" w:eastAsia="zh-CN"/>
              </w:rPr>
              <w:t>3mg/m³）；厂内：</w:t>
            </w:r>
            <w:r>
              <w:rPr>
                <w:rFonts w:hint="default" w:ascii="Times New Roman" w:hAnsi="Times New Roman" w:eastAsia="宋体" w:cs="Times New Roman"/>
                <w:color w:val="auto"/>
                <w:szCs w:val="21"/>
                <w:lang w:val="en-US" w:eastAsia="zh-CN"/>
              </w:rPr>
              <w:t>《挥发性有机物无组织排放控制标准》（GB37822-2019），同时需满足《重污染天气重点行业应急减排措施制定技术指南》（环办大气函</w:t>
            </w:r>
            <w:r>
              <w:rPr>
                <w:rFonts w:hint="default" w:ascii="Times New Roman" w:hAnsi="Times New Roman" w:cs="Times New Roman"/>
                <w:color w:val="auto"/>
                <w:szCs w:val="21"/>
                <w:lang w:val="en-US" w:eastAsia="zh-CN"/>
              </w:rPr>
              <w:t>〔2020〕</w:t>
            </w:r>
            <w:r>
              <w:rPr>
                <w:rFonts w:hint="default" w:ascii="Times New Roman" w:hAnsi="Times New Roman" w:eastAsia="宋体" w:cs="Times New Roman"/>
                <w:color w:val="auto"/>
                <w:szCs w:val="21"/>
                <w:lang w:val="en-US" w:eastAsia="zh-CN"/>
              </w:rPr>
              <w:t>340号）中工业涂装A级企业“排放限值”要求（排放浓度为6mg/m³、任意一次浓度值不超过20mg/m³。）</w:t>
            </w:r>
          </w:p>
        </w:tc>
      </w:tr>
      <w:tr w14:paraId="4593D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6BBEC12C">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地表水环境</w:t>
            </w:r>
          </w:p>
        </w:tc>
        <w:tc>
          <w:tcPr>
            <w:tcW w:w="1227" w:type="dxa"/>
            <w:gridSpan w:val="2"/>
            <w:noWrap w:val="0"/>
            <w:vAlign w:val="center"/>
          </w:tcPr>
          <w:p w14:paraId="1884677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生活污水</w:t>
            </w:r>
          </w:p>
        </w:tc>
        <w:tc>
          <w:tcPr>
            <w:tcW w:w="1155" w:type="dxa"/>
            <w:noWrap w:val="0"/>
            <w:vAlign w:val="center"/>
          </w:tcPr>
          <w:p w14:paraId="05B735F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COD、BOD</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、SS、氨氮</w:t>
            </w:r>
          </w:p>
        </w:tc>
        <w:tc>
          <w:tcPr>
            <w:tcW w:w="2730" w:type="dxa"/>
            <w:noWrap w:val="0"/>
            <w:vAlign w:val="center"/>
          </w:tcPr>
          <w:p w14:paraId="3B50152B">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化粪池，定期清运</w:t>
            </w:r>
          </w:p>
          <w:p w14:paraId="2BC67537">
            <w:pPr>
              <w:adjustRightInd w:val="0"/>
              <w:snapToGrid w:val="0"/>
              <w:jc w:val="center"/>
              <w:rPr>
                <w:rFonts w:hint="default" w:ascii="Times New Roman" w:hAnsi="Times New Roman" w:cs="Times New Roman"/>
                <w:color w:val="auto"/>
                <w:kern w:val="2"/>
                <w:sz w:val="21"/>
                <w:szCs w:val="21"/>
                <w:lang w:val="en-US" w:eastAsia="zh-CN" w:bidi="ar-SA"/>
              </w:rPr>
            </w:pPr>
          </w:p>
        </w:tc>
        <w:tc>
          <w:tcPr>
            <w:tcW w:w="2655" w:type="dxa"/>
            <w:noWrap w:val="0"/>
            <w:vAlign w:val="center"/>
          </w:tcPr>
          <w:p w14:paraId="1F155D5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r>
      <w:tr w14:paraId="2540B7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8" w:hRule="atLeast"/>
          <w:jc w:val="center"/>
        </w:trPr>
        <w:tc>
          <w:tcPr>
            <w:tcW w:w="1293" w:type="dxa"/>
            <w:noWrap w:val="0"/>
            <w:vAlign w:val="center"/>
          </w:tcPr>
          <w:p w14:paraId="357CEA1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227" w:type="dxa"/>
            <w:gridSpan w:val="2"/>
            <w:noWrap w:val="0"/>
            <w:vAlign w:val="center"/>
          </w:tcPr>
          <w:p w14:paraId="1A228682">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设备噪声</w:t>
            </w:r>
          </w:p>
          <w:p w14:paraId="149681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Cs w:val="21"/>
                <w:lang w:val="en-US" w:eastAsia="zh-CN"/>
              </w:rPr>
            </w:pPr>
          </w:p>
        </w:tc>
        <w:tc>
          <w:tcPr>
            <w:tcW w:w="1155" w:type="dxa"/>
            <w:noWrap w:val="0"/>
            <w:vAlign w:val="center"/>
          </w:tcPr>
          <w:p w14:paraId="77065A1F">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噪声</w:t>
            </w:r>
          </w:p>
        </w:tc>
        <w:tc>
          <w:tcPr>
            <w:tcW w:w="2730" w:type="dxa"/>
            <w:noWrap w:val="0"/>
            <w:vAlign w:val="center"/>
          </w:tcPr>
          <w:p w14:paraId="1D238594">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厂房墙体隔声</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加强设备润滑、</w:t>
            </w:r>
            <w:r>
              <w:rPr>
                <w:rFonts w:hint="default" w:ascii="Times New Roman" w:hAnsi="Times New Roman" w:cs="Times New Roman"/>
                <w:color w:val="auto"/>
                <w:szCs w:val="21"/>
              </w:rPr>
              <w:t>距离衰减等</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风机设隔声罩</w:t>
            </w:r>
          </w:p>
        </w:tc>
        <w:tc>
          <w:tcPr>
            <w:tcW w:w="2655" w:type="dxa"/>
            <w:noWrap w:val="0"/>
            <w:vAlign w:val="center"/>
          </w:tcPr>
          <w:p w14:paraId="50C7E143">
            <w:pPr>
              <w:adjustRightInd w:val="0"/>
              <w:snapToGrid w:val="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cs="Times New Roman"/>
                <w:color w:val="auto"/>
              </w:rPr>
              <w:t>《工业企业厂界环境噪声排放标准》（GB12348-2008）</w:t>
            </w:r>
            <w:r>
              <w:rPr>
                <w:rFonts w:hint="default" w:ascii="Times New Roman" w:hAnsi="Times New Roman" w:cs="Times New Roman"/>
                <w:color w:val="auto"/>
                <w:lang w:val="en-US" w:eastAsia="zh-CN"/>
              </w:rPr>
              <w:t>2</w:t>
            </w:r>
            <w:r>
              <w:rPr>
                <w:rFonts w:hint="default" w:ascii="Times New Roman" w:hAnsi="Times New Roman" w:cs="Times New Roman"/>
                <w:color w:val="auto"/>
              </w:rPr>
              <w:t>类标准</w:t>
            </w:r>
            <w:r>
              <w:rPr>
                <w:rFonts w:hint="default" w:ascii="Times New Roman" w:hAnsi="Times New Roman" w:cs="Times New Roman"/>
                <w:color w:val="auto"/>
                <w:lang w:eastAsia="zh-CN"/>
              </w:rPr>
              <w:t>；</w:t>
            </w:r>
          </w:p>
        </w:tc>
      </w:tr>
      <w:tr w14:paraId="792909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3" w:type="dxa"/>
            <w:noWrap w:val="0"/>
            <w:vAlign w:val="center"/>
          </w:tcPr>
          <w:p w14:paraId="0642460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7767" w:type="dxa"/>
            <w:gridSpan w:val="5"/>
            <w:noWrap w:val="0"/>
            <w:vAlign w:val="center"/>
          </w:tcPr>
          <w:p w14:paraId="2C476A2A">
            <w:pPr>
              <w:adjustRightInd w:val="0"/>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 xml:space="preserve">生活垃圾：员工生活垃圾设置生活垃圾桶（带盖）进行收集，由环卫部门统一清运，做到日产日清； </w:t>
            </w:r>
          </w:p>
          <w:p w14:paraId="7CF7DFDE">
            <w:pPr>
              <w:adjustRightInd w:val="0"/>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 xml:space="preserve">一般固废：设置一般固废暂存区对其暂存，定期外售至物资回收公司； </w:t>
            </w:r>
          </w:p>
          <w:p w14:paraId="125F554F">
            <w:pPr>
              <w:adjustRightInd w:val="0"/>
              <w:snapToGrid w:val="0"/>
              <w:jc w:val="both"/>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危险废物：设置危废暂存库对危险废物进行暂存，定期交由有资质单位转运处置。</w:t>
            </w:r>
          </w:p>
        </w:tc>
      </w:tr>
      <w:tr w14:paraId="5C943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10E9C07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土壤及地下水污染防治措施</w:t>
            </w:r>
          </w:p>
        </w:tc>
        <w:tc>
          <w:tcPr>
            <w:tcW w:w="7767" w:type="dxa"/>
            <w:gridSpan w:val="5"/>
            <w:noWrap w:val="0"/>
            <w:vAlign w:val="center"/>
          </w:tcPr>
          <w:p w14:paraId="5E7AE327">
            <w:pPr>
              <w:adjustRightInd w:val="0"/>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厂内做好分区防渗措施，危废贮存库对危废盛装容器下方设置托盘等，厂内设立完善的管理制度，并安排专人对厂内进行管理，一旦发生泄漏事故，能够做到及时发现，并将污染控制在最低程度。</w:t>
            </w:r>
          </w:p>
        </w:tc>
      </w:tr>
      <w:tr w14:paraId="68323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3175949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767" w:type="dxa"/>
            <w:gridSpan w:val="5"/>
            <w:noWrap w:val="0"/>
            <w:vAlign w:val="center"/>
          </w:tcPr>
          <w:p w14:paraId="13F69325">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lang w:val="en-US" w:eastAsia="zh-CN"/>
              </w:rPr>
              <w:t>/</w:t>
            </w:r>
          </w:p>
        </w:tc>
      </w:tr>
      <w:tr w14:paraId="7D0F4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2223AD83">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14:paraId="0001E657">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7767" w:type="dxa"/>
            <w:gridSpan w:val="5"/>
            <w:noWrap w:val="0"/>
            <w:vAlign w:val="center"/>
          </w:tcPr>
          <w:p w14:paraId="447C11FC">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严格控制厂内风险物质暂存量，</w:t>
            </w:r>
            <w:r>
              <w:rPr>
                <w:rFonts w:hint="eastAsia" w:ascii="Times New Roman" w:hAnsi="Times New Roman" w:cs="Times New Roman"/>
                <w:color w:val="auto"/>
                <w:szCs w:val="21"/>
                <w:lang w:eastAsia="zh-CN"/>
              </w:rPr>
              <w:t>从</w:t>
            </w:r>
            <w:r>
              <w:rPr>
                <w:rFonts w:hint="default" w:ascii="Times New Roman" w:hAnsi="Times New Roman" w:cs="Times New Roman"/>
                <w:color w:val="auto"/>
                <w:szCs w:val="21"/>
              </w:rPr>
              <w:t>源头降低风险源；厂区内地面已进行硬化处理，能有效防止其风险物质的跑冒滴漏渗入土壤，造成土壤、地下水污染；并定期对生产设施进行维护保养，确保正常运行；设置专人对危废贮存库进行定期检查，防止暂存的废机油、废切削液泄漏。</w:t>
            </w:r>
          </w:p>
        </w:tc>
      </w:tr>
      <w:tr w14:paraId="49099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5498B552">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14:paraId="51787E89">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tc>
        <w:tc>
          <w:tcPr>
            <w:tcW w:w="7767" w:type="dxa"/>
            <w:gridSpan w:val="5"/>
            <w:noWrap w:val="0"/>
            <w:vAlign w:val="center"/>
          </w:tcPr>
          <w:p w14:paraId="1D56F48B">
            <w:pPr>
              <w:adjustRightInd w:val="0"/>
              <w:snapToGrid w:val="0"/>
              <w:spacing w:line="360" w:lineRule="auto"/>
              <w:ind w:firstLine="422" w:firstLineChars="20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1.环境管理</w:t>
            </w:r>
          </w:p>
          <w:p w14:paraId="556F9985">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本项目的污染物排放水平与厂区环境管理水平密切相关，因此在采取环境保护工程措施和生态保护措施的同时，必须加强环境管理。 </w:t>
            </w:r>
          </w:p>
          <w:p w14:paraId="7F8B75F2">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（1）</w:t>
            </w:r>
            <w:r>
              <w:rPr>
                <w:rFonts w:hint="default" w:ascii="Times New Roman" w:hAnsi="Times New Roman" w:cs="Times New Roman"/>
                <w:color w:val="auto"/>
                <w:sz w:val="21"/>
                <w:szCs w:val="21"/>
              </w:rPr>
              <w:t xml:space="preserve">按照自行监测方案开展自行监测。 </w:t>
            </w:r>
          </w:p>
          <w:p w14:paraId="0ED4C498">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（2）</w:t>
            </w:r>
            <w:r>
              <w:rPr>
                <w:rFonts w:hint="default" w:ascii="Times New Roman" w:hAnsi="Times New Roman" w:cs="Times New Roman"/>
                <w:color w:val="auto"/>
                <w:sz w:val="21"/>
                <w:szCs w:val="21"/>
              </w:rPr>
              <w:t xml:space="preserve">定期检查各设备运行情况，杜绝事故发生。 </w:t>
            </w:r>
          </w:p>
          <w:p w14:paraId="7845AE0A">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（3）</w:t>
            </w:r>
            <w:r>
              <w:rPr>
                <w:rFonts w:hint="default" w:ascii="Times New Roman" w:hAnsi="Times New Roman" w:cs="Times New Roman"/>
                <w:color w:val="auto"/>
                <w:sz w:val="21"/>
                <w:szCs w:val="21"/>
              </w:rPr>
              <w:t>做好环境管理台账记录，主要内容包括加工信息、原辅材料使用情况、污染防治设施运行记录、监测数据等。</w:t>
            </w:r>
          </w:p>
          <w:p w14:paraId="13F73A66">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（4）</w:t>
            </w:r>
            <w:r>
              <w:rPr>
                <w:rFonts w:hint="default" w:ascii="Times New Roman" w:hAnsi="Times New Roman" w:cs="Times New Roman"/>
                <w:color w:val="auto"/>
                <w:sz w:val="21"/>
                <w:szCs w:val="21"/>
              </w:rPr>
              <w:t>定期在国家排污许可证管理信息平台填报信息，编制排污许可证执行报告，及时报送有核发权的环境保护主管部门并公开。</w:t>
            </w:r>
          </w:p>
          <w:p w14:paraId="6A9DE8D6">
            <w:pPr>
              <w:adjustRightInd w:val="0"/>
              <w:snapToGrid w:val="0"/>
              <w:spacing w:line="360" w:lineRule="auto"/>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根据《排污单位污染物排放口监测点位设置技术规范》（HJ1405-2024）中对废气排放口监测点位、工作平台等要求进行建设。</w:t>
            </w:r>
          </w:p>
          <w:p w14:paraId="6C60C57A">
            <w:pPr>
              <w:adjustRightInd w:val="0"/>
              <w:snapToGrid w:val="0"/>
              <w:spacing w:line="360" w:lineRule="auto"/>
              <w:ind w:firstLine="422" w:firstLineChars="20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2.环境保护图形标志</w:t>
            </w:r>
          </w:p>
          <w:p w14:paraId="2ABAFB76">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按照《危险废物识别标志设置技术规范》（HJ1276—2022）及《环境保护图形标志 固体废物贮存（处置）场》（GB15562.2—1995）（2023修改单）对现有危废贮存库各种标志进行规范设置。</w:t>
            </w:r>
          </w:p>
          <w:p w14:paraId="6DA5846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5-1</w:t>
            </w:r>
            <w:r>
              <w:rPr>
                <w:rFonts w:hint="default" w:ascii="Times New Roman" w:hAnsi="Times New Roman" w:cs="Times New Roman"/>
                <w:b/>
                <w:bCs/>
                <w:color w:val="auto"/>
                <w:sz w:val="21"/>
                <w:szCs w:val="21"/>
              </w:rPr>
              <w:t xml:space="preserve">  环境保护图形符号一览表</w:t>
            </w:r>
          </w:p>
          <w:tbl>
            <w:tblPr>
              <w:tblStyle w:val="32"/>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2865"/>
              <w:gridCol w:w="2982"/>
            </w:tblGrid>
            <w:tr w14:paraId="2CA8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pct"/>
                  <w:noWrap w:val="0"/>
                  <w:vAlign w:val="center"/>
                </w:tcPr>
                <w:p w14:paraId="07F421B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图形标志</w:t>
                  </w:r>
                </w:p>
              </w:tc>
              <w:tc>
                <w:tcPr>
                  <w:tcW w:w="1900" w:type="pct"/>
                  <w:noWrap w:val="0"/>
                  <w:vAlign w:val="center"/>
                </w:tcPr>
                <w:p w14:paraId="6558137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图形代表意义</w:t>
                  </w:r>
                </w:p>
              </w:tc>
              <w:tc>
                <w:tcPr>
                  <w:tcW w:w="1978" w:type="pct"/>
                  <w:noWrap w:val="0"/>
                  <w:vAlign w:val="center"/>
                </w:tcPr>
                <w:p w14:paraId="1D670D6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符号简介</w:t>
                  </w:r>
                </w:p>
              </w:tc>
            </w:tr>
            <w:tr w14:paraId="72C2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120" w:type="pct"/>
                  <w:shd w:val="clear" w:color="auto" w:fill="auto"/>
                  <w:noWrap w:val="0"/>
                  <w:vAlign w:val="center"/>
                </w:tcPr>
                <w:p w14:paraId="67CE7566">
                  <w:pPr>
                    <w:pStyle w:val="127"/>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0"/>
                      <w:sz w:val="21"/>
                      <w:szCs w:val="21"/>
                      <w:lang w:val="en-US" w:eastAsia="zh-CN" w:bidi="ar-SA"/>
                    </w:rPr>
                  </w:pPr>
                  <w:r>
                    <w:rPr>
                      <w:rFonts w:hint="default" w:ascii="Times New Roman" w:hAnsi="Times New Roman" w:cs="Times New Roman" w:eastAsiaTheme="minorEastAsia"/>
                      <w:color w:val="auto"/>
                      <w:sz w:val="24"/>
                      <w:szCs w:val="24"/>
                    </w:rPr>
                    <w:drawing>
                      <wp:anchor distT="0" distB="0" distL="0" distR="0" simplePos="0" relativeHeight="251662336" behindDoc="1" locked="0" layoutInCell="1" allowOverlap="1">
                        <wp:simplePos x="0" y="0"/>
                        <wp:positionH relativeFrom="column">
                          <wp:posOffset>74930</wp:posOffset>
                        </wp:positionH>
                        <wp:positionV relativeFrom="paragraph">
                          <wp:posOffset>18415</wp:posOffset>
                        </wp:positionV>
                        <wp:extent cx="744220" cy="755650"/>
                        <wp:effectExtent l="0" t="0" r="17780" b="6350"/>
                        <wp:wrapNone/>
                        <wp:docPr id="132"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7.jpeg"/>
                                <pic:cNvPicPr>
                                  <a:picLocks noChangeAspect="1"/>
                                </pic:cNvPicPr>
                              </pic:nvPicPr>
                              <pic:blipFill>
                                <a:blip r:embed="rId17" cstate="print"/>
                                <a:stretch>
                                  <a:fillRect/>
                                </a:stretch>
                              </pic:blipFill>
                              <pic:spPr>
                                <a:xfrm>
                                  <a:off x="0" y="0"/>
                                  <a:ext cx="744220" cy="755650"/>
                                </a:xfrm>
                                <a:prstGeom prst="rect">
                                  <a:avLst/>
                                </a:prstGeom>
                              </pic:spPr>
                            </pic:pic>
                          </a:graphicData>
                        </a:graphic>
                      </wp:anchor>
                    </w:drawing>
                  </w:r>
                </w:p>
              </w:tc>
              <w:tc>
                <w:tcPr>
                  <w:tcW w:w="1900" w:type="pct"/>
                  <w:shd w:val="clear" w:color="auto" w:fill="auto"/>
                  <w:noWrap w:val="0"/>
                  <w:vAlign w:val="center"/>
                </w:tcPr>
                <w:p w14:paraId="4D1234D5">
                  <w:pPr>
                    <w:pStyle w:val="127"/>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color w:val="auto"/>
                      <w:kern w:val="0"/>
                      <w:sz w:val="21"/>
                      <w:szCs w:val="21"/>
                      <w:lang w:val="en-US" w:eastAsia="en-US" w:bidi="ar-SA"/>
                    </w:rPr>
                  </w:pPr>
                  <w:r>
                    <w:rPr>
                      <w:rFonts w:hint="default" w:ascii="Times New Roman" w:hAnsi="Times New Roman" w:cs="Times New Roman" w:eastAsiaTheme="minorEastAsia"/>
                      <w:color w:val="auto"/>
                      <w:sz w:val="21"/>
                      <w:szCs w:val="21"/>
                    </w:rPr>
                    <w:t>标志名称：废气排放口国标代码：GB15562.1-1995</w:t>
                  </w:r>
                </w:p>
              </w:tc>
              <w:tc>
                <w:tcPr>
                  <w:tcW w:w="1978" w:type="pct"/>
                  <w:shd w:val="clear" w:color="auto" w:fill="auto"/>
                  <w:noWrap w:val="0"/>
                  <w:vAlign w:val="center"/>
                </w:tcPr>
                <w:p w14:paraId="264B3867">
                  <w:pPr>
                    <w:pStyle w:val="127"/>
                    <w:pageBreakBefore w:val="0"/>
                    <w:kinsoku/>
                    <w:wordWrap/>
                    <w:overflowPunct/>
                    <w:topLinePunct w:val="0"/>
                    <w:autoSpaceDE/>
                    <w:autoSpaceDN/>
                    <w:bidi w:val="0"/>
                    <w:adjustRightInd/>
                    <w:snapToGrid/>
                    <w:spacing w:line="240" w:lineRule="auto"/>
                    <w:ind w:right="34" w:rightChars="0"/>
                    <w:jc w:val="center"/>
                    <w:textAlignment w:val="auto"/>
                    <w:rPr>
                      <w:rFonts w:hint="default" w:ascii="Times New Roman" w:hAnsi="Times New Roman" w:eastAsia="Times New Roman" w:cs="Times New Roman"/>
                      <w:color w:val="auto"/>
                      <w:kern w:val="0"/>
                      <w:sz w:val="21"/>
                      <w:szCs w:val="21"/>
                      <w:lang w:val="en-US" w:eastAsia="en-US" w:bidi="ar-SA"/>
                    </w:rPr>
                  </w:pPr>
                  <w:r>
                    <w:rPr>
                      <w:rFonts w:hint="default" w:ascii="Times New Roman" w:hAnsi="Times New Roman" w:cs="Times New Roman" w:eastAsiaTheme="minorEastAsia"/>
                      <w:color w:val="auto"/>
                      <w:sz w:val="21"/>
                      <w:szCs w:val="21"/>
                    </w:rPr>
                    <w:t>提示图形符号废气排放口表示废气向大气环境排放</w:t>
                  </w:r>
                </w:p>
              </w:tc>
            </w:tr>
            <w:tr w14:paraId="66BD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120" w:type="pct"/>
                  <w:noWrap w:val="0"/>
                  <w:vAlign w:val="center"/>
                </w:tcPr>
                <w:p w14:paraId="438C3FF7">
                  <w:pP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drawing>
                      <wp:anchor distT="0" distB="0" distL="114300" distR="114300" simplePos="0" relativeHeight="251660288" behindDoc="0" locked="0" layoutInCell="1" allowOverlap="1">
                        <wp:simplePos x="0" y="0"/>
                        <wp:positionH relativeFrom="column">
                          <wp:posOffset>66040</wp:posOffset>
                        </wp:positionH>
                        <wp:positionV relativeFrom="paragraph">
                          <wp:posOffset>19685</wp:posOffset>
                        </wp:positionV>
                        <wp:extent cx="706120" cy="558800"/>
                        <wp:effectExtent l="0" t="0" r="17780" b="12700"/>
                        <wp:wrapNone/>
                        <wp:docPr id="11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6"/>
                                <pic:cNvPicPr>
                                  <a:picLocks noChangeAspect="1"/>
                                </pic:cNvPicPr>
                              </pic:nvPicPr>
                              <pic:blipFill>
                                <a:blip r:embed="rId18"/>
                                <a:stretch>
                                  <a:fillRect/>
                                </a:stretch>
                              </pic:blipFill>
                              <pic:spPr>
                                <a:xfrm>
                                  <a:off x="0" y="0"/>
                                  <a:ext cx="706120" cy="558800"/>
                                </a:xfrm>
                                <a:prstGeom prst="rect">
                                  <a:avLst/>
                                </a:prstGeom>
                                <a:noFill/>
                                <a:ln>
                                  <a:noFill/>
                                </a:ln>
                              </pic:spPr>
                            </pic:pic>
                          </a:graphicData>
                        </a:graphic>
                      </wp:anchor>
                    </w:drawing>
                  </w:r>
                </w:p>
              </w:tc>
              <w:tc>
                <w:tcPr>
                  <w:tcW w:w="1900" w:type="pct"/>
                  <w:noWrap w:val="0"/>
                  <w:vAlign w:val="center"/>
                </w:tcPr>
                <w:p w14:paraId="064B7D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标志名称：噪声排放源</w:t>
                  </w:r>
                </w:p>
                <w:p w14:paraId="4C0FBC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国标代码：GB15562.1-1995</w:t>
                  </w:r>
                </w:p>
              </w:tc>
              <w:tc>
                <w:tcPr>
                  <w:tcW w:w="1978" w:type="pct"/>
                  <w:noWrap w:val="0"/>
                  <w:vAlign w:val="center"/>
                </w:tcPr>
                <w:p w14:paraId="089E45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提示图形符号噪声排放源标识噪声向外环境排放</w:t>
                  </w:r>
                </w:p>
              </w:tc>
            </w:tr>
            <w:tr w14:paraId="1A79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1120" w:type="pct"/>
                  <w:shd w:val="clear" w:color="auto" w:fill="auto"/>
                  <w:noWrap w:val="0"/>
                  <w:vAlign w:val="center"/>
                </w:tcPr>
                <w:p w14:paraId="07B0A3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p w14:paraId="7B3DE9E0">
                  <w:pPr>
                    <w:pStyle w:val="24"/>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drawing>
                      <wp:anchor distT="0" distB="0" distL="114300" distR="114300" simplePos="0" relativeHeight="251661312" behindDoc="0" locked="0" layoutInCell="1" allowOverlap="1">
                        <wp:simplePos x="0" y="0"/>
                        <wp:positionH relativeFrom="column">
                          <wp:posOffset>56515</wp:posOffset>
                        </wp:positionH>
                        <wp:positionV relativeFrom="paragraph">
                          <wp:posOffset>8255</wp:posOffset>
                        </wp:positionV>
                        <wp:extent cx="744855" cy="526415"/>
                        <wp:effectExtent l="0" t="0" r="17145" b="6985"/>
                        <wp:wrapNone/>
                        <wp:docPr id="9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7"/>
                                <pic:cNvPicPr>
                                  <a:picLocks noChangeAspect="1"/>
                                </pic:cNvPicPr>
                              </pic:nvPicPr>
                              <pic:blipFill>
                                <a:blip r:embed="rId19"/>
                                <a:stretch>
                                  <a:fillRect/>
                                </a:stretch>
                              </pic:blipFill>
                              <pic:spPr>
                                <a:xfrm>
                                  <a:off x="0" y="0"/>
                                  <a:ext cx="744855" cy="526415"/>
                                </a:xfrm>
                                <a:prstGeom prst="rect">
                                  <a:avLst/>
                                </a:prstGeom>
                                <a:noFill/>
                                <a:ln>
                                  <a:noFill/>
                                </a:ln>
                              </pic:spPr>
                            </pic:pic>
                          </a:graphicData>
                        </a:graphic>
                      </wp:anchor>
                    </w:drawing>
                  </w:r>
                </w:p>
                <w:p w14:paraId="2F25AB3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900" w:type="pct"/>
                  <w:shd w:val="clear" w:color="auto" w:fill="auto"/>
                  <w:noWrap w:val="0"/>
                  <w:vAlign w:val="center"/>
                </w:tcPr>
                <w:p w14:paraId="4C88D4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标志名称：固体废物提示</w:t>
                  </w:r>
                </w:p>
                <w:p w14:paraId="26A0AB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国标代码：GB15562.1-1995</w:t>
                  </w:r>
                </w:p>
              </w:tc>
              <w:tc>
                <w:tcPr>
                  <w:tcW w:w="1978" w:type="pct"/>
                  <w:shd w:val="clear" w:color="auto" w:fill="auto"/>
                  <w:noWrap w:val="0"/>
                  <w:vAlign w:val="center"/>
                </w:tcPr>
                <w:p w14:paraId="3DE7E4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固体废物提示</w:t>
                  </w:r>
                </w:p>
              </w:tc>
            </w:tr>
            <w:tr w14:paraId="4CB7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noWrap w:val="0"/>
                  <w:vAlign w:val="center"/>
                </w:tcPr>
                <w:p w14:paraId="00FE9A4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rPr>
                    <w:drawing>
                      <wp:inline distT="0" distB="0" distL="114300" distR="114300">
                        <wp:extent cx="873125" cy="544195"/>
                        <wp:effectExtent l="0" t="0" r="3175" b="8255"/>
                        <wp:docPr id="1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
                                <pic:cNvPicPr>
                                  <a:picLocks noChangeAspect="1"/>
                                </pic:cNvPicPr>
                              </pic:nvPicPr>
                              <pic:blipFill>
                                <a:blip r:embed="rId20"/>
                                <a:stretch>
                                  <a:fillRect/>
                                </a:stretch>
                              </pic:blipFill>
                              <pic:spPr>
                                <a:xfrm>
                                  <a:off x="0" y="0"/>
                                  <a:ext cx="873125" cy="544195"/>
                                </a:xfrm>
                                <a:prstGeom prst="rect">
                                  <a:avLst/>
                                </a:prstGeom>
                                <a:noFill/>
                                <a:ln>
                                  <a:noFill/>
                                </a:ln>
                              </pic:spPr>
                            </pic:pic>
                          </a:graphicData>
                        </a:graphic>
                      </wp:inline>
                    </w:drawing>
                  </w:r>
                </w:p>
              </w:tc>
              <w:tc>
                <w:tcPr>
                  <w:tcW w:w="1900" w:type="pct"/>
                  <w:noWrap w:val="0"/>
                  <w:vAlign w:val="center"/>
                </w:tcPr>
                <w:p w14:paraId="4A4668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标志名称：危险废物</w:t>
                  </w:r>
                </w:p>
                <w:p w14:paraId="1836DE1A">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国标代码：</w:t>
                  </w:r>
                  <w:r>
                    <w:rPr>
                      <w:rFonts w:hint="default" w:ascii="Times New Roman" w:hAnsi="Times New Roman" w:eastAsia="宋体" w:cs="Times New Roman"/>
                      <w:color w:val="auto"/>
                      <w:sz w:val="21"/>
                      <w:szCs w:val="21"/>
                      <w:lang w:val="en-US" w:eastAsia="zh-CN"/>
                    </w:rPr>
                    <w:t>《危险废物识别标志设置技术规范》（HJ1276-2022）</w:t>
                  </w:r>
                </w:p>
              </w:tc>
              <w:tc>
                <w:tcPr>
                  <w:tcW w:w="1978" w:type="pct"/>
                  <w:noWrap w:val="0"/>
                  <w:vAlign w:val="center"/>
                </w:tcPr>
                <w:p w14:paraId="62781308">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表示危险废物贮存、处置场</w:t>
                  </w:r>
                </w:p>
              </w:tc>
            </w:tr>
          </w:tbl>
          <w:p w14:paraId="127C403E">
            <w:pPr>
              <w:adjustRightInd w:val="0"/>
              <w:snapToGrid w:val="0"/>
              <w:spacing w:line="360" w:lineRule="auto"/>
              <w:ind w:firstLine="422" w:firstLineChars="200"/>
              <w:jc w:val="left"/>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3.例行监测计划</w:t>
            </w:r>
          </w:p>
          <w:p w14:paraId="1919FED5">
            <w:pPr>
              <w:adjustRightInd w:val="0"/>
              <w:snapToGrid w:val="0"/>
              <w:spacing w:line="360" w:lineRule="auto"/>
              <w:ind w:firstLine="420" w:firstLineChars="200"/>
              <w:jc w:val="left"/>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监测工作可委托有资质单位完成，具体监测计划详见表4-</w:t>
            </w:r>
            <w:r>
              <w:rPr>
                <w:rFonts w:hint="eastAsia" w:ascii="Times New Roman" w:hAnsi="Times New Roman" w:cs="Times New Roman"/>
                <w:b w:val="0"/>
                <w:bCs w:val="0"/>
                <w:color w:val="auto"/>
                <w:sz w:val="21"/>
                <w:szCs w:val="21"/>
                <w:highlight w:val="none"/>
                <w:lang w:val="en-US" w:eastAsia="zh-CN"/>
              </w:rPr>
              <w:t>5</w:t>
            </w:r>
            <w:r>
              <w:rPr>
                <w:rFonts w:hint="default" w:ascii="Times New Roman" w:hAnsi="Times New Roman" w:cs="Times New Roman"/>
                <w:b w:val="0"/>
                <w:bCs w:val="0"/>
                <w:color w:val="auto"/>
                <w:sz w:val="21"/>
                <w:szCs w:val="21"/>
                <w:highlight w:val="none"/>
                <w:lang w:val="en-US" w:eastAsia="zh-CN"/>
              </w:rPr>
              <w:t>、4-</w:t>
            </w:r>
            <w:r>
              <w:rPr>
                <w:rFonts w:hint="eastAsia" w:ascii="Times New Roman" w:hAnsi="Times New Roman" w:cs="Times New Roman"/>
                <w:b w:val="0"/>
                <w:bCs w:val="0"/>
                <w:color w:val="auto"/>
                <w:sz w:val="21"/>
                <w:szCs w:val="21"/>
                <w:highlight w:val="none"/>
                <w:lang w:val="en-US" w:eastAsia="zh-CN"/>
              </w:rPr>
              <w:t>10</w:t>
            </w:r>
            <w:r>
              <w:rPr>
                <w:rFonts w:hint="default" w:ascii="Times New Roman" w:hAnsi="Times New Roman" w:cs="Times New Roman"/>
                <w:b w:val="0"/>
                <w:bCs w:val="0"/>
                <w:color w:val="auto"/>
                <w:sz w:val="21"/>
                <w:szCs w:val="21"/>
                <w:highlight w:val="none"/>
                <w:lang w:val="en-US" w:eastAsia="zh-CN"/>
              </w:rPr>
              <w:t>。</w:t>
            </w:r>
          </w:p>
          <w:p w14:paraId="193A9D10">
            <w:pPr>
              <w:adjustRightInd w:val="0"/>
              <w:snapToGrid w:val="0"/>
              <w:spacing w:line="360" w:lineRule="auto"/>
              <w:ind w:firstLine="422" w:firstLineChars="200"/>
              <w:jc w:val="left"/>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4.填报排污许可证</w:t>
            </w:r>
          </w:p>
          <w:p w14:paraId="63573CD0">
            <w:pPr>
              <w:adjustRightInd w:val="0"/>
              <w:snapToGrid w:val="0"/>
              <w:spacing w:line="360" w:lineRule="auto"/>
              <w:ind w:firstLine="420" w:firstLineChars="200"/>
              <w:jc w:val="left"/>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建设单位在验收投产前需取得排污许可证，按照《固定污染源排污许可分类管理名录》（2019年版）的要求，在全国排污许可证管理平台填报。</w:t>
            </w:r>
          </w:p>
          <w:p w14:paraId="1F0C6DD7">
            <w:pPr>
              <w:adjustRightInd w:val="0"/>
              <w:snapToGrid w:val="0"/>
              <w:spacing w:line="360" w:lineRule="auto"/>
              <w:ind w:firstLine="422" w:firstLineChars="200"/>
              <w:jc w:val="left"/>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5.编制突发环境事件应急预案</w:t>
            </w:r>
          </w:p>
          <w:p w14:paraId="311C5A02">
            <w:pPr>
              <w:adjustRightInd w:val="0"/>
              <w:snapToGrid w:val="0"/>
              <w:spacing w:line="360" w:lineRule="auto"/>
              <w:ind w:firstLine="420" w:firstLineChars="20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建设单位在验收投产前需编制突发环境事件应急预案，并报宝鸡市生态环境局陈仓分局进行备案。</w:t>
            </w:r>
          </w:p>
          <w:p w14:paraId="64B8D00A">
            <w:pPr>
              <w:adjustRightInd w:val="0"/>
              <w:snapToGrid w:val="0"/>
              <w:spacing w:line="360" w:lineRule="auto"/>
              <w:jc w:val="left"/>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b/>
                <w:bCs/>
                <w:color w:val="auto"/>
                <w:sz w:val="21"/>
                <w:szCs w:val="21"/>
                <w:highlight w:val="none"/>
                <w:lang w:val="en-US" w:eastAsia="zh-CN"/>
              </w:rPr>
              <w:t>6.竣工验收</w:t>
            </w:r>
          </w:p>
          <w:p w14:paraId="6BAE4820">
            <w:pPr>
              <w:adjustRightInd w:val="0"/>
              <w:snapToGrid w:val="0"/>
              <w:spacing w:line="360" w:lineRule="auto"/>
              <w:ind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根</w:t>
            </w:r>
            <w:r>
              <w:rPr>
                <w:rFonts w:hint="default" w:ascii="Times New Roman" w:hAnsi="Times New Roman" w:cs="Times New Roman"/>
                <w:color w:val="auto"/>
                <w:sz w:val="21"/>
                <w:szCs w:val="21"/>
              </w:rPr>
              <w:t>据《建设项目竣工环境保护验收暂行办法》</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国环规环评</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2017</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号</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，建设单位自行验收。验收合格后，方可投入生产或使用。</w:t>
            </w:r>
          </w:p>
          <w:p w14:paraId="4A0572D4">
            <w:pPr>
              <w:adjustRightInd w:val="0"/>
              <w:snapToGrid w:val="0"/>
              <w:spacing w:line="360" w:lineRule="auto"/>
              <w:jc w:val="left"/>
              <w:rPr>
                <w:rFonts w:hint="default" w:ascii="Times New Roman" w:hAnsi="Times New Roman" w:cs="Times New Roman"/>
                <w:color w:val="auto"/>
                <w:szCs w:val="21"/>
              </w:rPr>
            </w:pPr>
          </w:p>
          <w:p w14:paraId="155D1477">
            <w:pPr>
              <w:pStyle w:val="31"/>
              <w:rPr>
                <w:rFonts w:hint="default" w:ascii="Times New Roman" w:hAnsi="Times New Roman" w:cs="Times New Roman"/>
                <w:color w:val="auto"/>
                <w:szCs w:val="21"/>
              </w:rPr>
            </w:pPr>
          </w:p>
          <w:p w14:paraId="588CBAB5">
            <w:pPr>
              <w:rPr>
                <w:rFonts w:hint="default" w:ascii="Times New Roman" w:hAnsi="Times New Roman" w:cs="Times New Roman"/>
                <w:color w:val="auto"/>
                <w:szCs w:val="21"/>
              </w:rPr>
            </w:pPr>
          </w:p>
          <w:p w14:paraId="582DA6FC">
            <w:pPr>
              <w:pStyle w:val="31"/>
              <w:rPr>
                <w:rFonts w:hint="default" w:ascii="Times New Roman" w:hAnsi="Times New Roman" w:cs="Times New Roman"/>
                <w:color w:val="auto"/>
                <w:szCs w:val="21"/>
              </w:rPr>
            </w:pPr>
          </w:p>
          <w:p w14:paraId="609360B8">
            <w:pPr>
              <w:rPr>
                <w:rFonts w:hint="default" w:ascii="Times New Roman" w:hAnsi="Times New Roman" w:cs="Times New Roman"/>
                <w:color w:val="auto"/>
                <w:szCs w:val="21"/>
              </w:rPr>
            </w:pPr>
          </w:p>
          <w:p w14:paraId="2D9BED91">
            <w:pPr>
              <w:pStyle w:val="31"/>
              <w:rPr>
                <w:rFonts w:hint="default" w:ascii="Times New Roman" w:hAnsi="Times New Roman" w:cs="Times New Roman"/>
                <w:color w:val="auto"/>
                <w:szCs w:val="21"/>
              </w:rPr>
            </w:pPr>
          </w:p>
          <w:p w14:paraId="13DDDE2D">
            <w:pPr>
              <w:rPr>
                <w:rFonts w:hint="default" w:ascii="Times New Roman" w:hAnsi="Times New Roman" w:cs="Times New Roman"/>
                <w:color w:val="auto"/>
                <w:szCs w:val="21"/>
              </w:rPr>
            </w:pPr>
          </w:p>
          <w:p w14:paraId="1395A570">
            <w:pPr>
              <w:pStyle w:val="31"/>
              <w:rPr>
                <w:rFonts w:hint="default" w:ascii="Times New Roman" w:hAnsi="Times New Roman" w:cs="Times New Roman"/>
                <w:color w:val="auto"/>
                <w:szCs w:val="21"/>
              </w:rPr>
            </w:pPr>
          </w:p>
          <w:p w14:paraId="16C01F6B">
            <w:pPr>
              <w:rPr>
                <w:rFonts w:hint="default" w:ascii="Times New Roman" w:hAnsi="Times New Roman" w:cs="Times New Roman"/>
                <w:color w:val="auto"/>
                <w:szCs w:val="21"/>
              </w:rPr>
            </w:pPr>
          </w:p>
          <w:p w14:paraId="6309B9E3">
            <w:pPr>
              <w:pStyle w:val="31"/>
              <w:rPr>
                <w:rFonts w:hint="default" w:ascii="Times New Roman" w:hAnsi="Times New Roman" w:cs="Times New Roman"/>
                <w:color w:val="auto"/>
                <w:szCs w:val="21"/>
              </w:rPr>
            </w:pPr>
          </w:p>
          <w:p w14:paraId="7822F726">
            <w:pPr>
              <w:rPr>
                <w:rFonts w:hint="default" w:ascii="Times New Roman" w:hAnsi="Times New Roman" w:cs="Times New Roman"/>
              </w:rPr>
            </w:pPr>
          </w:p>
        </w:tc>
      </w:tr>
    </w:tbl>
    <w:p w14:paraId="46FACFE7">
      <w:pPr>
        <w:pStyle w:val="27"/>
        <w:jc w:val="center"/>
        <w:outlineLvl w:val="0"/>
        <w:rPr>
          <w:rFonts w:hint="default" w:ascii="Times New Roman" w:hAnsi="Times New Roman" w:eastAsia="黑体" w:cs="Times New Roman"/>
          <w:snapToGrid w:val="0"/>
          <w:color w:val="auto"/>
          <w:sz w:val="30"/>
          <w:szCs w:val="30"/>
        </w:rPr>
        <w:sectPr>
          <w:pgSz w:w="11906" w:h="16838"/>
          <w:pgMar w:top="1417" w:right="1531" w:bottom="141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6CA13C8">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六、结论</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00C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4" w:hRule="atLeast"/>
        </w:trPr>
        <w:tc>
          <w:tcPr>
            <w:tcW w:w="9060" w:type="dxa"/>
            <w:noWrap w:val="0"/>
            <w:vAlign w:val="top"/>
          </w:tcPr>
          <w:p w14:paraId="7AE97DF0">
            <w:pPr>
              <w:widowControl/>
              <w:adjustRightInd w:val="0"/>
              <w:spacing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从环境影响的角度分析，项目建设环境影响是可行的。</w:t>
            </w:r>
          </w:p>
          <w:p w14:paraId="41728975">
            <w:pPr>
              <w:pStyle w:val="27"/>
              <w:jc w:val="center"/>
              <w:outlineLvl w:val="0"/>
              <w:rPr>
                <w:rFonts w:hint="default" w:ascii="Times New Roman" w:hAnsi="Times New Roman" w:eastAsia="黑体" w:cs="Times New Roman"/>
                <w:snapToGrid w:val="0"/>
                <w:color w:val="auto"/>
                <w:sz w:val="30"/>
                <w:szCs w:val="30"/>
              </w:rPr>
            </w:pPr>
          </w:p>
        </w:tc>
      </w:tr>
    </w:tbl>
    <w:p w14:paraId="1E1026BB">
      <w:pPr>
        <w:pStyle w:val="27"/>
        <w:jc w:val="center"/>
        <w:outlineLvl w:val="0"/>
        <w:rPr>
          <w:rFonts w:hint="default" w:ascii="Times New Roman" w:hAnsi="Times New Roman" w:eastAsia="黑体" w:cs="Times New Roman"/>
          <w:snapToGrid w:val="0"/>
          <w:color w:val="auto"/>
          <w:sz w:val="30"/>
          <w:szCs w:val="30"/>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E1A26A1">
      <w:pPr>
        <w:pStyle w:val="27"/>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sz w:val="38"/>
          <w:szCs w:val="38"/>
        </w:rPr>
      </w:pPr>
      <w:r>
        <w:rPr>
          <w:rFonts w:hint="default" w:ascii="Times New Roman" w:hAnsi="Times New Roman" w:eastAsia="方正小标宋_GBK" w:cs="Times New Roman"/>
          <w:snapToGrid w:val="0"/>
          <w:color w:val="auto"/>
          <w:sz w:val="38"/>
          <w:szCs w:val="38"/>
        </w:rPr>
        <w:t>建设项目污染物排放量汇总表</w:t>
      </w:r>
    </w:p>
    <w:tbl>
      <w:tblPr>
        <w:tblStyle w:val="32"/>
        <w:tblpPr w:leftFromText="180" w:rightFromText="180" w:vertAnchor="text" w:tblpXSpec="center" w:tblpY="1"/>
        <w:tblOverlap w:val="never"/>
        <w:tblW w:w="1347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807"/>
        <w:gridCol w:w="1422"/>
        <w:gridCol w:w="1123"/>
        <w:gridCol w:w="1663"/>
        <w:gridCol w:w="1524"/>
        <w:gridCol w:w="1722"/>
        <w:gridCol w:w="1593"/>
        <w:gridCol w:w="1128"/>
      </w:tblGrid>
      <w:tr w14:paraId="359F2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tcBorders>
              <w:tl2br w:val="single" w:color="auto" w:sz="4" w:space="0"/>
            </w:tcBorders>
            <w:noWrap w:val="0"/>
            <w:tcMar>
              <w:left w:w="28" w:type="dxa"/>
              <w:right w:w="28" w:type="dxa"/>
            </w:tcMar>
            <w:vAlign w:val="center"/>
          </w:tcPr>
          <w:p w14:paraId="612E1923">
            <w:pPr>
              <w:pStyle w:val="72"/>
              <w:spacing w:beforeLines="0" w:afterLines="0" w:line="240" w:lineRule="auto"/>
              <w:jc w:val="righ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项目</w:t>
            </w:r>
          </w:p>
          <w:p w14:paraId="6A02E917">
            <w:pPr>
              <w:pStyle w:val="72"/>
              <w:spacing w:beforeLines="0" w:afterLines="0" w:line="240" w:lineRule="auto"/>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分类</w:t>
            </w:r>
          </w:p>
        </w:tc>
        <w:tc>
          <w:tcPr>
            <w:tcW w:w="1807" w:type="dxa"/>
            <w:noWrap w:val="0"/>
            <w:tcMar>
              <w:left w:w="28" w:type="dxa"/>
              <w:right w:w="28" w:type="dxa"/>
            </w:tcMar>
            <w:vAlign w:val="center"/>
          </w:tcPr>
          <w:p w14:paraId="55C8FD8E">
            <w:pPr>
              <w:pStyle w:val="72"/>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污染物名称</w:t>
            </w:r>
          </w:p>
        </w:tc>
        <w:tc>
          <w:tcPr>
            <w:tcW w:w="1422" w:type="dxa"/>
            <w:noWrap w:val="0"/>
            <w:tcMar>
              <w:left w:w="28" w:type="dxa"/>
              <w:right w:w="28" w:type="dxa"/>
            </w:tcMar>
            <w:vAlign w:val="center"/>
          </w:tcPr>
          <w:p w14:paraId="07EAAF84">
            <w:pPr>
              <w:pStyle w:val="72"/>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现有工程</w:t>
            </w:r>
          </w:p>
          <w:p w14:paraId="1284F415">
            <w:pPr>
              <w:pStyle w:val="72"/>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排放量（固体废物产生量）</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2"/>
                <w:szCs w:val="21"/>
              </w:rPr>
              <w:t>①</w:t>
            </w:r>
            <w:r>
              <w:rPr>
                <w:rFonts w:hint="default" w:ascii="Times New Roman" w:hAnsi="Times New Roman" w:cs="Times New Roman"/>
                <w:snapToGrid w:val="0"/>
                <w:color w:val="auto"/>
                <w:spacing w:val="-6"/>
                <w:kern w:val="21"/>
                <w:szCs w:val="21"/>
              </w:rPr>
              <w:fldChar w:fldCharType="end"/>
            </w:r>
          </w:p>
        </w:tc>
        <w:tc>
          <w:tcPr>
            <w:tcW w:w="1123" w:type="dxa"/>
            <w:noWrap w:val="0"/>
            <w:tcMar>
              <w:left w:w="28" w:type="dxa"/>
              <w:right w:w="28" w:type="dxa"/>
            </w:tcMar>
            <w:vAlign w:val="center"/>
          </w:tcPr>
          <w:p w14:paraId="1728982D">
            <w:pPr>
              <w:pStyle w:val="72"/>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现有工程</w:t>
            </w:r>
          </w:p>
          <w:p w14:paraId="6D393C4A">
            <w:pPr>
              <w:pStyle w:val="72"/>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许可排放量</w:t>
            </w:r>
          </w:p>
          <w:p w14:paraId="315BB901">
            <w:pPr>
              <w:pStyle w:val="72"/>
              <w:spacing w:beforeLines="0" w:afterLines="0"/>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2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snapToGrid w:val="0"/>
                <w:color w:val="auto"/>
                <w:spacing w:val="-6"/>
                <w:kern w:val="21"/>
                <w:szCs w:val="21"/>
              </w:rPr>
              <w:t>②</w:t>
            </w:r>
            <w:r>
              <w:rPr>
                <w:rFonts w:hint="default" w:ascii="Times New Roman" w:hAnsi="Times New Roman" w:cs="Times New Roman"/>
                <w:snapToGrid w:val="0"/>
                <w:color w:val="auto"/>
                <w:spacing w:val="-6"/>
                <w:kern w:val="21"/>
                <w:szCs w:val="21"/>
              </w:rPr>
              <w:fldChar w:fldCharType="end"/>
            </w:r>
          </w:p>
        </w:tc>
        <w:tc>
          <w:tcPr>
            <w:tcW w:w="1663" w:type="dxa"/>
            <w:noWrap w:val="0"/>
            <w:tcMar>
              <w:left w:w="28" w:type="dxa"/>
              <w:right w:w="28" w:type="dxa"/>
            </w:tcMar>
            <w:vAlign w:val="center"/>
          </w:tcPr>
          <w:p w14:paraId="77C55ACB">
            <w:pPr>
              <w:pStyle w:val="72"/>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在建工程</w:t>
            </w:r>
          </w:p>
          <w:p w14:paraId="4DF902AF">
            <w:pPr>
              <w:pStyle w:val="72"/>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排放量（固体废物产生量）</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2"/>
                <w:szCs w:val="21"/>
              </w:rPr>
              <w:t>③</w:t>
            </w:r>
            <w:r>
              <w:rPr>
                <w:rFonts w:hint="default" w:ascii="Times New Roman" w:hAnsi="Times New Roman" w:cs="Times New Roman"/>
                <w:snapToGrid w:val="0"/>
                <w:color w:val="auto"/>
                <w:spacing w:val="-6"/>
                <w:kern w:val="21"/>
                <w:szCs w:val="21"/>
              </w:rPr>
              <w:fldChar w:fldCharType="end"/>
            </w:r>
          </w:p>
        </w:tc>
        <w:tc>
          <w:tcPr>
            <w:tcW w:w="1524" w:type="dxa"/>
            <w:noWrap w:val="0"/>
            <w:tcMar>
              <w:left w:w="28" w:type="dxa"/>
              <w:right w:w="28" w:type="dxa"/>
            </w:tcMar>
            <w:vAlign w:val="center"/>
          </w:tcPr>
          <w:p w14:paraId="6B6C00F4">
            <w:pPr>
              <w:pStyle w:val="72"/>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本项目</w:t>
            </w:r>
          </w:p>
          <w:p w14:paraId="0864ACF8">
            <w:pPr>
              <w:pStyle w:val="72"/>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排放量（固体废物产生量）</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2"/>
                <w:szCs w:val="21"/>
              </w:rPr>
              <w:t>④</w:t>
            </w:r>
            <w:r>
              <w:rPr>
                <w:rFonts w:hint="default" w:ascii="Times New Roman" w:hAnsi="Times New Roman" w:cs="Times New Roman"/>
                <w:snapToGrid w:val="0"/>
                <w:color w:val="auto"/>
                <w:spacing w:val="-6"/>
                <w:kern w:val="21"/>
                <w:szCs w:val="21"/>
              </w:rPr>
              <w:fldChar w:fldCharType="end"/>
            </w:r>
          </w:p>
        </w:tc>
        <w:tc>
          <w:tcPr>
            <w:tcW w:w="1722" w:type="dxa"/>
            <w:noWrap w:val="0"/>
            <w:tcMar>
              <w:left w:w="28" w:type="dxa"/>
              <w:right w:w="28" w:type="dxa"/>
            </w:tcMar>
            <w:vAlign w:val="center"/>
          </w:tcPr>
          <w:p w14:paraId="51C45122">
            <w:pPr>
              <w:pStyle w:val="72"/>
              <w:spacing w:beforeLines="0" w:afterLines="0"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以新带老削减量</w:t>
            </w:r>
          </w:p>
          <w:p w14:paraId="6E4271B5">
            <w:pPr>
              <w:pStyle w:val="72"/>
              <w:spacing w:beforeLines="0" w:afterLines="0"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（新建项目不填）</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kern w:val="2"/>
                <w:szCs w:val="21"/>
              </w:rPr>
              <w:t>⑤</w:t>
            </w:r>
            <w:r>
              <w:rPr>
                <w:rFonts w:hint="default" w:ascii="Times New Roman" w:hAnsi="Times New Roman" w:cs="Times New Roman"/>
                <w:snapToGrid w:val="0"/>
                <w:color w:val="auto"/>
                <w:spacing w:val="-16"/>
                <w:kern w:val="21"/>
                <w:szCs w:val="21"/>
              </w:rPr>
              <w:fldChar w:fldCharType="end"/>
            </w:r>
          </w:p>
        </w:tc>
        <w:tc>
          <w:tcPr>
            <w:tcW w:w="1593" w:type="dxa"/>
            <w:noWrap w:val="0"/>
            <w:tcMar>
              <w:left w:w="28" w:type="dxa"/>
              <w:right w:w="28" w:type="dxa"/>
            </w:tcMar>
            <w:vAlign w:val="center"/>
          </w:tcPr>
          <w:p w14:paraId="62CE7E91">
            <w:pPr>
              <w:pStyle w:val="72"/>
              <w:spacing w:beforeLines="0" w:afterLines="0"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本项目建成后</w:t>
            </w:r>
          </w:p>
          <w:p w14:paraId="5030187A">
            <w:pPr>
              <w:pStyle w:val="72"/>
              <w:spacing w:beforeLines="0" w:afterLines="0"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全厂排放量（固体废物产生量）</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kern w:val="2"/>
                <w:szCs w:val="21"/>
              </w:rPr>
              <w:t>⑥</w:t>
            </w:r>
            <w:r>
              <w:rPr>
                <w:rFonts w:hint="default" w:ascii="Times New Roman" w:hAnsi="Times New Roman" w:cs="Times New Roman"/>
                <w:snapToGrid w:val="0"/>
                <w:color w:val="auto"/>
                <w:spacing w:val="-16"/>
                <w:kern w:val="21"/>
                <w:szCs w:val="21"/>
              </w:rPr>
              <w:fldChar w:fldCharType="end"/>
            </w:r>
          </w:p>
        </w:tc>
        <w:tc>
          <w:tcPr>
            <w:tcW w:w="1128" w:type="dxa"/>
            <w:noWrap w:val="0"/>
            <w:tcMar>
              <w:left w:w="28" w:type="dxa"/>
              <w:right w:w="28" w:type="dxa"/>
            </w:tcMar>
            <w:vAlign w:val="center"/>
          </w:tcPr>
          <w:p w14:paraId="50E979B3">
            <w:pPr>
              <w:pStyle w:val="72"/>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变化量</w:t>
            </w:r>
          </w:p>
          <w:p w14:paraId="1CF644EE">
            <w:pPr>
              <w:pStyle w:val="72"/>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2"/>
                <w:szCs w:val="21"/>
              </w:rPr>
              <w:t>⑦</w:t>
            </w:r>
            <w:r>
              <w:rPr>
                <w:rFonts w:hint="default" w:ascii="Times New Roman" w:hAnsi="Times New Roman" w:cs="Times New Roman"/>
                <w:snapToGrid w:val="0"/>
                <w:color w:val="auto"/>
                <w:spacing w:val="-6"/>
                <w:kern w:val="21"/>
                <w:szCs w:val="21"/>
              </w:rPr>
              <w:fldChar w:fldCharType="end"/>
            </w:r>
          </w:p>
        </w:tc>
      </w:tr>
      <w:tr w14:paraId="60FDA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restart"/>
            <w:noWrap w:val="0"/>
            <w:vAlign w:val="center"/>
          </w:tcPr>
          <w:p w14:paraId="04588A58">
            <w:pPr>
              <w:pStyle w:val="7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807" w:type="dxa"/>
            <w:noWrap w:val="0"/>
            <w:vAlign w:val="center"/>
          </w:tcPr>
          <w:p w14:paraId="21E15915">
            <w:pPr>
              <w:pStyle w:val="7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颗粒物</w:t>
            </w:r>
          </w:p>
        </w:tc>
        <w:tc>
          <w:tcPr>
            <w:tcW w:w="1422" w:type="dxa"/>
            <w:noWrap w:val="0"/>
            <w:vAlign w:val="center"/>
          </w:tcPr>
          <w:p w14:paraId="1B059F6D">
            <w:pPr>
              <w:spacing w:beforeLines="0" w:afterLines="0" w:line="240" w:lineRule="auto"/>
              <w:jc w:val="center"/>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rPr>
              <w:t>/</w:t>
            </w:r>
          </w:p>
        </w:tc>
        <w:tc>
          <w:tcPr>
            <w:tcW w:w="1123" w:type="dxa"/>
            <w:noWrap w:val="0"/>
            <w:vAlign w:val="center"/>
          </w:tcPr>
          <w:p w14:paraId="0F1CB901">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57290C0F">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228BE790">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2.444</w:t>
            </w:r>
          </w:p>
        </w:tc>
        <w:tc>
          <w:tcPr>
            <w:tcW w:w="1722" w:type="dxa"/>
            <w:noWrap w:val="0"/>
            <w:vAlign w:val="center"/>
          </w:tcPr>
          <w:p w14:paraId="10620A12">
            <w:pPr>
              <w:pStyle w:val="7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593" w:type="dxa"/>
            <w:noWrap w:val="0"/>
            <w:vAlign w:val="center"/>
          </w:tcPr>
          <w:p w14:paraId="476307A0">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2.444</w:t>
            </w:r>
          </w:p>
        </w:tc>
        <w:tc>
          <w:tcPr>
            <w:tcW w:w="1128" w:type="dxa"/>
            <w:noWrap w:val="0"/>
            <w:vAlign w:val="center"/>
          </w:tcPr>
          <w:p w14:paraId="65188373">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+2.444</w:t>
            </w:r>
          </w:p>
        </w:tc>
      </w:tr>
      <w:tr w14:paraId="5194B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6402C4F8">
            <w:pPr>
              <w:pStyle w:val="72"/>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64C83424">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二氧化硫</w:t>
            </w:r>
          </w:p>
        </w:tc>
        <w:tc>
          <w:tcPr>
            <w:tcW w:w="1422" w:type="dxa"/>
            <w:noWrap w:val="0"/>
            <w:vAlign w:val="center"/>
          </w:tcPr>
          <w:p w14:paraId="496C1FFF">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3" w:type="dxa"/>
            <w:noWrap w:val="0"/>
            <w:vAlign w:val="center"/>
          </w:tcPr>
          <w:p w14:paraId="3B5CAC1D">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663" w:type="dxa"/>
            <w:noWrap w:val="0"/>
            <w:vAlign w:val="center"/>
          </w:tcPr>
          <w:p w14:paraId="6988B815">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4BA8C7D3">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0.0021</w:t>
            </w:r>
          </w:p>
        </w:tc>
        <w:tc>
          <w:tcPr>
            <w:tcW w:w="1722" w:type="dxa"/>
            <w:noWrap w:val="0"/>
            <w:vAlign w:val="center"/>
          </w:tcPr>
          <w:p w14:paraId="1368989D">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593" w:type="dxa"/>
            <w:noWrap w:val="0"/>
            <w:vAlign w:val="center"/>
          </w:tcPr>
          <w:p w14:paraId="4C749387">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0.0021</w:t>
            </w:r>
          </w:p>
        </w:tc>
        <w:tc>
          <w:tcPr>
            <w:tcW w:w="1128" w:type="dxa"/>
            <w:noWrap w:val="0"/>
            <w:vAlign w:val="center"/>
          </w:tcPr>
          <w:p w14:paraId="614A4016">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+0.0021</w:t>
            </w:r>
          </w:p>
        </w:tc>
      </w:tr>
      <w:tr w14:paraId="39AF00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6BF6C994">
            <w:pPr>
              <w:pStyle w:val="72"/>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12A74E1D">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氮氧化物</w:t>
            </w:r>
          </w:p>
        </w:tc>
        <w:tc>
          <w:tcPr>
            <w:tcW w:w="1422" w:type="dxa"/>
            <w:noWrap w:val="0"/>
            <w:vAlign w:val="center"/>
          </w:tcPr>
          <w:p w14:paraId="0845F104">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3" w:type="dxa"/>
            <w:noWrap w:val="0"/>
            <w:vAlign w:val="center"/>
          </w:tcPr>
          <w:p w14:paraId="5B49545D">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663" w:type="dxa"/>
            <w:noWrap w:val="0"/>
            <w:vAlign w:val="center"/>
          </w:tcPr>
          <w:p w14:paraId="55F1B804">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4E50F03E">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0.083</w:t>
            </w:r>
          </w:p>
        </w:tc>
        <w:tc>
          <w:tcPr>
            <w:tcW w:w="1722" w:type="dxa"/>
            <w:noWrap w:val="0"/>
            <w:vAlign w:val="center"/>
          </w:tcPr>
          <w:p w14:paraId="223FB9DF">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593" w:type="dxa"/>
            <w:noWrap w:val="0"/>
            <w:vAlign w:val="center"/>
          </w:tcPr>
          <w:p w14:paraId="276E52AD">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0.083</w:t>
            </w:r>
          </w:p>
        </w:tc>
        <w:tc>
          <w:tcPr>
            <w:tcW w:w="1128" w:type="dxa"/>
            <w:noWrap w:val="0"/>
            <w:vAlign w:val="center"/>
          </w:tcPr>
          <w:p w14:paraId="44AFC82A">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+0.083</w:t>
            </w:r>
          </w:p>
        </w:tc>
      </w:tr>
      <w:tr w14:paraId="25743A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2597C3B5">
            <w:pPr>
              <w:pStyle w:val="72"/>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122B7C8E">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非甲烷总烃</w:t>
            </w:r>
          </w:p>
        </w:tc>
        <w:tc>
          <w:tcPr>
            <w:tcW w:w="1422" w:type="dxa"/>
            <w:noWrap w:val="0"/>
            <w:vAlign w:val="center"/>
          </w:tcPr>
          <w:p w14:paraId="55046FD1">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3" w:type="dxa"/>
            <w:noWrap w:val="0"/>
            <w:vAlign w:val="center"/>
          </w:tcPr>
          <w:p w14:paraId="5ACCC204">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663" w:type="dxa"/>
            <w:noWrap w:val="0"/>
            <w:vAlign w:val="center"/>
          </w:tcPr>
          <w:p w14:paraId="157D4528">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7C74F4F0">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0.578</w:t>
            </w:r>
          </w:p>
        </w:tc>
        <w:tc>
          <w:tcPr>
            <w:tcW w:w="1722" w:type="dxa"/>
            <w:noWrap w:val="0"/>
            <w:vAlign w:val="center"/>
          </w:tcPr>
          <w:p w14:paraId="3F81D706">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593" w:type="dxa"/>
            <w:noWrap w:val="0"/>
            <w:vAlign w:val="center"/>
          </w:tcPr>
          <w:p w14:paraId="4D7A2223">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0.578</w:t>
            </w:r>
          </w:p>
        </w:tc>
        <w:tc>
          <w:tcPr>
            <w:tcW w:w="1128" w:type="dxa"/>
            <w:noWrap w:val="0"/>
            <w:vAlign w:val="center"/>
          </w:tcPr>
          <w:p w14:paraId="6DB39A1E">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+0.578</w:t>
            </w:r>
          </w:p>
        </w:tc>
      </w:tr>
      <w:tr w14:paraId="6D81B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noWrap w:val="0"/>
            <w:vAlign w:val="center"/>
          </w:tcPr>
          <w:p w14:paraId="115E7752">
            <w:pPr>
              <w:pStyle w:val="7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807" w:type="dxa"/>
            <w:noWrap w:val="0"/>
            <w:vAlign w:val="center"/>
          </w:tcPr>
          <w:p w14:paraId="617B7348">
            <w:pPr>
              <w:pStyle w:val="72"/>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val="en-US" w:eastAsia="zh-CN"/>
              </w:rPr>
              <w:t>废水量</w:t>
            </w:r>
          </w:p>
        </w:tc>
        <w:tc>
          <w:tcPr>
            <w:tcW w:w="1422" w:type="dxa"/>
            <w:noWrap w:val="0"/>
            <w:vAlign w:val="center"/>
          </w:tcPr>
          <w:p w14:paraId="4D7B2785">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3" w:type="dxa"/>
            <w:noWrap w:val="0"/>
            <w:vAlign w:val="center"/>
          </w:tcPr>
          <w:p w14:paraId="657E1385">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0CAA0C3A">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2CACA085">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722" w:type="dxa"/>
            <w:noWrap w:val="0"/>
            <w:vAlign w:val="center"/>
          </w:tcPr>
          <w:p w14:paraId="09E55222">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p>
        </w:tc>
        <w:tc>
          <w:tcPr>
            <w:tcW w:w="1593" w:type="dxa"/>
            <w:noWrap w:val="0"/>
            <w:vAlign w:val="center"/>
          </w:tcPr>
          <w:p w14:paraId="5E4CA70B">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8" w:type="dxa"/>
            <w:noWrap w:val="0"/>
            <w:vAlign w:val="center"/>
          </w:tcPr>
          <w:p w14:paraId="34B9C5E8">
            <w:pPr>
              <w:spacing w:beforeLines="0" w:afterLines="0" w:line="240" w:lineRule="auto"/>
              <w:jc w:val="center"/>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rPr>
              <w:t>/</w:t>
            </w:r>
          </w:p>
        </w:tc>
      </w:tr>
      <w:tr w14:paraId="72683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restart"/>
            <w:noWrap w:val="0"/>
            <w:vAlign w:val="center"/>
          </w:tcPr>
          <w:p w14:paraId="16A77F32">
            <w:pPr>
              <w:pStyle w:val="7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14:paraId="2C296D5E">
            <w:pPr>
              <w:pStyle w:val="7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1807" w:type="dxa"/>
            <w:noWrap w:val="0"/>
            <w:vAlign w:val="center"/>
          </w:tcPr>
          <w:p w14:paraId="5400CD54">
            <w:pPr>
              <w:pStyle w:val="72"/>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rPr>
              <w:t>废</w:t>
            </w:r>
            <w:r>
              <w:rPr>
                <w:rFonts w:hint="default" w:ascii="Times New Roman" w:hAnsi="Times New Roman" w:cs="Times New Roman"/>
                <w:snapToGrid w:val="0"/>
                <w:color w:val="auto"/>
                <w:kern w:val="21"/>
                <w:szCs w:val="21"/>
                <w:lang w:eastAsia="zh-CN"/>
              </w:rPr>
              <w:t>边角料</w:t>
            </w:r>
          </w:p>
        </w:tc>
        <w:tc>
          <w:tcPr>
            <w:tcW w:w="1422" w:type="dxa"/>
            <w:noWrap w:val="0"/>
            <w:vAlign w:val="center"/>
          </w:tcPr>
          <w:p w14:paraId="7B4568C8">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3" w:type="dxa"/>
            <w:noWrap w:val="0"/>
            <w:vAlign w:val="center"/>
          </w:tcPr>
          <w:p w14:paraId="349A5C1C">
            <w:pPr>
              <w:spacing w:beforeLines="0" w:afterLines="0" w:line="240" w:lineRule="auto"/>
              <w:jc w:val="center"/>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rPr>
              <w:t>/</w:t>
            </w:r>
          </w:p>
        </w:tc>
        <w:tc>
          <w:tcPr>
            <w:tcW w:w="1663" w:type="dxa"/>
            <w:noWrap w:val="0"/>
            <w:vAlign w:val="center"/>
          </w:tcPr>
          <w:p w14:paraId="1A3A9B7A">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1A82AD56">
            <w:pPr>
              <w:pStyle w:val="7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500</w:t>
            </w:r>
          </w:p>
        </w:tc>
        <w:tc>
          <w:tcPr>
            <w:tcW w:w="1722" w:type="dxa"/>
            <w:noWrap w:val="0"/>
            <w:vAlign w:val="center"/>
          </w:tcPr>
          <w:p w14:paraId="4687B1E1">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p>
        </w:tc>
        <w:tc>
          <w:tcPr>
            <w:tcW w:w="1593" w:type="dxa"/>
            <w:noWrap w:val="0"/>
            <w:vAlign w:val="center"/>
          </w:tcPr>
          <w:p w14:paraId="3E720A6E">
            <w:pPr>
              <w:pStyle w:val="7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500</w:t>
            </w:r>
          </w:p>
        </w:tc>
        <w:tc>
          <w:tcPr>
            <w:tcW w:w="1128" w:type="dxa"/>
            <w:noWrap w:val="0"/>
            <w:vAlign w:val="center"/>
          </w:tcPr>
          <w:p w14:paraId="48044C1A">
            <w:pPr>
              <w:pStyle w:val="72"/>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+500</w:t>
            </w:r>
          </w:p>
        </w:tc>
      </w:tr>
      <w:tr w14:paraId="56724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54A12014">
            <w:pPr>
              <w:pStyle w:val="72"/>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4AB7B3C1">
            <w:pPr>
              <w:pStyle w:val="72"/>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废钢丸</w:t>
            </w:r>
          </w:p>
        </w:tc>
        <w:tc>
          <w:tcPr>
            <w:tcW w:w="1422" w:type="dxa"/>
            <w:noWrap w:val="0"/>
            <w:vAlign w:val="center"/>
          </w:tcPr>
          <w:p w14:paraId="49315535">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123" w:type="dxa"/>
            <w:noWrap w:val="0"/>
            <w:vAlign w:val="center"/>
          </w:tcPr>
          <w:p w14:paraId="6E6581F7">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1F528841">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09363642">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3.2</w:t>
            </w:r>
          </w:p>
        </w:tc>
        <w:tc>
          <w:tcPr>
            <w:tcW w:w="1722" w:type="dxa"/>
            <w:noWrap w:val="0"/>
            <w:vAlign w:val="center"/>
          </w:tcPr>
          <w:p w14:paraId="7708388E">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p>
        </w:tc>
        <w:tc>
          <w:tcPr>
            <w:tcW w:w="1593" w:type="dxa"/>
            <w:noWrap w:val="0"/>
            <w:vAlign w:val="center"/>
          </w:tcPr>
          <w:p w14:paraId="4F439EF9">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3.2</w:t>
            </w:r>
          </w:p>
        </w:tc>
        <w:tc>
          <w:tcPr>
            <w:tcW w:w="1128" w:type="dxa"/>
            <w:noWrap w:val="0"/>
            <w:vAlign w:val="center"/>
          </w:tcPr>
          <w:p w14:paraId="65235B7A">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+3.2</w:t>
            </w:r>
          </w:p>
        </w:tc>
      </w:tr>
      <w:tr w14:paraId="23270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2B9BF3EA">
            <w:pPr>
              <w:pStyle w:val="72"/>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27617309">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eastAsia="zh-CN"/>
              </w:rPr>
              <w:t>收尘灰</w:t>
            </w:r>
          </w:p>
        </w:tc>
        <w:tc>
          <w:tcPr>
            <w:tcW w:w="1422" w:type="dxa"/>
            <w:noWrap w:val="0"/>
            <w:vAlign w:val="center"/>
          </w:tcPr>
          <w:p w14:paraId="24176ECB">
            <w:pPr>
              <w:spacing w:beforeLines="0" w:afterLines="0" w:line="240" w:lineRule="auto"/>
              <w:jc w:val="center"/>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rPr>
              <w:t>/</w:t>
            </w:r>
          </w:p>
        </w:tc>
        <w:tc>
          <w:tcPr>
            <w:tcW w:w="1123" w:type="dxa"/>
            <w:noWrap w:val="0"/>
            <w:vAlign w:val="center"/>
          </w:tcPr>
          <w:p w14:paraId="0500E96C">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64B98E74">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2619CC8B">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43.386</w:t>
            </w:r>
          </w:p>
        </w:tc>
        <w:tc>
          <w:tcPr>
            <w:tcW w:w="1722" w:type="dxa"/>
            <w:noWrap w:val="0"/>
            <w:vAlign w:val="center"/>
          </w:tcPr>
          <w:p w14:paraId="2273AE79">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p>
        </w:tc>
        <w:tc>
          <w:tcPr>
            <w:tcW w:w="1593" w:type="dxa"/>
            <w:noWrap w:val="0"/>
            <w:vAlign w:val="center"/>
          </w:tcPr>
          <w:p w14:paraId="222B1923">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43.386</w:t>
            </w:r>
          </w:p>
        </w:tc>
        <w:tc>
          <w:tcPr>
            <w:tcW w:w="1128" w:type="dxa"/>
            <w:noWrap w:val="0"/>
            <w:vAlign w:val="center"/>
          </w:tcPr>
          <w:p w14:paraId="2E721469">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+43.386</w:t>
            </w:r>
          </w:p>
        </w:tc>
      </w:tr>
      <w:tr w14:paraId="1D7FB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312EF221">
            <w:pPr>
              <w:pStyle w:val="72"/>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0082E5CF">
            <w:pPr>
              <w:pStyle w:val="72"/>
              <w:spacing w:beforeLines="0" w:afterLines="0" w:line="240" w:lineRule="auto"/>
              <w:rPr>
                <w:rFonts w:hint="default" w:ascii="Times New Roman" w:hAnsi="Times New Roman" w:cs="Times New Roman"/>
                <w:snapToGrid w:val="0"/>
                <w:color w:val="auto"/>
                <w:kern w:val="21"/>
                <w:szCs w:val="21"/>
                <w:lang w:eastAsia="zh-CN"/>
              </w:rPr>
            </w:pPr>
            <w:r>
              <w:rPr>
                <w:rFonts w:hint="default" w:ascii="Times New Roman" w:hAnsi="Times New Roman" w:cs="Times New Roman"/>
                <w:snapToGrid w:val="0"/>
                <w:color w:val="auto"/>
                <w:kern w:val="21"/>
                <w:szCs w:val="21"/>
                <w:lang w:val="en-US" w:eastAsia="zh-CN"/>
              </w:rPr>
              <w:t>废粉</w:t>
            </w:r>
          </w:p>
        </w:tc>
        <w:tc>
          <w:tcPr>
            <w:tcW w:w="1422" w:type="dxa"/>
            <w:noWrap w:val="0"/>
            <w:vAlign w:val="center"/>
          </w:tcPr>
          <w:p w14:paraId="6B070E27">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123" w:type="dxa"/>
            <w:noWrap w:val="0"/>
            <w:vAlign w:val="center"/>
          </w:tcPr>
          <w:p w14:paraId="55091451">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2C96BCD9">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2D4D00B7">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6.755</w:t>
            </w:r>
          </w:p>
        </w:tc>
        <w:tc>
          <w:tcPr>
            <w:tcW w:w="1722" w:type="dxa"/>
            <w:noWrap w:val="0"/>
            <w:vAlign w:val="center"/>
          </w:tcPr>
          <w:p w14:paraId="0A222415">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p>
        </w:tc>
        <w:tc>
          <w:tcPr>
            <w:tcW w:w="1593" w:type="dxa"/>
            <w:noWrap w:val="0"/>
            <w:vAlign w:val="center"/>
          </w:tcPr>
          <w:p w14:paraId="79CD9399">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6.755</w:t>
            </w:r>
          </w:p>
        </w:tc>
        <w:tc>
          <w:tcPr>
            <w:tcW w:w="1128" w:type="dxa"/>
            <w:noWrap w:val="0"/>
            <w:vAlign w:val="center"/>
          </w:tcPr>
          <w:p w14:paraId="44B0533C">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+6.755</w:t>
            </w:r>
          </w:p>
        </w:tc>
      </w:tr>
      <w:tr w14:paraId="3AD36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restart"/>
            <w:noWrap w:val="0"/>
            <w:vAlign w:val="center"/>
          </w:tcPr>
          <w:p w14:paraId="311B8C8D">
            <w:pPr>
              <w:pStyle w:val="7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807" w:type="dxa"/>
            <w:noWrap w:val="0"/>
            <w:vAlign w:val="center"/>
          </w:tcPr>
          <w:p w14:paraId="79552D2D">
            <w:pPr>
              <w:pStyle w:val="72"/>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废润滑油、油桶</w:t>
            </w:r>
          </w:p>
        </w:tc>
        <w:tc>
          <w:tcPr>
            <w:tcW w:w="1422" w:type="dxa"/>
            <w:noWrap w:val="0"/>
            <w:vAlign w:val="center"/>
          </w:tcPr>
          <w:p w14:paraId="78263603">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123" w:type="dxa"/>
            <w:noWrap w:val="0"/>
            <w:vAlign w:val="center"/>
          </w:tcPr>
          <w:p w14:paraId="71258851">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2A25B52B">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276706A2">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0.06</w:t>
            </w:r>
          </w:p>
        </w:tc>
        <w:tc>
          <w:tcPr>
            <w:tcW w:w="1722" w:type="dxa"/>
            <w:noWrap w:val="0"/>
            <w:vAlign w:val="center"/>
          </w:tcPr>
          <w:p w14:paraId="56442B01">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p>
        </w:tc>
        <w:tc>
          <w:tcPr>
            <w:tcW w:w="1593" w:type="dxa"/>
            <w:noWrap w:val="0"/>
            <w:vAlign w:val="center"/>
          </w:tcPr>
          <w:p w14:paraId="0847F688">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0.06</w:t>
            </w:r>
          </w:p>
        </w:tc>
        <w:tc>
          <w:tcPr>
            <w:tcW w:w="1128" w:type="dxa"/>
            <w:noWrap w:val="0"/>
            <w:vAlign w:val="center"/>
          </w:tcPr>
          <w:p w14:paraId="0A8CD185">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+0.06</w:t>
            </w:r>
          </w:p>
        </w:tc>
      </w:tr>
      <w:tr w14:paraId="424D2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72DF0DF4">
            <w:pPr>
              <w:pStyle w:val="72"/>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0981475F">
            <w:pPr>
              <w:pStyle w:val="7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废含油抹布手套</w:t>
            </w:r>
          </w:p>
        </w:tc>
        <w:tc>
          <w:tcPr>
            <w:tcW w:w="1422" w:type="dxa"/>
            <w:noWrap w:val="0"/>
            <w:vAlign w:val="center"/>
          </w:tcPr>
          <w:p w14:paraId="0C0F333A">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3" w:type="dxa"/>
            <w:noWrap w:val="0"/>
            <w:vAlign w:val="center"/>
          </w:tcPr>
          <w:p w14:paraId="43B5EA70">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104FDD54">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552DBC74">
            <w:pPr>
              <w:pStyle w:val="7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0.002</w:t>
            </w:r>
          </w:p>
        </w:tc>
        <w:tc>
          <w:tcPr>
            <w:tcW w:w="1722" w:type="dxa"/>
            <w:noWrap w:val="0"/>
            <w:vAlign w:val="center"/>
          </w:tcPr>
          <w:p w14:paraId="5DE3F3C3">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p>
        </w:tc>
        <w:tc>
          <w:tcPr>
            <w:tcW w:w="1593" w:type="dxa"/>
            <w:noWrap w:val="0"/>
            <w:vAlign w:val="center"/>
          </w:tcPr>
          <w:p w14:paraId="62E2C94F">
            <w:pPr>
              <w:pStyle w:val="7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0.002</w:t>
            </w:r>
          </w:p>
        </w:tc>
        <w:tc>
          <w:tcPr>
            <w:tcW w:w="1128" w:type="dxa"/>
            <w:noWrap w:val="0"/>
            <w:vAlign w:val="center"/>
          </w:tcPr>
          <w:p w14:paraId="2F54F8D7">
            <w:pPr>
              <w:pStyle w:val="72"/>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+0.002</w:t>
            </w:r>
          </w:p>
        </w:tc>
      </w:tr>
      <w:tr w14:paraId="7AFF3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vMerge w:val="continue"/>
            <w:noWrap w:val="0"/>
            <w:vAlign w:val="center"/>
          </w:tcPr>
          <w:p w14:paraId="6E180431">
            <w:pPr>
              <w:pStyle w:val="72"/>
              <w:spacing w:beforeLines="0" w:afterLines="0" w:line="240" w:lineRule="auto"/>
              <w:rPr>
                <w:rFonts w:hint="default" w:ascii="Times New Roman" w:hAnsi="Times New Roman" w:cs="Times New Roman"/>
                <w:snapToGrid w:val="0"/>
                <w:color w:val="auto"/>
                <w:kern w:val="21"/>
                <w:szCs w:val="21"/>
              </w:rPr>
            </w:pPr>
          </w:p>
        </w:tc>
        <w:tc>
          <w:tcPr>
            <w:tcW w:w="1807" w:type="dxa"/>
            <w:noWrap w:val="0"/>
            <w:vAlign w:val="center"/>
          </w:tcPr>
          <w:p w14:paraId="5C469402">
            <w:pPr>
              <w:pStyle w:val="7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废活性炭</w:t>
            </w:r>
          </w:p>
        </w:tc>
        <w:tc>
          <w:tcPr>
            <w:tcW w:w="1422" w:type="dxa"/>
            <w:noWrap w:val="0"/>
            <w:vAlign w:val="center"/>
          </w:tcPr>
          <w:p w14:paraId="32C6DB5B">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3" w:type="dxa"/>
            <w:noWrap w:val="0"/>
            <w:vAlign w:val="center"/>
          </w:tcPr>
          <w:p w14:paraId="1441F9FA">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p>
        </w:tc>
        <w:tc>
          <w:tcPr>
            <w:tcW w:w="1663" w:type="dxa"/>
            <w:noWrap w:val="0"/>
            <w:vAlign w:val="center"/>
          </w:tcPr>
          <w:p w14:paraId="503B6647">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p>
        </w:tc>
        <w:tc>
          <w:tcPr>
            <w:tcW w:w="1524" w:type="dxa"/>
            <w:noWrap w:val="0"/>
            <w:vAlign w:val="center"/>
          </w:tcPr>
          <w:p w14:paraId="5641C3B1">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3.312</w:t>
            </w:r>
          </w:p>
        </w:tc>
        <w:tc>
          <w:tcPr>
            <w:tcW w:w="1722" w:type="dxa"/>
            <w:noWrap w:val="0"/>
            <w:vAlign w:val="center"/>
          </w:tcPr>
          <w:p w14:paraId="6DB667F2">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w:t>
            </w:r>
          </w:p>
        </w:tc>
        <w:tc>
          <w:tcPr>
            <w:tcW w:w="1593" w:type="dxa"/>
            <w:noWrap w:val="0"/>
            <w:vAlign w:val="center"/>
          </w:tcPr>
          <w:p w14:paraId="01D600F5">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3.312</w:t>
            </w:r>
          </w:p>
        </w:tc>
        <w:tc>
          <w:tcPr>
            <w:tcW w:w="1128" w:type="dxa"/>
            <w:noWrap w:val="0"/>
            <w:vAlign w:val="center"/>
          </w:tcPr>
          <w:p w14:paraId="78CFBA98">
            <w:pPr>
              <w:pStyle w:val="72"/>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+3.312</w:t>
            </w:r>
          </w:p>
        </w:tc>
      </w:tr>
      <w:tr w14:paraId="33F30D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2" w:type="dxa"/>
            <w:gridSpan w:val="2"/>
            <w:noWrap w:val="0"/>
            <w:vAlign w:val="center"/>
          </w:tcPr>
          <w:p w14:paraId="4B2D9BD6">
            <w:pPr>
              <w:pStyle w:val="72"/>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生活垃圾</w:t>
            </w:r>
          </w:p>
        </w:tc>
        <w:tc>
          <w:tcPr>
            <w:tcW w:w="1422" w:type="dxa"/>
            <w:noWrap w:val="0"/>
            <w:vAlign w:val="center"/>
          </w:tcPr>
          <w:p w14:paraId="5BE9B481">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3" w:type="dxa"/>
            <w:noWrap w:val="0"/>
            <w:vAlign w:val="center"/>
          </w:tcPr>
          <w:p w14:paraId="2E3D24F2">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663" w:type="dxa"/>
            <w:noWrap w:val="0"/>
            <w:vAlign w:val="center"/>
          </w:tcPr>
          <w:p w14:paraId="2F1B663C">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2828D47F">
            <w:pPr>
              <w:pStyle w:val="7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3.96</w:t>
            </w:r>
          </w:p>
        </w:tc>
        <w:tc>
          <w:tcPr>
            <w:tcW w:w="1722" w:type="dxa"/>
            <w:noWrap w:val="0"/>
            <w:vAlign w:val="center"/>
          </w:tcPr>
          <w:p w14:paraId="61DF7DF7">
            <w:pPr>
              <w:pStyle w:val="72"/>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93" w:type="dxa"/>
            <w:noWrap w:val="0"/>
            <w:vAlign w:val="center"/>
          </w:tcPr>
          <w:p w14:paraId="6D2928E0">
            <w:pPr>
              <w:pStyle w:val="72"/>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3.96</w:t>
            </w:r>
          </w:p>
        </w:tc>
        <w:tc>
          <w:tcPr>
            <w:tcW w:w="1128" w:type="dxa"/>
            <w:noWrap w:val="0"/>
            <w:vAlign w:val="center"/>
          </w:tcPr>
          <w:p w14:paraId="252B9354">
            <w:pPr>
              <w:pStyle w:val="72"/>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+3.96</w:t>
            </w:r>
          </w:p>
        </w:tc>
      </w:tr>
    </w:tbl>
    <w:p w14:paraId="2675DBA7">
      <w:pPr>
        <w:pStyle w:val="72"/>
        <w:spacing w:before="192" w:beforeLines="80" w:after="24"/>
        <w:jc w:val="left"/>
        <w:rPr>
          <w:rFonts w:hint="default" w:ascii="Times New Roman" w:hAnsi="Times New Roman" w:cs="Times New Roman"/>
          <w:snapToGrid w:val="0"/>
          <w:color w:val="auto"/>
          <w:spacing w:val="-6"/>
          <w:kern w:val="21"/>
          <w:szCs w:val="21"/>
          <w:lang w:val="en-US" w:eastAsia="zh-CN"/>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sectPr>
      <w:footerReference r:id="rId7" w:type="default"/>
      <w:pgSz w:w="16838" w:h="11906" w:orient="landscape"/>
      <w:pgMar w:top="1083" w:right="1080" w:bottom="1083" w:left="108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603BB28-7257-4EF5-9942-1F7500EC54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2" w:fontKey="{3FEF8023-4660-4D92-93AD-663414DBD0F7}"/>
  </w:font>
  <w:font w:name="MingLiU">
    <w:altName w:val="PMingLiU-ExtB"/>
    <w:panose1 w:val="02020509000000000000"/>
    <w:charset w:val="88"/>
    <w:family w:val="modern"/>
    <w:pitch w:val="default"/>
    <w:sig w:usb0="00000000" w:usb1="00000000" w:usb2="00000016" w:usb3="00000000" w:csb0="00100001" w:csb1="00000000"/>
  </w:font>
  <w:font w:name="仿宋体">
    <w:altName w:val="仿宋"/>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3" w:fontKey="{C66362A7-AA7B-4CF1-A069-6C76F42A8E7D}"/>
  </w:font>
  <w:font w:name="Microsoft YaHei UI">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4" w:fontKey="{2E894C8E-FF2A-4565-85BB-1C6FECA4A8B3}"/>
  </w:font>
  <w:font w:name="Tahoma">
    <w:panose1 w:val="020B0604030504040204"/>
    <w:charset w:val="00"/>
    <w:family w:val="swiss"/>
    <w:pitch w:val="default"/>
    <w:sig w:usb0="E1002EFF" w:usb1="C000605B" w:usb2="00000029" w:usb3="00000000" w:csb0="200101FF" w:csb1="20280000"/>
  </w:font>
  <w:font w:name="方正小标宋_GBK">
    <w:panose1 w:val="03000509000000000000"/>
    <w:charset w:val="86"/>
    <w:family w:val="script"/>
    <w:pitch w:val="default"/>
    <w:sig w:usb0="00000001" w:usb1="080E0000" w:usb2="00000000" w:usb3="00000000" w:csb0="00040000" w:csb1="00000000"/>
    <w:embedRegular r:id="rId5" w:fontKey="{BDDAF87C-BDE2-4CFD-B1BB-D80714DB689D}"/>
  </w:font>
  <w:font w:name="华文仿宋">
    <w:panose1 w:val="02010600040101010101"/>
    <w:charset w:val="86"/>
    <w:family w:val="auto"/>
    <w:pitch w:val="default"/>
    <w:sig w:usb0="00000287" w:usb1="080F0000" w:usb2="00000000" w:usb3="00000000" w:csb0="0004009F" w:csb1="DFD70000"/>
    <w:embedRegular r:id="rId6" w:fontKey="{AB6CBF2A-3BC1-4824-B66A-EF19ADD4D0D9}"/>
  </w:font>
  <w:font w:name="Wingdings 2">
    <w:panose1 w:val="05020102010507070707"/>
    <w:charset w:val="02"/>
    <w:family w:val="auto"/>
    <w:pitch w:val="default"/>
    <w:sig w:usb0="00000000" w:usb1="00000000" w:usb2="00000000" w:usb3="00000000" w:csb0="80000000" w:csb1="00000000"/>
    <w:embedRegular r:id="rId7" w:fontKey="{4FCAD697-8A5B-4D0E-821D-DA671325D6BE}"/>
  </w:font>
  <w:font w:name="TimesNewRomanPSMT">
    <w:altName w:val="Times New Roman"/>
    <w:panose1 w:val="00000000000000000000"/>
    <w:charset w:val="00"/>
    <w:family w:val="auto"/>
    <w:pitch w:val="default"/>
    <w:sig w:usb0="00000000" w:usb1="00000000" w:usb2="00000000" w:usb3="00000000" w:csb0="00040001" w:csb1="00000000"/>
    <w:embedRegular r:id="rId8" w:fontKey="{07123143-8732-4337-BB42-EECB38400E59}"/>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A6F0C">
    <w:pPr>
      <w:pStyle w:val="20"/>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FA5CB0">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7FA5CB0">
                    <w:pPr>
                      <w:pStyle w:val="2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F7283">
    <w:pPr>
      <w:pStyle w:val="20"/>
      <w:framePr w:wrap="around" w:vAnchor="text" w:hAnchor="margin" w:xAlign="center" w:y="1"/>
      <w:rPr>
        <w:rStyle w:val="36"/>
      </w:rPr>
    </w:pPr>
    <w:r>
      <w:fldChar w:fldCharType="begin"/>
    </w:r>
    <w:r>
      <w:rPr>
        <w:rStyle w:val="36"/>
      </w:rPr>
      <w:instrText xml:space="preserve">PAGE  </w:instrText>
    </w:r>
    <w:r>
      <w:fldChar w:fldCharType="end"/>
    </w:r>
  </w:p>
  <w:p w14:paraId="4762F99F">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EE263">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AC809">
                          <w:pPr>
                            <w:pStyle w:val="20"/>
                            <w:rPr>
                              <w:rStyle w:val="36"/>
                              <w:rFonts w:ascii="宋体" w:hAnsi="宋体"/>
                              <w:sz w:val="28"/>
                              <w:szCs w:val="28"/>
                            </w:rPr>
                          </w:pPr>
                          <w:r>
                            <w:rPr>
                              <w:rStyle w:val="36"/>
                              <w:rFonts w:hint="eastAsia" w:ascii="宋体" w:hAnsi="宋体"/>
                              <w:sz w:val="28"/>
                              <w:szCs w:val="28"/>
                            </w:rPr>
                            <w:t>—</w:t>
                          </w:r>
                          <w:r>
                            <w:rPr>
                              <w:rStyle w:val="36"/>
                              <w:rFonts w:hint="eastAsia" w:ascii="宋体" w:hAnsi="宋体"/>
                              <w:sz w:val="20"/>
                            </w:rPr>
                            <w:t xml:space="preserve">  </w:t>
                          </w:r>
                          <w:r>
                            <w:rPr>
                              <w:rFonts w:ascii="宋体" w:hAnsi="宋体"/>
                              <w:sz w:val="26"/>
                              <w:szCs w:val="26"/>
                            </w:rPr>
                            <w:fldChar w:fldCharType="begin"/>
                          </w:r>
                          <w:r>
                            <w:rPr>
                              <w:rStyle w:val="36"/>
                              <w:rFonts w:ascii="宋体" w:hAnsi="宋体"/>
                              <w:sz w:val="26"/>
                              <w:szCs w:val="26"/>
                            </w:rPr>
                            <w:instrText xml:space="preserve">PAGE  </w:instrText>
                          </w:r>
                          <w:r>
                            <w:rPr>
                              <w:rFonts w:ascii="宋体" w:hAnsi="宋体"/>
                              <w:sz w:val="26"/>
                              <w:szCs w:val="26"/>
                            </w:rPr>
                            <w:fldChar w:fldCharType="separate"/>
                          </w:r>
                          <w:r>
                            <w:rPr>
                              <w:rStyle w:val="36"/>
                              <w:rFonts w:ascii="宋体" w:hAnsi="宋体"/>
                              <w:sz w:val="26"/>
                              <w:szCs w:val="26"/>
                            </w:rPr>
                            <w:t>9</w:t>
                          </w:r>
                          <w:r>
                            <w:rPr>
                              <w:rFonts w:ascii="宋体" w:hAnsi="宋体"/>
                              <w:sz w:val="26"/>
                              <w:szCs w:val="26"/>
                            </w:rPr>
                            <w:fldChar w:fldCharType="end"/>
                          </w:r>
                          <w:r>
                            <w:rPr>
                              <w:rStyle w:val="36"/>
                              <w:rFonts w:hint="eastAsia" w:ascii="宋体" w:hAnsi="宋体"/>
                              <w:sz w:val="20"/>
                            </w:rPr>
                            <w:t xml:space="preserve">  </w:t>
                          </w:r>
                          <w:r>
                            <w:rPr>
                              <w:rStyle w:val="36"/>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6AC809">
                    <w:pPr>
                      <w:pStyle w:val="20"/>
                      <w:rPr>
                        <w:rStyle w:val="36"/>
                        <w:rFonts w:ascii="宋体" w:hAnsi="宋体"/>
                        <w:sz w:val="28"/>
                        <w:szCs w:val="28"/>
                      </w:rPr>
                    </w:pPr>
                    <w:r>
                      <w:rPr>
                        <w:rStyle w:val="36"/>
                        <w:rFonts w:hint="eastAsia" w:ascii="宋体" w:hAnsi="宋体"/>
                        <w:sz w:val="28"/>
                        <w:szCs w:val="28"/>
                      </w:rPr>
                      <w:t>—</w:t>
                    </w:r>
                    <w:r>
                      <w:rPr>
                        <w:rStyle w:val="36"/>
                        <w:rFonts w:hint="eastAsia" w:ascii="宋体" w:hAnsi="宋体"/>
                        <w:sz w:val="20"/>
                      </w:rPr>
                      <w:t xml:space="preserve">  </w:t>
                    </w:r>
                    <w:r>
                      <w:rPr>
                        <w:rFonts w:ascii="宋体" w:hAnsi="宋体"/>
                        <w:sz w:val="26"/>
                        <w:szCs w:val="26"/>
                      </w:rPr>
                      <w:fldChar w:fldCharType="begin"/>
                    </w:r>
                    <w:r>
                      <w:rPr>
                        <w:rStyle w:val="36"/>
                        <w:rFonts w:ascii="宋体" w:hAnsi="宋体"/>
                        <w:sz w:val="26"/>
                        <w:szCs w:val="26"/>
                      </w:rPr>
                      <w:instrText xml:space="preserve">PAGE  </w:instrText>
                    </w:r>
                    <w:r>
                      <w:rPr>
                        <w:rFonts w:ascii="宋体" w:hAnsi="宋体"/>
                        <w:sz w:val="26"/>
                        <w:szCs w:val="26"/>
                      </w:rPr>
                      <w:fldChar w:fldCharType="separate"/>
                    </w:r>
                    <w:r>
                      <w:rPr>
                        <w:rStyle w:val="36"/>
                        <w:rFonts w:ascii="宋体" w:hAnsi="宋体"/>
                        <w:sz w:val="26"/>
                        <w:szCs w:val="26"/>
                      </w:rPr>
                      <w:t>9</w:t>
                    </w:r>
                    <w:r>
                      <w:rPr>
                        <w:rFonts w:ascii="宋体" w:hAnsi="宋体"/>
                        <w:sz w:val="26"/>
                        <w:szCs w:val="26"/>
                      </w:rPr>
                      <w:fldChar w:fldCharType="end"/>
                    </w:r>
                    <w:r>
                      <w:rPr>
                        <w:rStyle w:val="36"/>
                        <w:rFonts w:hint="eastAsia" w:ascii="宋体" w:hAnsi="宋体"/>
                        <w:sz w:val="20"/>
                      </w:rPr>
                      <w:t xml:space="preserve">  </w:t>
                    </w:r>
                    <w:r>
                      <w:rPr>
                        <w:rStyle w:val="36"/>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6890A">
    <w:pPr>
      <w:pStyle w:val="2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63A24E">
                          <w:pPr>
                            <w:pStyle w:val="20"/>
                            <w:rPr>
                              <w:rStyle w:val="36"/>
                              <w:rFonts w:ascii="宋体" w:hAnsi="宋体"/>
                              <w:sz w:val="28"/>
                              <w:szCs w:val="28"/>
                            </w:rPr>
                          </w:pPr>
                          <w:r>
                            <w:rPr>
                              <w:rStyle w:val="36"/>
                              <w:rFonts w:hint="eastAsia" w:ascii="宋体" w:hAnsi="宋体"/>
                              <w:sz w:val="28"/>
                              <w:szCs w:val="28"/>
                            </w:rPr>
                            <w:t>—</w:t>
                          </w:r>
                          <w:r>
                            <w:rPr>
                              <w:rStyle w:val="36"/>
                              <w:rFonts w:hint="eastAsia" w:ascii="宋体" w:hAnsi="宋体"/>
                              <w:sz w:val="20"/>
                            </w:rPr>
                            <w:t xml:space="preserve">  </w:t>
                          </w:r>
                          <w:r>
                            <w:rPr>
                              <w:rFonts w:ascii="宋体" w:hAnsi="宋体"/>
                              <w:sz w:val="26"/>
                              <w:szCs w:val="26"/>
                            </w:rPr>
                            <w:fldChar w:fldCharType="begin"/>
                          </w:r>
                          <w:r>
                            <w:rPr>
                              <w:rStyle w:val="36"/>
                              <w:rFonts w:ascii="宋体" w:hAnsi="宋体"/>
                              <w:sz w:val="26"/>
                              <w:szCs w:val="26"/>
                            </w:rPr>
                            <w:instrText xml:space="preserve">PAGE  </w:instrText>
                          </w:r>
                          <w:r>
                            <w:rPr>
                              <w:rFonts w:ascii="宋体" w:hAnsi="宋体"/>
                              <w:sz w:val="26"/>
                              <w:szCs w:val="26"/>
                            </w:rPr>
                            <w:fldChar w:fldCharType="separate"/>
                          </w:r>
                          <w:r>
                            <w:rPr>
                              <w:rStyle w:val="36"/>
                              <w:rFonts w:ascii="宋体" w:hAnsi="宋体"/>
                              <w:sz w:val="26"/>
                              <w:szCs w:val="26"/>
                            </w:rPr>
                            <w:t>11</w:t>
                          </w:r>
                          <w:r>
                            <w:rPr>
                              <w:rFonts w:ascii="宋体" w:hAnsi="宋体"/>
                              <w:sz w:val="26"/>
                              <w:szCs w:val="26"/>
                            </w:rPr>
                            <w:fldChar w:fldCharType="end"/>
                          </w:r>
                          <w:r>
                            <w:rPr>
                              <w:rStyle w:val="36"/>
                              <w:rFonts w:hint="eastAsia" w:ascii="宋体" w:hAnsi="宋体"/>
                              <w:sz w:val="20"/>
                            </w:rPr>
                            <w:t xml:space="preserve">  </w:t>
                          </w:r>
                          <w:r>
                            <w:rPr>
                              <w:rStyle w:val="36"/>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263A24E">
                    <w:pPr>
                      <w:pStyle w:val="20"/>
                      <w:rPr>
                        <w:rStyle w:val="36"/>
                        <w:rFonts w:ascii="宋体" w:hAnsi="宋体"/>
                        <w:sz w:val="28"/>
                        <w:szCs w:val="28"/>
                      </w:rPr>
                    </w:pPr>
                    <w:r>
                      <w:rPr>
                        <w:rStyle w:val="36"/>
                        <w:rFonts w:hint="eastAsia" w:ascii="宋体" w:hAnsi="宋体"/>
                        <w:sz w:val="28"/>
                        <w:szCs w:val="28"/>
                      </w:rPr>
                      <w:t>—</w:t>
                    </w:r>
                    <w:r>
                      <w:rPr>
                        <w:rStyle w:val="36"/>
                        <w:rFonts w:hint="eastAsia" w:ascii="宋体" w:hAnsi="宋体"/>
                        <w:sz w:val="20"/>
                      </w:rPr>
                      <w:t xml:space="preserve">  </w:t>
                    </w:r>
                    <w:r>
                      <w:rPr>
                        <w:rFonts w:ascii="宋体" w:hAnsi="宋体"/>
                        <w:sz w:val="26"/>
                        <w:szCs w:val="26"/>
                      </w:rPr>
                      <w:fldChar w:fldCharType="begin"/>
                    </w:r>
                    <w:r>
                      <w:rPr>
                        <w:rStyle w:val="36"/>
                        <w:rFonts w:ascii="宋体" w:hAnsi="宋体"/>
                        <w:sz w:val="26"/>
                        <w:szCs w:val="26"/>
                      </w:rPr>
                      <w:instrText xml:space="preserve">PAGE  </w:instrText>
                    </w:r>
                    <w:r>
                      <w:rPr>
                        <w:rFonts w:ascii="宋体" w:hAnsi="宋体"/>
                        <w:sz w:val="26"/>
                        <w:szCs w:val="26"/>
                      </w:rPr>
                      <w:fldChar w:fldCharType="separate"/>
                    </w:r>
                    <w:r>
                      <w:rPr>
                        <w:rStyle w:val="36"/>
                        <w:rFonts w:ascii="宋体" w:hAnsi="宋体"/>
                        <w:sz w:val="26"/>
                        <w:szCs w:val="26"/>
                      </w:rPr>
                      <w:t>11</w:t>
                    </w:r>
                    <w:r>
                      <w:rPr>
                        <w:rFonts w:ascii="宋体" w:hAnsi="宋体"/>
                        <w:sz w:val="26"/>
                        <w:szCs w:val="26"/>
                      </w:rPr>
                      <w:fldChar w:fldCharType="end"/>
                    </w:r>
                    <w:r>
                      <w:rPr>
                        <w:rStyle w:val="36"/>
                        <w:rFonts w:hint="eastAsia" w:ascii="宋体" w:hAnsi="宋体"/>
                        <w:sz w:val="20"/>
                      </w:rPr>
                      <w:t xml:space="preserve">  </w:t>
                    </w:r>
                    <w:r>
                      <w:rPr>
                        <w:rStyle w:val="36"/>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1DAB9">
    <w:pPr>
      <w:pStyle w:val="20"/>
      <w:ind w:right="360" w:firstLine="360"/>
    </w:pPr>
    <w:r>
      <w:rPr>
        <w:sz w:val="18"/>
      </w:rPr>
      <mc:AlternateContent>
        <mc:Choice Requires="wps">
          <w:drawing>
            <wp:anchor distT="0" distB="0" distL="114300" distR="114300" simplePos="0" relativeHeight="251664384" behindDoc="0" locked="0" layoutInCell="1" allowOverlap="1">
              <wp:simplePos x="0" y="0"/>
              <wp:positionH relativeFrom="margin">
                <wp:posOffset>4288790</wp:posOffset>
              </wp:positionH>
              <wp:positionV relativeFrom="paragraph">
                <wp:posOffset>-50165</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611BF">
                          <w:pPr>
                            <w:pStyle w:val="20"/>
                            <w:rPr>
                              <w:rStyle w:val="36"/>
                              <w:rFonts w:ascii="宋体" w:hAnsi="宋体"/>
                              <w:sz w:val="28"/>
                              <w:szCs w:val="28"/>
                            </w:rPr>
                          </w:pPr>
                          <w:r>
                            <w:rPr>
                              <w:rStyle w:val="36"/>
                              <w:rFonts w:hint="eastAsia" w:ascii="宋体" w:hAnsi="宋体"/>
                              <w:sz w:val="28"/>
                              <w:szCs w:val="28"/>
                            </w:rPr>
                            <w:t>—</w:t>
                          </w:r>
                          <w:r>
                            <w:rPr>
                              <w:rStyle w:val="36"/>
                              <w:rFonts w:hint="eastAsia" w:ascii="宋体" w:hAnsi="宋体"/>
                              <w:sz w:val="20"/>
                            </w:rPr>
                            <w:t xml:space="preserve">  </w:t>
                          </w:r>
                          <w:r>
                            <w:rPr>
                              <w:rFonts w:ascii="宋体" w:hAnsi="宋体"/>
                              <w:sz w:val="26"/>
                              <w:szCs w:val="26"/>
                            </w:rPr>
                            <w:fldChar w:fldCharType="begin"/>
                          </w:r>
                          <w:r>
                            <w:rPr>
                              <w:rStyle w:val="36"/>
                              <w:rFonts w:ascii="宋体" w:hAnsi="宋体"/>
                              <w:sz w:val="26"/>
                              <w:szCs w:val="26"/>
                            </w:rPr>
                            <w:instrText xml:space="preserve">PAGE  </w:instrText>
                          </w:r>
                          <w:r>
                            <w:rPr>
                              <w:rFonts w:ascii="宋体" w:hAnsi="宋体"/>
                              <w:sz w:val="26"/>
                              <w:szCs w:val="26"/>
                            </w:rPr>
                            <w:fldChar w:fldCharType="separate"/>
                          </w:r>
                          <w:r>
                            <w:rPr>
                              <w:rStyle w:val="36"/>
                              <w:rFonts w:ascii="宋体" w:hAnsi="宋体"/>
                              <w:sz w:val="26"/>
                              <w:szCs w:val="26"/>
                            </w:rPr>
                            <w:t>11</w:t>
                          </w:r>
                          <w:r>
                            <w:rPr>
                              <w:rFonts w:ascii="宋体" w:hAnsi="宋体"/>
                              <w:sz w:val="26"/>
                              <w:szCs w:val="26"/>
                            </w:rPr>
                            <w:fldChar w:fldCharType="end"/>
                          </w:r>
                          <w:r>
                            <w:rPr>
                              <w:rStyle w:val="36"/>
                              <w:rFonts w:hint="eastAsia" w:ascii="宋体" w:hAnsi="宋体"/>
                              <w:sz w:val="20"/>
                            </w:rPr>
                            <w:t xml:space="preserve">  </w:t>
                          </w:r>
                          <w:r>
                            <w:rPr>
                              <w:rStyle w:val="36"/>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37.7pt;margin-top:-3.95pt;height:144pt;width:144pt;mso-position-horizontal-relative:margin;mso-wrap-style:none;z-index:251664384;mso-width-relative:page;mso-height-relative:page;" filled="f" stroked="f" coordsize="21600,21600" o:gfxdata="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th57A2QAAAAoBAAAPAAAAAAAAAAEAIAAAACIAAABkcnMvZG93bnJldi54&#10;bWxQSwECFAAUAAAACACHTuJAIwUTnTICAABjBAAADgAAAAAAAAABACAAAAAoAQAAZHJzL2Uyb0Rv&#10;Yy54bWxQSwUGAAAAAAYABgBZAQAAzAUAAAAA&#10;">
              <v:fill on="f" focussize="0,0"/>
              <v:stroke on="f" weight="0.5pt"/>
              <v:imagedata o:title=""/>
              <o:lock v:ext="edit" aspectratio="f"/>
              <v:textbox inset="0mm,0mm,0mm,0mm" style="mso-fit-shape-to-text:t;">
                <w:txbxContent>
                  <w:p w14:paraId="08C611BF">
                    <w:pPr>
                      <w:pStyle w:val="20"/>
                      <w:rPr>
                        <w:rStyle w:val="36"/>
                        <w:rFonts w:ascii="宋体" w:hAnsi="宋体"/>
                        <w:sz w:val="28"/>
                        <w:szCs w:val="28"/>
                      </w:rPr>
                    </w:pPr>
                    <w:r>
                      <w:rPr>
                        <w:rStyle w:val="36"/>
                        <w:rFonts w:hint="eastAsia" w:ascii="宋体" w:hAnsi="宋体"/>
                        <w:sz w:val="28"/>
                        <w:szCs w:val="28"/>
                      </w:rPr>
                      <w:t>—</w:t>
                    </w:r>
                    <w:r>
                      <w:rPr>
                        <w:rStyle w:val="36"/>
                        <w:rFonts w:hint="eastAsia" w:ascii="宋体" w:hAnsi="宋体"/>
                        <w:sz w:val="20"/>
                      </w:rPr>
                      <w:t xml:space="preserve">  </w:t>
                    </w:r>
                    <w:r>
                      <w:rPr>
                        <w:rFonts w:ascii="宋体" w:hAnsi="宋体"/>
                        <w:sz w:val="26"/>
                        <w:szCs w:val="26"/>
                      </w:rPr>
                      <w:fldChar w:fldCharType="begin"/>
                    </w:r>
                    <w:r>
                      <w:rPr>
                        <w:rStyle w:val="36"/>
                        <w:rFonts w:ascii="宋体" w:hAnsi="宋体"/>
                        <w:sz w:val="26"/>
                        <w:szCs w:val="26"/>
                      </w:rPr>
                      <w:instrText xml:space="preserve">PAGE  </w:instrText>
                    </w:r>
                    <w:r>
                      <w:rPr>
                        <w:rFonts w:ascii="宋体" w:hAnsi="宋体"/>
                        <w:sz w:val="26"/>
                        <w:szCs w:val="26"/>
                      </w:rPr>
                      <w:fldChar w:fldCharType="separate"/>
                    </w:r>
                    <w:r>
                      <w:rPr>
                        <w:rStyle w:val="36"/>
                        <w:rFonts w:ascii="宋体" w:hAnsi="宋体"/>
                        <w:sz w:val="26"/>
                        <w:szCs w:val="26"/>
                      </w:rPr>
                      <w:t>11</w:t>
                    </w:r>
                    <w:r>
                      <w:rPr>
                        <w:rFonts w:ascii="宋体" w:hAnsi="宋体"/>
                        <w:sz w:val="26"/>
                        <w:szCs w:val="26"/>
                      </w:rPr>
                      <w:fldChar w:fldCharType="end"/>
                    </w:r>
                    <w:r>
                      <w:rPr>
                        <w:rStyle w:val="36"/>
                        <w:rFonts w:hint="eastAsia" w:ascii="宋体" w:hAnsi="宋体"/>
                        <w:sz w:val="20"/>
                      </w:rPr>
                      <w:t xml:space="preserve">  </w:t>
                    </w:r>
                    <w:r>
                      <w:rPr>
                        <w:rStyle w:val="36"/>
                        <w:rFonts w:hint="eastAsia" w:ascii="宋体" w:hAnsi="宋体"/>
                        <w:sz w:val="28"/>
                        <w:szCs w:val="28"/>
                      </w:rPr>
                      <w:t>—</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F4E38B">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1F4E38B">
                    <w:pPr>
                      <w:pStyle w:val="20"/>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8B49D"/>
    <w:multiLevelType w:val="singleLevel"/>
    <w:tmpl w:val="8F88B49D"/>
    <w:lvl w:ilvl="0" w:tentative="0">
      <w:start w:val="1"/>
      <w:numFmt w:val="decimal"/>
      <w:suff w:val="nothing"/>
      <w:lvlText w:val="（%1）"/>
      <w:lvlJc w:val="left"/>
    </w:lvl>
  </w:abstractNum>
  <w:abstractNum w:abstractNumId="1">
    <w:nsid w:val="BCF2BB88"/>
    <w:multiLevelType w:val="singleLevel"/>
    <w:tmpl w:val="BCF2BB88"/>
    <w:lvl w:ilvl="0" w:tentative="0">
      <w:start w:val="2"/>
      <w:numFmt w:val="decimal"/>
      <w:lvlText w:val="%1."/>
      <w:lvlJc w:val="left"/>
      <w:pPr>
        <w:tabs>
          <w:tab w:val="left" w:pos="312"/>
        </w:tabs>
      </w:pPr>
    </w:lvl>
  </w:abstractNum>
  <w:abstractNum w:abstractNumId="2">
    <w:nsid w:val="BE2BA1FC"/>
    <w:multiLevelType w:val="singleLevel"/>
    <w:tmpl w:val="BE2BA1FC"/>
    <w:lvl w:ilvl="0" w:tentative="0">
      <w:start w:val="2"/>
      <w:numFmt w:val="decimal"/>
      <w:suff w:val="nothing"/>
      <w:lvlText w:val="（%1）"/>
      <w:lvlJc w:val="left"/>
    </w:lvl>
  </w:abstractNum>
  <w:abstractNum w:abstractNumId="3">
    <w:nsid w:val="C8EEE82D"/>
    <w:multiLevelType w:val="singleLevel"/>
    <w:tmpl w:val="C8EEE82D"/>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4">
    <w:nsid w:val="0B274BA5"/>
    <w:multiLevelType w:val="singleLevel"/>
    <w:tmpl w:val="0B274BA5"/>
    <w:lvl w:ilvl="0" w:tentative="0">
      <w:start w:val="5"/>
      <w:numFmt w:val="decimal"/>
      <w:lvlText w:val="%1."/>
      <w:lvlJc w:val="left"/>
      <w:pPr>
        <w:tabs>
          <w:tab w:val="left" w:pos="312"/>
        </w:tabs>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JkNTgzMzNiZWFlOGNkNDQ1ZDYxM2FjN2JhNjhiZDYifQ=="/>
    <w:docVar w:name="KSO_WPS_MARK_KEY" w:val="5045ee9b-cb94-4ae9-aa46-808226a9b1dd"/>
  </w:docVars>
  <w:rsids>
    <w:rsidRoot w:val="00A14947"/>
    <w:rsid w:val="000024CA"/>
    <w:rsid w:val="00003A56"/>
    <w:rsid w:val="000042CF"/>
    <w:rsid w:val="000060B3"/>
    <w:rsid w:val="0000692E"/>
    <w:rsid w:val="00006DD7"/>
    <w:rsid w:val="0000720D"/>
    <w:rsid w:val="000104F5"/>
    <w:rsid w:val="00014BFF"/>
    <w:rsid w:val="000179DA"/>
    <w:rsid w:val="0002062A"/>
    <w:rsid w:val="000210C9"/>
    <w:rsid w:val="00022A20"/>
    <w:rsid w:val="000234DA"/>
    <w:rsid w:val="00023B6E"/>
    <w:rsid w:val="00024475"/>
    <w:rsid w:val="00024952"/>
    <w:rsid w:val="00024A08"/>
    <w:rsid w:val="00024C9A"/>
    <w:rsid w:val="0002508B"/>
    <w:rsid w:val="00025EE5"/>
    <w:rsid w:val="00036091"/>
    <w:rsid w:val="000362B7"/>
    <w:rsid w:val="000372F3"/>
    <w:rsid w:val="00040326"/>
    <w:rsid w:val="00041DE2"/>
    <w:rsid w:val="00042DAF"/>
    <w:rsid w:val="0004364B"/>
    <w:rsid w:val="0004437C"/>
    <w:rsid w:val="000448D5"/>
    <w:rsid w:val="00044CBB"/>
    <w:rsid w:val="00044DBF"/>
    <w:rsid w:val="00044DF7"/>
    <w:rsid w:val="00046198"/>
    <w:rsid w:val="00051598"/>
    <w:rsid w:val="0005449A"/>
    <w:rsid w:val="00054E77"/>
    <w:rsid w:val="000550AF"/>
    <w:rsid w:val="00055E4D"/>
    <w:rsid w:val="000607AF"/>
    <w:rsid w:val="00061B1F"/>
    <w:rsid w:val="00064763"/>
    <w:rsid w:val="000650C3"/>
    <w:rsid w:val="00066C2F"/>
    <w:rsid w:val="00066CCC"/>
    <w:rsid w:val="0006731D"/>
    <w:rsid w:val="00067A5B"/>
    <w:rsid w:val="00070862"/>
    <w:rsid w:val="000712FA"/>
    <w:rsid w:val="00072144"/>
    <w:rsid w:val="000729D7"/>
    <w:rsid w:val="000733C4"/>
    <w:rsid w:val="0007367F"/>
    <w:rsid w:val="00074339"/>
    <w:rsid w:val="00074783"/>
    <w:rsid w:val="000750FB"/>
    <w:rsid w:val="00076777"/>
    <w:rsid w:val="00077D4F"/>
    <w:rsid w:val="0008070B"/>
    <w:rsid w:val="000810AC"/>
    <w:rsid w:val="00081A02"/>
    <w:rsid w:val="00082231"/>
    <w:rsid w:val="00082F99"/>
    <w:rsid w:val="0008385E"/>
    <w:rsid w:val="00084414"/>
    <w:rsid w:val="000855A8"/>
    <w:rsid w:val="000855C9"/>
    <w:rsid w:val="00085A2B"/>
    <w:rsid w:val="00086746"/>
    <w:rsid w:val="000868D4"/>
    <w:rsid w:val="00087700"/>
    <w:rsid w:val="0009272D"/>
    <w:rsid w:val="00092D38"/>
    <w:rsid w:val="0009377B"/>
    <w:rsid w:val="00095637"/>
    <w:rsid w:val="00096B18"/>
    <w:rsid w:val="00097992"/>
    <w:rsid w:val="000979D7"/>
    <w:rsid w:val="00097B04"/>
    <w:rsid w:val="00097ECA"/>
    <w:rsid w:val="000A137B"/>
    <w:rsid w:val="000A16F7"/>
    <w:rsid w:val="000A20C9"/>
    <w:rsid w:val="000A3DB5"/>
    <w:rsid w:val="000A4D25"/>
    <w:rsid w:val="000A6D7E"/>
    <w:rsid w:val="000A71C6"/>
    <w:rsid w:val="000B058F"/>
    <w:rsid w:val="000B0B45"/>
    <w:rsid w:val="000B1E8C"/>
    <w:rsid w:val="000B23B3"/>
    <w:rsid w:val="000B404D"/>
    <w:rsid w:val="000B4467"/>
    <w:rsid w:val="000B464C"/>
    <w:rsid w:val="000B46F2"/>
    <w:rsid w:val="000B4DB9"/>
    <w:rsid w:val="000B5742"/>
    <w:rsid w:val="000B6934"/>
    <w:rsid w:val="000B75FF"/>
    <w:rsid w:val="000B7C53"/>
    <w:rsid w:val="000C09AC"/>
    <w:rsid w:val="000C104F"/>
    <w:rsid w:val="000C1BD7"/>
    <w:rsid w:val="000C27CF"/>
    <w:rsid w:val="000C572F"/>
    <w:rsid w:val="000C5880"/>
    <w:rsid w:val="000C767F"/>
    <w:rsid w:val="000C778A"/>
    <w:rsid w:val="000C7BA6"/>
    <w:rsid w:val="000D0407"/>
    <w:rsid w:val="000D0D23"/>
    <w:rsid w:val="000D1D65"/>
    <w:rsid w:val="000D4DC6"/>
    <w:rsid w:val="000D527D"/>
    <w:rsid w:val="000D5A44"/>
    <w:rsid w:val="000D7239"/>
    <w:rsid w:val="000D7C14"/>
    <w:rsid w:val="000E0454"/>
    <w:rsid w:val="000E06B1"/>
    <w:rsid w:val="000E0C50"/>
    <w:rsid w:val="000E20DC"/>
    <w:rsid w:val="000E2A9B"/>
    <w:rsid w:val="000E2B27"/>
    <w:rsid w:val="000E3ED2"/>
    <w:rsid w:val="000E46D8"/>
    <w:rsid w:val="000E7207"/>
    <w:rsid w:val="000E7954"/>
    <w:rsid w:val="000E7A6D"/>
    <w:rsid w:val="000E7ADA"/>
    <w:rsid w:val="000F1F73"/>
    <w:rsid w:val="000F4AD6"/>
    <w:rsid w:val="00100C6D"/>
    <w:rsid w:val="00100E31"/>
    <w:rsid w:val="001010ED"/>
    <w:rsid w:val="001011A5"/>
    <w:rsid w:val="00101524"/>
    <w:rsid w:val="00102278"/>
    <w:rsid w:val="00103567"/>
    <w:rsid w:val="0010475F"/>
    <w:rsid w:val="001049E0"/>
    <w:rsid w:val="00105558"/>
    <w:rsid w:val="001059C2"/>
    <w:rsid w:val="00110552"/>
    <w:rsid w:val="00115E11"/>
    <w:rsid w:val="00116A47"/>
    <w:rsid w:val="001221D8"/>
    <w:rsid w:val="00123D41"/>
    <w:rsid w:val="00124058"/>
    <w:rsid w:val="00124C4B"/>
    <w:rsid w:val="00131EF2"/>
    <w:rsid w:val="00131F42"/>
    <w:rsid w:val="00132D25"/>
    <w:rsid w:val="001342A4"/>
    <w:rsid w:val="0013473A"/>
    <w:rsid w:val="0013476E"/>
    <w:rsid w:val="001357F1"/>
    <w:rsid w:val="00137FD6"/>
    <w:rsid w:val="00140461"/>
    <w:rsid w:val="0014073E"/>
    <w:rsid w:val="00140B46"/>
    <w:rsid w:val="00140FA8"/>
    <w:rsid w:val="00141E24"/>
    <w:rsid w:val="0014231F"/>
    <w:rsid w:val="00142FEB"/>
    <w:rsid w:val="00143A2D"/>
    <w:rsid w:val="00144B14"/>
    <w:rsid w:val="0014577A"/>
    <w:rsid w:val="00145A41"/>
    <w:rsid w:val="00146A7D"/>
    <w:rsid w:val="00146B26"/>
    <w:rsid w:val="00147B88"/>
    <w:rsid w:val="0015042F"/>
    <w:rsid w:val="00151134"/>
    <w:rsid w:val="00151675"/>
    <w:rsid w:val="00151E25"/>
    <w:rsid w:val="00151EAD"/>
    <w:rsid w:val="001531C5"/>
    <w:rsid w:val="00153273"/>
    <w:rsid w:val="00157435"/>
    <w:rsid w:val="0015762C"/>
    <w:rsid w:val="0016186F"/>
    <w:rsid w:val="00161BFF"/>
    <w:rsid w:val="00165172"/>
    <w:rsid w:val="001669EA"/>
    <w:rsid w:val="00166DA0"/>
    <w:rsid w:val="00167101"/>
    <w:rsid w:val="00171B60"/>
    <w:rsid w:val="00172A69"/>
    <w:rsid w:val="00173398"/>
    <w:rsid w:val="00174EFB"/>
    <w:rsid w:val="0017504D"/>
    <w:rsid w:val="001753DD"/>
    <w:rsid w:val="00176017"/>
    <w:rsid w:val="0017671A"/>
    <w:rsid w:val="00177422"/>
    <w:rsid w:val="00177838"/>
    <w:rsid w:val="001803C2"/>
    <w:rsid w:val="00180895"/>
    <w:rsid w:val="00183C6C"/>
    <w:rsid w:val="00184590"/>
    <w:rsid w:val="001856C3"/>
    <w:rsid w:val="001870D1"/>
    <w:rsid w:val="0018781E"/>
    <w:rsid w:val="00187D1C"/>
    <w:rsid w:val="001900B1"/>
    <w:rsid w:val="001901CC"/>
    <w:rsid w:val="00190711"/>
    <w:rsid w:val="00190CB7"/>
    <w:rsid w:val="001913F5"/>
    <w:rsid w:val="0019262D"/>
    <w:rsid w:val="001941E5"/>
    <w:rsid w:val="00194275"/>
    <w:rsid w:val="00194CAF"/>
    <w:rsid w:val="001950DD"/>
    <w:rsid w:val="00195607"/>
    <w:rsid w:val="00196349"/>
    <w:rsid w:val="0019651E"/>
    <w:rsid w:val="001976F9"/>
    <w:rsid w:val="00197AF4"/>
    <w:rsid w:val="001A0B11"/>
    <w:rsid w:val="001A0D0C"/>
    <w:rsid w:val="001A10FD"/>
    <w:rsid w:val="001A19F5"/>
    <w:rsid w:val="001A1B35"/>
    <w:rsid w:val="001A2C2D"/>
    <w:rsid w:val="001A3334"/>
    <w:rsid w:val="001A342B"/>
    <w:rsid w:val="001A48A2"/>
    <w:rsid w:val="001A4E6A"/>
    <w:rsid w:val="001A6BCB"/>
    <w:rsid w:val="001A6F61"/>
    <w:rsid w:val="001A7B46"/>
    <w:rsid w:val="001B0FA6"/>
    <w:rsid w:val="001B1589"/>
    <w:rsid w:val="001B3676"/>
    <w:rsid w:val="001B4027"/>
    <w:rsid w:val="001B47CF"/>
    <w:rsid w:val="001B54D2"/>
    <w:rsid w:val="001B5688"/>
    <w:rsid w:val="001B5E58"/>
    <w:rsid w:val="001B72B8"/>
    <w:rsid w:val="001C02FE"/>
    <w:rsid w:val="001C10B3"/>
    <w:rsid w:val="001C66CD"/>
    <w:rsid w:val="001C69B3"/>
    <w:rsid w:val="001C7448"/>
    <w:rsid w:val="001D23B8"/>
    <w:rsid w:val="001D37C1"/>
    <w:rsid w:val="001D427E"/>
    <w:rsid w:val="001D4C2A"/>
    <w:rsid w:val="001D5198"/>
    <w:rsid w:val="001D5595"/>
    <w:rsid w:val="001D6534"/>
    <w:rsid w:val="001D671A"/>
    <w:rsid w:val="001D7874"/>
    <w:rsid w:val="001D7F22"/>
    <w:rsid w:val="001E0941"/>
    <w:rsid w:val="001E13F9"/>
    <w:rsid w:val="001E15CC"/>
    <w:rsid w:val="001E1EE9"/>
    <w:rsid w:val="001E2D1B"/>
    <w:rsid w:val="001E2E98"/>
    <w:rsid w:val="001E55BC"/>
    <w:rsid w:val="001E7727"/>
    <w:rsid w:val="001F0F17"/>
    <w:rsid w:val="001F235A"/>
    <w:rsid w:val="001F2DDA"/>
    <w:rsid w:val="001F3347"/>
    <w:rsid w:val="001F3682"/>
    <w:rsid w:val="001F40B3"/>
    <w:rsid w:val="001F59C0"/>
    <w:rsid w:val="001F6747"/>
    <w:rsid w:val="001F69E4"/>
    <w:rsid w:val="00200C06"/>
    <w:rsid w:val="00201EEC"/>
    <w:rsid w:val="002041DA"/>
    <w:rsid w:val="00204363"/>
    <w:rsid w:val="00212251"/>
    <w:rsid w:val="002125B4"/>
    <w:rsid w:val="00213D81"/>
    <w:rsid w:val="0021498F"/>
    <w:rsid w:val="002155B8"/>
    <w:rsid w:val="00215A52"/>
    <w:rsid w:val="00215C87"/>
    <w:rsid w:val="00220204"/>
    <w:rsid w:val="002202C1"/>
    <w:rsid w:val="00220361"/>
    <w:rsid w:val="00220ED0"/>
    <w:rsid w:val="002212DF"/>
    <w:rsid w:val="00221DDC"/>
    <w:rsid w:val="00222917"/>
    <w:rsid w:val="00224839"/>
    <w:rsid w:val="002249B2"/>
    <w:rsid w:val="00224DE2"/>
    <w:rsid w:val="00224EFB"/>
    <w:rsid w:val="00225218"/>
    <w:rsid w:val="00226574"/>
    <w:rsid w:val="002266F6"/>
    <w:rsid w:val="002278EC"/>
    <w:rsid w:val="00230234"/>
    <w:rsid w:val="0023280E"/>
    <w:rsid w:val="0023362E"/>
    <w:rsid w:val="00233C56"/>
    <w:rsid w:val="0023499C"/>
    <w:rsid w:val="00234CD7"/>
    <w:rsid w:val="00234D1E"/>
    <w:rsid w:val="0023649C"/>
    <w:rsid w:val="002377D1"/>
    <w:rsid w:val="0024066D"/>
    <w:rsid w:val="00241A1A"/>
    <w:rsid w:val="00242F53"/>
    <w:rsid w:val="002438EF"/>
    <w:rsid w:val="00243AC5"/>
    <w:rsid w:val="00244E74"/>
    <w:rsid w:val="00245FBE"/>
    <w:rsid w:val="002506BC"/>
    <w:rsid w:val="002526BE"/>
    <w:rsid w:val="00253243"/>
    <w:rsid w:val="0025415B"/>
    <w:rsid w:val="00254345"/>
    <w:rsid w:val="0025557A"/>
    <w:rsid w:val="002559A6"/>
    <w:rsid w:val="00260630"/>
    <w:rsid w:val="0026348D"/>
    <w:rsid w:val="00264557"/>
    <w:rsid w:val="00264A67"/>
    <w:rsid w:val="00266913"/>
    <w:rsid w:val="00270066"/>
    <w:rsid w:val="00270E4B"/>
    <w:rsid w:val="00274FA1"/>
    <w:rsid w:val="0027535D"/>
    <w:rsid w:val="00275558"/>
    <w:rsid w:val="00275CDA"/>
    <w:rsid w:val="00276052"/>
    <w:rsid w:val="002805AB"/>
    <w:rsid w:val="0028097C"/>
    <w:rsid w:val="0028214C"/>
    <w:rsid w:val="002836D4"/>
    <w:rsid w:val="00284204"/>
    <w:rsid w:val="00284EAE"/>
    <w:rsid w:val="002861E9"/>
    <w:rsid w:val="00287111"/>
    <w:rsid w:val="00287534"/>
    <w:rsid w:val="00287936"/>
    <w:rsid w:val="00291773"/>
    <w:rsid w:val="00292362"/>
    <w:rsid w:val="00293EAB"/>
    <w:rsid w:val="00293F59"/>
    <w:rsid w:val="00295DAE"/>
    <w:rsid w:val="00296403"/>
    <w:rsid w:val="002A1034"/>
    <w:rsid w:val="002A1606"/>
    <w:rsid w:val="002A168C"/>
    <w:rsid w:val="002A36C6"/>
    <w:rsid w:val="002A3DC7"/>
    <w:rsid w:val="002A4E08"/>
    <w:rsid w:val="002A5864"/>
    <w:rsid w:val="002A5981"/>
    <w:rsid w:val="002B2ED7"/>
    <w:rsid w:val="002B40B9"/>
    <w:rsid w:val="002B49E2"/>
    <w:rsid w:val="002B4B61"/>
    <w:rsid w:val="002B5464"/>
    <w:rsid w:val="002B7B00"/>
    <w:rsid w:val="002B7C44"/>
    <w:rsid w:val="002C0E46"/>
    <w:rsid w:val="002C0F2D"/>
    <w:rsid w:val="002C2B17"/>
    <w:rsid w:val="002C4268"/>
    <w:rsid w:val="002C544A"/>
    <w:rsid w:val="002C5F55"/>
    <w:rsid w:val="002C63CF"/>
    <w:rsid w:val="002C7083"/>
    <w:rsid w:val="002D0889"/>
    <w:rsid w:val="002D175F"/>
    <w:rsid w:val="002D2D01"/>
    <w:rsid w:val="002D37B1"/>
    <w:rsid w:val="002D3DD0"/>
    <w:rsid w:val="002D408E"/>
    <w:rsid w:val="002D41E3"/>
    <w:rsid w:val="002D5337"/>
    <w:rsid w:val="002D6185"/>
    <w:rsid w:val="002D6A7C"/>
    <w:rsid w:val="002E1F3A"/>
    <w:rsid w:val="002E298A"/>
    <w:rsid w:val="002E2B38"/>
    <w:rsid w:val="002E2DC2"/>
    <w:rsid w:val="002E51A9"/>
    <w:rsid w:val="002E754C"/>
    <w:rsid w:val="002E7736"/>
    <w:rsid w:val="002F18E4"/>
    <w:rsid w:val="002F1DD7"/>
    <w:rsid w:val="002F21A1"/>
    <w:rsid w:val="002F3BF8"/>
    <w:rsid w:val="002F6924"/>
    <w:rsid w:val="002F75F3"/>
    <w:rsid w:val="00301978"/>
    <w:rsid w:val="00302058"/>
    <w:rsid w:val="00302206"/>
    <w:rsid w:val="0030332C"/>
    <w:rsid w:val="003051C2"/>
    <w:rsid w:val="00306697"/>
    <w:rsid w:val="00306B08"/>
    <w:rsid w:val="003079BA"/>
    <w:rsid w:val="003106B4"/>
    <w:rsid w:val="00310799"/>
    <w:rsid w:val="00311EA8"/>
    <w:rsid w:val="003121AC"/>
    <w:rsid w:val="00312296"/>
    <w:rsid w:val="00313FB3"/>
    <w:rsid w:val="00314F0E"/>
    <w:rsid w:val="00315238"/>
    <w:rsid w:val="003169EE"/>
    <w:rsid w:val="00321D8E"/>
    <w:rsid w:val="00322F97"/>
    <w:rsid w:val="00323999"/>
    <w:rsid w:val="00325684"/>
    <w:rsid w:val="003256D5"/>
    <w:rsid w:val="0032579C"/>
    <w:rsid w:val="00325928"/>
    <w:rsid w:val="00325B1A"/>
    <w:rsid w:val="00325F44"/>
    <w:rsid w:val="0033014A"/>
    <w:rsid w:val="003313DA"/>
    <w:rsid w:val="00332863"/>
    <w:rsid w:val="00335235"/>
    <w:rsid w:val="003360D8"/>
    <w:rsid w:val="0033677A"/>
    <w:rsid w:val="0033684D"/>
    <w:rsid w:val="00337B42"/>
    <w:rsid w:val="00341B42"/>
    <w:rsid w:val="003420EB"/>
    <w:rsid w:val="00342DD7"/>
    <w:rsid w:val="0034348F"/>
    <w:rsid w:val="00344C13"/>
    <w:rsid w:val="0035163A"/>
    <w:rsid w:val="00356653"/>
    <w:rsid w:val="0035743F"/>
    <w:rsid w:val="003574B8"/>
    <w:rsid w:val="00357BE2"/>
    <w:rsid w:val="0036130F"/>
    <w:rsid w:val="0036170C"/>
    <w:rsid w:val="00361BD8"/>
    <w:rsid w:val="00362414"/>
    <w:rsid w:val="0036278F"/>
    <w:rsid w:val="00363B32"/>
    <w:rsid w:val="00363E49"/>
    <w:rsid w:val="0036636F"/>
    <w:rsid w:val="0036649C"/>
    <w:rsid w:val="00366E0F"/>
    <w:rsid w:val="0036717A"/>
    <w:rsid w:val="00370B8C"/>
    <w:rsid w:val="00372822"/>
    <w:rsid w:val="0037353B"/>
    <w:rsid w:val="003745AB"/>
    <w:rsid w:val="0037568E"/>
    <w:rsid w:val="00375E8F"/>
    <w:rsid w:val="00376247"/>
    <w:rsid w:val="00376682"/>
    <w:rsid w:val="00376D26"/>
    <w:rsid w:val="00381A72"/>
    <w:rsid w:val="00382D0F"/>
    <w:rsid w:val="00384676"/>
    <w:rsid w:val="0038505D"/>
    <w:rsid w:val="00385CA8"/>
    <w:rsid w:val="00386463"/>
    <w:rsid w:val="00386C28"/>
    <w:rsid w:val="00390857"/>
    <w:rsid w:val="00391329"/>
    <w:rsid w:val="00391947"/>
    <w:rsid w:val="003946CF"/>
    <w:rsid w:val="003946E0"/>
    <w:rsid w:val="003A111F"/>
    <w:rsid w:val="003A1449"/>
    <w:rsid w:val="003A2D66"/>
    <w:rsid w:val="003A4875"/>
    <w:rsid w:val="003A4BF3"/>
    <w:rsid w:val="003B020A"/>
    <w:rsid w:val="003B0E60"/>
    <w:rsid w:val="003B1814"/>
    <w:rsid w:val="003B26C0"/>
    <w:rsid w:val="003B2C17"/>
    <w:rsid w:val="003B3D15"/>
    <w:rsid w:val="003B3F78"/>
    <w:rsid w:val="003B420D"/>
    <w:rsid w:val="003B666A"/>
    <w:rsid w:val="003B6746"/>
    <w:rsid w:val="003B761F"/>
    <w:rsid w:val="003B7639"/>
    <w:rsid w:val="003C11D2"/>
    <w:rsid w:val="003C19B5"/>
    <w:rsid w:val="003C244B"/>
    <w:rsid w:val="003C24B7"/>
    <w:rsid w:val="003C25CA"/>
    <w:rsid w:val="003C2E7E"/>
    <w:rsid w:val="003C4893"/>
    <w:rsid w:val="003C52F9"/>
    <w:rsid w:val="003C6C16"/>
    <w:rsid w:val="003C6E24"/>
    <w:rsid w:val="003C7823"/>
    <w:rsid w:val="003D0A19"/>
    <w:rsid w:val="003D222C"/>
    <w:rsid w:val="003D387C"/>
    <w:rsid w:val="003D5269"/>
    <w:rsid w:val="003D746A"/>
    <w:rsid w:val="003D794D"/>
    <w:rsid w:val="003E098E"/>
    <w:rsid w:val="003E1673"/>
    <w:rsid w:val="003E21C4"/>
    <w:rsid w:val="003E3058"/>
    <w:rsid w:val="003E3260"/>
    <w:rsid w:val="003E342C"/>
    <w:rsid w:val="003E37E5"/>
    <w:rsid w:val="003E3F62"/>
    <w:rsid w:val="003E63B1"/>
    <w:rsid w:val="003E6CF8"/>
    <w:rsid w:val="003E732C"/>
    <w:rsid w:val="003E76A9"/>
    <w:rsid w:val="003F0809"/>
    <w:rsid w:val="003F0BAA"/>
    <w:rsid w:val="003F1CB5"/>
    <w:rsid w:val="003F1F09"/>
    <w:rsid w:val="003F20A3"/>
    <w:rsid w:val="003F42AE"/>
    <w:rsid w:val="003F6A8C"/>
    <w:rsid w:val="003F6F54"/>
    <w:rsid w:val="003F755C"/>
    <w:rsid w:val="004029D2"/>
    <w:rsid w:val="00404516"/>
    <w:rsid w:val="00404A99"/>
    <w:rsid w:val="00406752"/>
    <w:rsid w:val="0040696C"/>
    <w:rsid w:val="00406F01"/>
    <w:rsid w:val="00410BCC"/>
    <w:rsid w:val="00410D19"/>
    <w:rsid w:val="00415140"/>
    <w:rsid w:val="00415A06"/>
    <w:rsid w:val="00415EC9"/>
    <w:rsid w:val="00416D50"/>
    <w:rsid w:val="00416FD5"/>
    <w:rsid w:val="004172B1"/>
    <w:rsid w:val="00417772"/>
    <w:rsid w:val="00420053"/>
    <w:rsid w:val="004208C9"/>
    <w:rsid w:val="00420E6A"/>
    <w:rsid w:val="00420F68"/>
    <w:rsid w:val="00422E59"/>
    <w:rsid w:val="004233FA"/>
    <w:rsid w:val="00425210"/>
    <w:rsid w:val="00425A9E"/>
    <w:rsid w:val="00426D6B"/>
    <w:rsid w:val="004273D0"/>
    <w:rsid w:val="00431BBF"/>
    <w:rsid w:val="00431E6C"/>
    <w:rsid w:val="00433717"/>
    <w:rsid w:val="00433CE7"/>
    <w:rsid w:val="0043455C"/>
    <w:rsid w:val="00434E07"/>
    <w:rsid w:val="004368A9"/>
    <w:rsid w:val="004378E7"/>
    <w:rsid w:val="004428A9"/>
    <w:rsid w:val="004433F7"/>
    <w:rsid w:val="00445AD8"/>
    <w:rsid w:val="004462D9"/>
    <w:rsid w:val="00447570"/>
    <w:rsid w:val="004500EC"/>
    <w:rsid w:val="00451027"/>
    <w:rsid w:val="0045105D"/>
    <w:rsid w:val="00452738"/>
    <w:rsid w:val="00452ED5"/>
    <w:rsid w:val="00456091"/>
    <w:rsid w:val="00460966"/>
    <w:rsid w:val="004640E3"/>
    <w:rsid w:val="00465751"/>
    <w:rsid w:val="00465E7A"/>
    <w:rsid w:val="00466031"/>
    <w:rsid w:val="00466321"/>
    <w:rsid w:val="00470059"/>
    <w:rsid w:val="00470952"/>
    <w:rsid w:val="00472C41"/>
    <w:rsid w:val="00477E90"/>
    <w:rsid w:val="00480A1E"/>
    <w:rsid w:val="0048103E"/>
    <w:rsid w:val="00482028"/>
    <w:rsid w:val="00483FAC"/>
    <w:rsid w:val="00484B9B"/>
    <w:rsid w:val="00484BA5"/>
    <w:rsid w:val="00485460"/>
    <w:rsid w:val="004855F6"/>
    <w:rsid w:val="0048661E"/>
    <w:rsid w:val="004874F0"/>
    <w:rsid w:val="004933A4"/>
    <w:rsid w:val="00493B61"/>
    <w:rsid w:val="004942D8"/>
    <w:rsid w:val="004945A5"/>
    <w:rsid w:val="00494670"/>
    <w:rsid w:val="00494C40"/>
    <w:rsid w:val="00495C81"/>
    <w:rsid w:val="00496240"/>
    <w:rsid w:val="004A3823"/>
    <w:rsid w:val="004A5172"/>
    <w:rsid w:val="004A59B8"/>
    <w:rsid w:val="004B02A4"/>
    <w:rsid w:val="004B0CC2"/>
    <w:rsid w:val="004B1688"/>
    <w:rsid w:val="004B4836"/>
    <w:rsid w:val="004B5A13"/>
    <w:rsid w:val="004B5A4C"/>
    <w:rsid w:val="004B626E"/>
    <w:rsid w:val="004B732E"/>
    <w:rsid w:val="004C0B1D"/>
    <w:rsid w:val="004C189F"/>
    <w:rsid w:val="004C2490"/>
    <w:rsid w:val="004C27AA"/>
    <w:rsid w:val="004C30A0"/>
    <w:rsid w:val="004C37A2"/>
    <w:rsid w:val="004C57B2"/>
    <w:rsid w:val="004C64A6"/>
    <w:rsid w:val="004C6BA4"/>
    <w:rsid w:val="004D17D7"/>
    <w:rsid w:val="004D2717"/>
    <w:rsid w:val="004D39A8"/>
    <w:rsid w:val="004D5E01"/>
    <w:rsid w:val="004D5F2D"/>
    <w:rsid w:val="004D747E"/>
    <w:rsid w:val="004E2E5F"/>
    <w:rsid w:val="004E5622"/>
    <w:rsid w:val="004E620A"/>
    <w:rsid w:val="004E6946"/>
    <w:rsid w:val="004F0CF3"/>
    <w:rsid w:val="004F1A71"/>
    <w:rsid w:val="004F1AD8"/>
    <w:rsid w:val="004F2B58"/>
    <w:rsid w:val="004F3C84"/>
    <w:rsid w:val="004F3F5A"/>
    <w:rsid w:val="004F787B"/>
    <w:rsid w:val="005029C4"/>
    <w:rsid w:val="005039CB"/>
    <w:rsid w:val="0050558F"/>
    <w:rsid w:val="00506286"/>
    <w:rsid w:val="00506455"/>
    <w:rsid w:val="00507FA0"/>
    <w:rsid w:val="00510813"/>
    <w:rsid w:val="00510BFB"/>
    <w:rsid w:val="005117F8"/>
    <w:rsid w:val="00511990"/>
    <w:rsid w:val="00511DE0"/>
    <w:rsid w:val="00514870"/>
    <w:rsid w:val="00514B9B"/>
    <w:rsid w:val="005155A7"/>
    <w:rsid w:val="00517F02"/>
    <w:rsid w:val="00520F5C"/>
    <w:rsid w:val="00521C85"/>
    <w:rsid w:val="00522E5E"/>
    <w:rsid w:val="00524303"/>
    <w:rsid w:val="005258A2"/>
    <w:rsid w:val="00525CD7"/>
    <w:rsid w:val="005270C9"/>
    <w:rsid w:val="0052716B"/>
    <w:rsid w:val="00527EA0"/>
    <w:rsid w:val="005303C2"/>
    <w:rsid w:val="0053110E"/>
    <w:rsid w:val="00531B11"/>
    <w:rsid w:val="00532DB4"/>
    <w:rsid w:val="00534229"/>
    <w:rsid w:val="00534B39"/>
    <w:rsid w:val="00535F07"/>
    <w:rsid w:val="00536F3E"/>
    <w:rsid w:val="005401AE"/>
    <w:rsid w:val="0054108F"/>
    <w:rsid w:val="0054159A"/>
    <w:rsid w:val="00542E07"/>
    <w:rsid w:val="00542F96"/>
    <w:rsid w:val="00544562"/>
    <w:rsid w:val="0054501D"/>
    <w:rsid w:val="00545424"/>
    <w:rsid w:val="00546459"/>
    <w:rsid w:val="00546483"/>
    <w:rsid w:val="00546DB1"/>
    <w:rsid w:val="00547170"/>
    <w:rsid w:val="00554A7B"/>
    <w:rsid w:val="0055572C"/>
    <w:rsid w:val="005600E0"/>
    <w:rsid w:val="00560564"/>
    <w:rsid w:val="005609B8"/>
    <w:rsid w:val="0056106A"/>
    <w:rsid w:val="00561733"/>
    <w:rsid w:val="00562EFA"/>
    <w:rsid w:val="005630E6"/>
    <w:rsid w:val="0056445B"/>
    <w:rsid w:val="00564C0C"/>
    <w:rsid w:val="00566847"/>
    <w:rsid w:val="00566C49"/>
    <w:rsid w:val="00567152"/>
    <w:rsid w:val="00567D1D"/>
    <w:rsid w:val="005720AE"/>
    <w:rsid w:val="00574397"/>
    <w:rsid w:val="0057450A"/>
    <w:rsid w:val="00575185"/>
    <w:rsid w:val="00576DBA"/>
    <w:rsid w:val="00577135"/>
    <w:rsid w:val="00581771"/>
    <w:rsid w:val="00582AE4"/>
    <w:rsid w:val="0058365B"/>
    <w:rsid w:val="0058391B"/>
    <w:rsid w:val="00583B02"/>
    <w:rsid w:val="005848C7"/>
    <w:rsid w:val="00585C76"/>
    <w:rsid w:val="00585CAA"/>
    <w:rsid w:val="00585EBB"/>
    <w:rsid w:val="00586B62"/>
    <w:rsid w:val="00586E65"/>
    <w:rsid w:val="005905F5"/>
    <w:rsid w:val="00590B4B"/>
    <w:rsid w:val="005910D5"/>
    <w:rsid w:val="005912A8"/>
    <w:rsid w:val="00594D77"/>
    <w:rsid w:val="005963C3"/>
    <w:rsid w:val="005969E4"/>
    <w:rsid w:val="00597C1B"/>
    <w:rsid w:val="005A0035"/>
    <w:rsid w:val="005A06B7"/>
    <w:rsid w:val="005A07DC"/>
    <w:rsid w:val="005A0FB0"/>
    <w:rsid w:val="005A14D1"/>
    <w:rsid w:val="005A1759"/>
    <w:rsid w:val="005A1CC0"/>
    <w:rsid w:val="005A2846"/>
    <w:rsid w:val="005A2BAA"/>
    <w:rsid w:val="005A2EB4"/>
    <w:rsid w:val="005A68A7"/>
    <w:rsid w:val="005B266E"/>
    <w:rsid w:val="005B5F39"/>
    <w:rsid w:val="005B6035"/>
    <w:rsid w:val="005C0234"/>
    <w:rsid w:val="005C13C8"/>
    <w:rsid w:val="005C1BA4"/>
    <w:rsid w:val="005C40DB"/>
    <w:rsid w:val="005C59AC"/>
    <w:rsid w:val="005C715B"/>
    <w:rsid w:val="005C794F"/>
    <w:rsid w:val="005D1BBD"/>
    <w:rsid w:val="005D25A3"/>
    <w:rsid w:val="005D28E6"/>
    <w:rsid w:val="005D2C69"/>
    <w:rsid w:val="005D36AB"/>
    <w:rsid w:val="005D3B29"/>
    <w:rsid w:val="005D3E54"/>
    <w:rsid w:val="005D53B0"/>
    <w:rsid w:val="005D5D24"/>
    <w:rsid w:val="005D6839"/>
    <w:rsid w:val="005D6F80"/>
    <w:rsid w:val="005E07E3"/>
    <w:rsid w:val="005E12E5"/>
    <w:rsid w:val="005E30E5"/>
    <w:rsid w:val="005E58A0"/>
    <w:rsid w:val="005E6BE1"/>
    <w:rsid w:val="005E7BF9"/>
    <w:rsid w:val="005F12DC"/>
    <w:rsid w:val="005F1C91"/>
    <w:rsid w:val="005F1D4C"/>
    <w:rsid w:val="005F2AE1"/>
    <w:rsid w:val="005F38F6"/>
    <w:rsid w:val="005F3F0E"/>
    <w:rsid w:val="005F4D16"/>
    <w:rsid w:val="005F4EE3"/>
    <w:rsid w:val="005F53F4"/>
    <w:rsid w:val="005F60A2"/>
    <w:rsid w:val="005F7B9D"/>
    <w:rsid w:val="00601737"/>
    <w:rsid w:val="0060193A"/>
    <w:rsid w:val="00602B06"/>
    <w:rsid w:val="006075C1"/>
    <w:rsid w:val="00607D7C"/>
    <w:rsid w:val="006107C8"/>
    <w:rsid w:val="00610F05"/>
    <w:rsid w:val="00612B09"/>
    <w:rsid w:val="0061342E"/>
    <w:rsid w:val="00614CD4"/>
    <w:rsid w:val="006150DC"/>
    <w:rsid w:val="0061539A"/>
    <w:rsid w:val="00615952"/>
    <w:rsid w:val="00617CC3"/>
    <w:rsid w:val="00623AF7"/>
    <w:rsid w:val="00636753"/>
    <w:rsid w:val="00636807"/>
    <w:rsid w:val="006377A6"/>
    <w:rsid w:val="00637A3D"/>
    <w:rsid w:val="00637DCE"/>
    <w:rsid w:val="006411EF"/>
    <w:rsid w:val="0064470F"/>
    <w:rsid w:val="0064795B"/>
    <w:rsid w:val="006508A9"/>
    <w:rsid w:val="00651452"/>
    <w:rsid w:val="00653BC1"/>
    <w:rsid w:val="00654F08"/>
    <w:rsid w:val="006552F2"/>
    <w:rsid w:val="00657118"/>
    <w:rsid w:val="00657361"/>
    <w:rsid w:val="00661015"/>
    <w:rsid w:val="006635FE"/>
    <w:rsid w:val="00666156"/>
    <w:rsid w:val="006669E5"/>
    <w:rsid w:val="00672FE8"/>
    <w:rsid w:val="00672FF0"/>
    <w:rsid w:val="00673F16"/>
    <w:rsid w:val="006748B8"/>
    <w:rsid w:val="006758FB"/>
    <w:rsid w:val="0067705E"/>
    <w:rsid w:val="006775C3"/>
    <w:rsid w:val="00682A62"/>
    <w:rsid w:val="00685C37"/>
    <w:rsid w:val="00687226"/>
    <w:rsid w:val="00691732"/>
    <w:rsid w:val="006918EF"/>
    <w:rsid w:val="0069290A"/>
    <w:rsid w:val="00692B95"/>
    <w:rsid w:val="00693D55"/>
    <w:rsid w:val="00695F40"/>
    <w:rsid w:val="0069693F"/>
    <w:rsid w:val="0069775A"/>
    <w:rsid w:val="00697813"/>
    <w:rsid w:val="0069794D"/>
    <w:rsid w:val="00697E0F"/>
    <w:rsid w:val="006A0AD8"/>
    <w:rsid w:val="006A0F96"/>
    <w:rsid w:val="006A0FE3"/>
    <w:rsid w:val="006A2B27"/>
    <w:rsid w:val="006A2DE5"/>
    <w:rsid w:val="006A3EE8"/>
    <w:rsid w:val="006A552A"/>
    <w:rsid w:val="006A6348"/>
    <w:rsid w:val="006A688F"/>
    <w:rsid w:val="006A7186"/>
    <w:rsid w:val="006A72BF"/>
    <w:rsid w:val="006A74D9"/>
    <w:rsid w:val="006B03F2"/>
    <w:rsid w:val="006B07CD"/>
    <w:rsid w:val="006B37DC"/>
    <w:rsid w:val="006B4F68"/>
    <w:rsid w:val="006B574E"/>
    <w:rsid w:val="006B77B1"/>
    <w:rsid w:val="006B7BC1"/>
    <w:rsid w:val="006C0592"/>
    <w:rsid w:val="006C1E62"/>
    <w:rsid w:val="006C272E"/>
    <w:rsid w:val="006C320E"/>
    <w:rsid w:val="006C534E"/>
    <w:rsid w:val="006C5479"/>
    <w:rsid w:val="006C5A46"/>
    <w:rsid w:val="006D13B5"/>
    <w:rsid w:val="006D4182"/>
    <w:rsid w:val="006D7B85"/>
    <w:rsid w:val="006E12FF"/>
    <w:rsid w:val="006E607E"/>
    <w:rsid w:val="006E6417"/>
    <w:rsid w:val="006E7312"/>
    <w:rsid w:val="006E7719"/>
    <w:rsid w:val="006F1974"/>
    <w:rsid w:val="006F4333"/>
    <w:rsid w:val="007008A0"/>
    <w:rsid w:val="007017D8"/>
    <w:rsid w:val="007040A1"/>
    <w:rsid w:val="00704634"/>
    <w:rsid w:val="00704CEF"/>
    <w:rsid w:val="00704EB4"/>
    <w:rsid w:val="007053B6"/>
    <w:rsid w:val="007057C5"/>
    <w:rsid w:val="007067A5"/>
    <w:rsid w:val="00706C5D"/>
    <w:rsid w:val="00710CC7"/>
    <w:rsid w:val="00712689"/>
    <w:rsid w:val="00712AF4"/>
    <w:rsid w:val="0071473D"/>
    <w:rsid w:val="00715F2E"/>
    <w:rsid w:val="00715FB3"/>
    <w:rsid w:val="00716612"/>
    <w:rsid w:val="00716BC7"/>
    <w:rsid w:val="00717131"/>
    <w:rsid w:val="00720700"/>
    <w:rsid w:val="0072175A"/>
    <w:rsid w:val="00721935"/>
    <w:rsid w:val="00723349"/>
    <w:rsid w:val="00723A49"/>
    <w:rsid w:val="00724283"/>
    <w:rsid w:val="0072622C"/>
    <w:rsid w:val="007267F5"/>
    <w:rsid w:val="00727F39"/>
    <w:rsid w:val="00730ADD"/>
    <w:rsid w:val="00732922"/>
    <w:rsid w:val="007340AF"/>
    <w:rsid w:val="00734E03"/>
    <w:rsid w:val="0073529F"/>
    <w:rsid w:val="0073554E"/>
    <w:rsid w:val="007417AE"/>
    <w:rsid w:val="00741B84"/>
    <w:rsid w:val="00743592"/>
    <w:rsid w:val="00743D48"/>
    <w:rsid w:val="0074454E"/>
    <w:rsid w:val="00745B6D"/>
    <w:rsid w:val="00745E33"/>
    <w:rsid w:val="00750C6A"/>
    <w:rsid w:val="0075154A"/>
    <w:rsid w:val="0075162E"/>
    <w:rsid w:val="00751729"/>
    <w:rsid w:val="00751C3B"/>
    <w:rsid w:val="00751FF2"/>
    <w:rsid w:val="00754034"/>
    <w:rsid w:val="007556B4"/>
    <w:rsid w:val="00756556"/>
    <w:rsid w:val="007565DA"/>
    <w:rsid w:val="007574CD"/>
    <w:rsid w:val="00757B48"/>
    <w:rsid w:val="00757B9E"/>
    <w:rsid w:val="00757CC1"/>
    <w:rsid w:val="0076010E"/>
    <w:rsid w:val="007618C4"/>
    <w:rsid w:val="007629B1"/>
    <w:rsid w:val="00763BF4"/>
    <w:rsid w:val="0076407D"/>
    <w:rsid w:val="0076469E"/>
    <w:rsid w:val="0076681F"/>
    <w:rsid w:val="00767980"/>
    <w:rsid w:val="00770B19"/>
    <w:rsid w:val="00770BA3"/>
    <w:rsid w:val="00771FB3"/>
    <w:rsid w:val="00772434"/>
    <w:rsid w:val="007737E1"/>
    <w:rsid w:val="0077463F"/>
    <w:rsid w:val="00777529"/>
    <w:rsid w:val="00781CB3"/>
    <w:rsid w:val="0078278A"/>
    <w:rsid w:val="00782BF2"/>
    <w:rsid w:val="007836EA"/>
    <w:rsid w:val="00783F2F"/>
    <w:rsid w:val="00784CDA"/>
    <w:rsid w:val="00785460"/>
    <w:rsid w:val="00785931"/>
    <w:rsid w:val="0078646A"/>
    <w:rsid w:val="00787833"/>
    <w:rsid w:val="00787B94"/>
    <w:rsid w:val="00787BAA"/>
    <w:rsid w:val="007906C4"/>
    <w:rsid w:val="007940EA"/>
    <w:rsid w:val="00795785"/>
    <w:rsid w:val="00796076"/>
    <w:rsid w:val="00796204"/>
    <w:rsid w:val="007967E8"/>
    <w:rsid w:val="007972F4"/>
    <w:rsid w:val="007A0B84"/>
    <w:rsid w:val="007A1967"/>
    <w:rsid w:val="007A1CBB"/>
    <w:rsid w:val="007A2170"/>
    <w:rsid w:val="007A22BF"/>
    <w:rsid w:val="007A3323"/>
    <w:rsid w:val="007A3DA4"/>
    <w:rsid w:val="007A7279"/>
    <w:rsid w:val="007B0BFA"/>
    <w:rsid w:val="007B1F32"/>
    <w:rsid w:val="007B2828"/>
    <w:rsid w:val="007B3E8F"/>
    <w:rsid w:val="007B4224"/>
    <w:rsid w:val="007B480B"/>
    <w:rsid w:val="007B4F77"/>
    <w:rsid w:val="007B52A3"/>
    <w:rsid w:val="007B5BE7"/>
    <w:rsid w:val="007B5FB7"/>
    <w:rsid w:val="007B6163"/>
    <w:rsid w:val="007B6E4D"/>
    <w:rsid w:val="007B72B8"/>
    <w:rsid w:val="007B7A58"/>
    <w:rsid w:val="007C0254"/>
    <w:rsid w:val="007C08D2"/>
    <w:rsid w:val="007C0ECF"/>
    <w:rsid w:val="007C135B"/>
    <w:rsid w:val="007C1C30"/>
    <w:rsid w:val="007C1EB9"/>
    <w:rsid w:val="007C21B5"/>
    <w:rsid w:val="007C4570"/>
    <w:rsid w:val="007C500E"/>
    <w:rsid w:val="007D31A4"/>
    <w:rsid w:val="007E06B2"/>
    <w:rsid w:val="007E0D5B"/>
    <w:rsid w:val="007E1BD6"/>
    <w:rsid w:val="007E1C6B"/>
    <w:rsid w:val="007E36B8"/>
    <w:rsid w:val="007E4BD2"/>
    <w:rsid w:val="007E6C02"/>
    <w:rsid w:val="007F1634"/>
    <w:rsid w:val="007F258A"/>
    <w:rsid w:val="007F4A33"/>
    <w:rsid w:val="007F58DB"/>
    <w:rsid w:val="007F708D"/>
    <w:rsid w:val="007F7090"/>
    <w:rsid w:val="007F7D0A"/>
    <w:rsid w:val="008009B9"/>
    <w:rsid w:val="00801393"/>
    <w:rsid w:val="0080184D"/>
    <w:rsid w:val="008027DD"/>
    <w:rsid w:val="00802B19"/>
    <w:rsid w:val="00802F88"/>
    <w:rsid w:val="00804137"/>
    <w:rsid w:val="0080662F"/>
    <w:rsid w:val="00810304"/>
    <w:rsid w:val="00810BE8"/>
    <w:rsid w:val="0081293E"/>
    <w:rsid w:val="00812C41"/>
    <w:rsid w:val="0081375E"/>
    <w:rsid w:val="008138EB"/>
    <w:rsid w:val="008149F2"/>
    <w:rsid w:val="0081541B"/>
    <w:rsid w:val="00815465"/>
    <w:rsid w:val="00817E9A"/>
    <w:rsid w:val="00821384"/>
    <w:rsid w:val="0082543D"/>
    <w:rsid w:val="00825646"/>
    <w:rsid w:val="00826876"/>
    <w:rsid w:val="00827CA2"/>
    <w:rsid w:val="00827E73"/>
    <w:rsid w:val="0083016D"/>
    <w:rsid w:val="008306BD"/>
    <w:rsid w:val="00830B71"/>
    <w:rsid w:val="008317E1"/>
    <w:rsid w:val="00831A80"/>
    <w:rsid w:val="00833743"/>
    <w:rsid w:val="008340A4"/>
    <w:rsid w:val="00835030"/>
    <w:rsid w:val="00835D32"/>
    <w:rsid w:val="0083631C"/>
    <w:rsid w:val="0083668D"/>
    <w:rsid w:val="0083744F"/>
    <w:rsid w:val="00841684"/>
    <w:rsid w:val="008422E3"/>
    <w:rsid w:val="00842D5F"/>
    <w:rsid w:val="008430BF"/>
    <w:rsid w:val="00843E9F"/>
    <w:rsid w:val="00844E8C"/>
    <w:rsid w:val="008451A8"/>
    <w:rsid w:val="008469F9"/>
    <w:rsid w:val="00846F3E"/>
    <w:rsid w:val="00847D17"/>
    <w:rsid w:val="0085010C"/>
    <w:rsid w:val="00851CED"/>
    <w:rsid w:val="0085312C"/>
    <w:rsid w:val="00855C16"/>
    <w:rsid w:val="00856AD1"/>
    <w:rsid w:val="0086130A"/>
    <w:rsid w:val="008628AF"/>
    <w:rsid w:val="008634B0"/>
    <w:rsid w:val="00864F67"/>
    <w:rsid w:val="00865781"/>
    <w:rsid w:val="0086630A"/>
    <w:rsid w:val="00866DC5"/>
    <w:rsid w:val="0086786D"/>
    <w:rsid w:val="00870791"/>
    <w:rsid w:val="00870FB4"/>
    <w:rsid w:val="0087135F"/>
    <w:rsid w:val="00872D94"/>
    <w:rsid w:val="00874445"/>
    <w:rsid w:val="008762A1"/>
    <w:rsid w:val="00880364"/>
    <w:rsid w:val="0088203D"/>
    <w:rsid w:val="00882966"/>
    <w:rsid w:val="0088312F"/>
    <w:rsid w:val="00883849"/>
    <w:rsid w:val="008841AF"/>
    <w:rsid w:val="00884E95"/>
    <w:rsid w:val="00885180"/>
    <w:rsid w:val="00885E5D"/>
    <w:rsid w:val="00886300"/>
    <w:rsid w:val="00891592"/>
    <w:rsid w:val="00891E9E"/>
    <w:rsid w:val="00892020"/>
    <w:rsid w:val="00896137"/>
    <w:rsid w:val="00896234"/>
    <w:rsid w:val="0089625A"/>
    <w:rsid w:val="0089702C"/>
    <w:rsid w:val="008A1BC1"/>
    <w:rsid w:val="008A2931"/>
    <w:rsid w:val="008A2A99"/>
    <w:rsid w:val="008A2F68"/>
    <w:rsid w:val="008A458A"/>
    <w:rsid w:val="008A5A22"/>
    <w:rsid w:val="008A603C"/>
    <w:rsid w:val="008A616E"/>
    <w:rsid w:val="008A72D9"/>
    <w:rsid w:val="008A73EB"/>
    <w:rsid w:val="008A78F9"/>
    <w:rsid w:val="008B1329"/>
    <w:rsid w:val="008B1BBA"/>
    <w:rsid w:val="008B21A9"/>
    <w:rsid w:val="008B3568"/>
    <w:rsid w:val="008B4FA6"/>
    <w:rsid w:val="008B51A2"/>
    <w:rsid w:val="008B5282"/>
    <w:rsid w:val="008B5566"/>
    <w:rsid w:val="008B7C17"/>
    <w:rsid w:val="008B7D71"/>
    <w:rsid w:val="008C2D01"/>
    <w:rsid w:val="008C40E6"/>
    <w:rsid w:val="008C4DDA"/>
    <w:rsid w:val="008C5390"/>
    <w:rsid w:val="008C72CB"/>
    <w:rsid w:val="008D0F7A"/>
    <w:rsid w:val="008D1B17"/>
    <w:rsid w:val="008D68CF"/>
    <w:rsid w:val="008D68E4"/>
    <w:rsid w:val="008E0506"/>
    <w:rsid w:val="008E0CFF"/>
    <w:rsid w:val="008E3187"/>
    <w:rsid w:val="008E476D"/>
    <w:rsid w:val="008E50D7"/>
    <w:rsid w:val="008E5D6B"/>
    <w:rsid w:val="008E5E30"/>
    <w:rsid w:val="008E65A7"/>
    <w:rsid w:val="008E667F"/>
    <w:rsid w:val="008E66DB"/>
    <w:rsid w:val="008E70FD"/>
    <w:rsid w:val="008E76F0"/>
    <w:rsid w:val="008E7CBE"/>
    <w:rsid w:val="008F15FE"/>
    <w:rsid w:val="008F2D29"/>
    <w:rsid w:val="008F4D1F"/>
    <w:rsid w:val="008F5187"/>
    <w:rsid w:val="008F53F7"/>
    <w:rsid w:val="008F584A"/>
    <w:rsid w:val="008F60D8"/>
    <w:rsid w:val="008F7C0D"/>
    <w:rsid w:val="008F7C8F"/>
    <w:rsid w:val="00900738"/>
    <w:rsid w:val="00901170"/>
    <w:rsid w:val="009023E7"/>
    <w:rsid w:val="00902727"/>
    <w:rsid w:val="0090312B"/>
    <w:rsid w:val="0090454D"/>
    <w:rsid w:val="00904CDA"/>
    <w:rsid w:val="00906021"/>
    <w:rsid w:val="00907678"/>
    <w:rsid w:val="009104B2"/>
    <w:rsid w:val="00910722"/>
    <w:rsid w:val="00910FD2"/>
    <w:rsid w:val="00912665"/>
    <w:rsid w:val="00912D62"/>
    <w:rsid w:val="009139FA"/>
    <w:rsid w:val="00913A35"/>
    <w:rsid w:val="00914179"/>
    <w:rsid w:val="009172FE"/>
    <w:rsid w:val="0091736D"/>
    <w:rsid w:val="009177BB"/>
    <w:rsid w:val="0091787B"/>
    <w:rsid w:val="0092215E"/>
    <w:rsid w:val="009238DE"/>
    <w:rsid w:val="00923AE0"/>
    <w:rsid w:val="009269F5"/>
    <w:rsid w:val="00926D3F"/>
    <w:rsid w:val="0093037A"/>
    <w:rsid w:val="00930F36"/>
    <w:rsid w:val="009329A6"/>
    <w:rsid w:val="009336C5"/>
    <w:rsid w:val="00935F6C"/>
    <w:rsid w:val="00937957"/>
    <w:rsid w:val="00937F20"/>
    <w:rsid w:val="0094154D"/>
    <w:rsid w:val="00942139"/>
    <w:rsid w:val="00944454"/>
    <w:rsid w:val="00945FF6"/>
    <w:rsid w:val="00946BB1"/>
    <w:rsid w:val="0095155F"/>
    <w:rsid w:val="00951983"/>
    <w:rsid w:val="00951DC4"/>
    <w:rsid w:val="00952AD6"/>
    <w:rsid w:val="009539C3"/>
    <w:rsid w:val="00954429"/>
    <w:rsid w:val="009550A0"/>
    <w:rsid w:val="009563CE"/>
    <w:rsid w:val="00956FCE"/>
    <w:rsid w:val="00957E6F"/>
    <w:rsid w:val="009613B2"/>
    <w:rsid w:val="0096396E"/>
    <w:rsid w:val="0096474D"/>
    <w:rsid w:val="009668B6"/>
    <w:rsid w:val="0096757E"/>
    <w:rsid w:val="00967A7F"/>
    <w:rsid w:val="00967B2A"/>
    <w:rsid w:val="00967FC3"/>
    <w:rsid w:val="009759B6"/>
    <w:rsid w:val="009760B7"/>
    <w:rsid w:val="00976328"/>
    <w:rsid w:val="0097680D"/>
    <w:rsid w:val="00977727"/>
    <w:rsid w:val="00980141"/>
    <w:rsid w:val="0098087E"/>
    <w:rsid w:val="00982438"/>
    <w:rsid w:val="00982FE8"/>
    <w:rsid w:val="0098369F"/>
    <w:rsid w:val="0098404C"/>
    <w:rsid w:val="00984260"/>
    <w:rsid w:val="00984AC5"/>
    <w:rsid w:val="00985283"/>
    <w:rsid w:val="009854A7"/>
    <w:rsid w:val="009868CD"/>
    <w:rsid w:val="00991664"/>
    <w:rsid w:val="00991BC4"/>
    <w:rsid w:val="00991CA1"/>
    <w:rsid w:val="0099295B"/>
    <w:rsid w:val="00994374"/>
    <w:rsid w:val="00995992"/>
    <w:rsid w:val="00997451"/>
    <w:rsid w:val="00997863"/>
    <w:rsid w:val="009A03E5"/>
    <w:rsid w:val="009A0F3B"/>
    <w:rsid w:val="009A1AF7"/>
    <w:rsid w:val="009A1BB4"/>
    <w:rsid w:val="009A1C24"/>
    <w:rsid w:val="009A2628"/>
    <w:rsid w:val="009A3200"/>
    <w:rsid w:val="009A4E17"/>
    <w:rsid w:val="009A5572"/>
    <w:rsid w:val="009A60E5"/>
    <w:rsid w:val="009B0671"/>
    <w:rsid w:val="009B0897"/>
    <w:rsid w:val="009B09C0"/>
    <w:rsid w:val="009B0F7E"/>
    <w:rsid w:val="009B596C"/>
    <w:rsid w:val="009B61B6"/>
    <w:rsid w:val="009B7BD9"/>
    <w:rsid w:val="009C0BB3"/>
    <w:rsid w:val="009C15CE"/>
    <w:rsid w:val="009C42BE"/>
    <w:rsid w:val="009C4A80"/>
    <w:rsid w:val="009C5CAB"/>
    <w:rsid w:val="009C68B9"/>
    <w:rsid w:val="009C6E29"/>
    <w:rsid w:val="009C7DD5"/>
    <w:rsid w:val="009D01A7"/>
    <w:rsid w:val="009D1463"/>
    <w:rsid w:val="009D49E1"/>
    <w:rsid w:val="009D5151"/>
    <w:rsid w:val="009D6F82"/>
    <w:rsid w:val="009D7E2E"/>
    <w:rsid w:val="009E227D"/>
    <w:rsid w:val="009E3207"/>
    <w:rsid w:val="009E5019"/>
    <w:rsid w:val="009E552C"/>
    <w:rsid w:val="009E7A10"/>
    <w:rsid w:val="009E7CBB"/>
    <w:rsid w:val="009F0C64"/>
    <w:rsid w:val="009F283A"/>
    <w:rsid w:val="009F30B5"/>
    <w:rsid w:val="009F433D"/>
    <w:rsid w:val="009F47CC"/>
    <w:rsid w:val="009F490C"/>
    <w:rsid w:val="009F4DC7"/>
    <w:rsid w:val="009F4EC1"/>
    <w:rsid w:val="009F7611"/>
    <w:rsid w:val="00A00404"/>
    <w:rsid w:val="00A01A59"/>
    <w:rsid w:val="00A03741"/>
    <w:rsid w:val="00A04F1B"/>
    <w:rsid w:val="00A0501B"/>
    <w:rsid w:val="00A056EF"/>
    <w:rsid w:val="00A06C2C"/>
    <w:rsid w:val="00A06D1D"/>
    <w:rsid w:val="00A07022"/>
    <w:rsid w:val="00A07340"/>
    <w:rsid w:val="00A10C6B"/>
    <w:rsid w:val="00A1286A"/>
    <w:rsid w:val="00A12CCB"/>
    <w:rsid w:val="00A13115"/>
    <w:rsid w:val="00A14947"/>
    <w:rsid w:val="00A161B7"/>
    <w:rsid w:val="00A20718"/>
    <w:rsid w:val="00A21EFA"/>
    <w:rsid w:val="00A221CB"/>
    <w:rsid w:val="00A22EC7"/>
    <w:rsid w:val="00A27D6F"/>
    <w:rsid w:val="00A322C7"/>
    <w:rsid w:val="00A32A83"/>
    <w:rsid w:val="00A32FA0"/>
    <w:rsid w:val="00A332FC"/>
    <w:rsid w:val="00A35011"/>
    <w:rsid w:val="00A368DB"/>
    <w:rsid w:val="00A379BE"/>
    <w:rsid w:val="00A423AA"/>
    <w:rsid w:val="00A42F79"/>
    <w:rsid w:val="00A438B3"/>
    <w:rsid w:val="00A504AA"/>
    <w:rsid w:val="00A50DD2"/>
    <w:rsid w:val="00A5108C"/>
    <w:rsid w:val="00A53214"/>
    <w:rsid w:val="00A53EC6"/>
    <w:rsid w:val="00A54289"/>
    <w:rsid w:val="00A55C0F"/>
    <w:rsid w:val="00A55EBB"/>
    <w:rsid w:val="00A560D3"/>
    <w:rsid w:val="00A57171"/>
    <w:rsid w:val="00A57758"/>
    <w:rsid w:val="00A62E9F"/>
    <w:rsid w:val="00A633F7"/>
    <w:rsid w:val="00A63DF6"/>
    <w:rsid w:val="00A67B80"/>
    <w:rsid w:val="00A71383"/>
    <w:rsid w:val="00A7177B"/>
    <w:rsid w:val="00A75482"/>
    <w:rsid w:val="00A75DC4"/>
    <w:rsid w:val="00A77A44"/>
    <w:rsid w:val="00A8246E"/>
    <w:rsid w:val="00A8348B"/>
    <w:rsid w:val="00A83A57"/>
    <w:rsid w:val="00A845FE"/>
    <w:rsid w:val="00A86002"/>
    <w:rsid w:val="00A8713F"/>
    <w:rsid w:val="00A872EB"/>
    <w:rsid w:val="00A8761C"/>
    <w:rsid w:val="00A90BA1"/>
    <w:rsid w:val="00A922D6"/>
    <w:rsid w:val="00A9354F"/>
    <w:rsid w:val="00A93C2A"/>
    <w:rsid w:val="00A93FCC"/>
    <w:rsid w:val="00A9507D"/>
    <w:rsid w:val="00A9546F"/>
    <w:rsid w:val="00A963BA"/>
    <w:rsid w:val="00A97A9A"/>
    <w:rsid w:val="00AA0671"/>
    <w:rsid w:val="00AA0A9F"/>
    <w:rsid w:val="00AA147F"/>
    <w:rsid w:val="00AA2447"/>
    <w:rsid w:val="00AA2531"/>
    <w:rsid w:val="00AA2A21"/>
    <w:rsid w:val="00AA7273"/>
    <w:rsid w:val="00AA7987"/>
    <w:rsid w:val="00AB0396"/>
    <w:rsid w:val="00AB14A1"/>
    <w:rsid w:val="00AB1E09"/>
    <w:rsid w:val="00AB1F89"/>
    <w:rsid w:val="00AB2D99"/>
    <w:rsid w:val="00AB35F5"/>
    <w:rsid w:val="00AB4A0E"/>
    <w:rsid w:val="00AB5330"/>
    <w:rsid w:val="00AB54C6"/>
    <w:rsid w:val="00AB5B57"/>
    <w:rsid w:val="00AB685D"/>
    <w:rsid w:val="00AB7747"/>
    <w:rsid w:val="00AC0B5B"/>
    <w:rsid w:val="00AC14CE"/>
    <w:rsid w:val="00AC1FF0"/>
    <w:rsid w:val="00AC2A56"/>
    <w:rsid w:val="00AC3D47"/>
    <w:rsid w:val="00AC6B57"/>
    <w:rsid w:val="00AD055E"/>
    <w:rsid w:val="00AD0F96"/>
    <w:rsid w:val="00AD114F"/>
    <w:rsid w:val="00AD1ED8"/>
    <w:rsid w:val="00AD2A21"/>
    <w:rsid w:val="00AD324B"/>
    <w:rsid w:val="00AD35CD"/>
    <w:rsid w:val="00AD47A7"/>
    <w:rsid w:val="00AD57E0"/>
    <w:rsid w:val="00AD61C4"/>
    <w:rsid w:val="00AE1BE3"/>
    <w:rsid w:val="00AE1F49"/>
    <w:rsid w:val="00AE2619"/>
    <w:rsid w:val="00AE28C6"/>
    <w:rsid w:val="00AE2964"/>
    <w:rsid w:val="00AE4783"/>
    <w:rsid w:val="00AE6BB0"/>
    <w:rsid w:val="00AE75B4"/>
    <w:rsid w:val="00AF0CBF"/>
    <w:rsid w:val="00AF1205"/>
    <w:rsid w:val="00AF1E55"/>
    <w:rsid w:val="00AF2438"/>
    <w:rsid w:val="00AF257F"/>
    <w:rsid w:val="00AF33CF"/>
    <w:rsid w:val="00AF46AA"/>
    <w:rsid w:val="00AF46DB"/>
    <w:rsid w:val="00AF4D50"/>
    <w:rsid w:val="00AF6179"/>
    <w:rsid w:val="00AF6D40"/>
    <w:rsid w:val="00AF780B"/>
    <w:rsid w:val="00AF7B72"/>
    <w:rsid w:val="00B003A0"/>
    <w:rsid w:val="00B004E1"/>
    <w:rsid w:val="00B04935"/>
    <w:rsid w:val="00B04F2E"/>
    <w:rsid w:val="00B05B51"/>
    <w:rsid w:val="00B06504"/>
    <w:rsid w:val="00B06732"/>
    <w:rsid w:val="00B102B2"/>
    <w:rsid w:val="00B109BE"/>
    <w:rsid w:val="00B1295A"/>
    <w:rsid w:val="00B1341E"/>
    <w:rsid w:val="00B138F6"/>
    <w:rsid w:val="00B147E8"/>
    <w:rsid w:val="00B14EC8"/>
    <w:rsid w:val="00B15D48"/>
    <w:rsid w:val="00B1775F"/>
    <w:rsid w:val="00B20A26"/>
    <w:rsid w:val="00B20A45"/>
    <w:rsid w:val="00B20D98"/>
    <w:rsid w:val="00B22C5C"/>
    <w:rsid w:val="00B23474"/>
    <w:rsid w:val="00B24F30"/>
    <w:rsid w:val="00B27741"/>
    <w:rsid w:val="00B306ED"/>
    <w:rsid w:val="00B30CBA"/>
    <w:rsid w:val="00B31844"/>
    <w:rsid w:val="00B31ABF"/>
    <w:rsid w:val="00B32039"/>
    <w:rsid w:val="00B33BE3"/>
    <w:rsid w:val="00B42D06"/>
    <w:rsid w:val="00B430C4"/>
    <w:rsid w:val="00B44473"/>
    <w:rsid w:val="00B463FD"/>
    <w:rsid w:val="00B46DF4"/>
    <w:rsid w:val="00B47105"/>
    <w:rsid w:val="00B47B85"/>
    <w:rsid w:val="00B50680"/>
    <w:rsid w:val="00B50A78"/>
    <w:rsid w:val="00B53832"/>
    <w:rsid w:val="00B53B5D"/>
    <w:rsid w:val="00B53D0A"/>
    <w:rsid w:val="00B551C5"/>
    <w:rsid w:val="00B575DA"/>
    <w:rsid w:val="00B57A18"/>
    <w:rsid w:val="00B57AA7"/>
    <w:rsid w:val="00B6038A"/>
    <w:rsid w:val="00B6055E"/>
    <w:rsid w:val="00B61E9C"/>
    <w:rsid w:val="00B620F8"/>
    <w:rsid w:val="00B6317D"/>
    <w:rsid w:val="00B639F5"/>
    <w:rsid w:val="00B63D04"/>
    <w:rsid w:val="00B6457F"/>
    <w:rsid w:val="00B70AA3"/>
    <w:rsid w:val="00B73B86"/>
    <w:rsid w:val="00B7449E"/>
    <w:rsid w:val="00B75B42"/>
    <w:rsid w:val="00B7723F"/>
    <w:rsid w:val="00B7751A"/>
    <w:rsid w:val="00B77F55"/>
    <w:rsid w:val="00B80534"/>
    <w:rsid w:val="00B819EF"/>
    <w:rsid w:val="00B8209C"/>
    <w:rsid w:val="00B823D0"/>
    <w:rsid w:val="00B8361D"/>
    <w:rsid w:val="00B8433C"/>
    <w:rsid w:val="00B84B78"/>
    <w:rsid w:val="00B853C4"/>
    <w:rsid w:val="00B85569"/>
    <w:rsid w:val="00B87491"/>
    <w:rsid w:val="00B87D00"/>
    <w:rsid w:val="00B905E9"/>
    <w:rsid w:val="00B916D7"/>
    <w:rsid w:val="00B93DB9"/>
    <w:rsid w:val="00B94E0F"/>
    <w:rsid w:val="00B94ED5"/>
    <w:rsid w:val="00B95AE7"/>
    <w:rsid w:val="00BA0585"/>
    <w:rsid w:val="00BA29E9"/>
    <w:rsid w:val="00BA29EF"/>
    <w:rsid w:val="00BA3727"/>
    <w:rsid w:val="00BA3E47"/>
    <w:rsid w:val="00BA42EB"/>
    <w:rsid w:val="00BA4ABE"/>
    <w:rsid w:val="00BA4B51"/>
    <w:rsid w:val="00BA5765"/>
    <w:rsid w:val="00BA5C0C"/>
    <w:rsid w:val="00BA6D45"/>
    <w:rsid w:val="00BA7142"/>
    <w:rsid w:val="00BB1545"/>
    <w:rsid w:val="00BB1FA2"/>
    <w:rsid w:val="00BB237C"/>
    <w:rsid w:val="00BB3ECE"/>
    <w:rsid w:val="00BB41A3"/>
    <w:rsid w:val="00BB5239"/>
    <w:rsid w:val="00BB5493"/>
    <w:rsid w:val="00BB5D77"/>
    <w:rsid w:val="00BB6474"/>
    <w:rsid w:val="00BB7199"/>
    <w:rsid w:val="00BB7F80"/>
    <w:rsid w:val="00BC0886"/>
    <w:rsid w:val="00BC11F7"/>
    <w:rsid w:val="00BC3016"/>
    <w:rsid w:val="00BC31F6"/>
    <w:rsid w:val="00BC32DC"/>
    <w:rsid w:val="00BC3342"/>
    <w:rsid w:val="00BC35B6"/>
    <w:rsid w:val="00BC4170"/>
    <w:rsid w:val="00BC5D7F"/>
    <w:rsid w:val="00BC5DF7"/>
    <w:rsid w:val="00BC64F7"/>
    <w:rsid w:val="00BC6C68"/>
    <w:rsid w:val="00BC7078"/>
    <w:rsid w:val="00BC7D3E"/>
    <w:rsid w:val="00BD0852"/>
    <w:rsid w:val="00BD112D"/>
    <w:rsid w:val="00BD1B51"/>
    <w:rsid w:val="00BD35A7"/>
    <w:rsid w:val="00BD4596"/>
    <w:rsid w:val="00BD577D"/>
    <w:rsid w:val="00BD704A"/>
    <w:rsid w:val="00BD7225"/>
    <w:rsid w:val="00BE1405"/>
    <w:rsid w:val="00BE21F5"/>
    <w:rsid w:val="00BE312D"/>
    <w:rsid w:val="00BE4D62"/>
    <w:rsid w:val="00BE5091"/>
    <w:rsid w:val="00BE7628"/>
    <w:rsid w:val="00BF07BB"/>
    <w:rsid w:val="00BF1251"/>
    <w:rsid w:val="00BF1635"/>
    <w:rsid w:val="00BF1C20"/>
    <w:rsid w:val="00BF2C33"/>
    <w:rsid w:val="00BF3DF6"/>
    <w:rsid w:val="00BF440B"/>
    <w:rsid w:val="00BF6116"/>
    <w:rsid w:val="00BF70DA"/>
    <w:rsid w:val="00C0093C"/>
    <w:rsid w:val="00C009C1"/>
    <w:rsid w:val="00C03624"/>
    <w:rsid w:val="00C03B0E"/>
    <w:rsid w:val="00C05844"/>
    <w:rsid w:val="00C10578"/>
    <w:rsid w:val="00C11046"/>
    <w:rsid w:val="00C11DF0"/>
    <w:rsid w:val="00C124B0"/>
    <w:rsid w:val="00C135BC"/>
    <w:rsid w:val="00C1447F"/>
    <w:rsid w:val="00C15C95"/>
    <w:rsid w:val="00C17943"/>
    <w:rsid w:val="00C21028"/>
    <w:rsid w:val="00C2596A"/>
    <w:rsid w:val="00C262A7"/>
    <w:rsid w:val="00C27537"/>
    <w:rsid w:val="00C27A03"/>
    <w:rsid w:val="00C303FD"/>
    <w:rsid w:val="00C30B40"/>
    <w:rsid w:val="00C30C4A"/>
    <w:rsid w:val="00C328FE"/>
    <w:rsid w:val="00C32ACC"/>
    <w:rsid w:val="00C32C11"/>
    <w:rsid w:val="00C33507"/>
    <w:rsid w:val="00C34475"/>
    <w:rsid w:val="00C34FA1"/>
    <w:rsid w:val="00C37F49"/>
    <w:rsid w:val="00C402B6"/>
    <w:rsid w:val="00C43EAE"/>
    <w:rsid w:val="00C4409D"/>
    <w:rsid w:val="00C44E72"/>
    <w:rsid w:val="00C455A5"/>
    <w:rsid w:val="00C45A06"/>
    <w:rsid w:val="00C47B8E"/>
    <w:rsid w:val="00C47E5B"/>
    <w:rsid w:val="00C52C76"/>
    <w:rsid w:val="00C5406A"/>
    <w:rsid w:val="00C568E6"/>
    <w:rsid w:val="00C6003A"/>
    <w:rsid w:val="00C60A0A"/>
    <w:rsid w:val="00C61E4B"/>
    <w:rsid w:val="00C621D4"/>
    <w:rsid w:val="00C6280E"/>
    <w:rsid w:val="00C62DEC"/>
    <w:rsid w:val="00C63745"/>
    <w:rsid w:val="00C64BFF"/>
    <w:rsid w:val="00C663FB"/>
    <w:rsid w:val="00C678A9"/>
    <w:rsid w:val="00C67AFF"/>
    <w:rsid w:val="00C67CA3"/>
    <w:rsid w:val="00C704E9"/>
    <w:rsid w:val="00C728FB"/>
    <w:rsid w:val="00C763C9"/>
    <w:rsid w:val="00C80057"/>
    <w:rsid w:val="00C8080F"/>
    <w:rsid w:val="00C80D73"/>
    <w:rsid w:val="00C82232"/>
    <w:rsid w:val="00C82913"/>
    <w:rsid w:val="00C82D51"/>
    <w:rsid w:val="00C876BF"/>
    <w:rsid w:val="00C90F89"/>
    <w:rsid w:val="00C92D90"/>
    <w:rsid w:val="00C930B4"/>
    <w:rsid w:val="00C9394F"/>
    <w:rsid w:val="00C946B7"/>
    <w:rsid w:val="00C94B73"/>
    <w:rsid w:val="00C972B1"/>
    <w:rsid w:val="00C975F2"/>
    <w:rsid w:val="00CA17B9"/>
    <w:rsid w:val="00CA2CCE"/>
    <w:rsid w:val="00CA43FD"/>
    <w:rsid w:val="00CA5B87"/>
    <w:rsid w:val="00CA6DF8"/>
    <w:rsid w:val="00CA71B2"/>
    <w:rsid w:val="00CA7492"/>
    <w:rsid w:val="00CA7EF8"/>
    <w:rsid w:val="00CB0204"/>
    <w:rsid w:val="00CB30F5"/>
    <w:rsid w:val="00CB657D"/>
    <w:rsid w:val="00CC039C"/>
    <w:rsid w:val="00CC0526"/>
    <w:rsid w:val="00CC1854"/>
    <w:rsid w:val="00CC2B18"/>
    <w:rsid w:val="00CC489B"/>
    <w:rsid w:val="00CC4B44"/>
    <w:rsid w:val="00CC4ED1"/>
    <w:rsid w:val="00CC5962"/>
    <w:rsid w:val="00CD2BCD"/>
    <w:rsid w:val="00CD3A4C"/>
    <w:rsid w:val="00CD488E"/>
    <w:rsid w:val="00CD60BB"/>
    <w:rsid w:val="00CE0072"/>
    <w:rsid w:val="00CE0A05"/>
    <w:rsid w:val="00CE10E9"/>
    <w:rsid w:val="00CE24E4"/>
    <w:rsid w:val="00CE2910"/>
    <w:rsid w:val="00CE5393"/>
    <w:rsid w:val="00CE6CC4"/>
    <w:rsid w:val="00CE6CF8"/>
    <w:rsid w:val="00CE73AC"/>
    <w:rsid w:val="00CE7BF7"/>
    <w:rsid w:val="00CF0A18"/>
    <w:rsid w:val="00CF2DA5"/>
    <w:rsid w:val="00CF2DEA"/>
    <w:rsid w:val="00CF36BE"/>
    <w:rsid w:val="00CF420B"/>
    <w:rsid w:val="00CF6000"/>
    <w:rsid w:val="00CF6B04"/>
    <w:rsid w:val="00CF76EE"/>
    <w:rsid w:val="00CF7A5B"/>
    <w:rsid w:val="00D003F3"/>
    <w:rsid w:val="00D00686"/>
    <w:rsid w:val="00D017DF"/>
    <w:rsid w:val="00D0364F"/>
    <w:rsid w:val="00D03F4B"/>
    <w:rsid w:val="00D04D87"/>
    <w:rsid w:val="00D04DA5"/>
    <w:rsid w:val="00D0500A"/>
    <w:rsid w:val="00D0561C"/>
    <w:rsid w:val="00D057F3"/>
    <w:rsid w:val="00D05CC2"/>
    <w:rsid w:val="00D05D26"/>
    <w:rsid w:val="00D060F9"/>
    <w:rsid w:val="00D06834"/>
    <w:rsid w:val="00D11AEF"/>
    <w:rsid w:val="00D13C84"/>
    <w:rsid w:val="00D147CB"/>
    <w:rsid w:val="00D14E95"/>
    <w:rsid w:val="00D15490"/>
    <w:rsid w:val="00D21514"/>
    <w:rsid w:val="00D22054"/>
    <w:rsid w:val="00D23466"/>
    <w:rsid w:val="00D242EC"/>
    <w:rsid w:val="00D248D7"/>
    <w:rsid w:val="00D24B8B"/>
    <w:rsid w:val="00D24C3A"/>
    <w:rsid w:val="00D25644"/>
    <w:rsid w:val="00D25C1A"/>
    <w:rsid w:val="00D266DA"/>
    <w:rsid w:val="00D27633"/>
    <w:rsid w:val="00D27BD4"/>
    <w:rsid w:val="00D308ED"/>
    <w:rsid w:val="00D309DD"/>
    <w:rsid w:val="00D34719"/>
    <w:rsid w:val="00D35860"/>
    <w:rsid w:val="00D36D86"/>
    <w:rsid w:val="00D40ADC"/>
    <w:rsid w:val="00D416E7"/>
    <w:rsid w:val="00D41D1F"/>
    <w:rsid w:val="00D428AA"/>
    <w:rsid w:val="00D43186"/>
    <w:rsid w:val="00D47796"/>
    <w:rsid w:val="00D47FF7"/>
    <w:rsid w:val="00D50A34"/>
    <w:rsid w:val="00D51954"/>
    <w:rsid w:val="00D5279D"/>
    <w:rsid w:val="00D53EFA"/>
    <w:rsid w:val="00D541E5"/>
    <w:rsid w:val="00D56E5B"/>
    <w:rsid w:val="00D62E49"/>
    <w:rsid w:val="00D630D8"/>
    <w:rsid w:val="00D632B2"/>
    <w:rsid w:val="00D65496"/>
    <w:rsid w:val="00D72336"/>
    <w:rsid w:val="00D76CD7"/>
    <w:rsid w:val="00D816B7"/>
    <w:rsid w:val="00D81AEC"/>
    <w:rsid w:val="00D837D0"/>
    <w:rsid w:val="00D846C9"/>
    <w:rsid w:val="00D85112"/>
    <w:rsid w:val="00D8567B"/>
    <w:rsid w:val="00D863F4"/>
    <w:rsid w:val="00D875D8"/>
    <w:rsid w:val="00D87D06"/>
    <w:rsid w:val="00D905E5"/>
    <w:rsid w:val="00D90DE4"/>
    <w:rsid w:val="00D91B27"/>
    <w:rsid w:val="00D92A40"/>
    <w:rsid w:val="00D93527"/>
    <w:rsid w:val="00D93D3F"/>
    <w:rsid w:val="00D94A7C"/>
    <w:rsid w:val="00D94DE8"/>
    <w:rsid w:val="00D95777"/>
    <w:rsid w:val="00D95896"/>
    <w:rsid w:val="00D9630D"/>
    <w:rsid w:val="00D96633"/>
    <w:rsid w:val="00D96D8F"/>
    <w:rsid w:val="00D96D9E"/>
    <w:rsid w:val="00DA1026"/>
    <w:rsid w:val="00DA179C"/>
    <w:rsid w:val="00DA2FF7"/>
    <w:rsid w:val="00DB0230"/>
    <w:rsid w:val="00DB1CEF"/>
    <w:rsid w:val="00DB1D49"/>
    <w:rsid w:val="00DB2983"/>
    <w:rsid w:val="00DB374A"/>
    <w:rsid w:val="00DB4A52"/>
    <w:rsid w:val="00DB4D5E"/>
    <w:rsid w:val="00DB4E6B"/>
    <w:rsid w:val="00DB5693"/>
    <w:rsid w:val="00DB61FE"/>
    <w:rsid w:val="00DB7513"/>
    <w:rsid w:val="00DC1257"/>
    <w:rsid w:val="00DC146F"/>
    <w:rsid w:val="00DC1CBE"/>
    <w:rsid w:val="00DC3596"/>
    <w:rsid w:val="00DC3DC0"/>
    <w:rsid w:val="00DC435E"/>
    <w:rsid w:val="00DC571D"/>
    <w:rsid w:val="00DC5B2B"/>
    <w:rsid w:val="00DC6F3B"/>
    <w:rsid w:val="00DC7243"/>
    <w:rsid w:val="00DC7A55"/>
    <w:rsid w:val="00DC7D8A"/>
    <w:rsid w:val="00DC7FCB"/>
    <w:rsid w:val="00DD24EF"/>
    <w:rsid w:val="00DD318D"/>
    <w:rsid w:val="00DD3722"/>
    <w:rsid w:val="00DD5F76"/>
    <w:rsid w:val="00DD76DA"/>
    <w:rsid w:val="00DE00A6"/>
    <w:rsid w:val="00DE07B0"/>
    <w:rsid w:val="00DE2AE0"/>
    <w:rsid w:val="00DE3B82"/>
    <w:rsid w:val="00DF2019"/>
    <w:rsid w:val="00DF2E08"/>
    <w:rsid w:val="00DF2E12"/>
    <w:rsid w:val="00DF4937"/>
    <w:rsid w:val="00DF514A"/>
    <w:rsid w:val="00DF5897"/>
    <w:rsid w:val="00DF5C72"/>
    <w:rsid w:val="00DF6690"/>
    <w:rsid w:val="00DF6804"/>
    <w:rsid w:val="00E01425"/>
    <w:rsid w:val="00E01F5A"/>
    <w:rsid w:val="00E0358D"/>
    <w:rsid w:val="00E04323"/>
    <w:rsid w:val="00E05288"/>
    <w:rsid w:val="00E070A2"/>
    <w:rsid w:val="00E1022C"/>
    <w:rsid w:val="00E1089C"/>
    <w:rsid w:val="00E140E3"/>
    <w:rsid w:val="00E15BD9"/>
    <w:rsid w:val="00E16F3E"/>
    <w:rsid w:val="00E17DBB"/>
    <w:rsid w:val="00E17FCD"/>
    <w:rsid w:val="00E20B4D"/>
    <w:rsid w:val="00E2656A"/>
    <w:rsid w:val="00E34BED"/>
    <w:rsid w:val="00E35DB6"/>
    <w:rsid w:val="00E37F0E"/>
    <w:rsid w:val="00E40131"/>
    <w:rsid w:val="00E40449"/>
    <w:rsid w:val="00E404D7"/>
    <w:rsid w:val="00E412D0"/>
    <w:rsid w:val="00E415F9"/>
    <w:rsid w:val="00E416F8"/>
    <w:rsid w:val="00E419DD"/>
    <w:rsid w:val="00E42C35"/>
    <w:rsid w:val="00E45563"/>
    <w:rsid w:val="00E45C91"/>
    <w:rsid w:val="00E50B55"/>
    <w:rsid w:val="00E5128E"/>
    <w:rsid w:val="00E51556"/>
    <w:rsid w:val="00E515B2"/>
    <w:rsid w:val="00E51A40"/>
    <w:rsid w:val="00E5206F"/>
    <w:rsid w:val="00E52B29"/>
    <w:rsid w:val="00E53F88"/>
    <w:rsid w:val="00E54972"/>
    <w:rsid w:val="00E552A8"/>
    <w:rsid w:val="00E55A37"/>
    <w:rsid w:val="00E56255"/>
    <w:rsid w:val="00E56322"/>
    <w:rsid w:val="00E57B2F"/>
    <w:rsid w:val="00E57F20"/>
    <w:rsid w:val="00E60058"/>
    <w:rsid w:val="00E60085"/>
    <w:rsid w:val="00E60417"/>
    <w:rsid w:val="00E6072F"/>
    <w:rsid w:val="00E60982"/>
    <w:rsid w:val="00E614BB"/>
    <w:rsid w:val="00E62BF3"/>
    <w:rsid w:val="00E62C62"/>
    <w:rsid w:val="00E63EE6"/>
    <w:rsid w:val="00E654C1"/>
    <w:rsid w:val="00E65D97"/>
    <w:rsid w:val="00E67932"/>
    <w:rsid w:val="00E716D7"/>
    <w:rsid w:val="00E72A5A"/>
    <w:rsid w:val="00E73315"/>
    <w:rsid w:val="00E73354"/>
    <w:rsid w:val="00E73735"/>
    <w:rsid w:val="00E74206"/>
    <w:rsid w:val="00E75B49"/>
    <w:rsid w:val="00E8035A"/>
    <w:rsid w:val="00E811C7"/>
    <w:rsid w:val="00E8639F"/>
    <w:rsid w:val="00E90D10"/>
    <w:rsid w:val="00E9135E"/>
    <w:rsid w:val="00E91EA3"/>
    <w:rsid w:val="00E9242D"/>
    <w:rsid w:val="00E9500B"/>
    <w:rsid w:val="00E97309"/>
    <w:rsid w:val="00E978DD"/>
    <w:rsid w:val="00E97ABF"/>
    <w:rsid w:val="00EA03CA"/>
    <w:rsid w:val="00EA0BBF"/>
    <w:rsid w:val="00EA1788"/>
    <w:rsid w:val="00EA1A92"/>
    <w:rsid w:val="00EA309E"/>
    <w:rsid w:val="00EA3E56"/>
    <w:rsid w:val="00EA427E"/>
    <w:rsid w:val="00EA5B35"/>
    <w:rsid w:val="00EA5B5E"/>
    <w:rsid w:val="00EB0C5E"/>
    <w:rsid w:val="00EB18AF"/>
    <w:rsid w:val="00EB1992"/>
    <w:rsid w:val="00EB3F9F"/>
    <w:rsid w:val="00EB4A2E"/>
    <w:rsid w:val="00EB4ABB"/>
    <w:rsid w:val="00EB5255"/>
    <w:rsid w:val="00EB5C47"/>
    <w:rsid w:val="00EB667D"/>
    <w:rsid w:val="00EB68AD"/>
    <w:rsid w:val="00EB7E35"/>
    <w:rsid w:val="00EC2FAC"/>
    <w:rsid w:val="00EC346E"/>
    <w:rsid w:val="00EC3B9A"/>
    <w:rsid w:val="00EC3E14"/>
    <w:rsid w:val="00EC3F88"/>
    <w:rsid w:val="00EC4C68"/>
    <w:rsid w:val="00EC5319"/>
    <w:rsid w:val="00EC5FF1"/>
    <w:rsid w:val="00EC6A23"/>
    <w:rsid w:val="00ED0309"/>
    <w:rsid w:val="00ED0639"/>
    <w:rsid w:val="00ED0E8B"/>
    <w:rsid w:val="00ED4FDE"/>
    <w:rsid w:val="00ED5206"/>
    <w:rsid w:val="00ED68C3"/>
    <w:rsid w:val="00ED712C"/>
    <w:rsid w:val="00ED7EEF"/>
    <w:rsid w:val="00EE299A"/>
    <w:rsid w:val="00EE2AEB"/>
    <w:rsid w:val="00EE538A"/>
    <w:rsid w:val="00EE6152"/>
    <w:rsid w:val="00EE64BE"/>
    <w:rsid w:val="00EF0853"/>
    <w:rsid w:val="00EF0D38"/>
    <w:rsid w:val="00EF4755"/>
    <w:rsid w:val="00EF57F7"/>
    <w:rsid w:val="00EF5E39"/>
    <w:rsid w:val="00EF7135"/>
    <w:rsid w:val="00F00810"/>
    <w:rsid w:val="00F00AB1"/>
    <w:rsid w:val="00F01CC8"/>
    <w:rsid w:val="00F027DB"/>
    <w:rsid w:val="00F032C6"/>
    <w:rsid w:val="00F04E6D"/>
    <w:rsid w:val="00F051BF"/>
    <w:rsid w:val="00F054D5"/>
    <w:rsid w:val="00F12313"/>
    <w:rsid w:val="00F139F0"/>
    <w:rsid w:val="00F14A7A"/>
    <w:rsid w:val="00F16D54"/>
    <w:rsid w:val="00F16F07"/>
    <w:rsid w:val="00F17E4B"/>
    <w:rsid w:val="00F17F69"/>
    <w:rsid w:val="00F22985"/>
    <w:rsid w:val="00F24357"/>
    <w:rsid w:val="00F25EAF"/>
    <w:rsid w:val="00F262EB"/>
    <w:rsid w:val="00F26A4C"/>
    <w:rsid w:val="00F31BC5"/>
    <w:rsid w:val="00F32AA3"/>
    <w:rsid w:val="00F331CE"/>
    <w:rsid w:val="00F3383E"/>
    <w:rsid w:val="00F33F8E"/>
    <w:rsid w:val="00F37A9F"/>
    <w:rsid w:val="00F405EF"/>
    <w:rsid w:val="00F41FC7"/>
    <w:rsid w:val="00F42CD0"/>
    <w:rsid w:val="00F43375"/>
    <w:rsid w:val="00F45F36"/>
    <w:rsid w:val="00F465A7"/>
    <w:rsid w:val="00F466AB"/>
    <w:rsid w:val="00F46AD6"/>
    <w:rsid w:val="00F477FF"/>
    <w:rsid w:val="00F50B7C"/>
    <w:rsid w:val="00F50FF8"/>
    <w:rsid w:val="00F53B90"/>
    <w:rsid w:val="00F546D4"/>
    <w:rsid w:val="00F550E6"/>
    <w:rsid w:val="00F56BA7"/>
    <w:rsid w:val="00F56EB8"/>
    <w:rsid w:val="00F6303B"/>
    <w:rsid w:val="00F64F96"/>
    <w:rsid w:val="00F65E4E"/>
    <w:rsid w:val="00F672D9"/>
    <w:rsid w:val="00F67326"/>
    <w:rsid w:val="00F67E58"/>
    <w:rsid w:val="00F736E2"/>
    <w:rsid w:val="00F74345"/>
    <w:rsid w:val="00F744E7"/>
    <w:rsid w:val="00F768F4"/>
    <w:rsid w:val="00F76EF8"/>
    <w:rsid w:val="00F77A2B"/>
    <w:rsid w:val="00F80A0A"/>
    <w:rsid w:val="00F82B19"/>
    <w:rsid w:val="00F84DE2"/>
    <w:rsid w:val="00F862F3"/>
    <w:rsid w:val="00F878AC"/>
    <w:rsid w:val="00F9013E"/>
    <w:rsid w:val="00F90335"/>
    <w:rsid w:val="00F90626"/>
    <w:rsid w:val="00F90799"/>
    <w:rsid w:val="00F90B0B"/>
    <w:rsid w:val="00F90B95"/>
    <w:rsid w:val="00F91B08"/>
    <w:rsid w:val="00F9212D"/>
    <w:rsid w:val="00F922C6"/>
    <w:rsid w:val="00F94CDE"/>
    <w:rsid w:val="00F95D62"/>
    <w:rsid w:val="00F962C1"/>
    <w:rsid w:val="00F965DA"/>
    <w:rsid w:val="00F965ED"/>
    <w:rsid w:val="00FA2B37"/>
    <w:rsid w:val="00FA406A"/>
    <w:rsid w:val="00FA4661"/>
    <w:rsid w:val="00FA6740"/>
    <w:rsid w:val="00FB0C80"/>
    <w:rsid w:val="00FB3B1C"/>
    <w:rsid w:val="00FB503A"/>
    <w:rsid w:val="00FB516C"/>
    <w:rsid w:val="00FB74A7"/>
    <w:rsid w:val="00FB7E97"/>
    <w:rsid w:val="00FC3A79"/>
    <w:rsid w:val="00FC4F69"/>
    <w:rsid w:val="00FC5808"/>
    <w:rsid w:val="00FC691C"/>
    <w:rsid w:val="00FC72C3"/>
    <w:rsid w:val="00FC7D07"/>
    <w:rsid w:val="00FD0236"/>
    <w:rsid w:val="00FD0584"/>
    <w:rsid w:val="00FD18F4"/>
    <w:rsid w:val="00FD1964"/>
    <w:rsid w:val="00FD2972"/>
    <w:rsid w:val="00FD32BF"/>
    <w:rsid w:val="00FD3619"/>
    <w:rsid w:val="00FD5173"/>
    <w:rsid w:val="00FD54DB"/>
    <w:rsid w:val="00FD619F"/>
    <w:rsid w:val="00FD7931"/>
    <w:rsid w:val="00FE03D7"/>
    <w:rsid w:val="00FE0495"/>
    <w:rsid w:val="00FE1319"/>
    <w:rsid w:val="00FE4A3F"/>
    <w:rsid w:val="00FE5FA5"/>
    <w:rsid w:val="00FE648C"/>
    <w:rsid w:val="00FE7616"/>
    <w:rsid w:val="00FF2889"/>
    <w:rsid w:val="00FF2982"/>
    <w:rsid w:val="00FF707C"/>
    <w:rsid w:val="011E3F91"/>
    <w:rsid w:val="01290F7E"/>
    <w:rsid w:val="015D1E09"/>
    <w:rsid w:val="018D7D3C"/>
    <w:rsid w:val="01DD59FB"/>
    <w:rsid w:val="02697903"/>
    <w:rsid w:val="0284231A"/>
    <w:rsid w:val="02B56978"/>
    <w:rsid w:val="02F96569"/>
    <w:rsid w:val="03C52F1A"/>
    <w:rsid w:val="03EA7B21"/>
    <w:rsid w:val="0403277C"/>
    <w:rsid w:val="041E22FB"/>
    <w:rsid w:val="04F33787"/>
    <w:rsid w:val="04F76DD4"/>
    <w:rsid w:val="05243941"/>
    <w:rsid w:val="05575AC4"/>
    <w:rsid w:val="05883ED0"/>
    <w:rsid w:val="05BB3177"/>
    <w:rsid w:val="05CA62D5"/>
    <w:rsid w:val="05DE7F94"/>
    <w:rsid w:val="05EC0902"/>
    <w:rsid w:val="05F83EAE"/>
    <w:rsid w:val="060A70A7"/>
    <w:rsid w:val="063E7D85"/>
    <w:rsid w:val="067C44CB"/>
    <w:rsid w:val="069118E4"/>
    <w:rsid w:val="069348B1"/>
    <w:rsid w:val="06D516D9"/>
    <w:rsid w:val="070B3D9B"/>
    <w:rsid w:val="071874D5"/>
    <w:rsid w:val="0726749D"/>
    <w:rsid w:val="07293586"/>
    <w:rsid w:val="07295285"/>
    <w:rsid w:val="07636392"/>
    <w:rsid w:val="07770C56"/>
    <w:rsid w:val="07AB0349"/>
    <w:rsid w:val="07AD418F"/>
    <w:rsid w:val="07C332E0"/>
    <w:rsid w:val="07DB478B"/>
    <w:rsid w:val="080D14D8"/>
    <w:rsid w:val="084A5DB4"/>
    <w:rsid w:val="086E55FF"/>
    <w:rsid w:val="08935065"/>
    <w:rsid w:val="089B03BE"/>
    <w:rsid w:val="08FD4BD5"/>
    <w:rsid w:val="092217DD"/>
    <w:rsid w:val="093A7294"/>
    <w:rsid w:val="09443C6F"/>
    <w:rsid w:val="09CE5FB9"/>
    <w:rsid w:val="09DA20B2"/>
    <w:rsid w:val="0A0B52F8"/>
    <w:rsid w:val="0A137C0D"/>
    <w:rsid w:val="0A157CFC"/>
    <w:rsid w:val="0A263993"/>
    <w:rsid w:val="0A27266C"/>
    <w:rsid w:val="0A2D3AC2"/>
    <w:rsid w:val="0AA755DF"/>
    <w:rsid w:val="0B0A5387"/>
    <w:rsid w:val="0B120D44"/>
    <w:rsid w:val="0B61769D"/>
    <w:rsid w:val="0B892750"/>
    <w:rsid w:val="0BD27BF6"/>
    <w:rsid w:val="0BEE6E75"/>
    <w:rsid w:val="0C112E71"/>
    <w:rsid w:val="0C2C7CAB"/>
    <w:rsid w:val="0C3B3C7D"/>
    <w:rsid w:val="0C590BAD"/>
    <w:rsid w:val="0C5D78AD"/>
    <w:rsid w:val="0C6805B7"/>
    <w:rsid w:val="0CAB2EAE"/>
    <w:rsid w:val="0CBE467B"/>
    <w:rsid w:val="0D1C7D1F"/>
    <w:rsid w:val="0D5C49F2"/>
    <w:rsid w:val="0D621C7D"/>
    <w:rsid w:val="0D763AF9"/>
    <w:rsid w:val="0D961994"/>
    <w:rsid w:val="0DBC0BBA"/>
    <w:rsid w:val="0DC57130"/>
    <w:rsid w:val="0DE14AC5"/>
    <w:rsid w:val="0E0E518E"/>
    <w:rsid w:val="0E325320"/>
    <w:rsid w:val="0E73034D"/>
    <w:rsid w:val="0EA16002"/>
    <w:rsid w:val="0EF3685E"/>
    <w:rsid w:val="0EFB3964"/>
    <w:rsid w:val="0F074A73"/>
    <w:rsid w:val="0F13775A"/>
    <w:rsid w:val="0F2E7896"/>
    <w:rsid w:val="0F5F45FE"/>
    <w:rsid w:val="0F7D6B68"/>
    <w:rsid w:val="0F86232D"/>
    <w:rsid w:val="0F954A7D"/>
    <w:rsid w:val="0F9A112B"/>
    <w:rsid w:val="0FBF0E36"/>
    <w:rsid w:val="0FC7175C"/>
    <w:rsid w:val="0FFC5BE6"/>
    <w:rsid w:val="101C1DE4"/>
    <w:rsid w:val="106D2F64"/>
    <w:rsid w:val="10B63710"/>
    <w:rsid w:val="10B63FE7"/>
    <w:rsid w:val="10DC1BAF"/>
    <w:rsid w:val="10F10820"/>
    <w:rsid w:val="111C2F7A"/>
    <w:rsid w:val="11665CA1"/>
    <w:rsid w:val="11734C63"/>
    <w:rsid w:val="118818BD"/>
    <w:rsid w:val="11CB3AC2"/>
    <w:rsid w:val="11DA5AB3"/>
    <w:rsid w:val="12771554"/>
    <w:rsid w:val="12862CF3"/>
    <w:rsid w:val="128E689D"/>
    <w:rsid w:val="13951726"/>
    <w:rsid w:val="13B107AA"/>
    <w:rsid w:val="13F15336"/>
    <w:rsid w:val="14107EB2"/>
    <w:rsid w:val="14172FEE"/>
    <w:rsid w:val="14361E3D"/>
    <w:rsid w:val="14396509"/>
    <w:rsid w:val="145C6C53"/>
    <w:rsid w:val="146438E9"/>
    <w:rsid w:val="14CA62B3"/>
    <w:rsid w:val="14DD2C3C"/>
    <w:rsid w:val="150177FB"/>
    <w:rsid w:val="158B1DC7"/>
    <w:rsid w:val="1594241D"/>
    <w:rsid w:val="15B036FB"/>
    <w:rsid w:val="16087E1D"/>
    <w:rsid w:val="166149F5"/>
    <w:rsid w:val="167410DE"/>
    <w:rsid w:val="16B87734"/>
    <w:rsid w:val="17505D23"/>
    <w:rsid w:val="17701D14"/>
    <w:rsid w:val="17735226"/>
    <w:rsid w:val="17A53209"/>
    <w:rsid w:val="17A93D1D"/>
    <w:rsid w:val="17EA0A1A"/>
    <w:rsid w:val="18245C1B"/>
    <w:rsid w:val="18505536"/>
    <w:rsid w:val="189F624C"/>
    <w:rsid w:val="18AF5EEB"/>
    <w:rsid w:val="18B726A8"/>
    <w:rsid w:val="18B7391D"/>
    <w:rsid w:val="19A215AC"/>
    <w:rsid w:val="19C808E7"/>
    <w:rsid w:val="19F636A6"/>
    <w:rsid w:val="1A1C66C0"/>
    <w:rsid w:val="1A42393B"/>
    <w:rsid w:val="1A475B6C"/>
    <w:rsid w:val="1AA66E7A"/>
    <w:rsid w:val="1AAD45DE"/>
    <w:rsid w:val="1AB53AAF"/>
    <w:rsid w:val="1AB64E74"/>
    <w:rsid w:val="1AC11F06"/>
    <w:rsid w:val="1AC67940"/>
    <w:rsid w:val="1B046F80"/>
    <w:rsid w:val="1B1C0EEA"/>
    <w:rsid w:val="1B222279"/>
    <w:rsid w:val="1B3267B5"/>
    <w:rsid w:val="1B40161D"/>
    <w:rsid w:val="1B441859"/>
    <w:rsid w:val="1B6606B1"/>
    <w:rsid w:val="1B731383"/>
    <w:rsid w:val="1B9273FE"/>
    <w:rsid w:val="1BB96B0B"/>
    <w:rsid w:val="1C035B79"/>
    <w:rsid w:val="1C2E35CB"/>
    <w:rsid w:val="1C5E7925"/>
    <w:rsid w:val="1CFD070F"/>
    <w:rsid w:val="1D44297A"/>
    <w:rsid w:val="1D5F6196"/>
    <w:rsid w:val="1D6132A5"/>
    <w:rsid w:val="1D6872A5"/>
    <w:rsid w:val="1D8E56D5"/>
    <w:rsid w:val="1D9A07EC"/>
    <w:rsid w:val="1DB00010"/>
    <w:rsid w:val="1E7A43DA"/>
    <w:rsid w:val="1E911BEF"/>
    <w:rsid w:val="1EBD0C36"/>
    <w:rsid w:val="1F132604"/>
    <w:rsid w:val="1F662225"/>
    <w:rsid w:val="1F664E2A"/>
    <w:rsid w:val="1F711E22"/>
    <w:rsid w:val="1FE7539E"/>
    <w:rsid w:val="1FF6169F"/>
    <w:rsid w:val="200D2936"/>
    <w:rsid w:val="203155A4"/>
    <w:rsid w:val="20467ECE"/>
    <w:rsid w:val="20671BE0"/>
    <w:rsid w:val="207F1804"/>
    <w:rsid w:val="20963CB8"/>
    <w:rsid w:val="20A81A1B"/>
    <w:rsid w:val="20B07FB6"/>
    <w:rsid w:val="20B646FB"/>
    <w:rsid w:val="20B81864"/>
    <w:rsid w:val="20D3029D"/>
    <w:rsid w:val="21026DD4"/>
    <w:rsid w:val="21334478"/>
    <w:rsid w:val="213B74B1"/>
    <w:rsid w:val="215A2310"/>
    <w:rsid w:val="217E28FF"/>
    <w:rsid w:val="21DE318A"/>
    <w:rsid w:val="21EF5B80"/>
    <w:rsid w:val="22405E06"/>
    <w:rsid w:val="22576990"/>
    <w:rsid w:val="228A0046"/>
    <w:rsid w:val="22B51ADC"/>
    <w:rsid w:val="22DB78DD"/>
    <w:rsid w:val="22F47480"/>
    <w:rsid w:val="231E77CA"/>
    <w:rsid w:val="234D386F"/>
    <w:rsid w:val="23713A93"/>
    <w:rsid w:val="23DE1C48"/>
    <w:rsid w:val="23E7405F"/>
    <w:rsid w:val="240210CD"/>
    <w:rsid w:val="242A0480"/>
    <w:rsid w:val="24577E1C"/>
    <w:rsid w:val="247955FF"/>
    <w:rsid w:val="24AC7783"/>
    <w:rsid w:val="24BF09F7"/>
    <w:rsid w:val="252D53FE"/>
    <w:rsid w:val="25362024"/>
    <w:rsid w:val="25504395"/>
    <w:rsid w:val="25951FC5"/>
    <w:rsid w:val="25BF63EE"/>
    <w:rsid w:val="25D41411"/>
    <w:rsid w:val="25EC2D81"/>
    <w:rsid w:val="263A491A"/>
    <w:rsid w:val="264E2CB2"/>
    <w:rsid w:val="26AF1624"/>
    <w:rsid w:val="26B446CD"/>
    <w:rsid w:val="26B83713"/>
    <w:rsid w:val="270C275B"/>
    <w:rsid w:val="271414AB"/>
    <w:rsid w:val="277057A2"/>
    <w:rsid w:val="27B150B0"/>
    <w:rsid w:val="28001458"/>
    <w:rsid w:val="280C22E7"/>
    <w:rsid w:val="28175B4C"/>
    <w:rsid w:val="28E21837"/>
    <w:rsid w:val="28E3573D"/>
    <w:rsid w:val="28E374EB"/>
    <w:rsid w:val="29003D4D"/>
    <w:rsid w:val="2920429C"/>
    <w:rsid w:val="29206EB8"/>
    <w:rsid w:val="293935AF"/>
    <w:rsid w:val="29595666"/>
    <w:rsid w:val="29874881"/>
    <w:rsid w:val="298C54AC"/>
    <w:rsid w:val="298F4F7D"/>
    <w:rsid w:val="299E3412"/>
    <w:rsid w:val="29E325E0"/>
    <w:rsid w:val="2A2D169C"/>
    <w:rsid w:val="2A452503"/>
    <w:rsid w:val="2ACD11E5"/>
    <w:rsid w:val="2ADF135E"/>
    <w:rsid w:val="2B226CB3"/>
    <w:rsid w:val="2B36607C"/>
    <w:rsid w:val="2B786611"/>
    <w:rsid w:val="2B9B3782"/>
    <w:rsid w:val="2BA936A8"/>
    <w:rsid w:val="2BFA5278"/>
    <w:rsid w:val="2C315A5A"/>
    <w:rsid w:val="2C4B1C25"/>
    <w:rsid w:val="2C4D3F24"/>
    <w:rsid w:val="2C5B55EB"/>
    <w:rsid w:val="2C6E3570"/>
    <w:rsid w:val="2C7129CB"/>
    <w:rsid w:val="2C7A2503"/>
    <w:rsid w:val="2CD71115"/>
    <w:rsid w:val="2D37488E"/>
    <w:rsid w:val="2D386EE6"/>
    <w:rsid w:val="2D5F632E"/>
    <w:rsid w:val="2D6D3827"/>
    <w:rsid w:val="2D811D32"/>
    <w:rsid w:val="2D831325"/>
    <w:rsid w:val="2D9E56F5"/>
    <w:rsid w:val="2DD072C1"/>
    <w:rsid w:val="2E0F39D8"/>
    <w:rsid w:val="2E4C5B33"/>
    <w:rsid w:val="2E667F96"/>
    <w:rsid w:val="2E8226AB"/>
    <w:rsid w:val="2E861045"/>
    <w:rsid w:val="2E9C077D"/>
    <w:rsid w:val="2EB273F9"/>
    <w:rsid w:val="2EEC3F03"/>
    <w:rsid w:val="2EFC30B5"/>
    <w:rsid w:val="2F87788A"/>
    <w:rsid w:val="2F880DEC"/>
    <w:rsid w:val="2F9212C6"/>
    <w:rsid w:val="2FD065E6"/>
    <w:rsid w:val="2FD96870"/>
    <w:rsid w:val="303D1BD7"/>
    <w:rsid w:val="30580BC9"/>
    <w:rsid w:val="30624EE4"/>
    <w:rsid w:val="311E2ED7"/>
    <w:rsid w:val="31472512"/>
    <w:rsid w:val="315619EE"/>
    <w:rsid w:val="315C449C"/>
    <w:rsid w:val="318F1FBE"/>
    <w:rsid w:val="31B82709"/>
    <w:rsid w:val="31C81974"/>
    <w:rsid w:val="31CC4FC0"/>
    <w:rsid w:val="31D05482"/>
    <w:rsid w:val="32400B34"/>
    <w:rsid w:val="326C7167"/>
    <w:rsid w:val="32841747"/>
    <w:rsid w:val="329E6876"/>
    <w:rsid w:val="330B1B18"/>
    <w:rsid w:val="333015F2"/>
    <w:rsid w:val="334B6320"/>
    <w:rsid w:val="339A5158"/>
    <w:rsid w:val="339F04B3"/>
    <w:rsid w:val="33D934D4"/>
    <w:rsid w:val="33FE2F6A"/>
    <w:rsid w:val="340E07E5"/>
    <w:rsid w:val="34192013"/>
    <w:rsid w:val="34235BF7"/>
    <w:rsid w:val="3456481C"/>
    <w:rsid w:val="34ED5E13"/>
    <w:rsid w:val="34FA62E8"/>
    <w:rsid w:val="35092088"/>
    <w:rsid w:val="35284F68"/>
    <w:rsid w:val="355A0B35"/>
    <w:rsid w:val="35643762"/>
    <w:rsid w:val="35663715"/>
    <w:rsid w:val="35725E7F"/>
    <w:rsid w:val="35777939"/>
    <w:rsid w:val="358C5FA8"/>
    <w:rsid w:val="35C15DF1"/>
    <w:rsid w:val="35C56367"/>
    <w:rsid w:val="35D246E2"/>
    <w:rsid w:val="35E067CB"/>
    <w:rsid w:val="35E11256"/>
    <w:rsid w:val="36074A7F"/>
    <w:rsid w:val="36590E3A"/>
    <w:rsid w:val="36631C6B"/>
    <w:rsid w:val="367125DA"/>
    <w:rsid w:val="36811BDE"/>
    <w:rsid w:val="36923549"/>
    <w:rsid w:val="36B75FBF"/>
    <w:rsid w:val="36BD0C45"/>
    <w:rsid w:val="36BE50F4"/>
    <w:rsid w:val="36D00DCB"/>
    <w:rsid w:val="36EC1C61"/>
    <w:rsid w:val="376143FD"/>
    <w:rsid w:val="37774615"/>
    <w:rsid w:val="37C6364C"/>
    <w:rsid w:val="37C85256"/>
    <w:rsid w:val="37E00298"/>
    <w:rsid w:val="3838111A"/>
    <w:rsid w:val="38A071A7"/>
    <w:rsid w:val="38B302F9"/>
    <w:rsid w:val="38F12CD3"/>
    <w:rsid w:val="38F94775"/>
    <w:rsid w:val="392456E2"/>
    <w:rsid w:val="392971ED"/>
    <w:rsid w:val="39325651"/>
    <w:rsid w:val="395D6E46"/>
    <w:rsid w:val="399565E0"/>
    <w:rsid w:val="39DB1DF9"/>
    <w:rsid w:val="3A033549"/>
    <w:rsid w:val="3A0411E8"/>
    <w:rsid w:val="3A3733EC"/>
    <w:rsid w:val="3A7226BE"/>
    <w:rsid w:val="3A865FA2"/>
    <w:rsid w:val="3A872856"/>
    <w:rsid w:val="3AF604B1"/>
    <w:rsid w:val="3B163750"/>
    <w:rsid w:val="3B3763D1"/>
    <w:rsid w:val="3B8A6B50"/>
    <w:rsid w:val="3BEE2C33"/>
    <w:rsid w:val="3C0148CE"/>
    <w:rsid w:val="3C145EE2"/>
    <w:rsid w:val="3C2F6E1E"/>
    <w:rsid w:val="3C4F64BA"/>
    <w:rsid w:val="3C920BB5"/>
    <w:rsid w:val="3C9D4E80"/>
    <w:rsid w:val="3CA8662A"/>
    <w:rsid w:val="3CAA05F4"/>
    <w:rsid w:val="3CCA034E"/>
    <w:rsid w:val="3CDA245A"/>
    <w:rsid w:val="3D1E06B7"/>
    <w:rsid w:val="3D253D7C"/>
    <w:rsid w:val="3E0D6490"/>
    <w:rsid w:val="3E5B38DB"/>
    <w:rsid w:val="3E7862DA"/>
    <w:rsid w:val="3E90291B"/>
    <w:rsid w:val="3EDA0523"/>
    <w:rsid w:val="3EF83118"/>
    <w:rsid w:val="3F3B3785"/>
    <w:rsid w:val="3F47212A"/>
    <w:rsid w:val="3F6446A7"/>
    <w:rsid w:val="3F676329"/>
    <w:rsid w:val="4033445D"/>
    <w:rsid w:val="40607FBD"/>
    <w:rsid w:val="407A6407"/>
    <w:rsid w:val="414A7A91"/>
    <w:rsid w:val="415B4A9F"/>
    <w:rsid w:val="416F5968"/>
    <w:rsid w:val="41943621"/>
    <w:rsid w:val="41F8595E"/>
    <w:rsid w:val="4200449D"/>
    <w:rsid w:val="422D3F73"/>
    <w:rsid w:val="423A3BCC"/>
    <w:rsid w:val="424E57D2"/>
    <w:rsid w:val="428B7856"/>
    <w:rsid w:val="42AD6748"/>
    <w:rsid w:val="42B26C49"/>
    <w:rsid w:val="430D71E7"/>
    <w:rsid w:val="433A6FE6"/>
    <w:rsid w:val="43476B9D"/>
    <w:rsid w:val="43480868"/>
    <w:rsid w:val="4350713C"/>
    <w:rsid w:val="436653E0"/>
    <w:rsid w:val="438A4CDB"/>
    <w:rsid w:val="43C4431A"/>
    <w:rsid w:val="43E22422"/>
    <w:rsid w:val="440C7D39"/>
    <w:rsid w:val="442F13DF"/>
    <w:rsid w:val="44921E0D"/>
    <w:rsid w:val="44B951CC"/>
    <w:rsid w:val="44CB2F82"/>
    <w:rsid w:val="44CD14E0"/>
    <w:rsid w:val="44CD4E80"/>
    <w:rsid w:val="44F20B0B"/>
    <w:rsid w:val="452E5F4C"/>
    <w:rsid w:val="453F5652"/>
    <w:rsid w:val="45612018"/>
    <w:rsid w:val="456A6B72"/>
    <w:rsid w:val="45755CD2"/>
    <w:rsid w:val="458946E9"/>
    <w:rsid w:val="45A47C0E"/>
    <w:rsid w:val="462D194E"/>
    <w:rsid w:val="46577FD6"/>
    <w:rsid w:val="46D6122C"/>
    <w:rsid w:val="46D955A7"/>
    <w:rsid w:val="47133957"/>
    <w:rsid w:val="474A7CCD"/>
    <w:rsid w:val="475F1FDB"/>
    <w:rsid w:val="47A07E0C"/>
    <w:rsid w:val="47FE7E41"/>
    <w:rsid w:val="484F5769"/>
    <w:rsid w:val="486D3D4B"/>
    <w:rsid w:val="4870272E"/>
    <w:rsid w:val="48DC621A"/>
    <w:rsid w:val="48FD6399"/>
    <w:rsid w:val="494C592E"/>
    <w:rsid w:val="498D21F4"/>
    <w:rsid w:val="49DC7715"/>
    <w:rsid w:val="4A023139"/>
    <w:rsid w:val="4A2806B5"/>
    <w:rsid w:val="4A7B576F"/>
    <w:rsid w:val="4AAA5CD3"/>
    <w:rsid w:val="4AAB3D15"/>
    <w:rsid w:val="4AF561A9"/>
    <w:rsid w:val="4B1D57B7"/>
    <w:rsid w:val="4B294DDA"/>
    <w:rsid w:val="4B391F09"/>
    <w:rsid w:val="4B5F6CE3"/>
    <w:rsid w:val="4B895B94"/>
    <w:rsid w:val="4B8D7117"/>
    <w:rsid w:val="4B92472D"/>
    <w:rsid w:val="4BB74194"/>
    <w:rsid w:val="4BCB5E91"/>
    <w:rsid w:val="4BFC604B"/>
    <w:rsid w:val="4C03387D"/>
    <w:rsid w:val="4C196BFC"/>
    <w:rsid w:val="4C4A0649"/>
    <w:rsid w:val="4C5A2353"/>
    <w:rsid w:val="4C653BF0"/>
    <w:rsid w:val="4C7E5ECA"/>
    <w:rsid w:val="4C876AA5"/>
    <w:rsid w:val="4CA1514B"/>
    <w:rsid w:val="4D007BE6"/>
    <w:rsid w:val="4D0E00FB"/>
    <w:rsid w:val="4D176606"/>
    <w:rsid w:val="4D3857A8"/>
    <w:rsid w:val="4DCB3F26"/>
    <w:rsid w:val="4DE17BEE"/>
    <w:rsid w:val="4DEC4FB0"/>
    <w:rsid w:val="4DF72F6D"/>
    <w:rsid w:val="4E075D8A"/>
    <w:rsid w:val="4EBD57D4"/>
    <w:rsid w:val="4EC00FAD"/>
    <w:rsid w:val="4EC5306C"/>
    <w:rsid w:val="4F361873"/>
    <w:rsid w:val="4F9843DC"/>
    <w:rsid w:val="4F9D7B44"/>
    <w:rsid w:val="4FC62A8C"/>
    <w:rsid w:val="4FE20F0D"/>
    <w:rsid w:val="4FE51552"/>
    <w:rsid w:val="4FEC7679"/>
    <w:rsid w:val="50504C4B"/>
    <w:rsid w:val="505226DD"/>
    <w:rsid w:val="509C6E7C"/>
    <w:rsid w:val="50BB7A74"/>
    <w:rsid w:val="50F857CB"/>
    <w:rsid w:val="5100038B"/>
    <w:rsid w:val="51081D45"/>
    <w:rsid w:val="51363DAD"/>
    <w:rsid w:val="513A4E9C"/>
    <w:rsid w:val="51556929"/>
    <w:rsid w:val="51581F75"/>
    <w:rsid w:val="51595CED"/>
    <w:rsid w:val="5162104E"/>
    <w:rsid w:val="51B03B5F"/>
    <w:rsid w:val="524A3FB4"/>
    <w:rsid w:val="525433C8"/>
    <w:rsid w:val="52954CB0"/>
    <w:rsid w:val="52F52A8A"/>
    <w:rsid w:val="53236529"/>
    <w:rsid w:val="53A039CC"/>
    <w:rsid w:val="53A1505A"/>
    <w:rsid w:val="53B07A2B"/>
    <w:rsid w:val="53CE651E"/>
    <w:rsid w:val="53E04C9E"/>
    <w:rsid w:val="53FC1520"/>
    <w:rsid w:val="54063E08"/>
    <w:rsid w:val="543437E8"/>
    <w:rsid w:val="54745F13"/>
    <w:rsid w:val="54843081"/>
    <w:rsid w:val="54882B71"/>
    <w:rsid w:val="54B73456"/>
    <w:rsid w:val="54F73313"/>
    <w:rsid w:val="54F80955"/>
    <w:rsid w:val="55172147"/>
    <w:rsid w:val="553E76D4"/>
    <w:rsid w:val="554A42CB"/>
    <w:rsid w:val="555170A7"/>
    <w:rsid w:val="556732C9"/>
    <w:rsid w:val="5587536D"/>
    <w:rsid w:val="55886BA1"/>
    <w:rsid w:val="55911EF9"/>
    <w:rsid w:val="559B174B"/>
    <w:rsid w:val="55AC0AE1"/>
    <w:rsid w:val="55C45E2B"/>
    <w:rsid w:val="55CE0CF4"/>
    <w:rsid w:val="55D41DE6"/>
    <w:rsid w:val="55D42B7C"/>
    <w:rsid w:val="56336B0D"/>
    <w:rsid w:val="56552F27"/>
    <w:rsid w:val="56764C4B"/>
    <w:rsid w:val="56960A54"/>
    <w:rsid w:val="56B22A9C"/>
    <w:rsid w:val="57672F12"/>
    <w:rsid w:val="57B679F5"/>
    <w:rsid w:val="57B72A76"/>
    <w:rsid w:val="57C3426C"/>
    <w:rsid w:val="57CE1F93"/>
    <w:rsid w:val="57DA7815"/>
    <w:rsid w:val="58004D13"/>
    <w:rsid w:val="581666E6"/>
    <w:rsid w:val="584414A5"/>
    <w:rsid w:val="588743D1"/>
    <w:rsid w:val="5887701A"/>
    <w:rsid w:val="58BC02C6"/>
    <w:rsid w:val="58D418C8"/>
    <w:rsid w:val="590316FF"/>
    <w:rsid w:val="59044790"/>
    <w:rsid w:val="594D6137"/>
    <w:rsid w:val="59670B6F"/>
    <w:rsid w:val="59975832"/>
    <w:rsid w:val="599864FB"/>
    <w:rsid w:val="59AF7963"/>
    <w:rsid w:val="59B34516"/>
    <w:rsid w:val="59C0439F"/>
    <w:rsid w:val="59D46859"/>
    <w:rsid w:val="5A150D5F"/>
    <w:rsid w:val="5A160C1F"/>
    <w:rsid w:val="5A617483"/>
    <w:rsid w:val="5ABE2233"/>
    <w:rsid w:val="5B1B0771"/>
    <w:rsid w:val="5B751975"/>
    <w:rsid w:val="5BC854A8"/>
    <w:rsid w:val="5BCF72D8"/>
    <w:rsid w:val="5BDF5D95"/>
    <w:rsid w:val="5BFE7528"/>
    <w:rsid w:val="5C205D85"/>
    <w:rsid w:val="5CA442C0"/>
    <w:rsid w:val="5CC52489"/>
    <w:rsid w:val="5CFA4828"/>
    <w:rsid w:val="5D6830FA"/>
    <w:rsid w:val="5D7B64BE"/>
    <w:rsid w:val="5D9E6F62"/>
    <w:rsid w:val="5E2467F1"/>
    <w:rsid w:val="5EA458E2"/>
    <w:rsid w:val="5EE94B54"/>
    <w:rsid w:val="5F1A2B43"/>
    <w:rsid w:val="5F1D1B46"/>
    <w:rsid w:val="5F450354"/>
    <w:rsid w:val="5FB837BB"/>
    <w:rsid w:val="604118C1"/>
    <w:rsid w:val="60455DBA"/>
    <w:rsid w:val="605D6DBA"/>
    <w:rsid w:val="60616252"/>
    <w:rsid w:val="609B59DA"/>
    <w:rsid w:val="60A07495"/>
    <w:rsid w:val="60CC405A"/>
    <w:rsid w:val="611A0FF5"/>
    <w:rsid w:val="61E215D8"/>
    <w:rsid w:val="61F47A98"/>
    <w:rsid w:val="61FF0CA7"/>
    <w:rsid w:val="621B3775"/>
    <w:rsid w:val="62361E5F"/>
    <w:rsid w:val="62364782"/>
    <w:rsid w:val="626D784A"/>
    <w:rsid w:val="62AD6CE7"/>
    <w:rsid w:val="62EC6D5E"/>
    <w:rsid w:val="62F12229"/>
    <w:rsid w:val="63293771"/>
    <w:rsid w:val="632A1297"/>
    <w:rsid w:val="633D352C"/>
    <w:rsid w:val="637020C5"/>
    <w:rsid w:val="6394356A"/>
    <w:rsid w:val="63C61B2C"/>
    <w:rsid w:val="63D40BE9"/>
    <w:rsid w:val="63F92A66"/>
    <w:rsid w:val="64102431"/>
    <w:rsid w:val="64281C7B"/>
    <w:rsid w:val="643731D3"/>
    <w:rsid w:val="644A653A"/>
    <w:rsid w:val="64A5243A"/>
    <w:rsid w:val="64F531DE"/>
    <w:rsid w:val="65373578"/>
    <w:rsid w:val="65B978C5"/>
    <w:rsid w:val="65D8068E"/>
    <w:rsid w:val="65F673B7"/>
    <w:rsid w:val="66AE52A4"/>
    <w:rsid w:val="66E14363"/>
    <w:rsid w:val="66E4430F"/>
    <w:rsid w:val="67002A3B"/>
    <w:rsid w:val="671F124A"/>
    <w:rsid w:val="67674492"/>
    <w:rsid w:val="677A33C6"/>
    <w:rsid w:val="67894060"/>
    <w:rsid w:val="67C95523"/>
    <w:rsid w:val="67F00651"/>
    <w:rsid w:val="67F46030"/>
    <w:rsid w:val="6804038D"/>
    <w:rsid w:val="68074CD0"/>
    <w:rsid w:val="680B5B3B"/>
    <w:rsid w:val="680B5C16"/>
    <w:rsid w:val="681A5514"/>
    <w:rsid w:val="681F6961"/>
    <w:rsid w:val="68385372"/>
    <w:rsid w:val="68610A2F"/>
    <w:rsid w:val="68805514"/>
    <w:rsid w:val="68E5638C"/>
    <w:rsid w:val="69316E2F"/>
    <w:rsid w:val="694E2071"/>
    <w:rsid w:val="69635BA8"/>
    <w:rsid w:val="69766163"/>
    <w:rsid w:val="697A3B33"/>
    <w:rsid w:val="699658D9"/>
    <w:rsid w:val="69991D8F"/>
    <w:rsid w:val="69D44760"/>
    <w:rsid w:val="69EE46D0"/>
    <w:rsid w:val="6A4B1A04"/>
    <w:rsid w:val="6A520EC7"/>
    <w:rsid w:val="6A687795"/>
    <w:rsid w:val="6ACC6E9F"/>
    <w:rsid w:val="6AF87E20"/>
    <w:rsid w:val="6B322639"/>
    <w:rsid w:val="6B5B0B88"/>
    <w:rsid w:val="6B6F1F3D"/>
    <w:rsid w:val="6B741C4A"/>
    <w:rsid w:val="6BBB5183"/>
    <w:rsid w:val="6BC24763"/>
    <w:rsid w:val="6BDA09CA"/>
    <w:rsid w:val="6BDB3A77"/>
    <w:rsid w:val="6C136D6D"/>
    <w:rsid w:val="6C1B3E73"/>
    <w:rsid w:val="6C4E5FF7"/>
    <w:rsid w:val="6C636C38"/>
    <w:rsid w:val="6CC369E5"/>
    <w:rsid w:val="6D3D2C47"/>
    <w:rsid w:val="6D433682"/>
    <w:rsid w:val="6D8D2B4F"/>
    <w:rsid w:val="6D9E7E6A"/>
    <w:rsid w:val="6DB34098"/>
    <w:rsid w:val="6DB545B6"/>
    <w:rsid w:val="6DB70B73"/>
    <w:rsid w:val="6DE02FB4"/>
    <w:rsid w:val="6E46167B"/>
    <w:rsid w:val="6E514CED"/>
    <w:rsid w:val="6E781A51"/>
    <w:rsid w:val="6E7F2148"/>
    <w:rsid w:val="6EA75E92"/>
    <w:rsid w:val="6EAB14DE"/>
    <w:rsid w:val="6EB563D5"/>
    <w:rsid w:val="6ED753ED"/>
    <w:rsid w:val="6ED92677"/>
    <w:rsid w:val="6F225983"/>
    <w:rsid w:val="6F2E3EBD"/>
    <w:rsid w:val="6F9742E9"/>
    <w:rsid w:val="6FF46EB5"/>
    <w:rsid w:val="6FFC5590"/>
    <w:rsid w:val="706D1DD0"/>
    <w:rsid w:val="70856B87"/>
    <w:rsid w:val="70D527EE"/>
    <w:rsid w:val="71032DE4"/>
    <w:rsid w:val="710335BF"/>
    <w:rsid w:val="713752AB"/>
    <w:rsid w:val="7147606A"/>
    <w:rsid w:val="715B5300"/>
    <w:rsid w:val="71BC1C54"/>
    <w:rsid w:val="71D27F8A"/>
    <w:rsid w:val="721910BE"/>
    <w:rsid w:val="72553024"/>
    <w:rsid w:val="727A404A"/>
    <w:rsid w:val="73122968"/>
    <w:rsid w:val="731F5D5E"/>
    <w:rsid w:val="73C51AD5"/>
    <w:rsid w:val="741E793C"/>
    <w:rsid w:val="745148D6"/>
    <w:rsid w:val="7452064E"/>
    <w:rsid w:val="745E3944"/>
    <w:rsid w:val="747C12BA"/>
    <w:rsid w:val="7486110F"/>
    <w:rsid w:val="7505383F"/>
    <w:rsid w:val="7513602F"/>
    <w:rsid w:val="755A2999"/>
    <w:rsid w:val="755C1784"/>
    <w:rsid w:val="75605303"/>
    <w:rsid w:val="75BE5F9B"/>
    <w:rsid w:val="76232CDF"/>
    <w:rsid w:val="7635099D"/>
    <w:rsid w:val="76D534E5"/>
    <w:rsid w:val="770D2C6C"/>
    <w:rsid w:val="77405F0C"/>
    <w:rsid w:val="77762421"/>
    <w:rsid w:val="77B56B1F"/>
    <w:rsid w:val="780F09F4"/>
    <w:rsid w:val="787923C1"/>
    <w:rsid w:val="787F24BF"/>
    <w:rsid w:val="78822BDE"/>
    <w:rsid w:val="78A84CE1"/>
    <w:rsid w:val="78A90480"/>
    <w:rsid w:val="791E07A5"/>
    <w:rsid w:val="792321E3"/>
    <w:rsid w:val="79722641"/>
    <w:rsid w:val="79892D64"/>
    <w:rsid w:val="7A364017"/>
    <w:rsid w:val="7A651958"/>
    <w:rsid w:val="7A722CB4"/>
    <w:rsid w:val="7A7D4503"/>
    <w:rsid w:val="7A8265E1"/>
    <w:rsid w:val="7ABD32FA"/>
    <w:rsid w:val="7B22521E"/>
    <w:rsid w:val="7B310FBD"/>
    <w:rsid w:val="7B4D1C31"/>
    <w:rsid w:val="7B686D42"/>
    <w:rsid w:val="7B841746"/>
    <w:rsid w:val="7BE83E7B"/>
    <w:rsid w:val="7C176405"/>
    <w:rsid w:val="7C274045"/>
    <w:rsid w:val="7C52743D"/>
    <w:rsid w:val="7C6C5AC7"/>
    <w:rsid w:val="7CC6544B"/>
    <w:rsid w:val="7CF91FAF"/>
    <w:rsid w:val="7CFC2533"/>
    <w:rsid w:val="7D0239FF"/>
    <w:rsid w:val="7D225061"/>
    <w:rsid w:val="7D5E40CD"/>
    <w:rsid w:val="7DCD56F2"/>
    <w:rsid w:val="7DE25B31"/>
    <w:rsid w:val="7DEC67E0"/>
    <w:rsid w:val="7E0B3D48"/>
    <w:rsid w:val="7E24795C"/>
    <w:rsid w:val="7E2748F9"/>
    <w:rsid w:val="7E384364"/>
    <w:rsid w:val="7E3D2248"/>
    <w:rsid w:val="7E4436FD"/>
    <w:rsid w:val="7E447259"/>
    <w:rsid w:val="7E484F9C"/>
    <w:rsid w:val="7EAB7AE1"/>
    <w:rsid w:val="7EDE145C"/>
    <w:rsid w:val="7F001CE7"/>
    <w:rsid w:val="7F2C666B"/>
    <w:rsid w:val="7F8E2E82"/>
    <w:rsid w:val="7FE47E50"/>
    <w:rsid w:val="7FFC2595"/>
    <w:rsid w:val="7FFF379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nhideWhenUsed="0" w:uiPriority="9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43"/>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44"/>
    <w:unhideWhenUsed/>
    <w:qFormat/>
    <w:uiPriority w:val="99"/>
    <w:pPr>
      <w:keepNext/>
      <w:keepLines/>
      <w:spacing w:before="260" w:after="260" w:line="416" w:lineRule="auto"/>
      <w:outlineLvl w:val="1"/>
    </w:pPr>
    <w:rPr>
      <w:rFonts w:ascii="等线 Light" w:hAnsi="等线 Light" w:eastAsia="等线 Light" w:cs="Times New Roman"/>
      <w:b/>
      <w:bCs/>
      <w:sz w:val="32"/>
      <w:szCs w:val="32"/>
    </w:rPr>
  </w:style>
  <w:style w:type="paragraph" w:styleId="7">
    <w:name w:val="heading 3"/>
    <w:basedOn w:val="1"/>
    <w:next w:val="1"/>
    <w:link w:val="45"/>
    <w:qFormat/>
    <w:uiPriority w:val="99"/>
    <w:pPr>
      <w:keepNext/>
      <w:keepLines/>
      <w:widowControl/>
      <w:spacing w:line="360" w:lineRule="auto"/>
      <w:ind w:firstLine="512"/>
      <w:jc w:val="left"/>
      <w:outlineLvl w:val="2"/>
    </w:pPr>
    <w:rPr>
      <w:b/>
      <w:bCs/>
      <w:color w:val="000000"/>
      <w:kern w:val="0"/>
      <w:sz w:val="24"/>
    </w:rPr>
  </w:style>
  <w:style w:type="paragraph" w:styleId="8">
    <w:name w:val="heading 4"/>
    <w:basedOn w:val="1"/>
    <w:next w:val="1"/>
    <w:link w:val="46"/>
    <w:qFormat/>
    <w:uiPriority w:val="9"/>
    <w:pPr>
      <w:keepNext/>
      <w:keepLines/>
      <w:widowControl/>
      <w:spacing w:before="280" w:after="290" w:line="376" w:lineRule="auto"/>
      <w:jc w:val="left"/>
      <w:outlineLvl w:val="3"/>
    </w:pPr>
    <w:rPr>
      <w:rFonts w:ascii="Cambria" w:hAnsi="Cambria"/>
      <w:b/>
      <w:bCs/>
      <w:color w:val="000000"/>
      <w:sz w:val="28"/>
      <w:szCs w:val="28"/>
    </w:rPr>
  </w:style>
  <w:style w:type="character" w:default="1" w:styleId="34">
    <w:name w:val="Default Paragraph Font"/>
    <w:semiHidden/>
    <w:qFormat/>
    <w:uiPriority w:val="0"/>
  </w:style>
  <w:style w:type="table" w:default="1" w:styleId="32">
    <w:name w:val="Normal Table"/>
    <w:semiHidden/>
    <w:qFormat/>
    <w:uiPriority w:val="0"/>
    <w:tblPr>
      <w:tblCellMar>
        <w:top w:w="0" w:type="dxa"/>
        <w:left w:w="108" w:type="dxa"/>
        <w:bottom w:w="0" w:type="dxa"/>
        <w:right w:w="108" w:type="dxa"/>
      </w:tblCellMar>
    </w:tblPr>
  </w:style>
  <w:style w:type="paragraph" w:styleId="2">
    <w:name w:val="Body Text First Indent"/>
    <w:basedOn w:val="3"/>
    <w:link w:val="65"/>
    <w:unhideWhenUsed/>
    <w:qFormat/>
    <w:uiPriority w:val="99"/>
    <w:pPr>
      <w:snapToGrid/>
      <w:spacing w:before="0" w:after="120" w:line="360" w:lineRule="auto"/>
      <w:ind w:right="0" w:firstLine="420" w:firstLineChars="100"/>
      <w:jc w:val="left"/>
    </w:pPr>
    <w:rPr>
      <w:color w:val="000000"/>
      <w:kern w:val="2"/>
      <w:sz w:val="24"/>
      <w:szCs w:val="24"/>
    </w:rPr>
  </w:style>
  <w:style w:type="paragraph" w:styleId="3">
    <w:name w:val="Body Text"/>
    <w:basedOn w:val="1"/>
    <w:next w:val="4"/>
    <w:link w:val="51"/>
    <w:qFormat/>
    <w:uiPriority w:val="99"/>
    <w:pPr>
      <w:widowControl/>
      <w:snapToGrid w:val="0"/>
      <w:spacing w:before="60" w:after="160" w:line="259" w:lineRule="auto"/>
      <w:ind w:right="113"/>
    </w:pPr>
    <w:rPr>
      <w:kern w:val="0"/>
      <w:sz w:val="18"/>
      <w:szCs w:val="20"/>
    </w:rPr>
  </w:style>
  <w:style w:type="paragraph" w:customStyle="1" w:styleId="4">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styleId="9">
    <w:name w:val="Normal Indent"/>
    <w:basedOn w:val="1"/>
    <w:link w:val="42"/>
    <w:qFormat/>
    <w:uiPriority w:val="0"/>
    <w:pPr>
      <w:ind w:firstLine="420" w:firstLineChars="200"/>
    </w:pPr>
    <w:rPr>
      <w:szCs w:val="20"/>
    </w:rPr>
  </w:style>
  <w:style w:type="paragraph" w:styleId="10">
    <w:name w:val="caption"/>
    <w:basedOn w:val="1"/>
    <w:next w:val="1"/>
    <w:link w:val="47"/>
    <w:qFormat/>
    <w:uiPriority w:val="0"/>
    <w:rPr>
      <w:rFonts w:ascii="Arial" w:hAnsi="Arial" w:eastAsia="黑体" w:cs="Arial"/>
      <w:sz w:val="20"/>
      <w:szCs w:val="20"/>
    </w:rPr>
  </w:style>
  <w:style w:type="paragraph" w:styleId="11">
    <w:name w:val="Document Map"/>
    <w:basedOn w:val="1"/>
    <w:link w:val="48"/>
    <w:unhideWhenUsed/>
    <w:qFormat/>
    <w:uiPriority w:val="99"/>
    <w:pPr>
      <w:widowControl/>
      <w:spacing w:line="360" w:lineRule="auto"/>
      <w:jc w:val="left"/>
    </w:pPr>
    <w:rPr>
      <w:rFonts w:ascii="宋体"/>
      <w:color w:val="000000"/>
      <w:sz w:val="18"/>
      <w:szCs w:val="18"/>
    </w:rPr>
  </w:style>
  <w:style w:type="paragraph" w:styleId="12">
    <w:name w:val="annotation text"/>
    <w:basedOn w:val="1"/>
    <w:link w:val="49"/>
    <w:semiHidden/>
    <w:qFormat/>
    <w:uiPriority w:val="99"/>
    <w:pPr>
      <w:jc w:val="left"/>
    </w:pPr>
    <w:rPr>
      <w:kern w:val="0"/>
      <w:sz w:val="24"/>
      <w:szCs w:val="20"/>
    </w:rPr>
  </w:style>
  <w:style w:type="paragraph" w:styleId="13">
    <w:name w:val="Body Text 3"/>
    <w:basedOn w:val="1"/>
    <w:link w:val="50"/>
    <w:unhideWhenUsed/>
    <w:qFormat/>
    <w:uiPriority w:val="99"/>
    <w:pPr>
      <w:widowControl/>
      <w:spacing w:after="120" w:line="360" w:lineRule="auto"/>
      <w:jc w:val="left"/>
    </w:pPr>
    <w:rPr>
      <w:color w:val="000000"/>
      <w:sz w:val="16"/>
      <w:szCs w:val="16"/>
    </w:rPr>
  </w:style>
  <w:style w:type="paragraph" w:styleId="14">
    <w:name w:val="Body Text Indent"/>
    <w:basedOn w:val="1"/>
    <w:next w:val="2"/>
    <w:link w:val="52"/>
    <w:qFormat/>
    <w:uiPriority w:val="99"/>
    <w:pPr>
      <w:spacing w:after="120"/>
      <w:ind w:left="420" w:leftChars="200"/>
    </w:pPr>
    <w:rPr>
      <w:kern w:val="0"/>
      <w:sz w:val="24"/>
      <w:szCs w:val="20"/>
    </w:rPr>
  </w:style>
  <w:style w:type="paragraph" w:styleId="15">
    <w:name w:val="Plain Text"/>
    <w:basedOn w:val="1"/>
    <w:link w:val="53"/>
    <w:qFormat/>
    <w:uiPriority w:val="0"/>
    <w:pPr>
      <w:widowControl/>
      <w:jc w:val="left"/>
    </w:pPr>
    <w:rPr>
      <w:rFonts w:ascii="宋体" w:hAnsi="Courier New"/>
      <w:szCs w:val="20"/>
    </w:rPr>
  </w:style>
  <w:style w:type="paragraph" w:styleId="16">
    <w:name w:val="List Bullet 5"/>
    <w:basedOn w:val="1"/>
    <w:qFormat/>
    <w:uiPriority w:val="0"/>
    <w:pPr>
      <w:numPr>
        <w:ilvl w:val="0"/>
        <w:numId w:val="1"/>
      </w:numPr>
    </w:pPr>
  </w:style>
  <w:style w:type="paragraph" w:styleId="17">
    <w:name w:val="Date"/>
    <w:basedOn w:val="1"/>
    <w:next w:val="1"/>
    <w:link w:val="54"/>
    <w:qFormat/>
    <w:uiPriority w:val="0"/>
    <w:pPr>
      <w:ind w:left="100" w:leftChars="2500"/>
    </w:pPr>
    <w:rPr>
      <w:kern w:val="0"/>
      <w:sz w:val="24"/>
      <w:szCs w:val="20"/>
    </w:rPr>
  </w:style>
  <w:style w:type="paragraph" w:styleId="18">
    <w:name w:val="Body Text Indent 2"/>
    <w:basedOn w:val="1"/>
    <w:link w:val="55"/>
    <w:unhideWhenUsed/>
    <w:qFormat/>
    <w:uiPriority w:val="99"/>
    <w:pPr>
      <w:widowControl/>
      <w:spacing w:after="120" w:line="480" w:lineRule="auto"/>
      <w:ind w:left="420" w:leftChars="200"/>
      <w:jc w:val="left"/>
    </w:pPr>
    <w:rPr>
      <w:color w:val="000000"/>
      <w:sz w:val="24"/>
    </w:rPr>
  </w:style>
  <w:style w:type="paragraph" w:styleId="19">
    <w:name w:val="Balloon Text"/>
    <w:basedOn w:val="1"/>
    <w:link w:val="56"/>
    <w:qFormat/>
    <w:uiPriority w:val="99"/>
    <w:rPr>
      <w:kern w:val="0"/>
      <w:sz w:val="18"/>
      <w:szCs w:val="20"/>
    </w:rPr>
  </w:style>
  <w:style w:type="paragraph" w:styleId="20">
    <w:name w:val="footer"/>
    <w:basedOn w:val="1"/>
    <w:link w:val="57"/>
    <w:qFormat/>
    <w:uiPriority w:val="99"/>
    <w:pPr>
      <w:tabs>
        <w:tab w:val="center" w:pos="4153"/>
        <w:tab w:val="right" w:pos="8306"/>
      </w:tabs>
      <w:snapToGrid w:val="0"/>
      <w:jc w:val="left"/>
    </w:pPr>
    <w:rPr>
      <w:kern w:val="0"/>
      <w:sz w:val="18"/>
      <w:szCs w:val="20"/>
    </w:rPr>
  </w:style>
  <w:style w:type="paragraph" w:styleId="21">
    <w:name w:val="header"/>
    <w:basedOn w:val="1"/>
    <w:link w:val="58"/>
    <w:qFormat/>
    <w:uiPriority w:val="99"/>
    <w:pPr>
      <w:pBdr>
        <w:bottom w:val="single" w:color="auto" w:sz="6" w:space="1"/>
      </w:pBdr>
      <w:tabs>
        <w:tab w:val="center" w:pos="4153"/>
        <w:tab w:val="right" w:pos="8306"/>
      </w:tabs>
      <w:snapToGrid w:val="0"/>
      <w:jc w:val="center"/>
    </w:pPr>
    <w:rPr>
      <w:kern w:val="0"/>
      <w:sz w:val="18"/>
      <w:szCs w:val="20"/>
    </w:rPr>
  </w:style>
  <w:style w:type="paragraph" w:styleId="22">
    <w:name w:val="List"/>
    <w:basedOn w:val="1"/>
    <w:unhideWhenUsed/>
    <w:qFormat/>
    <w:uiPriority w:val="99"/>
    <w:pPr>
      <w:widowControl/>
      <w:spacing w:line="320" w:lineRule="exact"/>
      <w:jc w:val="center"/>
    </w:pPr>
    <w:rPr>
      <w:color w:val="000000"/>
      <w:sz w:val="22"/>
      <w:szCs w:val="22"/>
    </w:rPr>
  </w:style>
  <w:style w:type="paragraph" w:styleId="23">
    <w:name w:val="Body Text Indent 3"/>
    <w:basedOn w:val="1"/>
    <w:link w:val="59"/>
    <w:unhideWhenUsed/>
    <w:qFormat/>
    <w:uiPriority w:val="99"/>
    <w:pPr>
      <w:widowControl/>
      <w:spacing w:after="120" w:line="360" w:lineRule="auto"/>
      <w:ind w:left="420" w:leftChars="200"/>
      <w:jc w:val="left"/>
    </w:pPr>
    <w:rPr>
      <w:color w:val="000000"/>
      <w:sz w:val="16"/>
      <w:szCs w:val="16"/>
    </w:rPr>
  </w:style>
  <w:style w:type="paragraph" w:styleId="24">
    <w:name w:val="table of figures"/>
    <w:basedOn w:val="1"/>
    <w:next w:val="1"/>
    <w:unhideWhenUsed/>
    <w:qFormat/>
    <w:uiPriority w:val="99"/>
    <w:pPr>
      <w:widowControl/>
      <w:spacing w:before="100" w:beforeAutospacing="1" w:after="100" w:afterAutospacing="1" w:line="360" w:lineRule="auto"/>
      <w:ind w:leftChars="200" w:hanging="200" w:hangingChars="200"/>
      <w:jc w:val="left"/>
    </w:pPr>
    <w:rPr>
      <w:color w:val="000000"/>
      <w:sz w:val="24"/>
    </w:rPr>
  </w:style>
  <w:style w:type="paragraph" w:styleId="25">
    <w:name w:val="Body Text 2"/>
    <w:basedOn w:val="1"/>
    <w:link w:val="60"/>
    <w:unhideWhenUsed/>
    <w:qFormat/>
    <w:uiPriority w:val="99"/>
    <w:pPr>
      <w:widowControl/>
      <w:spacing w:after="120" w:line="480" w:lineRule="auto"/>
      <w:jc w:val="left"/>
    </w:pPr>
    <w:rPr>
      <w:color w:val="000000"/>
      <w:sz w:val="24"/>
    </w:rPr>
  </w:style>
  <w:style w:type="paragraph" w:styleId="26">
    <w:name w:val="HTML Preformatted"/>
    <w:basedOn w:val="1"/>
    <w:link w:val="6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7">
    <w:name w:val="Normal (Web)"/>
    <w:basedOn w:val="1"/>
    <w:link w:val="62"/>
    <w:qFormat/>
    <w:uiPriority w:val="0"/>
    <w:pPr>
      <w:widowControl/>
      <w:spacing w:before="100" w:beforeAutospacing="1" w:after="100" w:afterAutospacing="1"/>
      <w:jc w:val="left"/>
    </w:pPr>
    <w:rPr>
      <w:rFonts w:ascii="宋体" w:hAnsi="宋体"/>
      <w:kern w:val="0"/>
      <w:sz w:val="24"/>
      <w:szCs w:val="20"/>
    </w:rPr>
  </w:style>
  <w:style w:type="paragraph" w:styleId="28">
    <w:name w:val="Title"/>
    <w:basedOn w:val="29"/>
    <w:next w:val="2"/>
    <w:link w:val="63"/>
    <w:qFormat/>
    <w:uiPriority w:val="10"/>
    <w:pPr>
      <w:widowControl/>
      <w:spacing w:before="240" w:after="60" w:line="360" w:lineRule="auto"/>
      <w:jc w:val="center"/>
      <w:outlineLvl w:val="0"/>
    </w:pPr>
    <w:rPr>
      <w:rFonts w:ascii="Cambria" w:hAnsi="Cambria"/>
      <w:b/>
      <w:bCs/>
      <w:color w:val="000000"/>
      <w:sz w:val="32"/>
      <w:szCs w:val="32"/>
    </w:rPr>
  </w:style>
  <w:style w:type="paragraph" w:customStyle="1" w:styleId="29">
    <w:name w:val="表体"/>
    <w:basedOn w:val="1"/>
    <w:qFormat/>
    <w:uiPriority w:val="0"/>
    <w:pPr>
      <w:overflowPunct w:val="0"/>
      <w:spacing w:line="240" w:lineRule="auto"/>
      <w:ind w:firstLine="0" w:firstLineChars="0"/>
      <w:jc w:val="center"/>
      <w:textAlignment w:val="baseline"/>
    </w:pPr>
    <w:rPr>
      <w:color w:val="0000FF"/>
      <w:kern w:val="24"/>
      <w:sz w:val="21"/>
    </w:rPr>
  </w:style>
  <w:style w:type="paragraph" w:styleId="30">
    <w:name w:val="annotation subject"/>
    <w:basedOn w:val="12"/>
    <w:next w:val="12"/>
    <w:link w:val="64"/>
    <w:semiHidden/>
    <w:qFormat/>
    <w:uiPriority w:val="0"/>
    <w:rPr>
      <w:b/>
      <w:sz w:val="24"/>
      <w:szCs w:val="20"/>
    </w:rPr>
  </w:style>
  <w:style w:type="paragraph" w:styleId="31">
    <w:name w:val="Body Text First Indent 2"/>
    <w:basedOn w:val="14"/>
    <w:next w:val="1"/>
    <w:link w:val="66"/>
    <w:qFormat/>
    <w:uiPriority w:val="0"/>
    <w:pPr>
      <w:ind w:firstLine="420" w:firstLineChars="200"/>
    </w:pPr>
    <w:rPr>
      <w:kern w:val="2"/>
      <w:sz w:val="21"/>
      <w:szCs w:val="24"/>
    </w:rPr>
  </w:style>
  <w:style w:type="table" w:styleId="33">
    <w:name w:val="Table Grid"/>
    <w:basedOn w:val="3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22"/>
    <w:rPr>
      <w:b/>
      <w:bCs/>
    </w:rPr>
  </w:style>
  <w:style w:type="character" w:styleId="36">
    <w:name w:val="page number"/>
    <w:basedOn w:val="34"/>
    <w:qFormat/>
    <w:uiPriority w:val="0"/>
  </w:style>
  <w:style w:type="character" w:styleId="37">
    <w:name w:val="FollowedHyperlink"/>
    <w:unhideWhenUsed/>
    <w:qFormat/>
    <w:uiPriority w:val="99"/>
    <w:rPr>
      <w:color w:val="800080"/>
      <w:u w:val="single"/>
    </w:rPr>
  </w:style>
  <w:style w:type="character" w:styleId="38">
    <w:name w:val="Emphasis"/>
    <w:qFormat/>
    <w:uiPriority w:val="20"/>
    <w:rPr>
      <w:i/>
      <w:iCs/>
    </w:rPr>
  </w:style>
  <w:style w:type="character" w:styleId="39">
    <w:name w:val="Hyperlink"/>
    <w:unhideWhenUsed/>
    <w:qFormat/>
    <w:uiPriority w:val="99"/>
    <w:rPr>
      <w:color w:val="0000FF"/>
      <w:u w:val="single"/>
    </w:rPr>
  </w:style>
  <w:style w:type="character" w:styleId="40">
    <w:name w:val="annotation reference"/>
    <w:qFormat/>
    <w:uiPriority w:val="99"/>
    <w:rPr>
      <w:sz w:val="21"/>
    </w:rPr>
  </w:style>
  <w:style w:type="paragraph" w:customStyle="1" w:styleId="41">
    <w:name w:val="正文部分"/>
    <w:basedOn w:val="1"/>
    <w:qFormat/>
    <w:uiPriority w:val="0"/>
    <w:pPr>
      <w:adjustRightInd w:val="0"/>
      <w:snapToGrid w:val="0"/>
      <w:spacing w:line="460" w:lineRule="exact"/>
      <w:textAlignment w:val="baseline"/>
    </w:pPr>
    <w:rPr>
      <w:rFonts w:ascii="宋体" w:cs="仿宋_GB2312"/>
      <w:kern w:val="0"/>
      <w:sz w:val="30"/>
      <w:szCs w:val="30"/>
    </w:rPr>
  </w:style>
  <w:style w:type="character" w:customStyle="1" w:styleId="42">
    <w:name w:val="正文缩进 字符"/>
    <w:link w:val="9"/>
    <w:qFormat/>
    <w:uiPriority w:val="0"/>
    <w:rPr>
      <w:kern w:val="2"/>
      <w:sz w:val="21"/>
    </w:rPr>
  </w:style>
  <w:style w:type="character" w:customStyle="1" w:styleId="43">
    <w:name w:val="标题 1 字符"/>
    <w:link w:val="5"/>
    <w:qFormat/>
    <w:uiPriority w:val="99"/>
    <w:rPr>
      <w:rFonts w:eastAsia="黑体"/>
      <w:b/>
      <w:bCs/>
      <w:color w:val="000000"/>
      <w:kern w:val="44"/>
      <w:sz w:val="30"/>
      <w:szCs w:val="30"/>
    </w:rPr>
  </w:style>
  <w:style w:type="character" w:customStyle="1" w:styleId="44">
    <w:name w:val="标题 2 字符"/>
    <w:link w:val="6"/>
    <w:qFormat/>
    <w:uiPriority w:val="99"/>
    <w:rPr>
      <w:rFonts w:ascii="等线 Light" w:hAnsi="等线 Light" w:eastAsia="等线 Light" w:cs="Times New Roman"/>
      <w:b/>
      <w:bCs/>
      <w:kern w:val="2"/>
      <w:sz w:val="32"/>
      <w:szCs w:val="32"/>
    </w:rPr>
  </w:style>
  <w:style w:type="character" w:customStyle="1" w:styleId="45">
    <w:name w:val="标题 3 字符"/>
    <w:link w:val="7"/>
    <w:qFormat/>
    <w:uiPriority w:val="99"/>
    <w:rPr>
      <w:b/>
      <w:bCs/>
      <w:color w:val="000000"/>
      <w:sz w:val="24"/>
      <w:szCs w:val="24"/>
    </w:rPr>
  </w:style>
  <w:style w:type="character" w:customStyle="1" w:styleId="46">
    <w:name w:val="标题 4 字符"/>
    <w:link w:val="8"/>
    <w:qFormat/>
    <w:uiPriority w:val="9"/>
    <w:rPr>
      <w:rFonts w:ascii="Cambria" w:hAnsi="Cambria"/>
      <w:b/>
      <w:bCs/>
      <w:color w:val="000000"/>
      <w:kern w:val="2"/>
      <w:sz w:val="28"/>
      <w:szCs w:val="28"/>
    </w:rPr>
  </w:style>
  <w:style w:type="character" w:customStyle="1" w:styleId="47">
    <w:name w:val="题注 字符"/>
    <w:link w:val="10"/>
    <w:qFormat/>
    <w:uiPriority w:val="0"/>
    <w:rPr>
      <w:rFonts w:ascii="Arial" w:hAnsi="Arial" w:eastAsia="黑体" w:cs="Arial"/>
      <w:kern w:val="2"/>
    </w:rPr>
  </w:style>
  <w:style w:type="character" w:customStyle="1" w:styleId="48">
    <w:name w:val="文档结构图 字符"/>
    <w:link w:val="11"/>
    <w:qFormat/>
    <w:uiPriority w:val="99"/>
    <w:rPr>
      <w:rFonts w:ascii="宋体"/>
      <w:color w:val="000000"/>
      <w:kern w:val="2"/>
      <w:sz w:val="18"/>
      <w:szCs w:val="18"/>
    </w:rPr>
  </w:style>
  <w:style w:type="character" w:customStyle="1" w:styleId="49">
    <w:name w:val="批注文字 字符"/>
    <w:link w:val="12"/>
    <w:qFormat/>
    <w:uiPriority w:val="99"/>
    <w:rPr>
      <w:rFonts w:ascii="Times New Roman" w:hAnsi="Times New Roman" w:eastAsia="宋体"/>
      <w:sz w:val="24"/>
    </w:rPr>
  </w:style>
  <w:style w:type="character" w:customStyle="1" w:styleId="50">
    <w:name w:val="正文文本 3 字符"/>
    <w:link w:val="13"/>
    <w:qFormat/>
    <w:uiPriority w:val="99"/>
    <w:rPr>
      <w:color w:val="000000"/>
      <w:kern w:val="2"/>
      <w:sz w:val="16"/>
      <w:szCs w:val="16"/>
    </w:rPr>
  </w:style>
  <w:style w:type="character" w:customStyle="1" w:styleId="51">
    <w:name w:val="正文文本 字符"/>
    <w:link w:val="3"/>
    <w:qFormat/>
    <w:uiPriority w:val="99"/>
    <w:rPr>
      <w:sz w:val="18"/>
    </w:rPr>
  </w:style>
  <w:style w:type="character" w:customStyle="1" w:styleId="52">
    <w:name w:val="正文文本缩进 字符"/>
    <w:link w:val="14"/>
    <w:qFormat/>
    <w:uiPriority w:val="99"/>
    <w:rPr>
      <w:rFonts w:ascii="Times New Roman" w:hAnsi="Times New Roman" w:eastAsia="宋体"/>
      <w:sz w:val="24"/>
    </w:rPr>
  </w:style>
  <w:style w:type="character" w:customStyle="1" w:styleId="53">
    <w:name w:val="纯文本 字符"/>
    <w:link w:val="15"/>
    <w:qFormat/>
    <w:uiPriority w:val="0"/>
    <w:rPr>
      <w:rFonts w:ascii="宋体" w:hAnsi="Courier New"/>
      <w:kern w:val="2"/>
      <w:sz w:val="21"/>
    </w:rPr>
  </w:style>
  <w:style w:type="character" w:customStyle="1" w:styleId="54">
    <w:name w:val="日期 字符1"/>
    <w:link w:val="17"/>
    <w:qFormat/>
    <w:uiPriority w:val="99"/>
    <w:rPr>
      <w:rFonts w:ascii="Times New Roman" w:hAnsi="Times New Roman" w:eastAsia="宋体"/>
      <w:sz w:val="24"/>
    </w:rPr>
  </w:style>
  <w:style w:type="character" w:customStyle="1" w:styleId="55">
    <w:name w:val="正文文本缩进 2 字符"/>
    <w:link w:val="18"/>
    <w:qFormat/>
    <w:uiPriority w:val="99"/>
    <w:rPr>
      <w:color w:val="000000"/>
      <w:kern w:val="2"/>
      <w:sz w:val="24"/>
      <w:szCs w:val="24"/>
    </w:rPr>
  </w:style>
  <w:style w:type="character" w:customStyle="1" w:styleId="56">
    <w:name w:val="批注框文本 字符"/>
    <w:link w:val="19"/>
    <w:semiHidden/>
    <w:qFormat/>
    <w:uiPriority w:val="99"/>
    <w:rPr>
      <w:rFonts w:ascii="Times New Roman" w:hAnsi="Times New Roman" w:eastAsia="宋体"/>
      <w:sz w:val="18"/>
    </w:rPr>
  </w:style>
  <w:style w:type="character" w:customStyle="1" w:styleId="57">
    <w:name w:val="页脚 字符1"/>
    <w:link w:val="20"/>
    <w:qFormat/>
    <w:uiPriority w:val="99"/>
    <w:rPr>
      <w:sz w:val="18"/>
    </w:rPr>
  </w:style>
  <w:style w:type="character" w:customStyle="1" w:styleId="58">
    <w:name w:val="页眉 字符"/>
    <w:link w:val="21"/>
    <w:qFormat/>
    <w:uiPriority w:val="99"/>
    <w:rPr>
      <w:sz w:val="18"/>
    </w:rPr>
  </w:style>
  <w:style w:type="character" w:customStyle="1" w:styleId="59">
    <w:name w:val="正文文本缩进 3 字符"/>
    <w:link w:val="23"/>
    <w:qFormat/>
    <w:uiPriority w:val="99"/>
    <w:rPr>
      <w:color w:val="000000"/>
      <w:kern w:val="2"/>
      <w:sz w:val="16"/>
      <w:szCs w:val="16"/>
    </w:rPr>
  </w:style>
  <w:style w:type="character" w:customStyle="1" w:styleId="60">
    <w:name w:val="正文文本 2 字符"/>
    <w:link w:val="25"/>
    <w:qFormat/>
    <w:uiPriority w:val="99"/>
    <w:rPr>
      <w:color w:val="000000"/>
      <w:kern w:val="2"/>
      <w:sz w:val="24"/>
      <w:szCs w:val="24"/>
    </w:rPr>
  </w:style>
  <w:style w:type="character" w:customStyle="1" w:styleId="61">
    <w:name w:val="HTML 预设格式 字符"/>
    <w:link w:val="26"/>
    <w:qFormat/>
    <w:uiPriority w:val="99"/>
    <w:rPr>
      <w:rFonts w:ascii="宋体" w:hAnsi="宋体" w:cs="宋体"/>
      <w:sz w:val="24"/>
      <w:szCs w:val="24"/>
    </w:rPr>
  </w:style>
  <w:style w:type="character" w:customStyle="1" w:styleId="62">
    <w:name w:val="普通(网站) 字符"/>
    <w:link w:val="27"/>
    <w:qFormat/>
    <w:uiPriority w:val="0"/>
    <w:rPr>
      <w:rFonts w:ascii="宋体" w:hAnsi="宋体" w:eastAsia="宋体"/>
      <w:sz w:val="24"/>
    </w:rPr>
  </w:style>
  <w:style w:type="character" w:customStyle="1" w:styleId="63">
    <w:name w:val="标题 字符"/>
    <w:link w:val="28"/>
    <w:qFormat/>
    <w:uiPriority w:val="10"/>
    <w:rPr>
      <w:rFonts w:ascii="Cambria" w:hAnsi="Cambria"/>
      <w:b/>
      <w:bCs/>
      <w:color w:val="000000"/>
      <w:kern w:val="2"/>
      <w:sz w:val="32"/>
      <w:szCs w:val="32"/>
    </w:rPr>
  </w:style>
  <w:style w:type="character" w:customStyle="1" w:styleId="64">
    <w:name w:val="批注主题 字符"/>
    <w:link w:val="30"/>
    <w:semiHidden/>
    <w:qFormat/>
    <w:uiPriority w:val="0"/>
    <w:rPr>
      <w:rFonts w:ascii="Times New Roman" w:hAnsi="Times New Roman" w:eastAsia="宋体"/>
      <w:b/>
      <w:kern w:val="2"/>
      <w:sz w:val="24"/>
    </w:rPr>
  </w:style>
  <w:style w:type="character" w:customStyle="1" w:styleId="65">
    <w:name w:val="正文文本首行缩进 字符"/>
    <w:link w:val="2"/>
    <w:qFormat/>
    <w:uiPriority w:val="99"/>
    <w:rPr>
      <w:color w:val="000000"/>
      <w:kern w:val="2"/>
      <w:sz w:val="24"/>
      <w:szCs w:val="24"/>
    </w:rPr>
  </w:style>
  <w:style w:type="character" w:customStyle="1" w:styleId="66">
    <w:name w:val="正文文本首行缩进 2 字符"/>
    <w:link w:val="31"/>
    <w:qFormat/>
    <w:uiPriority w:val="0"/>
    <w:rPr>
      <w:rFonts w:ascii="Times New Roman" w:hAnsi="Times New Roman" w:eastAsia="宋体"/>
      <w:kern w:val="2"/>
      <w:sz w:val="21"/>
      <w:szCs w:val="24"/>
    </w:rPr>
  </w:style>
  <w:style w:type="paragraph" w:customStyle="1" w:styleId="67">
    <w:name w:val="表格1"/>
    <w:basedOn w:val="1"/>
    <w:semiHidden/>
    <w:qFormat/>
    <w:uiPriority w:val="0"/>
    <w:pPr>
      <w:adjustRightInd w:val="0"/>
      <w:snapToGrid w:val="0"/>
      <w:spacing w:line="360" w:lineRule="auto"/>
      <w:jc w:val="center"/>
    </w:pPr>
    <w:rPr>
      <w:rFonts w:ascii="黑体" w:hAnsi="宋体" w:eastAsia="黑体"/>
      <w:szCs w:val="21"/>
    </w:rPr>
  </w:style>
  <w:style w:type="character" w:customStyle="1" w:styleId="68">
    <w:name w:val="批注文字 字符1"/>
    <w:semiHidden/>
    <w:qFormat/>
    <w:uiPriority w:val="0"/>
    <w:rPr>
      <w:rFonts w:ascii="Times New Roman" w:hAnsi="Times New Roman" w:eastAsia="宋体"/>
      <w:sz w:val="24"/>
    </w:rPr>
  </w:style>
  <w:style w:type="character" w:customStyle="1" w:styleId="69">
    <w:name w:val="日期 字符"/>
    <w:qFormat/>
    <w:uiPriority w:val="0"/>
    <w:rPr>
      <w:rFonts w:ascii="Times New Roman" w:hAnsi="Times New Roman" w:eastAsia="宋体"/>
      <w:sz w:val="24"/>
    </w:rPr>
  </w:style>
  <w:style w:type="character" w:customStyle="1" w:styleId="70">
    <w:name w:val="页脚 字符"/>
    <w:basedOn w:val="34"/>
    <w:qFormat/>
    <w:uiPriority w:val="99"/>
  </w:style>
  <w:style w:type="character" w:customStyle="1" w:styleId="71">
    <w:name w:val="表格 Char"/>
    <w:link w:val="72"/>
    <w:qFormat/>
    <w:uiPriority w:val="0"/>
    <w:rPr>
      <w:rFonts w:ascii="宋体"/>
      <w:sz w:val="21"/>
    </w:rPr>
  </w:style>
  <w:style w:type="paragraph" w:customStyle="1" w:styleId="72">
    <w:name w:val="表格"/>
    <w:basedOn w:val="1"/>
    <w:next w:val="1"/>
    <w:link w:val="71"/>
    <w:qFormat/>
    <w:uiPriority w:val="0"/>
    <w:pPr>
      <w:adjustRightInd w:val="0"/>
      <w:snapToGrid w:val="0"/>
      <w:spacing w:beforeLines="10" w:afterLines="10" w:line="259" w:lineRule="auto"/>
      <w:jc w:val="center"/>
    </w:pPr>
    <w:rPr>
      <w:rFonts w:ascii="宋体"/>
      <w:kern w:val="0"/>
      <w:szCs w:val="20"/>
    </w:rPr>
  </w:style>
  <w:style w:type="character" w:customStyle="1" w:styleId="73">
    <w:name w:val="正文文本 字符1"/>
    <w:semiHidden/>
    <w:qFormat/>
    <w:uiPriority w:val="0"/>
    <w:rPr>
      <w:rFonts w:ascii="Times New Roman" w:hAnsi="Times New Roman" w:eastAsia="宋体"/>
      <w:sz w:val="24"/>
    </w:rPr>
  </w:style>
  <w:style w:type="paragraph" w:customStyle="1" w:styleId="7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6">
    <w:name w:val="Normal"/>
    <w:qFormat/>
    <w:uiPriority w:val="0"/>
    <w:pPr>
      <w:jc w:val="both"/>
    </w:pPr>
    <w:rPr>
      <w:rFonts w:ascii="Times New Roman" w:hAnsi="Times New Roman" w:eastAsia="宋体" w:cs="Times New Roman"/>
      <w:kern w:val="2"/>
      <w:sz w:val="21"/>
      <w:szCs w:val="21"/>
      <w:lang w:val="en-US" w:eastAsia="zh-CN" w:bidi="ar-SA"/>
    </w:rPr>
  </w:style>
  <w:style w:type="character" w:customStyle="1" w:styleId="77">
    <w:name w:val="Body text (2)_"/>
    <w:link w:val="78"/>
    <w:qFormat/>
    <w:uiPriority w:val="0"/>
    <w:rPr>
      <w:rFonts w:eastAsia="Times New Roman"/>
      <w:sz w:val="26"/>
      <w:szCs w:val="26"/>
      <w:shd w:val="clear" w:color="auto" w:fill="FFFFFF"/>
    </w:rPr>
  </w:style>
  <w:style w:type="paragraph" w:customStyle="1" w:styleId="78">
    <w:name w:val="Body text (2)"/>
    <w:basedOn w:val="1"/>
    <w:link w:val="77"/>
    <w:qFormat/>
    <w:uiPriority w:val="0"/>
    <w:pPr>
      <w:shd w:val="clear" w:color="auto" w:fill="FFFFFF"/>
      <w:spacing w:line="503" w:lineRule="exact"/>
      <w:jc w:val="distribute"/>
    </w:pPr>
    <w:rPr>
      <w:rFonts w:eastAsia="Times New Roman"/>
      <w:kern w:val="0"/>
      <w:sz w:val="26"/>
      <w:szCs w:val="26"/>
    </w:rPr>
  </w:style>
  <w:style w:type="paragraph" w:customStyle="1" w:styleId="79">
    <w:name w:val="Body text (2)1"/>
    <w:basedOn w:val="1"/>
    <w:qFormat/>
    <w:uiPriority w:val="0"/>
    <w:pPr>
      <w:shd w:val="clear" w:color="auto" w:fill="FFFFFF"/>
      <w:spacing w:line="240" w:lineRule="atLeast"/>
      <w:jc w:val="left"/>
    </w:pPr>
    <w:rPr>
      <w:rFonts w:ascii="宋体" w:hAnsi="宋体" w:eastAsia="MingLiU" w:cs="宋体"/>
      <w:kern w:val="0"/>
      <w:sz w:val="26"/>
      <w:szCs w:val="26"/>
    </w:rPr>
  </w:style>
  <w:style w:type="paragraph" w:customStyle="1" w:styleId="80">
    <w:name w:val="样式 小四 行距: 1.5 倍行距 首行缩进:  2 字符"/>
    <w:basedOn w:val="1"/>
    <w:qFormat/>
    <w:uiPriority w:val="0"/>
    <w:pPr>
      <w:spacing w:line="360" w:lineRule="auto"/>
      <w:ind w:firstLine="200" w:firstLineChars="200"/>
      <w:jc w:val="left"/>
    </w:pPr>
    <w:rPr>
      <w:rFonts w:cs="宋体"/>
      <w:sz w:val="24"/>
      <w:szCs w:val="20"/>
    </w:rPr>
  </w:style>
  <w:style w:type="character" w:customStyle="1" w:styleId="81">
    <w:name w:val="纯文本 Char2"/>
    <w:qFormat/>
    <w:uiPriority w:val="0"/>
    <w:rPr>
      <w:rFonts w:ascii="宋体" w:hAnsi="Courier New" w:eastAsia="宋体"/>
      <w:kern w:val="2"/>
      <w:sz w:val="21"/>
      <w:lang w:val="en-US" w:eastAsia="zh-CN" w:bidi="ar-SA"/>
    </w:rPr>
  </w:style>
  <w:style w:type="character" w:customStyle="1" w:styleId="82">
    <w:name w:val="正文01 Char"/>
    <w:link w:val="83"/>
    <w:qFormat/>
    <w:uiPriority w:val="0"/>
    <w:rPr>
      <w:color w:val="000000"/>
      <w:kern w:val="2"/>
      <w:sz w:val="24"/>
      <w:szCs w:val="24"/>
    </w:rPr>
  </w:style>
  <w:style w:type="paragraph" w:customStyle="1" w:styleId="83">
    <w:name w:val="正文01"/>
    <w:basedOn w:val="1"/>
    <w:link w:val="82"/>
    <w:qFormat/>
    <w:uiPriority w:val="0"/>
    <w:pPr>
      <w:widowControl/>
      <w:spacing w:before="60" w:after="100" w:afterAutospacing="1" w:line="460" w:lineRule="exact"/>
      <w:ind w:firstLine="200"/>
      <w:jc w:val="left"/>
    </w:pPr>
    <w:rPr>
      <w:color w:val="000000"/>
      <w:sz w:val="24"/>
    </w:rPr>
  </w:style>
  <w:style w:type="character" w:customStyle="1" w:styleId="84">
    <w:name w:val="15"/>
    <w:qFormat/>
    <w:uiPriority w:val="0"/>
    <w:rPr>
      <w:rFonts w:hint="default" w:ascii="Times New Roman" w:hAnsi="Times New Roman" w:cs="Times New Roman"/>
    </w:rPr>
  </w:style>
  <w:style w:type="character" w:customStyle="1" w:styleId="85">
    <w:name w:val="表格 Char Char"/>
    <w:qFormat/>
    <w:uiPriority w:val="0"/>
    <w:rPr>
      <w:rFonts w:eastAsia="宋体"/>
      <w:sz w:val="21"/>
      <w:lang w:val="en-US" w:eastAsia="zh-CN" w:bidi="ar-SA"/>
    </w:rPr>
  </w:style>
  <w:style w:type="character" w:customStyle="1" w:styleId="86">
    <w:name w:val="10"/>
    <w:qFormat/>
    <w:uiPriority w:val="0"/>
    <w:rPr>
      <w:rFonts w:hint="default" w:ascii="Times New Roman" w:hAnsi="Times New Roman" w:cs="Times New Roman"/>
    </w:rPr>
  </w:style>
  <w:style w:type="character" w:customStyle="1" w:styleId="87">
    <w:name w:val="批注文字 Char1"/>
    <w:semiHidden/>
    <w:qFormat/>
    <w:uiPriority w:val="99"/>
    <w:rPr>
      <w:rFonts w:ascii="Times New Roman" w:hAnsi="Times New Roman"/>
      <w:color w:val="000000"/>
      <w:kern w:val="2"/>
      <w:sz w:val="24"/>
      <w:szCs w:val="24"/>
    </w:rPr>
  </w:style>
  <w:style w:type="character" w:customStyle="1" w:styleId="88">
    <w:name w:val="18"/>
    <w:qFormat/>
    <w:uiPriority w:val="0"/>
    <w:rPr>
      <w:rFonts w:ascii="MingLiU" w:hAnsi="MingLiU" w:eastAsia="MingLiU" w:cs="Times New Roman"/>
      <w:spacing w:val="30"/>
      <w:sz w:val="26"/>
      <w:szCs w:val="26"/>
    </w:rPr>
  </w:style>
  <w:style w:type="character" w:customStyle="1" w:styleId="89">
    <w:name w:val="apple-converted-space"/>
    <w:qFormat/>
    <w:uiPriority w:val="0"/>
  </w:style>
  <w:style w:type="character" w:customStyle="1" w:styleId="90">
    <w:name w:val="表格 32 Char"/>
    <w:link w:val="91"/>
    <w:qFormat/>
    <w:uiPriority w:val="0"/>
    <w:rPr>
      <w:sz w:val="24"/>
    </w:rPr>
  </w:style>
  <w:style w:type="paragraph" w:customStyle="1" w:styleId="91">
    <w:name w:val="表格 32"/>
    <w:basedOn w:val="1"/>
    <w:link w:val="90"/>
    <w:qFormat/>
    <w:uiPriority w:val="0"/>
    <w:pPr>
      <w:autoSpaceDE w:val="0"/>
      <w:autoSpaceDN w:val="0"/>
      <w:adjustRightInd w:val="0"/>
      <w:spacing w:line="0" w:lineRule="atLeast"/>
      <w:ind w:firstLine="200" w:firstLineChars="200"/>
      <w:jc w:val="center"/>
      <w:textAlignment w:val="baseline"/>
    </w:pPr>
    <w:rPr>
      <w:kern w:val="0"/>
      <w:sz w:val="24"/>
      <w:szCs w:val="20"/>
    </w:rPr>
  </w:style>
  <w:style w:type="character" w:customStyle="1" w:styleId="92">
    <w:name w:val="纯文本 Char1"/>
    <w:semiHidden/>
    <w:qFormat/>
    <w:uiPriority w:val="99"/>
    <w:rPr>
      <w:rFonts w:ascii="宋体" w:hAnsi="Courier New" w:cs="Courier New"/>
      <w:color w:val="000000"/>
      <w:kern w:val="2"/>
      <w:sz w:val="21"/>
      <w:szCs w:val="21"/>
    </w:rPr>
  </w:style>
  <w:style w:type="character" w:customStyle="1" w:styleId="93">
    <w:name w:val="表格文字 Char"/>
    <w:link w:val="94"/>
    <w:qFormat/>
    <w:uiPriority w:val="0"/>
    <w:rPr>
      <w:rFonts w:ascii="Arial" w:hAnsi="Arial" w:cs="Arial"/>
      <w:color w:val="000000"/>
      <w:spacing w:val="-20"/>
      <w:kern w:val="2"/>
      <w:sz w:val="24"/>
    </w:rPr>
  </w:style>
  <w:style w:type="paragraph" w:customStyle="1" w:styleId="94">
    <w:name w:val="表格文字"/>
    <w:basedOn w:val="1"/>
    <w:link w:val="93"/>
    <w:qFormat/>
    <w:uiPriority w:val="0"/>
    <w:pPr>
      <w:adjustRightInd w:val="0"/>
      <w:snapToGrid w:val="0"/>
      <w:jc w:val="center"/>
    </w:pPr>
    <w:rPr>
      <w:rFonts w:ascii="Arial" w:hAnsi="Arial" w:cs="Arial"/>
      <w:color w:val="000000"/>
      <w:spacing w:val="-20"/>
      <w:sz w:val="24"/>
      <w:szCs w:val="20"/>
    </w:rPr>
  </w:style>
  <w:style w:type="character" w:customStyle="1" w:styleId="95">
    <w:name w:val="【表中文字】 Char"/>
    <w:link w:val="96"/>
    <w:qFormat/>
    <w:uiPriority w:val="0"/>
    <w:rPr>
      <w:kern w:val="2"/>
      <w:sz w:val="21"/>
    </w:rPr>
  </w:style>
  <w:style w:type="paragraph" w:customStyle="1" w:styleId="96">
    <w:name w:val="【表中文字】"/>
    <w:basedOn w:val="1"/>
    <w:link w:val="95"/>
    <w:qFormat/>
    <w:uiPriority w:val="0"/>
    <w:pPr>
      <w:jc w:val="center"/>
    </w:pPr>
    <w:rPr>
      <w:szCs w:val="20"/>
    </w:rPr>
  </w:style>
  <w:style w:type="character" w:customStyle="1" w:styleId="97">
    <w:name w:val="表格数字 Char"/>
    <w:link w:val="98"/>
    <w:qFormat/>
    <w:uiPriority w:val="0"/>
    <w:rPr>
      <w:rFonts w:ascii="Arial" w:hAnsi="Arial" w:cs="宋体"/>
      <w:sz w:val="21"/>
    </w:rPr>
  </w:style>
  <w:style w:type="paragraph" w:customStyle="1" w:styleId="98">
    <w:name w:val="表格数字"/>
    <w:basedOn w:val="1"/>
    <w:link w:val="97"/>
    <w:qFormat/>
    <w:uiPriority w:val="0"/>
    <w:pPr>
      <w:widowControl/>
      <w:spacing w:line="360" w:lineRule="exact"/>
      <w:jc w:val="center"/>
    </w:pPr>
    <w:rPr>
      <w:rFonts w:ascii="Arial" w:hAnsi="Arial" w:cs="宋体"/>
      <w:kern w:val="0"/>
      <w:szCs w:val="20"/>
    </w:rPr>
  </w:style>
  <w:style w:type="character" w:customStyle="1" w:styleId="99">
    <w:name w:val="表格正文 Char"/>
    <w:link w:val="100"/>
    <w:qFormat/>
    <w:uiPriority w:val="0"/>
    <w:rPr>
      <w:rFonts w:ascii="Arial" w:hAnsi="Arial"/>
      <w:color w:val="000000"/>
      <w:kern w:val="2"/>
      <w:sz w:val="21"/>
      <w:szCs w:val="21"/>
    </w:rPr>
  </w:style>
  <w:style w:type="paragraph" w:customStyle="1" w:styleId="100">
    <w:name w:val="表格正文"/>
    <w:basedOn w:val="1"/>
    <w:link w:val="99"/>
    <w:semiHidden/>
    <w:qFormat/>
    <w:uiPriority w:val="0"/>
    <w:pPr>
      <w:widowControl/>
      <w:spacing w:line="360" w:lineRule="exact"/>
      <w:jc w:val="center"/>
    </w:pPr>
    <w:rPr>
      <w:rFonts w:ascii="Arial" w:hAnsi="Arial"/>
      <w:color w:val="000000"/>
      <w:szCs w:val="21"/>
    </w:rPr>
  </w:style>
  <w:style w:type="paragraph" w:customStyle="1" w:styleId="101">
    <w:name w:val="表1表2"/>
    <w:basedOn w:val="1"/>
    <w:qFormat/>
    <w:uiPriority w:val="0"/>
    <w:pPr>
      <w:widowControl/>
      <w:autoSpaceDE w:val="0"/>
      <w:autoSpaceDN w:val="0"/>
      <w:adjustRightInd w:val="0"/>
      <w:spacing w:line="360" w:lineRule="auto"/>
      <w:jc w:val="center"/>
      <w:textAlignment w:val="center"/>
    </w:pPr>
    <w:rPr>
      <w:rFonts w:eastAsia="仿宋体"/>
      <w:color w:val="000000"/>
      <w:kern w:val="0"/>
      <w:sz w:val="24"/>
    </w:rPr>
  </w:style>
  <w:style w:type="paragraph" w:customStyle="1" w:styleId="102">
    <w:name w:val="正文格式"/>
    <w:basedOn w:val="1"/>
    <w:qFormat/>
    <w:uiPriority w:val="0"/>
    <w:pPr>
      <w:spacing w:line="360" w:lineRule="auto"/>
      <w:ind w:firstLine="544" w:firstLineChars="200"/>
    </w:pPr>
    <w:rPr>
      <w:rFonts w:ascii="Calibri" w:hAnsi="Calibri"/>
      <w:sz w:val="24"/>
    </w:rPr>
  </w:style>
  <w:style w:type="character" w:customStyle="1" w:styleId="103">
    <w:name w:val="HTML 预设格式 字符1"/>
    <w:qFormat/>
    <w:uiPriority w:val="0"/>
    <w:rPr>
      <w:rFonts w:ascii="Courier New" w:hAnsi="Courier New" w:cs="Courier New"/>
      <w:kern w:val="2"/>
    </w:rPr>
  </w:style>
  <w:style w:type="character" w:customStyle="1" w:styleId="104">
    <w:name w:val="正文文本首行缩进 字符1"/>
    <w:qFormat/>
    <w:uiPriority w:val="0"/>
    <w:rPr>
      <w:kern w:val="2"/>
      <w:sz w:val="21"/>
      <w:szCs w:val="24"/>
    </w:rPr>
  </w:style>
  <w:style w:type="character" w:customStyle="1" w:styleId="105">
    <w:name w:val="正文文本 2 字符1"/>
    <w:qFormat/>
    <w:uiPriority w:val="0"/>
    <w:rPr>
      <w:kern w:val="2"/>
      <w:sz w:val="21"/>
      <w:szCs w:val="24"/>
    </w:rPr>
  </w:style>
  <w:style w:type="character" w:customStyle="1" w:styleId="106">
    <w:name w:val="正文文本缩进 3 字符1"/>
    <w:qFormat/>
    <w:uiPriority w:val="0"/>
    <w:rPr>
      <w:kern w:val="2"/>
      <w:sz w:val="16"/>
      <w:szCs w:val="16"/>
    </w:rPr>
  </w:style>
  <w:style w:type="character" w:customStyle="1" w:styleId="107">
    <w:name w:val="文档结构图 字符1"/>
    <w:qFormat/>
    <w:uiPriority w:val="0"/>
    <w:rPr>
      <w:rFonts w:ascii="Microsoft YaHei UI" w:eastAsia="Microsoft YaHei UI"/>
      <w:kern w:val="2"/>
      <w:sz w:val="18"/>
      <w:szCs w:val="18"/>
    </w:rPr>
  </w:style>
  <w:style w:type="paragraph" w:customStyle="1" w:styleId="108">
    <w:name w:val="样式1"/>
    <w:basedOn w:val="1"/>
    <w:qFormat/>
    <w:uiPriority w:val="0"/>
    <w:pPr>
      <w:spacing w:line="360" w:lineRule="auto"/>
    </w:pPr>
    <w:rPr>
      <w:b/>
      <w:bCs/>
      <w:sz w:val="28"/>
    </w:rPr>
  </w:style>
  <w:style w:type="character" w:customStyle="1" w:styleId="109">
    <w:name w:val="正文文本缩进 2 字符1"/>
    <w:qFormat/>
    <w:uiPriority w:val="0"/>
    <w:rPr>
      <w:kern w:val="2"/>
      <w:sz w:val="21"/>
      <w:szCs w:val="24"/>
    </w:rPr>
  </w:style>
  <w:style w:type="character" w:customStyle="1" w:styleId="110">
    <w:name w:val="正文文本 3 字符1"/>
    <w:qFormat/>
    <w:uiPriority w:val="0"/>
    <w:rPr>
      <w:kern w:val="2"/>
      <w:sz w:val="16"/>
      <w:szCs w:val="16"/>
    </w:rPr>
  </w:style>
  <w:style w:type="character" w:customStyle="1" w:styleId="111">
    <w:name w:val="标题 字符1"/>
    <w:qFormat/>
    <w:uiPriority w:val="0"/>
    <w:rPr>
      <w:rFonts w:ascii="等线 Light" w:hAnsi="等线 Light" w:cs="Times New Roman"/>
      <w:b/>
      <w:bCs/>
      <w:kern w:val="2"/>
      <w:sz w:val="32"/>
      <w:szCs w:val="32"/>
    </w:rPr>
  </w:style>
  <w:style w:type="character" w:customStyle="1" w:styleId="112">
    <w:name w:val="纯文本 字符1"/>
    <w:qFormat/>
    <w:uiPriority w:val="0"/>
    <w:rPr>
      <w:rFonts w:ascii="宋体" w:hAnsi="Courier New" w:cs="Courier New"/>
      <w:kern w:val="2"/>
      <w:sz w:val="21"/>
      <w:szCs w:val="21"/>
    </w:rPr>
  </w:style>
  <w:style w:type="paragraph" w:customStyle="1" w:styleId="113">
    <w:name w:val=" Char"/>
    <w:basedOn w:val="1"/>
    <w:qFormat/>
    <w:uiPriority w:val="0"/>
    <w:rPr>
      <w:sz w:val="24"/>
    </w:rPr>
  </w:style>
  <w:style w:type="paragraph" w:customStyle="1" w:styleId="114">
    <w:name w:val="正文文本 (2)"/>
    <w:basedOn w:val="1"/>
    <w:unhideWhenUsed/>
    <w:qFormat/>
    <w:uiPriority w:val="99"/>
    <w:pPr>
      <w:widowControl/>
      <w:shd w:val="clear" w:color="auto" w:fill="FFFFFF"/>
      <w:spacing w:before="60" w:line="802" w:lineRule="exact"/>
      <w:jc w:val="left"/>
    </w:pPr>
    <w:rPr>
      <w:rFonts w:hint="eastAsia" w:ascii="MingLiU" w:hAnsi="MingLiU" w:eastAsia="MingLiU"/>
      <w:color w:val="000000"/>
      <w:sz w:val="28"/>
    </w:rPr>
  </w:style>
  <w:style w:type="paragraph" w:customStyle="1" w:styleId="115">
    <w:name w:val="表 标题"/>
    <w:basedOn w:val="1"/>
    <w:qFormat/>
    <w:uiPriority w:val="0"/>
    <w:pPr>
      <w:adjustRightInd w:val="0"/>
      <w:snapToGrid w:val="0"/>
      <w:spacing w:beforeLines="50"/>
      <w:jc w:val="center"/>
    </w:pPr>
    <w:rPr>
      <w:b/>
      <w:kern w:val="0"/>
      <w:sz w:val="20"/>
      <w:szCs w:val="21"/>
    </w:rPr>
  </w:style>
  <w:style w:type="paragraph" w:customStyle="1" w:styleId="116">
    <w:name w:val="正文000000"/>
    <w:basedOn w:val="1"/>
    <w:next w:val="1"/>
    <w:qFormat/>
    <w:uiPriority w:val="0"/>
    <w:pPr>
      <w:adjustRightInd w:val="0"/>
      <w:snapToGrid w:val="0"/>
      <w:spacing w:line="360" w:lineRule="auto"/>
      <w:ind w:firstLine="200" w:firstLineChars="200"/>
      <w:textAlignment w:val="baseline"/>
    </w:pPr>
    <w:rPr>
      <w:rFonts w:ascii="宋体" w:hAnsi="宋体" w:cs="宋体"/>
      <w:sz w:val="24"/>
    </w:rPr>
  </w:style>
  <w:style w:type="paragraph" w:customStyle="1" w:styleId="117">
    <w:name w:val="中等深浅网格 2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18">
    <w:name w:val="正文2"/>
    <w:basedOn w:val="1"/>
    <w:link w:val="119"/>
    <w:qFormat/>
    <w:uiPriority w:val="0"/>
    <w:pPr>
      <w:adjustRightInd w:val="0"/>
      <w:snapToGrid w:val="0"/>
      <w:spacing w:line="440" w:lineRule="atLeast"/>
      <w:ind w:firstLine="510"/>
    </w:pPr>
    <w:rPr>
      <w:szCs w:val="20"/>
    </w:rPr>
  </w:style>
  <w:style w:type="character" w:customStyle="1" w:styleId="119">
    <w:name w:val="正文2 Char"/>
    <w:link w:val="118"/>
    <w:qFormat/>
    <w:uiPriority w:val="0"/>
    <w:rPr>
      <w:kern w:val="2"/>
      <w:sz w:val="21"/>
    </w:rPr>
  </w:style>
  <w:style w:type="paragraph" w:customStyle="1" w:styleId="120">
    <w:name w:val="正文 + 首行缩进:  2 字符"/>
    <w:basedOn w:val="1"/>
    <w:qFormat/>
    <w:uiPriority w:val="0"/>
    <w:pPr>
      <w:widowControl/>
      <w:spacing w:line="460" w:lineRule="atLeast"/>
      <w:ind w:firstLine="528" w:firstLineChars="200"/>
      <w:jc w:val="left"/>
    </w:pPr>
    <w:rPr>
      <w:color w:val="000000"/>
      <w:spacing w:val="12"/>
      <w:sz w:val="24"/>
      <w:szCs w:val="20"/>
    </w:rPr>
  </w:style>
  <w:style w:type="paragraph" w:customStyle="1" w:styleId="121">
    <w:name w:val="图表题"/>
    <w:basedOn w:val="1"/>
    <w:next w:val="1"/>
    <w:qFormat/>
    <w:uiPriority w:val="0"/>
    <w:pPr>
      <w:widowControl/>
      <w:adjustRightInd w:val="0"/>
      <w:snapToGrid w:val="0"/>
      <w:spacing w:line="360" w:lineRule="auto"/>
      <w:jc w:val="center"/>
    </w:pPr>
    <w:rPr>
      <w:rFonts w:eastAsia="黑体"/>
      <w:color w:val="000000"/>
      <w:sz w:val="24"/>
      <w:szCs w:val="20"/>
    </w:rPr>
  </w:style>
  <w:style w:type="paragraph" w:customStyle="1" w:styleId="122">
    <w:name w:val="1级标题"/>
    <w:basedOn w:val="5"/>
    <w:qFormat/>
    <w:uiPriority w:val="0"/>
    <w:pPr>
      <w:keepNext w:val="0"/>
      <w:widowControl/>
      <w:overflowPunct/>
      <w:adjustRightInd w:val="0"/>
      <w:spacing w:before="0" w:after="0" w:line="360" w:lineRule="auto"/>
      <w:ind w:left="0" w:firstLine="0"/>
      <w:jc w:val="left"/>
    </w:pPr>
    <w:rPr>
      <w:rFonts w:ascii="黑体"/>
      <w:b w:val="0"/>
    </w:rPr>
  </w:style>
  <w:style w:type="paragraph" w:customStyle="1" w:styleId="123">
    <w:name w:val="表格001"/>
    <w:basedOn w:val="1"/>
    <w:qFormat/>
    <w:uiPriority w:val="0"/>
    <w:pPr>
      <w:widowControl/>
      <w:spacing w:line="360" w:lineRule="exact"/>
      <w:jc w:val="center"/>
    </w:pPr>
    <w:rPr>
      <w:color w:val="000000"/>
      <w:sz w:val="24"/>
    </w:rPr>
  </w:style>
  <w:style w:type="paragraph" w:customStyle="1" w:styleId="124">
    <w:name w:val="正文001"/>
    <w:basedOn w:val="1"/>
    <w:qFormat/>
    <w:uiPriority w:val="0"/>
    <w:pPr>
      <w:widowControl/>
      <w:spacing w:before="60" w:after="100" w:afterAutospacing="1" w:line="420" w:lineRule="exact"/>
      <w:ind w:firstLine="482"/>
      <w:jc w:val="left"/>
    </w:pPr>
    <w:rPr>
      <w:color w:val="000000"/>
      <w:sz w:val="24"/>
    </w:rPr>
  </w:style>
  <w:style w:type="paragraph" w:customStyle="1" w:styleId="125">
    <w:name w:val="表格内容"/>
    <w:basedOn w:val="9"/>
    <w:qFormat/>
    <w:uiPriority w:val="0"/>
    <w:pPr>
      <w:spacing w:line="312" w:lineRule="auto"/>
      <w:ind w:firstLine="0" w:firstLineChars="0"/>
      <w:jc w:val="center"/>
    </w:pPr>
    <w:rPr>
      <w:rFonts w:ascii="Calibri" w:hAnsi="Calibri"/>
      <w:sz w:val="24"/>
    </w:rPr>
  </w:style>
  <w:style w:type="paragraph" w:customStyle="1" w:styleId="126">
    <w:name w:val="民武正文"/>
    <w:basedOn w:val="15"/>
    <w:qFormat/>
    <w:uiPriority w:val="0"/>
    <w:pPr>
      <w:spacing w:line="300" w:lineRule="auto"/>
      <w:ind w:firstLine="200" w:firstLineChars="200"/>
    </w:pPr>
    <w:rPr>
      <w:rFonts w:ascii="Times New Roman" w:hAnsi="Times New Roman"/>
      <w:kern w:val="0"/>
      <w:sz w:val="24"/>
      <w:szCs w:val="24"/>
      <w:lang w:bidi="en-US"/>
    </w:rPr>
  </w:style>
  <w:style w:type="paragraph" w:customStyle="1" w:styleId="127">
    <w:name w:val="Table Paragraph"/>
    <w:basedOn w:val="1"/>
    <w:qFormat/>
    <w:uiPriority w:val="0"/>
    <w:pPr>
      <w:jc w:val="center"/>
    </w:pPr>
    <w:rPr>
      <w:rFonts w:ascii="宋体" w:hAnsi="宋体" w:cs="宋体"/>
      <w:kern w:val="0"/>
      <w:sz w:val="22"/>
      <w:szCs w:val="22"/>
      <w:lang w:eastAsia="en-US"/>
    </w:rPr>
  </w:style>
  <w:style w:type="paragraph" w:customStyle="1" w:styleId="128">
    <w:name w:val="正文缩近"/>
    <w:basedOn w:val="1"/>
    <w:qFormat/>
    <w:uiPriority w:val="0"/>
    <w:pPr>
      <w:spacing w:line="360" w:lineRule="auto"/>
      <w:ind w:firstLine="560" w:firstLineChars="200"/>
    </w:pPr>
    <w:rPr>
      <w:sz w:val="28"/>
      <w:szCs w:val="28"/>
    </w:rPr>
  </w:style>
  <w:style w:type="paragraph" w:customStyle="1" w:styleId="129">
    <w:name w:val="bg正文首行缩进"/>
    <w:basedOn w:val="1"/>
    <w:qFormat/>
    <w:uiPriority w:val="0"/>
    <w:pPr>
      <w:widowControl/>
      <w:spacing w:line="400" w:lineRule="exact"/>
      <w:ind w:firstLine="482"/>
      <w:jc w:val="left"/>
    </w:pPr>
    <w:rPr>
      <w:color w:val="000000"/>
      <w:sz w:val="24"/>
    </w:rPr>
  </w:style>
  <w:style w:type="paragraph" w:customStyle="1" w:styleId="130">
    <w:name w:val="正文3"/>
    <w:basedOn w:val="1"/>
    <w:qFormat/>
    <w:uiPriority w:val="0"/>
    <w:pPr>
      <w:spacing w:line="360" w:lineRule="auto"/>
      <w:ind w:firstLine="454"/>
      <w:jc w:val="left"/>
    </w:pPr>
    <w:rPr>
      <w:rFonts w:ascii="宋体" w:hAnsi="宋体"/>
      <w:kern w:val="0"/>
      <w:sz w:val="24"/>
      <w:szCs w:val="20"/>
    </w:rPr>
  </w:style>
  <w:style w:type="paragraph" w:customStyle="1" w:styleId="131">
    <w:name w:val="p0"/>
    <w:basedOn w:val="1"/>
    <w:qFormat/>
    <w:uiPriority w:val="0"/>
    <w:pPr>
      <w:widowControl/>
    </w:pPr>
    <w:rPr>
      <w:kern w:val="0"/>
      <w:szCs w:val="21"/>
    </w:rPr>
  </w:style>
  <w:style w:type="paragraph" w:customStyle="1" w:styleId="132">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133">
    <w:name w:val="【正文】"/>
    <w:basedOn w:val="1"/>
    <w:qFormat/>
    <w:uiPriority w:val="0"/>
    <w:pPr>
      <w:widowControl/>
      <w:spacing w:line="440" w:lineRule="exact"/>
      <w:ind w:firstLine="544"/>
      <w:jc w:val="left"/>
    </w:pPr>
    <w:rPr>
      <w:rFonts w:cs="宋体"/>
      <w:color w:val="000000"/>
      <w:sz w:val="24"/>
    </w:rPr>
  </w:style>
  <w:style w:type="paragraph" w:customStyle="1" w:styleId="134">
    <w:name w:val=" Char Char Char Char Char Char Char"/>
    <w:basedOn w:val="1"/>
    <w:qFormat/>
    <w:uiPriority w:val="0"/>
    <w:pPr>
      <w:spacing w:line="360" w:lineRule="auto"/>
      <w:ind w:firstLine="200" w:firstLineChars="200"/>
    </w:pPr>
    <w:rPr>
      <w:rFonts w:ascii="宋体" w:hAnsi="宋体" w:cs="宋体"/>
      <w:sz w:val="24"/>
    </w:rPr>
  </w:style>
  <w:style w:type="paragraph" w:customStyle="1" w:styleId="135">
    <w:name w:val="正文+首行缩进"/>
    <w:basedOn w:val="1"/>
    <w:qFormat/>
    <w:uiPriority w:val="0"/>
    <w:pPr>
      <w:widowControl/>
      <w:spacing w:line="360" w:lineRule="auto"/>
      <w:ind w:firstLine="480" w:firstLineChars="200"/>
      <w:jc w:val="left"/>
    </w:pPr>
    <w:rPr>
      <w:rFonts w:cs="宋体"/>
      <w:color w:val="000000"/>
      <w:sz w:val="24"/>
      <w:szCs w:val="20"/>
    </w:rPr>
  </w:style>
  <w:style w:type="paragraph" w:customStyle="1" w:styleId="136">
    <w:name w:val="Default"/>
    <w:basedOn w:val="1"/>
    <w:qFormat/>
    <w:uiPriority w:val="0"/>
    <w:pPr>
      <w:widowControl/>
      <w:autoSpaceDE w:val="0"/>
      <w:autoSpaceDN w:val="0"/>
      <w:jc w:val="left"/>
    </w:pPr>
    <w:rPr>
      <w:rFonts w:ascii="宋体" w:cs="宋体"/>
      <w:color w:val="000000"/>
      <w:kern w:val="0"/>
      <w:sz w:val="24"/>
    </w:rPr>
  </w:style>
  <w:style w:type="paragraph" w:customStyle="1" w:styleId="137">
    <w:name w:val="流程图文字"/>
    <w:basedOn w:val="1"/>
    <w:qFormat/>
    <w:uiPriority w:val="0"/>
    <w:pPr>
      <w:adjustRightInd w:val="0"/>
      <w:spacing w:beforeAutospacing="1" w:after="40" w:line="360" w:lineRule="exact"/>
      <w:jc w:val="center"/>
      <w:textAlignment w:val="baseline"/>
    </w:pPr>
    <w:rPr>
      <w:rFonts w:ascii="宋体" w:hAnsi="宋体"/>
      <w:kern w:val="0"/>
      <w:sz w:val="24"/>
      <w:szCs w:val="20"/>
    </w:rPr>
  </w:style>
  <w:style w:type="paragraph" w:customStyle="1" w:styleId="138">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39">
    <w:name w:val="Normal (Web)"/>
    <w:basedOn w:val="1"/>
    <w:qFormat/>
    <w:uiPriority w:val="0"/>
    <w:pPr>
      <w:widowControl/>
      <w:spacing w:before="100" w:beforeAutospacing="1" w:after="100" w:afterAutospacing="1" w:line="360" w:lineRule="auto"/>
      <w:jc w:val="left"/>
    </w:pPr>
    <w:rPr>
      <w:rFonts w:ascii="Arial Unicode MS" w:hAnsi="Arial Unicode MS" w:eastAsia="Arial Unicode MS" w:cs="Arial Unicode MS"/>
      <w:color w:val="000000"/>
      <w:kern w:val="0"/>
      <w:sz w:val="24"/>
    </w:rPr>
  </w:style>
  <w:style w:type="paragraph" w:customStyle="1" w:styleId="140">
    <w:name w:val="表格2"/>
    <w:basedOn w:val="1"/>
    <w:qFormat/>
    <w:uiPriority w:val="0"/>
    <w:pPr>
      <w:widowControl/>
      <w:jc w:val="center"/>
    </w:pPr>
    <w:rPr>
      <w:rFonts w:cs="宋体"/>
      <w:color w:val="000000"/>
      <w:szCs w:val="21"/>
    </w:rPr>
  </w:style>
  <w:style w:type="paragraph" w:customStyle="1" w:styleId="141">
    <w:name w:val="_Style 44"/>
    <w:basedOn w:val="1"/>
    <w:qFormat/>
    <w:uiPriority w:val="0"/>
    <w:pPr>
      <w:spacing w:line="360" w:lineRule="auto"/>
      <w:ind w:firstLine="200" w:firstLineChars="200"/>
    </w:pPr>
    <w:rPr>
      <w:rFonts w:ascii="宋体" w:hAnsi="宋体" w:cs="宋体"/>
      <w:sz w:val="24"/>
    </w:rPr>
  </w:style>
  <w:style w:type="paragraph" w:customStyle="1" w:styleId="142">
    <w:name w:val="中文"/>
    <w:basedOn w:val="1"/>
    <w:qFormat/>
    <w:uiPriority w:val="0"/>
    <w:pPr>
      <w:widowControl/>
      <w:spacing w:line="360" w:lineRule="auto"/>
      <w:ind w:firstLine="200" w:firstLineChars="200"/>
    </w:pPr>
    <w:rPr>
      <w:rFonts w:ascii="Calibri" w:hAnsi="Calibri"/>
      <w:lang w:eastAsia="en-US"/>
    </w:rPr>
  </w:style>
  <w:style w:type="paragraph" w:customStyle="1" w:styleId="143">
    <w:name w:val=" Char Char Char Char Char Char Char Char Char Char"/>
    <w:basedOn w:val="1"/>
    <w:qFormat/>
    <w:uiPriority w:val="0"/>
    <w:pPr>
      <w:widowControl/>
      <w:spacing w:after="160" w:line="240" w:lineRule="exact"/>
      <w:jc w:val="left"/>
    </w:pPr>
  </w:style>
  <w:style w:type="paragraph" w:customStyle="1" w:styleId="144">
    <w:name w:val="表内容"/>
    <w:basedOn w:val="15"/>
    <w:qFormat/>
    <w:uiPriority w:val="0"/>
    <w:pPr>
      <w:widowControl w:val="0"/>
      <w:jc w:val="both"/>
    </w:pPr>
    <w:rPr>
      <w:rFonts w:ascii="Times New Roman" w:hAnsi="Times New Roman"/>
      <w:lang w:val="en-US" w:eastAsia="zh-CN"/>
    </w:rPr>
  </w:style>
  <w:style w:type="character" w:customStyle="1" w:styleId="145">
    <w:name w:val="正文文本 (2)_"/>
    <w:link w:val="146"/>
    <w:qFormat/>
    <w:uiPriority w:val="0"/>
    <w:rPr>
      <w:rFonts w:ascii="宋体" w:hAnsi="宋体"/>
      <w:sz w:val="22"/>
      <w:szCs w:val="22"/>
      <w:shd w:val="clear" w:color="auto" w:fill="FFFFFF"/>
    </w:rPr>
  </w:style>
  <w:style w:type="paragraph" w:customStyle="1" w:styleId="146">
    <w:name w:val="正文文本 (2)1"/>
    <w:basedOn w:val="1"/>
    <w:link w:val="145"/>
    <w:qFormat/>
    <w:uiPriority w:val="0"/>
    <w:pPr>
      <w:shd w:val="clear" w:color="auto" w:fill="FFFFFF"/>
      <w:spacing w:before="300" w:line="466" w:lineRule="exact"/>
      <w:ind w:hanging="600"/>
      <w:jc w:val="distribute"/>
    </w:pPr>
    <w:rPr>
      <w:rFonts w:ascii="宋体" w:hAnsi="宋体"/>
      <w:kern w:val="0"/>
      <w:sz w:val="22"/>
      <w:szCs w:val="22"/>
    </w:rPr>
  </w:style>
  <w:style w:type="character" w:customStyle="1" w:styleId="147">
    <w:name w:val="正文文本 (2) + 粗体"/>
    <w:qFormat/>
    <w:uiPriority w:val="0"/>
    <w:rPr>
      <w:rFonts w:ascii="宋体" w:hAnsi="宋体" w:cs="宋体"/>
      <w:b/>
      <w:bCs/>
      <w:sz w:val="22"/>
      <w:szCs w:val="22"/>
      <w:u w:val="none"/>
      <w:shd w:val="clear" w:color="auto" w:fill="FFFFFF"/>
    </w:rPr>
  </w:style>
  <w:style w:type="character" w:customStyle="1" w:styleId="148">
    <w:name w:val="表内格式 Char"/>
    <w:link w:val="149"/>
    <w:qFormat/>
    <w:uiPriority w:val="0"/>
    <w:rPr>
      <w:rFonts w:eastAsia="楷体_GB2312"/>
      <w:sz w:val="18"/>
      <w:szCs w:val="18"/>
    </w:rPr>
  </w:style>
  <w:style w:type="paragraph" w:customStyle="1" w:styleId="149">
    <w:name w:val="表内格式"/>
    <w:basedOn w:val="1"/>
    <w:next w:val="1"/>
    <w:link w:val="148"/>
    <w:qFormat/>
    <w:uiPriority w:val="0"/>
    <w:pPr>
      <w:spacing w:line="360" w:lineRule="auto"/>
      <w:ind w:firstLine="200" w:firstLineChars="200"/>
      <w:jc w:val="center"/>
    </w:pPr>
    <w:rPr>
      <w:rFonts w:eastAsia="楷体_GB2312"/>
      <w:kern w:val="0"/>
      <w:sz w:val="18"/>
      <w:szCs w:val="18"/>
    </w:rPr>
  </w:style>
  <w:style w:type="paragraph" w:customStyle="1" w:styleId="150">
    <w:name w:val="小编号"/>
    <w:basedOn w:val="1"/>
    <w:next w:val="1"/>
    <w:qFormat/>
    <w:uiPriority w:val="0"/>
    <w:pPr>
      <w:spacing w:line="360" w:lineRule="auto"/>
      <w:ind w:firstLine="200" w:firstLineChars="200"/>
    </w:pPr>
    <w:rPr>
      <w:rFonts w:ascii="Calibri" w:hAnsi="Calibri"/>
      <w:b/>
      <w:sz w:val="24"/>
      <w:szCs w:val="20"/>
    </w:rPr>
  </w:style>
  <w:style w:type="paragraph" w:customStyle="1" w:styleId="151">
    <w:name w:val="列出段落2"/>
    <w:basedOn w:val="1"/>
    <w:qFormat/>
    <w:uiPriority w:val="34"/>
    <w:pPr>
      <w:spacing w:line="360" w:lineRule="auto"/>
      <w:ind w:firstLine="420" w:firstLineChars="200"/>
    </w:pPr>
    <w:rPr>
      <w:sz w:val="24"/>
      <w:szCs w:val="20"/>
    </w:rPr>
  </w:style>
  <w:style w:type="paragraph" w:customStyle="1" w:styleId="152">
    <w:name w:val="表 内容"/>
    <w:basedOn w:val="1"/>
    <w:qFormat/>
    <w:uiPriority w:val="0"/>
    <w:pPr>
      <w:adjustRightInd w:val="0"/>
      <w:snapToGrid w:val="0"/>
      <w:spacing w:beforeLines="15" w:afterLines="15"/>
      <w:jc w:val="center"/>
    </w:pPr>
    <w:rPr>
      <w:b/>
      <w:sz w:val="24"/>
      <w:szCs w:val="21"/>
    </w:rPr>
  </w:style>
  <w:style w:type="paragraph" w:customStyle="1" w:styleId="153">
    <w:name w:val="中文报告书样式"/>
    <w:basedOn w:val="1"/>
    <w:qFormat/>
    <w:uiPriority w:val="0"/>
    <w:pPr>
      <w:widowControl/>
      <w:tabs>
        <w:tab w:val="left" w:pos="360"/>
      </w:tabs>
      <w:adjustRightInd w:val="0"/>
      <w:snapToGrid w:val="0"/>
      <w:spacing w:line="360" w:lineRule="auto"/>
      <w:jc w:val="center"/>
      <w:textAlignment w:val="baseline"/>
    </w:pPr>
    <w:rPr>
      <w:rFonts w:ascii="Calibri" w:hAnsi="Calibri"/>
      <w:color w:val="000000"/>
      <w:sz w:val="24"/>
    </w:rPr>
  </w:style>
  <w:style w:type="paragraph" w:customStyle="1" w:styleId="154">
    <w:name w:val="文"/>
    <w:basedOn w:val="1"/>
    <w:qFormat/>
    <w:uiPriority w:val="0"/>
    <w:pPr>
      <w:spacing w:line="360" w:lineRule="auto"/>
      <w:ind w:firstLine="200" w:firstLineChars="200"/>
      <w:jc w:val="left"/>
    </w:pPr>
    <w:rPr>
      <w:bCs/>
      <w:sz w:val="24"/>
    </w:rPr>
  </w:style>
  <w:style w:type="paragraph" w:customStyle="1" w:styleId="155">
    <w:name w:val="我表标题"/>
    <w:basedOn w:val="1"/>
    <w:qFormat/>
    <w:uiPriority w:val="0"/>
    <w:pPr>
      <w:jc w:val="center"/>
      <w:textAlignment w:val="baseline"/>
    </w:pPr>
    <w:rPr>
      <w:b/>
      <w:kern w:val="24"/>
      <w:szCs w:val="21"/>
    </w:rPr>
  </w:style>
  <w:style w:type="paragraph" w:customStyle="1" w:styleId="156">
    <w:name w:val="环评表内容"/>
    <w:basedOn w:val="1"/>
    <w:qFormat/>
    <w:uiPriority w:val="0"/>
    <w:pPr>
      <w:widowControl/>
      <w:spacing w:line="260" w:lineRule="exact"/>
      <w:jc w:val="center"/>
    </w:pPr>
    <w:rPr>
      <w:rFonts w:ascii="Tahoma" w:hAnsi="Tahoma" w:cs="Tahoma"/>
    </w:rPr>
  </w:style>
  <w:style w:type="paragraph" w:customStyle="1" w:styleId="157">
    <w:name w:val="正文首行缩进 2 + Times New Roman"/>
    <w:basedOn w:val="1"/>
    <w:qFormat/>
    <w:uiPriority w:val="0"/>
    <w:pPr>
      <w:widowControl/>
      <w:tabs>
        <w:tab w:val="left" w:pos="0"/>
        <w:tab w:val="left" w:pos="3150"/>
      </w:tabs>
      <w:autoSpaceDE w:val="0"/>
      <w:autoSpaceDN w:val="0"/>
      <w:spacing w:line="324" w:lineRule="auto"/>
      <w:ind w:right="113" w:firstLine="482" w:firstLineChars="200"/>
      <w:jc w:val="left"/>
    </w:pPr>
    <w:rPr>
      <w:b/>
      <w:sz w:val="24"/>
    </w:rPr>
  </w:style>
  <w:style w:type="paragraph" w:customStyle="1" w:styleId="158">
    <w:name w:val="_Style 33"/>
    <w:basedOn w:val="1"/>
    <w:qFormat/>
    <w:uiPriority w:val="0"/>
    <w:rPr>
      <w:sz w:val="24"/>
    </w:rPr>
  </w:style>
  <w:style w:type="paragraph" w:customStyle="1" w:styleId="159">
    <w:name w:val="正文1"/>
    <w:basedOn w:val="18"/>
    <w:qFormat/>
    <w:uiPriority w:val="0"/>
    <w:pPr>
      <w:widowControl w:val="0"/>
      <w:spacing w:line="360" w:lineRule="auto"/>
      <w:ind w:firstLine="200"/>
      <w:jc w:val="both"/>
    </w:pPr>
    <w:rPr>
      <w:sz w:val="21"/>
      <w:lang w:val="en-US" w:eastAsia="zh-CN"/>
    </w:rPr>
  </w:style>
  <w:style w:type="paragraph" w:customStyle="1" w:styleId="160">
    <w:name w:val="万瑞报告表1"/>
    <w:basedOn w:val="14"/>
    <w:next w:val="1"/>
    <w:qFormat/>
    <w:uiPriority w:val="0"/>
    <w:pPr>
      <w:adjustRightInd w:val="0"/>
      <w:snapToGrid w:val="0"/>
      <w:spacing w:before="60" w:after="0" w:line="360" w:lineRule="auto"/>
      <w:ind w:left="0" w:leftChars="0" w:firstLine="200" w:firstLineChars="200"/>
    </w:pPr>
    <w:rPr>
      <w:rFonts w:ascii="宋体" w:hAnsi="宋体" w:eastAsia="Times New Roman"/>
      <w:kern w:val="2"/>
      <w:sz w:val="32"/>
      <w:szCs w:val="24"/>
    </w:rPr>
  </w:style>
  <w:style w:type="paragraph" w:customStyle="1" w:styleId="161">
    <w:name w:val="Body Text 22"/>
    <w:basedOn w:val="1"/>
    <w:qFormat/>
    <w:uiPriority w:val="0"/>
    <w:pPr>
      <w:adjustRightInd w:val="0"/>
      <w:spacing w:line="440" w:lineRule="atLeast"/>
      <w:ind w:firstLine="480"/>
      <w:textAlignment w:val="baseline"/>
    </w:pPr>
    <w:rPr>
      <w:rFonts w:eastAsia="仿宋_GB2312" w:cs="宋体"/>
      <w:color w:val="000000"/>
      <w:sz w:val="24"/>
      <w:szCs w:val="20"/>
    </w:rPr>
  </w:style>
  <w:style w:type="paragraph" w:customStyle="1" w:styleId="162">
    <w:name w:val=" Char3"/>
    <w:basedOn w:val="1"/>
    <w:qFormat/>
    <w:uiPriority w:val="0"/>
    <w:rPr>
      <w:szCs w:val="20"/>
    </w:rPr>
  </w:style>
  <w:style w:type="paragraph" w:customStyle="1" w:styleId="163">
    <w:name w:val="报告表正文"/>
    <w:basedOn w:val="1"/>
    <w:qFormat/>
    <w:uiPriority w:val="0"/>
    <w:pPr>
      <w:adjustRightInd w:val="0"/>
      <w:spacing w:line="312" w:lineRule="auto"/>
      <w:ind w:left="113" w:right="113" w:firstLine="482"/>
      <w:jc w:val="left"/>
    </w:pPr>
    <w:rPr>
      <w:kern w:val="0"/>
      <w:sz w:val="24"/>
      <w:szCs w:val="20"/>
    </w:rPr>
  </w:style>
  <w:style w:type="paragraph" w:customStyle="1" w:styleId="164">
    <w:name w:val="小标题"/>
    <w:basedOn w:val="1"/>
    <w:qFormat/>
    <w:uiPriority w:val="0"/>
    <w:pPr>
      <w:widowControl/>
      <w:spacing w:line="360" w:lineRule="auto"/>
      <w:ind w:firstLine="562"/>
      <w:jc w:val="left"/>
    </w:pPr>
    <w:rPr>
      <w:rFonts w:ascii="宋体" w:hAnsi="宋体"/>
      <w:b/>
      <w:sz w:val="28"/>
      <w:szCs w:val="21"/>
    </w:rPr>
  </w:style>
  <w:style w:type="paragraph" w:customStyle="1" w:styleId="165">
    <w:name w:val="表 头"/>
    <w:basedOn w:val="1"/>
    <w:qFormat/>
    <w:uiPriority w:val="0"/>
    <w:pPr>
      <w:widowControl/>
      <w:tabs>
        <w:tab w:val="left" w:pos="3750"/>
      </w:tabs>
      <w:snapToGrid w:val="0"/>
      <w:jc w:val="center"/>
    </w:pPr>
    <w:rPr>
      <w:rFonts w:ascii="Calibri" w:hAnsi="Calibri"/>
      <w:b/>
      <w:bCs/>
    </w:rPr>
  </w:style>
  <w:style w:type="paragraph" w:styleId="166">
    <w:name w:val="No Spacing"/>
    <w:qFormat/>
    <w:uiPriority w:val="1"/>
    <w:pPr>
      <w:widowControl w:val="0"/>
      <w:adjustRightInd w:val="0"/>
      <w:snapToGrid w:val="0"/>
      <w:jc w:val="center"/>
    </w:pPr>
    <w:rPr>
      <w:rFonts w:ascii="Calibri" w:hAnsi="Calibri" w:eastAsia="宋体" w:cs="Times New Roman"/>
      <w:kern w:val="2"/>
      <w:sz w:val="21"/>
      <w:szCs w:val="24"/>
      <w:lang w:val="en-US" w:eastAsia="zh-CN" w:bidi="ar-SA"/>
    </w:rPr>
  </w:style>
  <w:style w:type="paragraph" w:customStyle="1" w:styleId="167">
    <w:name w:val="列出段落1"/>
    <w:basedOn w:val="1"/>
    <w:qFormat/>
    <w:uiPriority w:val="0"/>
    <w:pPr>
      <w:widowControl/>
      <w:spacing w:line="360" w:lineRule="auto"/>
      <w:ind w:firstLine="420"/>
      <w:jc w:val="left"/>
    </w:pPr>
    <w:rPr>
      <w:rFonts w:ascii="Calibri" w:hAnsi="Calibri"/>
      <w:szCs w:val="21"/>
    </w:rPr>
  </w:style>
  <w:style w:type="paragraph" w:customStyle="1" w:styleId="168">
    <w:name w:val="1表头"/>
    <w:qFormat/>
    <w:uiPriority w:val="0"/>
    <w:pPr>
      <w:adjustRightInd w:val="0"/>
      <w:snapToGrid w:val="0"/>
      <w:spacing w:before="25" w:beforeLines="25" w:after="25" w:afterLines="25"/>
      <w:jc w:val="center"/>
    </w:pPr>
    <w:rPr>
      <w:rFonts w:ascii="Calibri" w:hAnsi="Calibri" w:eastAsia="宋体" w:cs="Times New Roman"/>
      <w:b/>
      <w:color w:val="0000CC"/>
      <w:sz w:val="24"/>
      <w:szCs w:val="24"/>
      <w:lang w:val="en-US" w:eastAsia="zh-CN" w:bidi="ar-SA"/>
    </w:rPr>
  </w:style>
  <w:style w:type="paragraph" w:customStyle="1" w:styleId="169">
    <w:name w:val="安如夏花"/>
    <w:basedOn w:val="1"/>
    <w:qFormat/>
    <w:uiPriority w:val="0"/>
    <w:pPr>
      <w:widowControl/>
      <w:spacing w:beforeLines="50" w:afterLines="50" w:line="360" w:lineRule="auto"/>
      <w:jc w:val="center"/>
    </w:pPr>
    <w:rPr>
      <w:rFonts w:ascii="Calibri" w:hAnsi="Calibri" w:eastAsia="黑体"/>
      <w:b/>
      <w:szCs w:val="21"/>
    </w:rPr>
  </w:style>
  <w:style w:type="character" w:customStyle="1" w:styleId="170">
    <w:name w:val="表   头 Char"/>
    <w:link w:val="171"/>
    <w:qFormat/>
    <w:uiPriority w:val="0"/>
    <w:rPr>
      <w:b/>
    </w:rPr>
  </w:style>
  <w:style w:type="paragraph" w:customStyle="1" w:styleId="171">
    <w:name w:val="表   头"/>
    <w:basedOn w:val="1"/>
    <w:link w:val="170"/>
    <w:qFormat/>
    <w:uiPriority w:val="0"/>
    <w:pPr>
      <w:snapToGrid w:val="0"/>
      <w:jc w:val="center"/>
    </w:pPr>
    <w:rPr>
      <w:b/>
      <w:kern w:val="0"/>
      <w:sz w:val="20"/>
      <w:szCs w:val="20"/>
    </w:rPr>
  </w:style>
  <w:style w:type="character" w:customStyle="1" w:styleId="172">
    <w:name w:val="无间隔表格内 Char"/>
    <w:link w:val="173"/>
    <w:qFormat/>
    <w:uiPriority w:val="0"/>
    <w:rPr>
      <w:sz w:val="21"/>
    </w:rPr>
  </w:style>
  <w:style w:type="paragraph" w:customStyle="1" w:styleId="173">
    <w:name w:val="无间隔表格内"/>
    <w:basedOn w:val="171"/>
    <w:link w:val="172"/>
    <w:qFormat/>
    <w:uiPriority w:val="0"/>
    <w:rPr>
      <w:b w:val="0"/>
      <w:sz w:val="21"/>
    </w:rPr>
  </w:style>
  <w:style w:type="paragraph" w:customStyle="1" w:styleId="174">
    <w:name w:val="正文-RED"/>
    <w:qFormat/>
    <w:uiPriority w:val="0"/>
    <w:pPr>
      <w:spacing w:line="360" w:lineRule="auto"/>
      <w:ind w:firstLine="420"/>
      <w:jc w:val="both"/>
    </w:pPr>
    <w:rPr>
      <w:rFonts w:ascii="Times New Roman" w:hAnsi="Times New Roman" w:eastAsia="宋体" w:cs="Times New Roman"/>
      <w:sz w:val="24"/>
      <w:lang w:val="en-US" w:eastAsia="zh-CN" w:bidi="ar-SA"/>
    </w:rPr>
  </w:style>
  <w:style w:type="paragraph" w:customStyle="1" w:styleId="175">
    <w:name w:val="大标题"/>
    <w:basedOn w:val="1"/>
    <w:qFormat/>
    <w:uiPriority w:val="0"/>
    <w:pPr>
      <w:spacing w:line="360" w:lineRule="auto"/>
    </w:pPr>
    <w:rPr>
      <w:rFonts w:ascii="宋体" w:hAnsi="宋体"/>
      <w:b/>
      <w:sz w:val="28"/>
      <w:szCs w:val="28"/>
    </w:rPr>
  </w:style>
  <w:style w:type="paragraph" w:customStyle="1" w:styleId="176">
    <w:name w:val="000000"/>
    <w:basedOn w:val="1"/>
    <w:qFormat/>
    <w:uiPriority w:val="0"/>
    <w:pPr>
      <w:widowControl/>
      <w:jc w:val="center"/>
    </w:pPr>
    <w:rPr>
      <w:b/>
      <w:kern w:val="0"/>
      <w:szCs w:val="20"/>
      <w:lang w:val="en-GB"/>
    </w:rPr>
  </w:style>
  <w:style w:type="paragraph" w:customStyle="1" w:styleId="177">
    <w:name w:val="正文缩进1"/>
    <w:basedOn w:val="1"/>
    <w:next w:val="1"/>
    <w:qFormat/>
    <w:uiPriority w:val="0"/>
    <w:pPr>
      <w:widowControl w:val="0"/>
      <w:spacing w:line="240" w:lineRule="auto"/>
      <w:ind w:firstLine="420" w:firstLineChars="200"/>
      <w:jc w:val="both"/>
    </w:pPr>
    <w:rPr>
      <w:rFonts w:ascii="宋体" w:hAnsi="Calibri"/>
      <w:color w:val="auto"/>
      <w:sz w:val="28"/>
    </w:rPr>
  </w:style>
  <w:style w:type="paragraph" w:customStyle="1" w:styleId="178">
    <w:name w:val="阿威表格"/>
    <w:basedOn w:val="1"/>
    <w:qFormat/>
    <w:uiPriority w:val="0"/>
    <w:pPr>
      <w:widowControl/>
      <w:jc w:val="center"/>
    </w:pPr>
    <w:rPr>
      <w:rFonts w:ascii="Times New Roman" w:hAnsi="Times New Roman" w:eastAsia="宋体" w:cs="Times New Roman"/>
    </w:rPr>
  </w:style>
  <w:style w:type="paragraph" w:customStyle="1" w:styleId="179">
    <w:name w:val="权威表格内容"/>
    <w:basedOn w:val="1"/>
    <w:qFormat/>
    <w:uiPriority w:val="0"/>
    <w:pPr>
      <w:spacing w:line="240" w:lineRule="auto"/>
      <w:jc w:val="center"/>
    </w:pPr>
    <w:rPr>
      <w:rFonts w:hint="eastAsia" w:ascii="Times New Roman" w:hAnsi="Times New Roman" w:eastAsia="宋体"/>
      <w:bCs/>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emf"/><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46d7568c-8945-4c20-945c-91483a6bb55b</errorID>
      <errorWord>《陕西省噪声污染防治行动计划》（2023—2025年）</errorWord>
      <group>L1_Knowledge</group>
      <groupName>知识性问题</groupName>
      <ability>L2_Knowledge</ability>
      <abilityName>其他知识</abilityName>
      <candidateList>
        <item>《陕西省噪声污染防治行动计划（2023—2025年）》</item>
      </candidateList>
      <explain>疑似政策文件、法律法规名称等书写不规范，请注意检查。</explain>
      <paraID>6F64BAE0</paraID>
      <start>0</start>
      <end>27</end>
      <status>modified</status>
      <modifiedWord>《陕西省噪声污染防治行动计划（2023—2025年）》</modifiedWord>
      <trackRevisions>false</trackRevisions>
    </reviewItem>
    <reviewItem>
      <errorID>4fac08a2-9fe9-43a7-b660-f33687bbe124</errorID>
      <errorWord>（</errorWord>
      <group>L1_Punc</group>
      <groupName>标点问题</groupName>
      <ability>L2_Punc</ability>
      <abilityName>标点符号检查</abilityName>
      <candidateList/>
      <explain>同一形式括号套用。</explain>
      <paraID>69C15B82</paraID>
      <start>65</start>
      <end>66</end>
      <status>unmodified</status>
      <modifiedWord/>
      <trackRevisions>false</trackRevisions>
    </reviewItem>
    <reviewItem>
      <errorID>f88f74e5-822c-401b-8cbc-91fec8c08f3f</errorID>
      <errorWord>）</errorWord>
      <group>L1_Punc</group>
      <groupName>标点问题</groupName>
      <ability>L2_Punc</ability>
      <abilityName>标点符号检查</abilityName>
      <candidateList/>
      <explain>同一形式括号套用。</explain>
      <paraID>69C15B82</paraID>
      <start>70</start>
      <end>71</end>
      <status>unmodified</status>
      <modifiedWord/>
      <trackRevisions>false</trackRevisions>
    </reviewItem>
    <reviewItem>
      <errorID>68541db3-47e8-4013-be6b-54328c147014</errorID>
      <errorWord>（</errorWord>
      <group>L1_Punc</group>
      <groupName>标点问题</groupName>
      <ability>L2_Punc</ability>
      <abilityName>标点符号检查</abilityName>
      <candidateList/>
      <explain>同一形式括号套用。</explain>
      <paraID>25F918AE</paraID>
      <start>22</start>
      <end>23</end>
      <status>unmodified</status>
      <modifiedWord/>
      <trackRevisions>false</trackRevisions>
    </reviewItem>
    <reviewItem>
      <errorID>9fdd046f-6b58-4c9b-8145-d5e3b9f44f31</errorID>
      <errorWord>）</errorWord>
      <group>L1_Punc</group>
      <groupName>标点问题</groupName>
      <ability>L2_Punc</ability>
      <abilityName>标点符号检查</abilityName>
      <candidateList/>
      <explain>同一形式括号套用。</explain>
      <paraID>25F918AE</paraID>
      <start>32</start>
      <end>33</end>
      <status>unmodified</status>
      <modifiedWord/>
      <trackRevisions>false</trackRevisions>
    </reviewItem>
    <reviewItem>
      <errorID>65c17820-b734-487e-b2af-a3d885223adf</errorID>
      <errorWord>环保部</errorWord>
      <group>L1_Other</group>
      <groupName>其他问题</groupName>
      <ability>L2_UserTypo</ability>
      <abilityName>自定义错误</abilityName>
      <candidateList>
        <item>原环保部</item>
      </candidateList>
      <explain>来自自定义错词库。</explain>
      <paraID>5088BAA8</paraID>
      <start>7</start>
      <end>10</end>
      <status>unmodified</status>
      <modifiedWord/>
      <trackRevisions>false</trackRevisions>
    </reviewItem>
    <reviewItem>
      <errorID>ff67d291-fe8f-47eb-8679-673a4d253a63</errorID>
      <errorWord>环保部</errorWord>
      <group>L1_Other</group>
      <groupName>其他问题</groupName>
      <ability>L2_UserTypo</ability>
      <abilityName>自定义错误</abilityName>
      <candidateList>
        <item>原环保部</item>
      </candidateList>
      <explain>来自自定义错词库。</explain>
      <paraID>36973D7B</paraID>
      <start>17</start>
      <end>20</end>
      <status>unmodified</status>
      <modifiedWord/>
      <trackRevisions>false</trackRevisions>
    </reviewItem>
    <reviewItem>
      <errorID>7465764c-38e0-44c9-87b1-ba98c96bdf36</errorID>
      <errorWord>2021年03月04日</errorWord>
      <group>L1_Knowledge</group>
      <groupName>知识性问题</groupName>
      <ability>L2_Time</ability>
      <abilityName>日期时间</abilityName>
      <candidateList>
        <item>2021年3月4日</item>
      </candidateList>
      <explain>根据日常书写习惯，月份和日期一般会省略前导零。</explain>
      <paraID>75641115</paraID>
      <start>15</start>
      <end>24</end>
      <status>modified</status>
      <modifiedWord>2021年3月4日</modifiedWord>
      <trackRevisions>false</trackRevisions>
    </reviewItem>
    <reviewItem>
      <errorID>4143a0a8-511c-40f4-b57a-c100f8699493</errorID>
      <errorWord>（</errorWord>
      <group>L1_Punc</group>
      <groupName>标点问题</groupName>
      <ability>L2_Punc</ability>
      <abilityName>标点符号检查</abilityName>
      <candidateList/>
      <explain>同一形式括号套用。</explain>
      <paraID>61D98F1A</paraID>
      <start>46</start>
      <end>47</end>
      <status>unmodified</status>
      <modifiedWord/>
      <trackRevisions>false</trackRevisions>
    </reviewItem>
    <reviewItem>
      <errorID>28fc9dc2-96f8-427c-aaa7-079513e388c7</errorID>
      <errorWord>）</errorWord>
      <group>L1_Punc</group>
      <groupName>标点问题</groupName>
      <ability>L2_Punc</ability>
      <abilityName>标点符号检查</abilityName>
      <candidateList/>
      <explain>同一形式括号套用。</explain>
      <paraID>61D98F1A</paraID>
      <start>51</start>
      <end>52</end>
      <status>unmodified</status>
      <modifiedWord/>
      <trackRevisions>false</trackRevisions>
    </reviewItem>
    <reviewItem>
      <errorID>9d732daf-9ae0-40a2-987c-8f9f92865fc1</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7C33DCBB</paraID>
      <start>16</start>
      <end>17</end>
      <status>unmodified</status>
      <modifiedWord/>
      <trackRevisions>false</trackRevisions>
    </reviewItem>
    <reviewItem>
      <errorID>5633538c-bfb3-489f-bf17-1627bb420516</errorID>
      <errorWord>kw</errorWord>
      <group>L1_Word</group>
      <groupName>字词问题</groupName>
      <ability>L2_Typo</ability>
      <abilityName>字词错误</abilityName>
      <candidateList>
        <item>kW</item>
      </candidateList>
      <explain/>
      <paraID>2FB5607B</paraID>
      <start>2</start>
      <end>4</end>
      <status>modified</status>
      <modifiedWord>kW</modifiedWord>
      <trackRevisions>false</trackRevisions>
    </reviewItem>
    <reviewItem>
      <errorID>0743066c-cbcf-47e3-acbb-2c7d7cc92bd4</errorID>
      <errorWord>kw</errorWord>
      <group>L1_Word</group>
      <groupName>字词问题</groupName>
      <ability>L2_Typo</ability>
      <abilityName>字词错误</abilityName>
      <candidateList>
        <item>kW</item>
      </candidateList>
      <explain/>
      <paraID>3E9E2142</paraID>
      <start>2</start>
      <end>4</end>
      <status>modified</status>
      <modifiedWord>kW</modifiedWord>
      <trackRevisions>false</trackRevisions>
    </reviewItem>
    <reviewItem>
      <errorID>cda10efb-d954-46c6-90af-bdd7663c369f</errorID>
      <errorWord>KW</errorWord>
      <group>L1_Word</group>
      <groupName>字词问题</groupName>
      <ability>L2_Typo</ability>
      <abilityName>字词错误</abilityName>
      <candidateList>
        <item>kW</item>
      </candidateList>
      <explain/>
      <paraID>29D8E0CD</paraID>
      <start>1</start>
      <end>3</end>
      <status>modified</status>
      <modifiedWord>kW</modifiedWord>
      <trackRevisions>false</trackRevisions>
    </reviewItem>
    <reviewItem>
      <errorID>7f8630ab-11c3-4a2a-91c4-87437b18486c</errorID>
      <errorWord>KW</errorWord>
      <group>L1_Word</group>
      <groupName>字词问题</groupName>
      <ability>L2_Typo</ability>
      <abilityName>字词错误</abilityName>
      <candidateList>
        <item>kW</item>
      </candidateList>
      <explain/>
      <paraID>2FAF0856</paraID>
      <start>2</start>
      <end>4</end>
      <status>modified</status>
      <modifiedWord>kW</modifiedWord>
      <trackRevisions>false</trackRevisions>
    </reviewItem>
    <reviewItem>
      <errorID>6133b081-b519-4603-8d6e-d0bfa6699211</errorID>
      <errorWord>KW</errorWord>
      <group>L1_Word</group>
      <groupName>字词问题</groupName>
      <ability>L2_Typo</ability>
      <abilityName>字词错误</abilityName>
      <candidateList>
        <item>kW</item>
      </candidateList>
      <explain/>
      <paraID>32F278CD</paraID>
      <start>2</start>
      <end>4</end>
      <status>modified</status>
      <modifiedWord>kW</modifiedWord>
      <trackRevisions>false</trackRevisions>
    </reviewItem>
    <reviewItem>
      <errorID>9cc020c8-8b74-47e1-b14e-21f4368d0dde</errorID>
      <errorWord>KW</errorWord>
      <group>L1_Word</group>
      <groupName>字词问题</groupName>
      <ability>L2_Typo</ability>
      <abilityName>字词错误</abilityName>
      <candidateList>
        <item>kW</item>
      </candidateList>
      <explain/>
      <paraID>4165729E</paraID>
      <start>2</start>
      <end>4</end>
      <status>modified</status>
      <modifiedWord>kW</modifiedWord>
      <trackRevisions>false</trackRevisions>
    </reviewItem>
    <reviewItem>
      <errorID>96b1ae73-7639-46d8-b426-48b80befe41f</errorID>
      <errorWord>KW</errorWord>
      <group>L1_Word</group>
      <groupName>字词问题</groupName>
      <ability>L2_Typo</ability>
      <abilityName>字词错误</abilityName>
      <candidateList>
        <item>kW</item>
      </candidateList>
      <explain/>
      <paraID>1C807BE0</paraID>
      <start>3</start>
      <end>5</end>
      <status>modified</status>
      <modifiedWord>kW</modifiedWord>
      <trackRevisions>false</trackRevisions>
    </reviewItem>
    <reviewItem>
      <errorID>f752903a-fd22-4abb-ae00-7ab6287b9e1e</errorID>
      <errorWord>KW</errorWord>
      <group>L1_Word</group>
      <groupName>字词问题</groupName>
      <ability>L2_Typo</ability>
      <abilityName>字词错误</abilityName>
      <candidateList>
        <item>kW</item>
      </candidateList>
      <explain/>
      <paraID>43208E57</paraID>
      <start>2</start>
      <end>4</end>
      <status>modified</status>
      <modifiedWord>kW</modifiedWord>
      <trackRevisions>false</trackRevisions>
    </reviewItem>
    <reviewItem>
      <errorID>dc93ed33-1b33-424a-b1a8-022d927f2acd</errorID>
      <errorWord>KW</errorWord>
      <group>L1_Word</group>
      <groupName>字词问题</groupName>
      <ability>L2_Typo</ability>
      <abilityName>字词错误</abilityName>
      <candidateList>
        <item>kW</item>
      </candidateList>
      <explain/>
      <paraID>728AE231</paraID>
      <start>2</start>
      <end>4</end>
      <status>modified</status>
      <modifiedWord>kW</modifiedWord>
      <trackRevisions>false</trackRevisions>
    </reviewItem>
    <reviewItem>
      <errorID>45f0142e-a217-488e-8e0a-c30d603605a7</errorID>
      <errorWord>（</errorWord>
      <group>L1_Format</group>
      <groupName>格式问题</groupName>
      <ability>L2_HalfPunc</ability>
      <abilityName>全半角检查</abilityName>
      <candidateList>
        <item>(</item>
      </candidateList>
      <explain>文本全半角错误。</explain>
      <paraID>37DD285C</paraID>
      <start>0</start>
      <end>1</end>
      <status>modified</status>
      <modifiedWord>(</modifiedWord>
      <trackRevisions>false</trackRevisions>
    </reviewItem>
    <reviewItem>
      <errorID>16e7a37d-e47e-47ec-af57-f9f1f912f1ab</errorID>
      <errorWord>漆料</errorWord>
      <group>L1_Word</group>
      <groupName>字词问题</groupName>
      <ability>L2_Typo</ability>
      <abilityName>字词错误</abilityName>
      <candidateList>
        <item>涂料</item>
      </candidateList>
      <explain/>
      <paraID>38D58BBC</paraID>
      <start>327</start>
      <end>329</end>
      <status>ignored</status>
      <modifiedWord/>
      <trackRevisions>false</trackRevisions>
    </reviewItem>
    <reviewItem>
      <errorID>9f85a7f3-9165-4cab-925a-be099179dfd0</errorID>
      <errorWord>计</errorWord>
      <group>L1_Word</group>
      <groupName>字词问题</groupName>
      <ability>L2_Typo</ability>
      <abilityName>字词错误</abilityName>
      <candidateList>
        <item>计算</item>
      </candidateList>
      <explain/>
      <paraID>2C32F17C</paraID>
      <start>134</start>
      <end>135</end>
      <status>ignored</status>
      <modifiedWord/>
      <trackRevisions>false</trackRevisions>
    </reviewItem>
    <reviewItem>
      <errorID>ddfbdd54-c800-436f-9044-5a0c217a9ee2</errorID>
      <errorWord>机</errorWord>
      <group>L1_Word</group>
      <groupName>字词问题</groupName>
      <ability>L2_Typo</ability>
      <abilityName>字词错误</abilityName>
      <candidateList>
        <item>机等</item>
      </candidateList>
      <explain/>
      <paraID>1D7563C3</paraID>
      <start>51</start>
      <end>53</end>
      <status>modified</status>
      <modifiedWord>机等</modifiedWord>
      <trackRevisions>false</trackRevisions>
    </reviewItem>
    <reviewItem>
      <errorID>0cbd2040-3995-4512-80d2-db2e894f6397</errorID>
      <errorWord>、收</errorWord>
      <group>L1_Word</group>
      <groupName>字词问题</groupName>
      <ability>L2_Typo</ability>
      <abilityName>字词错误</abilityName>
      <candidateList>
        <item>、</item>
      </candidateList>
      <explain/>
      <paraID>465DD1DE</paraID>
      <start>165</start>
      <end>166</end>
      <status>modified</status>
      <modifiedWord>、</modifiedWord>
      <trackRevisions>false</trackRevisions>
    </reviewItem>
    <reviewItem>
      <errorID>a1139ca1-35b1-4941-80bc-dd8258c632cb</errorID>
      <errorWord>(</errorWord>
      <group>L1_Format</group>
      <groupName>格式问题</groupName>
      <ability>L2_HalfPunc</ability>
      <abilityName>全半角检查</abilityName>
      <candidateList>
        <item>（</item>
      </candidateList>
      <explain>文本全半角错误。</explain>
      <paraID>701B11E4</paraID>
      <start>56</start>
      <end>57</end>
      <status>modified</status>
      <modifiedWord>（</modifiedWord>
      <trackRevisions>false</trackRevisions>
    </reviewItem>
    <reviewItem>
      <errorID>b9e7a079-7c6f-44b4-b9e0-01ff5a6ce93d</errorID>
      <errorWord>)</errorWord>
      <group>L1_Format</group>
      <groupName>格式问题</groupName>
      <ability>L2_HalfPunc</ability>
      <abilityName>全半角检查</abilityName>
      <candidateList>
        <item>）</item>
      </candidateList>
      <explain>文本全半角错误。</explain>
      <paraID>701B11E4</paraID>
      <start>68</start>
      <end>69</end>
      <status>modified</status>
      <modifiedWord>）</modifiedWord>
      <trackRevisions>false</trackRevisions>
    </reviewItem>
    <reviewItem>
      <errorID>abe5420b-a8fa-4700-98a5-0727eb52ac86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73FF6B4B</paraID>
      <start>13</start>
      <end>14</end>
      <status>unmodified</status>
      <modifiedWord/>
      <trackRevisions>false</trackRevisions>
    </reviewItem>
    <reviewItem>
      <errorID>90e97bf3-ca52-4e05-a88c-b961e84ea224</errorID>
      <errorWord>需须</errorWord>
      <group>L1_Word</group>
      <groupName>字词问题</groupName>
      <ability>L2_Typo</ability>
      <abilityName>字词错误</abilityName>
      <candidateList>
        <item>需</item>
      </candidateList>
      <explain>❶〈动〉需要：～求｜按～分配｜完成任务还～五天时间。❷需用的东西：军～。</explain>
      <paraID> FEDA885</paraID>
      <start>157</start>
      <end>158</end>
      <status>modified</status>
      <modifiedWord>需</modifiedWord>
      <trackRevisions>false</trackRevisions>
    </reviewItem>
    <reviewItem>
      <errorID>059ee0c0-4b75-45b1-bfa2-573017eb1123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4995F874</paraID>
      <start>0</start>
      <end>2</end>
      <status>modified</status>
      <modifiedWord>1.</modifiedWord>
      <trackRevisions>false</trackRevisions>
    </reviewItem>
    <reviewItem>
      <errorID>af0a5cc6-9890-4195-b1b5-c30b7f0627ad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46D23CC6</paraID>
      <start>0</start>
      <end>2</end>
      <status>modified</status>
      <modifiedWord>2.</modifiedWord>
      <trackRevisions>false</trackRevisions>
    </reviewItem>
    <reviewItem>
      <errorID>8626fe61-0526-4ad2-a62e-b05d4e6f5a2b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70E63C37</paraID>
      <start>0</start>
      <end>2</end>
      <status>modified</status>
      <modifiedWord>3.</modifiedWord>
      <trackRevisions>false</trackRevisions>
    </reviewItem>
    <reviewItem>
      <errorID>7317fd20-a573-4467-911a-2b3f7fc124c6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4DD102C2</paraID>
      <start>0</start>
      <end>2</end>
      <status>modified</status>
      <modifiedWord>4.</modifiedWord>
      <trackRevisions>false</trackRevisions>
    </reviewItem>
    <reviewItem>
      <errorID>390e65fb-d2d6-4a52-bdb1-a01bcde9061f</errorID>
      <errorWord>量为</errorWord>
      <group>L1_Word</group>
      <groupName>字词问题</groupName>
      <ability>L2_Typo</ability>
      <abilityName>字词错误</abilityName>
      <candidateList>
        <item>量</item>
      </candidateList>
      <explain/>
      <paraID> F5DFD40</paraID>
      <start>44</start>
      <end>45</end>
      <status>modified</status>
      <modifiedWord>量</modifiedWord>
      <trackRevisions>false</trackRevisions>
    </reviewItem>
    <reviewItem>
      <errorID>60886231-fa99-4664-bf1b-85a45712767c</errorID>
      <errorWord>约为</errorWord>
      <group>L1_Word</group>
      <groupName>字词问题</groupName>
      <ability>L2_Typo</ability>
      <abilityName>字词错误</abilityName>
      <candidateList>
        <item>约</item>
      </candidateList>
      <explain/>
      <paraID> F5DFD40</paraID>
      <start>45</start>
      <end>46</end>
      <status>modified</status>
      <modifiedWord>约</modifiedWord>
      <trackRevisions>false</trackRevisions>
    </reviewItem>
    <reviewItem>
      <errorID>f81a9ccc-1031-4c1b-9fda-428bb41fa40e</errorID>
      <errorWord>露</errorWord>
      <group>L1_Other</group>
      <groupName>其他问题</groupName>
      <ability>L2_UserTypo</ability>
      <abilityName>自定义错误</abilityName>
      <candidateList>
        <item>漏</item>
      </candidateList>
      <explain>来自自定义错词库。</explain>
      <paraID>4E707C39</paraID>
      <start>17</start>
      <end>18</end>
      <status>unmodified</status>
      <modifiedWord/>
      <trackRevisions>false</trackRevisions>
    </reviewItem>
    <reviewItem>
      <errorID>c94b09dc-2c8d-4413-971a-dfb4b557fd0c</errorID>
      <errorWord>[2022]</errorWord>
      <group>L1_Punc</group>
      <groupName>标点问题</groupName>
      <ability>L2_Punc</ability>
      <abilityName>标点符号检查</abilityName>
      <candidateList>
        <item>〔2022〕</item>
      </candidateList>
      <explain/>
      <paraID>41FD33EF</paraID>
      <start>122</start>
      <end>128</end>
      <status>modified</status>
      <modifiedWord>〔2022〕</modifiedWord>
      <trackRevisions>false</trackRevisions>
    </reviewItem>
    <reviewItem>
      <errorID>64aefd10-d3f2-48fa-80e2-98b0a889c2b5</errorID>
      <errorWord>措施后</errorWord>
      <group>L1_Word</group>
      <groupName>字词问题</groupName>
      <ability>L2_Typo</ability>
      <abilityName>字词错误</abilityName>
      <candidateList>
        <item>措施</item>
      </candidateList>
      <explain>〈名〉针对某种情况而采取的处理办法（用于较大的事情）：计划已经订出，～应该跟上。</explain>
      <paraID>7935326D</paraID>
      <start>65</start>
      <end>67</end>
      <status>modified</status>
      <modifiedWord>措施</modifiedWord>
      <trackRevisions>false</trackRevisions>
    </reviewItem>
    <reviewItem>
      <errorID>acf1deac-facc-48f1-b2cd-42d8d0ae2c95</errorID>
      <errorWord>（</errorWord>
      <group>L1_Format</group>
      <groupName>格式问题</groupName>
      <ability>L2_HalfPunc</ability>
      <abilityName>全半角检查</abilityName>
      <candidateList>
        <item>(</item>
      </candidateList>
      <explain>文本全半角错误。</explain>
      <paraID>35F304BF</paraID>
      <start>0</start>
      <end>1</end>
      <status>modified</status>
      <modifiedWord>(</modifiedWord>
      <trackRevisions>false</trackRevisions>
    </reviewItem>
    <reviewItem>
      <errorID>2e6cdd8b-5833-4cd7-8c48-c7176a4f2db0</errorID>
      <errorWord>）</errorWord>
      <group>L1_Format</group>
      <groupName>格式问题</groupName>
      <ability>L2_HalfPunc</ability>
      <abilityName>全半角检查</abilityName>
      <candidateList>
        <item>)</item>
      </candidateList>
      <explain>文本全半角错误。</explain>
      <paraID>35F304BF</paraID>
      <start>6</start>
      <end>7</end>
      <status>modified</status>
      <modifiedWord>)</modifiedWord>
      <trackRevisions>false</trackRevisions>
    </reviewItem>
    <reviewItem>
      <errorID>b4e23c17-59fb-4ed8-b461-5d53b6564e28</errorID>
      <errorWord>（</errorWord>
      <group>L1_Format</group>
      <groupName>格式问题</groupName>
      <ability>L2_HalfPunc</ability>
      <abilityName>全半角检查</abilityName>
      <candidateList>
        <item>(</item>
      </candidateList>
      <explain>文本全半角错误。</explain>
      <paraID>75EA1656</paraID>
      <start>0</start>
      <end>1</end>
      <status>modified</status>
      <modifiedWord>(</modifiedWord>
      <trackRevisions>false</trackRevisions>
    </reviewItem>
    <reviewItem>
      <errorID>87201079-4597-41d6-aa93-2536d8b05c81</errorID>
      <errorWord>）</errorWord>
      <group>L1_Format</group>
      <groupName>格式问题</groupName>
      <ability>L2_HalfPunc</ability>
      <abilityName>全半角检查</abilityName>
      <candidateList>
        <item>)</item>
      </candidateList>
      <explain>文本全半角错误。</explain>
      <paraID>75EA1656</paraID>
      <start>6</start>
      <end>7</end>
      <status>modified</status>
      <modifiedWord>)</modifiedWord>
      <trackRevisions>false</trackRevisions>
    </reviewItem>
    <reviewItem>
      <errorID>919b919c-3e0c-4c44-9aa9-5184258b303a</errorID>
      <errorWord>（</errorWord>
      <group>L1_Format</group>
      <groupName>格式问题</groupName>
      <ability>L2_HalfPunc</ability>
      <abilityName>全半角检查</abilityName>
      <candidateList>
        <item>(</item>
      </candidateList>
      <explain>文本全半角错误。</explain>
      <paraID>574349D8</paraID>
      <start>0</start>
      <end>1</end>
      <status>modified</status>
      <modifiedWord>(</modifiedWord>
      <trackRevisions>false</trackRevisions>
    </reviewItem>
    <reviewItem>
      <errorID>856c356c-c683-4192-94af-98cd0aee464a</errorID>
      <errorWord>）</errorWord>
      <group>L1_Format</group>
      <groupName>格式问题</groupName>
      <ability>L2_HalfPunc</ability>
      <abilityName>全半角检查</abilityName>
      <candidateList>
        <item>)</item>
      </candidateList>
      <explain>文本全半角错误。</explain>
      <paraID>574349D8</paraID>
      <start>6</start>
      <end>7</end>
      <status>modified</status>
      <modifiedWord>)</modifiedWord>
      <trackRevisions>false</trackRevisions>
    </reviewItem>
    <reviewItem>
      <errorID>8b70e3b6-7124-40ce-92da-7ddaca1c4976</errorID>
      <errorWord>（</errorWord>
      <group>L1_Punc</group>
      <groupName>标点问题</groupName>
      <ability>L2_Punc</ability>
      <abilityName>标点符号检查</abilityName>
      <candidateList/>
      <explain>同一形式括号套用。</explain>
      <paraID>2D6404DA</paraID>
      <start>72</start>
      <end>73</end>
      <status>ignored</status>
      <modifiedWord/>
      <trackRevisions>false</trackRevisions>
    </reviewItem>
    <reviewItem>
      <errorID>8028e5f3-5d21-4e54-99b1-e0e3e48c71b6</errorID>
      <errorWord>）</errorWord>
      <group>L1_Punc</group>
      <groupName>标点问题</groupName>
      <ability>L2_Punc</ability>
      <abilityName>标点符号检查</abilityName>
      <candidateList/>
      <explain>同一形式括号套用。</explain>
      <paraID>2D6404DA</paraID>
      <start>76</start>
      <end>77</end>
      <status>ignored</status>
      <modifiedWord/>
      <trackRevisions>false</trackRevisions>
    </reviewItem>
    <reviewItem>
      <errorID>ac78a3c1-d928-4f7a-9778-2de25e30c7a7</errorID>
      <errorWord>~</errorWord>
      <group>L1_Format</group>
      <groupName>格式问题</groupName>
      <ability>L2_HalfPunc</ability>
      <abilityName>全半角检查</abilityName>
      <candidateList>
        <item>～</item>
      </candidateList>
      <explain>文本全半角错误。</explain>
      <paraID>64407B55</paraID>
      <start>51</start>
      <end>52</end>
      <status>modified</status>
      <modifiedWord>～</modifiedWord>
      <trackRevisions>false</trackRevisions>
    </reviewItem>
    <reviewItem>
      <errorID>14a54a8b-ccdd-426a-99d4-b7f00c6c0419</errorID>
      <errorWord>（</errorWord>
      <group>L1_Punc</group>
      <groupName>标点问题</groupName>
      <ability>L2_Punc</ability>
      <abilityName>标点符号检查</abilityName>
      <candidateList/>
      <explain>同一形式括号套用。</explain>
      <paraID>71B67FDD</paraID>
      <start>13</start>
      <end>14</end>
      <status>unmodified</status>
      <modifiedWord/>
      <trackRevisions>false</trackRevisions>
    </reviewItem>
    <reviewItem>
      <errorID>63a552eb-9b1d-4a34-834c-94c8028773f0</errorID>
      <errorWord>）</errorWord>
      <group>L1_Punc</group>
      <groupName>标点问题</groupName>
      <ability>L2_Punc</ability>
      <abilityName>标点符号检查</abilityName>
      <candidateList/>
      <explain>同一形式括号套用。</explain>
      <paraID>71B67FDD</paraID>
      <start>15</start>
      <end>16</end>
      <status>unmodified</status>
      <modifiedWord/>
      <trackRevisions>false</trackRevisions>
    </reviewItem>
    <reviewItem>
      <errorID>6583d491-4312-4c4f-bcac-89b388090026</errorID>
      <errorWord>（</errorWord>
      <group>L1_Format</group>
      <groupName>格式问题</groupName>
      <ability>L2_HalfPunc</ability>
      <abilityName>全半角检查</abilityName>
      <candidateList>
        <item>(</item>
      </candidateList>
      <explain>文本全半角错误。</explain>
      <paraID>5D39818B</paraID>
      <start>4</start>
      <end>5</end>
      <status>modified</status>
      <modifiedWord>(</modifiedWord>
      <trackRevisions>false</trackRevisions>
    </reviewItem>
    <reviewItem>
      <errorID>f77fd025-593f-4c0d-996c-487611c854aa</errorID>
      <errorWord>）</errorWord>
      <group>L1_Format</group>
      <groupName>格式问题</groupName>
      <ability>L2_HalfPunc</ability>
      <abilityName>全半角检查</abilityName>
      <candidateList>
        <item>)</item>
      </candidateList>
      <explain>文本全半角错误。</explain>
      <paraID>5D39818B</paraID>
      <start>6</start>
      <end>7</end>
      <status>modified</status>
      <modifiedWord>)</modifiedWord>
      <trackRevisions>false</trackRevisions>
    </reviewItem>
    <reviewItem>
      <errorID>e9603aa4-7b65-4079-b5cd-934ef346b325</errorID>
      <errorWord>（</errorWord>
      <group>L1_Format</group>
      <groupName>格式问题</groupName>
      <ability>L2_HalfPunc</ability>
      <abilityName>全半角检查</abilityName>
      <candidateList>
        <item>(</item>
      </candidateList>
      <explain>文本全半角错误。</explain>
      <paraID>5D39818B</paraID>
      <start>12</start>
      <end>13</end>
      <status>modified</status>
      <modifiedWord>(</modifiedWord>
      <trackRevisions>false</trackRevisions>
    </reviewItem>
    <reviewItem>
      <errorID>9172e7d3-0472-4aa7-8635-b815344c3209</errorID>
      <errorWord>）</errorWord>
      <group>L1_Format</group>
      <groupName>格式问题</groupName>
      <ability>L2_HalfPunc</ability>
      <abilityName>全半角检查</abilityName>
      <candidateList>
        <item>)</item>
      </candidateList>
      <explain>文本全半角错误。</explain>
      <paraID>5D39818B</paraID>
      <start>14</start>
      <end>15</end>
      <status>modified</status>
      <modifiedWord>)</modifiedWord>
      <trackRevisions>false</trackRevisions>
    </reviewItem>
    <reviewItem>
      <errorID>d7676657-7bcb-4ed0-88b5-72d3cf03d246</errorID>
      <errorWord>（</errorWord>
      <group>L1_Format</group>
      <groupName>格式问题</groupName>
      <ability>L2_HalfPunc</ability>
      <abilityName>全半角检查</abilityName>
      <candidateList>
        <item>(</item>
      </candidateList>
      <explain>文本全半角错误。</explain>
      <paraID>5D39818B</paraID>
      <start>16</start>
      <end>17</end>
      <status>modified</status>
      <modifiedWord>(</modifiedWord>
      <trackRevisions>false</trackRevisions>
    </reviewItem>
    <reviewItem>
      <errorID>47bdc5bf-e891-4c4a-b209-1c856c7226d4</errorID>
      <errorWord>）</errorWord>
      <group>L1_Format</group>
      <groupName>格式问题</groupName>
      <ability>L2_HalfPunc</ability>
      <abilityName>全半角检查</abilityName>
      <candidateList>
        <item>)</item>
      </candidateList>
      <explain>文本全半角错误。</explain>
      <paraID>5D39818B</paraID>
      <start>22</start>
      <end>23</end>
      <status>modified</status>
      <modifiedWord>)</modifiedWord>
      <trackRevisions>false</trackRevisions>
    </reviewItem>
    <reviewItem>
      <errorID>2c70b459-5d48-4088-a11f-7ba6afd985c3</errorID>
      <errorWord>（</errorWord>
      <group>L1_Format</group>
      <groupName>格式问题</groupName>
      <ability>L2_HalfPunc</ability>
      <abilityName>全半角检查</abilityName>
      <candidateList>
        <item>(</item>
      </candidateList>
      <explain>文本全半角错误。</explain>
      <paraID>4659ECFA</paraID>
      <start>6</start>
      <end>7</end>
      <status>modified</status>
      <modifiedWord>(</modifiedWord>
      <trackRevisions>false</trackRevisions>
    </reviewItem>
    <reviewItem>
      <errorID>ab3ab462-1d1d-4b55-8f4a-0063a442f13a</errorID>
      <errorWord>）</errorWord>
      <group>L1_Format</group>
      <groupName>格式问题</groupName>
      <ability>L2_HalfPunc</ability>
      <abilityName>全半角检查</abilityName>
      <candidateList>
        <item>)</item>
      </candidateList>
      <explain>文本全半角错误。</explain>
      <paraID>4659ECFA</paraID>
      <start>8</start>
      <end>9</end>
      <status>modified</status>
      <modifiedWord>)</modifiedWord>
      <trackRevisions>false</trackRevisions>
    </reviewItem>
    <reviewItem>
      <errorID>b1c6e950-f499-4172-97c0-52d70d7e12c4</errorID>
      <errorWord>（</errorWord>
      <group>L1_Format</group>
      <groupName>格式问题</groupName>
      <ability>L2_HalfPunc</ability>
      <abilityName>全半角检查</abilityName>
      <candidateList>
        <item>(</item>
      </candidateList>
      <explain>文本全半角错误。</explain>
      <paraID>7D63DB90</paraID>
      <start>7</start>
      <end>8</end>
      <status>modified</status>
      <modifiedWord>(</modifiedWord>
      <trackRevisions>false</trackRevisions>
    </reviewItem>
    <reviewItem>
      <errorID>851c0b9c-13a3-4e16-a085-35836f9d300c</errorID>
      <errorWord>）</errorWord>
      <group>L1_Format</group>
      <groupName>格式问题</groupName>
      <ability>L2_HalfPunc</ability>
      <abilityName>全半角检查</abilityName>
      <candidateList>
        <item>)</item>
      </candidateList>
      <explain>文本全半角错误。</explain>
      <paraID>7D63DB90</paraID>
      <start>9</start>
      <end>10</end>
      <status>modified</status>
      <modifiedWord>)</modifiedWord>
      <trackRevisions>false</trackRevisions>
    </reviewItem>
    <reviewItem>
      <errorID>e7e767f2-8512-42ae-9df7-391510c027bd</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6237B916</paraID>
      <start>0</start>
      <end>1</end>
      <status>ignored</status>
      <modifiedWord/>
      <trackRevisions>false</trackRevisions>
    </reviewItem>
    <reviewItem>
      <errorID>e176ed72-9364-4fb0-8d97-a3f9ddffdddd</errorID>
      <errorWord>交有</errorWord>
      <group>L1_Word</group>
      <groupName>字词问题</groupName>
      <ability>L2_Typo</ability>
      <abilityName>字词错误</abilityName>
      <candidateList>
        <item>交由</item>
      </candidateList>
      <explain/>
      <paraID> D9BCB24</paraID>
      <start>12</start>
      <end>14</end>
      <status>modified</status>
      <modifiedWord>交由</modifiedWord>
      <trackRevisions>false</trackRevisions>
    </reviewItem>
    <reviewItem>
      <errorID>f4e946a9-440e-458e-a190-81b95f16ea2c</errorID>
      <errorWord>、</errorWord>
      <group>L1_Punc</group>
      <groupName>标点问题</groupName>
      <ability>L2_Punc</ability>
      <abilityName>标点符号检查</abilityName>
      <candidateList>
        <item>.</item>
      </candidateList>
      <explain/>
      <paraID>5FD91849</paraID>
      <start>1</start>
      <end>2</end>
      <status>modified</status>
      <modifiedWord>.</modifiedWord>
      <trackRevisions>false</trackRevisions>
    </reviewItem>
    <reviewItem>
      <errorID>d93c3768-c4bd-4e0b-8523-9ce58593c5a1</errorID>
      <errorWord>、</errorWord>
      <group>L1_Punc</group>
      <groupName>标点问题</groupName>
      <ability>L2_Punc</ability>
      <abilityName>标点符号检查</abilityName>
      <candidateList>
        <item>.</item>
      </candidateList>
      <explain/>
      <paraID> CD092AA</paraID>
      <start>1</start>
      <end>2</end>
      <status>modified</status>
      <modifiedWord>.</modifiedWord>
      <trackRevisions>false</trackRevisions>
    </reviewItem>
    <reviewItem>
      <errorID>48db092d-02e2-4055-b111-605436041f07</errorID>
      <errorWord>安全岗位责任制</errorWord>
      <group>L1_Political</group>
      <groupName>政治性问题</groupName>
      <ability>L2_Keyword</ability>
      <abilityName>固定表述</abilityName>
      <candidateList>
        <item>安全生产责任制</item>
      </candidateList>
      <explain>词汇“安全生产责任制”在特定场景下为固定表述形式，请确认此处的“安全岗位责任制”是否存在不当。</explain>
      <paraID>2FEE67F6</paraID>
      <start>43</start>
      <end>50</end>
      <status>modified</status>
      <modifiedWord>安全生产责任制</modifiedWord>
      <trackRevisions>false</trackRevisions>
    </reviewItem>
    <reviewItem>
      <errorID>6e14fc4c-be31-4915-9686-469a657bd498</errorID>
      <errorWord>、</errorWord>
      <group>L1_Punc</group>
      <groupName>标点问题</groupName>
      <ability>L2_Punc</ability>
      <abilityName>标点符号检查</abilityName>
      <candidateList/>
      <explain/>
      <paraID> 98142EB</paraID>
      <start>2</start>
      <end>3</end>
      <status>unmodified</status>
      <modifiedWord/>
      <trackRevisions>false</trackRevisions>
    </reviewItem>
    <reviewItem>
      <errorID>4481714b-0e97-49a4-88b6-76fe67acfa9e</errorID>
      <errorWord>以</errorWord>
      <group>L1_Word</group>
      <groupName>字词问题</groupName>
      <ability>L2_Typo</ability>
      <abilityName>字词错误</abilityName>
      <candidateList>
        <item>从</item>
      </candidateList>
      <explain>存在字形相近字词的误用。</explain>
      <paraID>447C11FC</paraID>
      <start>14</start>
      <end>15</end>
      <status>modified</status>
      <modifiedWord>从</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967a4f-783c-4c15-9041-03abfad31c1c}">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55</Pages>
  <Words>14020</Words>
  <Characters>15746</Characters>
  <Lines>153</Lines>
  <Paragraphs>43</Paragraphs>
  <TotalTime>17</TotalTime>
  <ScaleCrop>false</ScaleCrop>
  <LinksUpToDate>false</LinksUpToDate>
  <CharactersWithSpaces>15901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刘小米 </cp:lastModifiedBy>
  <cp:lastPrinted>2020-12-29T02:43:00Z</cp:lastPrinted>
  <dcterms:modified xsi:type="dcterms:W3CDTF">2026-04-16T09:28:54Z</dcterms:modified>
  <dc:title>附件2</dc:title>
  <cp:revision>7254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50412FA1DE654DED91328B6C9EDE9F50_13</vt:lpwstr>
  </property>
  <property fmtid="{D5CDD505-2E9C-101B-9397-08002B2CF9AE}" pid="4" name="KSOTemplateDocerSaveRecord">
    <vt:lpwstr>eyJoZGlkIjoiNmZjYzczZjM1NzJkZTZlMDVjYjA1NmQxMWNhYzc2ZTkiLCJ1c2VySWQiOiI2MjAxNjQ2MzYifQ==</vt:lpwstr>
  </property>
</Properties>
</file>