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007980">
      <w:pPr>
        <w:rPr>
          <w:rFonts w:hint="default" w:ascii="Times New Roman" w:hAnsi="Times New Roman" w:eastAsia="仿宋_GB2312" w:cs="Times New Roman"/>
          <w:color w:val="auto"/>
          <w:sz w:val="36"/>
          <w:szCs w:val="36"/>
          <w:lang w:val="en-US" w:eastAsia="zh-CN"/>
        </w:rPr>
      </w:pPr>
      <w:r>
        <w:rPr>
          <w:rFonts w:hint="eastAsia" w:eastAsia="仿宋_GB2312" w:cs="Times New Roman"/>
          <w:color w:val="auto"/>
          <w:sz w:val="36"/>
          <w:szCs w:val="36"/>
          <w:lang w:val="en-US" w:eastAsia="zh-CN"/>
        </w:rPr>
        <w:t xml:space="preserve">  </w:t>
      </w:r>
    </w:p>
    <w:p w14:paraId="45BADB0C">
      <w:pPr>
        <w:rPr>
          <w:rFonts w:hint="default" w:ascii="Times New Roman" w:hAnsi="Times New Roman" w:eastAsia="仿宋_GB2312" w:cs="Times New Roman"/>
          <w:color w:val="auto"/>
          <w:sz w:val="36"/>
          <w:szCs w:val="36"/>
        </w:rPr>
      </w:pPr>
    </w:p>
    <w:p w14:paraId="5946B1A7">
      <w:pPr>
        <w:rPr>
          <w:rFonts w:hint="default" w:ascii="Times New Roman" w:hAnsi="Times New Roman" w:eastAsia="仿宋_GB2312" w:cs="Times New Roman"/>
          <w:color w:val="auto"/>
          <w:sz w:val="36"/>
          <w:szCs w:val="36"/>
        </w:rPr>
      </w:pPr>
    </w:p>
    <w:p w14:paraId="0B9B659E">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59C5D96">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992CF3A">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4F4A9AC6">
      <w:pPr>
        <w:jc w:val="center"/>
        <w:rPr>
          <w:rFonts w:hint="default" w:ascii="Times New Roman" w:hAnsi="Times New Roman" w:eastAsia="仿宋" w:cs="Times New Roman"/>
          <w:color w:val="auto"/>
          <w:sz w:val="52"/>
          <w:szCs w:val="52"/>
        </w:rPr>
      </w:pPr>
    </w:p>
    <w:p w14:paraId="28857A79">
      <w:pPr>
        <w:ind w:firstLine="1040"/>
        <w:rPr>
          <w:rFonts w:hint="default" w:ascii="Times New Roman" w:hAnsi="Times New Roman" w:eastAsia="仿宋" w:cs="Times New Roman"/>
          <w:color w:val="auto"/>
          <w:sz w:val="44"/>
          <w:szCs w:val="44"/>
        </w:rPr>
      </w:pPr>
    </w:p>
    <w:p w14:paraId="7742BF4F">
      <w:pPr>
        <w:ind w:firstLine="1040"/>
        <w:rPr>
          <w:rFonts w:hint="default" w:ascii="Times New Roman" w:hAnsi="Times New Roman" w:eastAsia="仿宋" w:cs="Times New Roman"/>
          <w:color w:val="auto"/>
          <w:sz w:val="44"/>
          <w:szCs w:val="44"/>
        </w:rPr>
      </w:pPr>
    </w:p>
    <w:p w14:paraId="16F73A1A">
      <w:pPr>
        <w:ind w:firstLine="1040"/>
        <w:rPr>
          <w:rFonts w:hint="default" w:ascii="Times New Roman" w:hAnsi="Times New Roman" w:eastAsia="仿宋" w:cs="Times New Roman"/>
          <w:color w:val="auto"/>
          <w:sz w:val="44"/>
          <w:szCs w:val="44"/>
        </w:rPr>
      </w:pPr>
    </w:p>
    <w:p w14:paraId="74A5A7F2">
      <w:pPr>
        <w:pStyle w:val="2"/>
        <w:rPr>
          <w:rFonts w:hint="default" w:ascii="Times New Roman" w:hAnsi="Times New Roman" w:eastAsia="仿宋" w:cs="Times New Roman"/>
          <w:color w:val="auto"/>
          <w:sz w:val="44"/>
          <w:szCs w:val="44"/>
        </w:rPr>
      </w:pPr>
    </w:p>
    <w:p w14:paraId="426F8B66">
      <w:pPr>
        <w:rPr>
          <w:rFonts w:hint="default"/>
        </w:rPr>
      </w:pPr>
    </w:p>
    <w:p w14:paraId="25EE3CB0">
      <w:pPr>
        <w:ind w:firstLine="1040"/>
        <w:rPr>
          <w:rFonts w:hint="default" w:ascii="Times New Roman" w:hAnsi="Times New Roman" w:eastAsia="仿宋" w:cs="Times New Roman"/>
          <w:color w:val="auto"/>
          <w:sz w:val="44"/>
          <w:szCs w:val="44"/>
        </w:rPr>
      </w:pPr>
    </w:p>
    <w:p w14:paraId="5980DAAC">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项目名称：</w:t>
      </w:r>
      <w:r>
        <w:rPr>
          <w:rFonts w:hint="eastAsia" w:eastAsia="仿宋_GB2312" w:cs="Times New Roman"/>
          <w:color w:val="auto"/>
          <w:sz w:val="32"/>
          <w:szCs w:val="32"/>
          <w:u w:val="single"/>
          <w:lang w:val="en-US" w:eastAsia="zh-CN"/>
        </w:rPr>
        <w:t>宝鸡大成广宇商贸有限责任公司扩建项目</w:t>
      </w:r>
      <w:r>
        <w:rPr>
          <w:rFonts w:hint="eastAsia" w:ascii="Times New Roman" w:hAnsi="Times New Roman" w:eastAsia="仿宋_GB2312" w:cs="Times New Roman"/>
          <w:color w:val="auto"/>
          <w:sz w:val="32"/>
          <w:szCs w:val="32"/>
          <w:u w:val="single"/>
          <w:lang w:val="en-US" w:eastAsia="zh-CN"/>
        </w:rPr>
        <w:t xml:space="preserve"> </w:t>
      </w:r>
    </w:p>
    <w:p w14:paraId="68DFCFB6">
      <w:pPr>
        <w:adjustRightInd w:val="0"/>
        <w:snapToGrid w:val="0"/>
        <w:spacing w:line="360" w:lineRule="auto"/>
        <w:ind w:firstLine="640" w:firstLineChars="200"/>
        <w:jc w:val="left"/>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建设单位：</w:t>
      </w:r>
      <w:r>
        <w:rPr>
          <w:rFonts w:hint="eastAsia" w:eastAsia="仿宋_GB2312" w:cs="Times New Roman"/>
          <w:color w:val="auto"/>
          <w:sz w:val="32"/>
          <w:szCs w:val="32"/>
          <w:u w:val="single"/>
          <w:lang w:val="en-US" w:eastAsia="zh-CN"/>
        </w:rPr>
        <w:t xml:space="preserve">    宝鸡大成广宇商贸有限责任公司</w:t>
      </w:r>
      <w:r>
        <w:rPr>
          <w:rFonts w:hint="default" w:ascii="Times New Roman" w:hAnsi="Times New Roman" w:eastAsia="仿宋_GB2312" w:cs="Times New Roman"/>
          <w:color w:val="auto"/>
          <w:sz w:val="32"/>
          <w:szCs w:val="32"/>
          <w:u w:val="single"/>
        </w:rPr>
        <w:t xml:space="preserve">     </w:t>
      </w:r>
    </w:p>
    <w:p w14:paraId="056C7CA7">
      <w:pPr>
        <w:adjustRightInd w:val="0"/>
        <w:snapToGrid w:val="0"/>
        <w:spacing w:line="360" w:lineRule="auto"/>
        <w:ind w:firstLine="640" w:firstLineChars="200"/>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rPr>
        <w:t xml:space="preserve">       </w:t>
      </w:r>
      <w:r>
        <w:rPr>
          <w:rFonts w:hint="eastAsia"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202</w:t>
      </w:r>
      <w:r>
        <w:rPr>
          <w:rFonts w:hint="eastAsia" w:eastAsia="仿宋_GB2312" w:cs="Times New Roman"/>
          <w:color w:val="auto"/>
          <w:sz w:val="32"/>
          <w:szCs w:val="32"/>
          <w:u w:val="single"/>
          <w:lang w:val="en-US" w:eastAsia="zh-CN"/>
        </w:rPr>
        <w:t>6</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3</w:t>
      </w:r>
      <w:r>
        <w:rPr>
          <w:rFonts w:hint="default" w:ascii="Times New Roman" w:hAnsi="Times New Roman" w:eastAsia="仿宋_GB2312" w:cs="Times New Roman"/>
          <w:color w:val="auto"/>
          <w:sz w:val="32"/>
          <w:szCs w:val="32"/>
          <w:u w:val="single"/>
        </w:rPr>
        <w:t xml:space="preserve">月             </w:t>
      </w:r>
    </w:p>
    <w:p w14:paraId="6ADF926E">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14:paraId="5BD6ADF8">
      <w:pPr>
        <w:adjustRightInd w:val="0"/>
        <w:snapToGrid w:val="0"/>
        <w:spacing w:line="288" w:lineRule="auto"/>
        <w:ind w:firstLine="1040"/>
        <w:rPr>
          <w:rFonts w:hint="default" w:ascii="Times New Roman" w:hAnsi="Times New Roman" w:eastAsia="仿宋_GB2312" w:cs="Times New Roman"/>
          <w:color w:val="auto"/>
          <w:sz w:val="36"/>
          <w:szCs w:val="36"/>
        </w:rPr>
      </w:pPr>
    </w:p>
    <w:p w14:paraId="21605B22">
      <w:pPr>
        <w:pStyle w:val="2"/>
        <w:rPr>
          <w:rFonts w:hint="default" w:ascii="Times New Roman" w:hAnsi="Times New Roman" w:eastAsia="仿宋_GB2312" w:cs="Times New Roman"/>
          <w:color w:val="auto"/>
          <w:sz w:val="36"/>
          <w:szCs w:val="36"/>
        </w:rPr>
      </w:pPr>
    </w:p>
    <w:bookmarkEnd w:id="0"/>
    <w:p w14:paraId="6C919C9D">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2FD244C6">
      <w:pPr>
        <w:adjustRightInd w:val="0"/>
        <w:snapToGrid w:val="0"/>
        <w:spacing w:line="288" w:lineRule="auto"/>
        <w:ind w:firstLine="1040"/>
        <w:jc w:val="center"/>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4482D7D0">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1"/>
        <w:tblW w:w="90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06"/>
        <w:gridCol w:w="3013"/>
        <w:gridCol w:w="2212"/>
        <w:gridCol w:w="2789"/>
      </w:tblGrid>
      <w:tr w14:paraId="43B66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13FC46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8014" w:type="dxa"/>
            <w:gridSpan w:val="3"/>
            <w:noWrap w:val="0"/>
            <w:vAlign w:val="center"/>
          </w:tcPr>
          <w:p w14:paraId="1757E10F">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宝鸡大成广宇商贸有限责任公司扩建项目</w:t>
            </w:r>
          </w:p>
        </w:tc>
      </w:tr>
      <w:tr w14:paraId="2D4585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A77C8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8014" w:type="dxa"/>
            <w:gridSpan w:val="3"/>
            <w:noWrap w:val="0"/>
            <w:vAlign w:val="center"/>
          </w:tcPr>
          <w:p w14:paraId="75E0A22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r>
      <w:tr w14:paraId="1D89C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6" w:type="dxa"/>
            <w:noWrap w:val="0"/>
            <w:tcMar>
              <w:top w:w="16" w:type="dxa"/>
              <w:left w:w="16" w:type="dxa"/>
              <w:right w:w="16" w:type="dxa"/>
            </w:tcMar>
            <w:vAlign w:val="center"/>
          </w:tcPr>
          <w:p w14:paraId="02C6DC2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3013" w:type="dxa"/>
            <w:noWrap w:val="0"/>
            <w:vAlign w:val="center"/>
          </w:tcPr>
          <w:p w14:paraId="02F6A7B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212" w:type="dxa"/>
            <w:noWrap w:val="0"/>
            <w:vAlign w:val="center"/>
          </w:tcPr>
          <w:p w14:paraId="1BB569D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789" w:type="dxa"/>
            <w:noWrap w:val="0"/>
            <w:vAlign w:val="center"/>
          </w:tcPr>
          <w:p w14:paraId="1F0BD1B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3221D1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46DA53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8014" w:type="dxa"/>
            <w:gridSpan w:val="3"/>
            <w:noWrap w:val="0"/>
            <w:vAlign w:val="center"/>
          </w:tcPr>
          <w:p w14:paraId="4D15AF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u w:val="single"/>
              </w:rPr>
              <w:t>陕西</w:t>
            </w:r>
            <w:r>
              <w:rPr>
                <w:rFonts w:hint="default" w:ascii="Times New Roman" w:hAnsi="Times New Roman" w:cs="Times New Roman"/>
                <w:color w:val="auto"/>
                <w:szCs w:val="21"/>
              </w:rPr>
              <w:t>省</w:t>
            </w:r>
            <w:r>
              <w:rPr>
                <w:rFonts w:hint="default" w:ascii="Times New Roman" w:hAnsi="Times New Roman" w:cs="Times New Roman"/>
                <w:color w:val="auto"/>
                <w:szCs w:val="21"/>
                <w:u w:val="single"/>
              </w:rPr>
              <w:t>宝鸡</w:t>
            </w:r>
            <w:r>
              <w:rPr>
                <w:rFonts w:hint="default" w:ascii="Times New Roman" w:hAnsi="Times New Roman" w:cs="Times New Roman"/>
                <w:color w:val="auto"/>
                <w:szCs w:val="21"/>
              </w:rPr>
              <w:t>市</w:t>
            </w:r>
            <w:r>
              <w:rPr>
                <w:rFonts w:hint="default" w:ascii="Times New Roman" w:hAnsi="Times New Roman" w:cs="Times New Roman"/>
                <w:color w:val="auto"/>
                <w:szCs w:val="21"/>
                <w:u w:val="single"/>
                <w:lang w:eastAsia="zh-CN"/>
              </w:rPr>
              <w:t>陈仓</w:t>
            </w:r>
            <w:r>
              <w:rPr>
                <w:rFonts w:hint="default" w:ascii="Times New Roman" w:hAnsi="Times New Roman" w:cs="Times New Roman"/>
                <w:color w:val="auto"/>
                <w:szCs w:val="21"/>
              </w:rPr>
              <w:t>区</w:t>
            </w:r>
            <w:r>
              <w:rPr>
                <w:rFonts w:hint="eastAsia" w:cs="Times New Roman"/>
                <w:i w:val="0"/>
                <w:iCs w:val="0"/>
                <w:color w:val="auto"/>
                <w:szCs w:val="21"/>
                <w:u w:val="single"/>
                <w:lang w:val="en-US" w:eastAsia="zh-CN"/>
              </w:rPr>
              <w:t>千河镇</w:t>
            </w:r>
            <w:r>
              <w:rPr>
                <w:rFonts w:hint="eastAsia" w:cs="Times New Roman"/>
                <w:color w:val="auto"/>
                <w:szCs w:val="21"/>
                <w:u w:val="single"/>
                <w:lang w:val="en-US" w:eastAsia="zh-CN"/>
              </w:rPr>
              <w:t>张家崖村</w:t>
            </w:r>
            <w:r>
              <w:rPr>
                <w:rFonts w:hint="default" w:ascii="Times New Roman" w:hAnsi="Times New Roman" w:cs="Times New Roman"/>
                <w:color w:val="auto"/>
                <w:szCs w:val="21"/>
                <w:u w:val="single"/>
              </w:rPr>
              <w:t xml:space="preserve"> </w:t>
            </w:r>
          </w:p>
        </w:tc>
      </w:tr>
      <w:tr w14:paraId="38E9F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446E927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8014" w:type="dxa"/>
            <w:gridSpan w:val="3"/>
            <w:noWrap w:val="0"/>
            <w:vAlign w:val="center"/>
          </w:tcPr>
          <w:p w14:paraId="487CFD72">
            <w:pPr>
              <w:keepNext w:val="0"/>
              <w:keepLines w:val="0"/>
              <w:pageBreakBefore w:val="0"/>
              <w:widowControl w:val="0"/>
              <w:kinsoku/>
              <w:wordWrap/>
              <w:overflowPunct/>
              <w:topLinePunct w:val="0"/>
              <w:bidi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107</w:t>
            </w:r>
            <w:r>
              <w:rPr>
                <w:rFonts w:hint="default" w:ascii="Times New Roman" w:hAnsi="Times New Roman" w:cs="Times New Roman"/>
                <w:color w:val="auto"/>
                <w:szCs w:val="21"/>
              </w:rPr>
              <w:t>度</w:t>
            </w:r>
            <w:r>
              <w:rPr>
                <w:rFonts w:hint="eastAsia" w:cs="Times New Roman"/>
                <w:color w:val="auto"/>
                <w:szCs w:val="21"/>
                <w:u w:val="single"/>
                <w:lang w:val="en-US" w:eastAsia="zh-CN"/>
              </w:rPr>
              <w:t>17</w:t>
            </w:r>
            <w:r>
              <w:rPr>
                <w:rFonts w:hint="default" w:ascii="Times New Roman" w:hAnsi="Times New Roman" w:cs="Times New Roman"/>
                <w:color w:val="auto"/>
                <w:szCs w:val="21"/>
              </w:rPr>
              <w:t>分</w:t>
            </w:r>
            <w:r>
              <w:rPr>
                <w:rFonts w:hint="eastAsia" w:cs="Times New Roman"/>
                <w:color w:val="auto"/>
                <w:szCs w:val="21"/>
                <w:u w:val="single"/>
                <w:lang w:val="en-US" w:eastAsia="zh-CN"/>
              </w:rPr>
              <w:t>32.852</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34</w:t>
            </w:r>
            <w:r>
              <w:rPr>
                <w:rFonts w:hint="default" w:ascii="Times New Roman" w:hAnsi="Times New Roman" w:cs="Times New Roman"/>
                <w:color w:val="auto"/>
                <w:szCs w:val="21"/>
              </w:rPr>
              <w:t>度</w:t>
            </w:r>
            <w:r>
              <w:rPr>
                <w:rFonts w:hint="eastAsia" w:cs="Times New Roman"/>
                <w:color w:val="auto"/>
                <w:szCs w:val="21"/>
                <w:u w:val="single"/>
                <w:lang w:val="en-US" w:eastAsia="zh-CN"/>
              </w:rPr>
              <w:t>24</w:t>
            </w:r>
            <w:r>
              <w:rPr>
                <w:rFonts w:hint="default" w:ascii="Times New Roman" w:hAnsi="Times New Roman" w:cs="Times New Roman"/>
                <w:color w:val="auto"/>
                <w:szCs w:val="21"/>
              </w:rPr>
              <w:t>分</w:t>
            </w:r>
            <w:r>
              <w:rPr>
                <w:rFonts w:hint="eastAsia" w:cs="Times New Roman"/>
                <w:color w:val="auto"/>
                <w:szCs w:val="21"/>
                <w:u w:val="single"/>
                <w:lang w:val="en-US" w:eastAsia="zh-CN"/>
              </w:rPr>
              <w:t>8.110</w:t>
            </w:r>
            <w:r>
              <w:rPr>
                <w:rFonts w:hint="default" w:ascii="Times New Roman" w:hAnsi="Times New Roman" w:cs="Times New Roman"/>
                <w:color w:val="auto"/>
                <w:szCs w:val="21"/>
              </w:rPr>
              <w:t>秒）</w:t>
            </w:r>
          </w:p>
        </w:tc>
      </w:tr>
      <w:tr w14:paraId="0AC25A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6" w:type="dxa"/>
            <w:noWrap w:val="0"/>
            <w:tcMar>
              <w:top w:w="16" w:type="dxa"/>
              <w:left w:w="16" w:type="dxa"/>
              <w:right w:w="16" w:type="dxa"/>
            </w:tcMar>
            <w:vAlign w:val="center"/>
          </w:tcPr>
          <w:p w14:paraId="024CF86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53951933">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3013" w:type="dxa"/>
            <w:noWrap w:val="0"/>
            <w:vAlign w:val="center"/>
          </w:tcPr>
          <w:p w14:paraId="4C2FA70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C</w:t>
            </w:r>
            <w:r>
              <w:rPr>
                <w:rFonts w:hint="eastAsia" w:cs="Times New Roman"/>
                <w:color w:val="auto"/>
                <w:szCs w:val="21"/>
                <w:lang w:val="en-US" w:eastAsia="zh-CN"/>
              </w:rPr>
              <w:t>5320</w:t>
            </w:r>
            <w:r>
              <w:rPr>
                <w:rFonts w:hint="default" w:ascii="Times New Roman" w:hAnsi="Times New Roman" w:cs="Times New Roman"/>
                <w:color w:val="auto"/>
                <w:szCs w:val="21"/>
              </w:rPr>
              <w:t xml:space="preserve"> </w:t>
            </w:r>
            <w:r>
              <w:rPr>
                <w:rFonts w:hint="eastAsia" w:cs="Times New Roman"/>
                <w:color w:val="auto"/>
                <w:szCs w:val="21"/>
                <w:lang w:val="en-US" w:eastAsia="zh-CN"/>
              </w:rPr>
              <w:t>铁路货物运输</w:t>
            </w:r>
          </w:p>
        </w:tc>
        <w:tc>
          <w:tcPr>
            <w:tcW w:w="2212" w:type="dxa"/>
            <w:noWrap w:val="0"/>
            <w:vAlign w:val="center"/>
          </w:tcPr>
          <w:p w14:paraId="6A85D74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14:paraId="11C2CA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2789" w:type="dxa"/>
            <w:noWrap w:val="0"/>
            <w:vAlign w:val="center"/>
          </w:tcPr>
          <w:p w14:paraId="4B6ECBC4">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四、煤炭开采和洗选业06</w:t>
            </w:r>
          </w:p>
        </w:tc>
      </w:tr>
      <w:tr w14:paraId="16F9B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6" w:type="dxa"/>
            <w:noWrap w:val="0"/>
            <w:tcMar>
              <w:top w:w="16" w:type="dxa"/>
              <w:left w:w="16" w:type="dxa"/>
              <w:right w:w="16" w:type="dxa"/>
            </w:tcMar>
            <w:vAlign w:val="center"/>
          </w:tcPr>
          <w:p w14:paraId="483004E7">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3013" w:type="dxa"/>
            <w:noWrap w:val="0"/>
            <w:vAlign w:val="center"/>
          </w:tcPr>
          <w:p w14:paraId="5C038003">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新建（迁建）</w:t>
            </w:r>
          </w:p>
          <w:p w14:paraId="6BE76E7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14:paraId="77B58A2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扩建</w:t>
            </w:r>
          </w:p>
          <w:p w14:paraId="4CE067FF">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技术改造</w:t>
            </w:r>
          </w:p>
        </w:tc>
        <w:tc>
          <w:tcPr>
            <w:tcW w:w="2212" w:type="dxa"/>
            <w:noWrap w:val="0"/>
            <w:vAlign w:val="center"/>
          </w:tcPr>
          <w:p w14:paraId="55B236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12277A00">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789" w:type="dxa"/>
            <w:noWrap w:val="0"/>
            <w:vAlign w:val="center"/>
          </w:tcPr>
          <w:p w14:paraId="78EFFE98">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14:paraId="19C0DEE6">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不予批准后再次申报项目</w:t>
            </w:r>
          </w:p>
          <w:p w14:paraId="152C41D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 xml:space="preserve">超五年重新审核项目     </w:t>
            </w:r>
          </w:p>
          <w:p w14:paraId="2ABC07EC">
            <w:pPr>
              <w:keepNext w:val="0"/>
              <w:keepLines w:val="0"/>
              <w:pageBreakBefore w:val="0"/>
              <w:widowControl w:val="0"/>
              <w:kinsoku/>
              <w:wordWrap/>
              <w:overflowPunct/>
              <w:topLinePunct w:val="0"/>
              <w:bidi w:val="0"/>
              <w:jc w:val="left"/>
              <w:textAlignment w:val="auto"/>
              <w:rPr>
                <w:rFonts w:hint="default" w:ascii="Times New Roman" w:hAnsi="Times New Roman" w:cs="Times New Roman"/>
                <w:color w:val="auto"/>
                <w:szCs w:val="21"/>
              </w:rPr>
            </w:pPr>
            <w:r>
              <w:rPr>
                <w:rFonts w:hint="eastAsia" w:cs="Times New Roman"/>
                <w:color w:val="auto"/>
                <w:szCs w:val="21"/>
                <w:lang w:eastAsia="zh-CN"/>
              </w:rPr>
              <w:t>□</w:t>
            </w:r>
            <w:r>
              <w:rPr>
                <w:rFonts w:hint="default" w:ascii="Times New Roman" w:hAnsi="Times New Roman" w:cs="Times New Roman"/>
                <w:color w:val="auto"/>
                <w:szCs w:val="21"/>
              </w:rPr>
              <w:t>重大变动重新报批项目</w:t>
            </w:r>
          </w:p>
        </w:tc>
      </w:tr>
      <w:tr w14:paraId="55100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6" w:type="dxa"/>
            <w:noWrap w:val="0"/>
            <w:tcMar>
              <w:top w:w="16" w:type="dxa"/>
              <w:left w:w="16" w:type="dxa"/>
              <w:right w:w="16" w:type="dxa"/>
            </w:tcMar>
            <w:vAlign w:val="center"/>
          </w:tcPr>
          <w:p w14:paraId="5FB17D2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项目备案部门</w:t>
            </w:r>
          </w:p>
        </w:tc>
        <w:tc>
          <w:tcPr>
            <w:tcW w:w="3013" w:type="dxa"/>
            <w:noWrap w:val="0"/>
            <w:vAlign w:val="center"/>
          </w:tcPr>
          <w:p w14:paraId="5724752E">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宝鸡市陈仓区发展和改革局</w:t>
            </w:r>
          </w:p>
        </w:tc>
        <w:tc>
          <w:tcPr>
            <w:tcW w:w="2212" w:type="dxa"/>
            <w:noWrap w:val="0"/>
            <w:vAlign w:val="center"/>
          </w:tcPr>
          <w:p w14:paraId="5D637D25">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项目审批（核准/备案）文号（选填）</w:t>
            </w:r>
          </w:p>
        </w:tc>
        <w:tc>
          <w:tcPr>
            <w:tcW w:w="2789" w:type="dxa"/>
            <w:noWrap w:val="0"/>
            <w:vAlign w:val="center"/>
          </w:tcPr>
          <w:p w14:paraId="208160EA">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r>
      <w:tr w14:paraId="2F84B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4976C222">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总投资</w:t>
            </w:r>
          </w:p>
          <w:p w14:paraId="5F0BBCB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（万元）</w:t>
            </w:r>
          </w:p>
        </w:tc>
        <w:tc>
          <w:tcPr>
            <w:tcW w:w="3013" w:type="dxa"/>
            <w:noWrap w:val="0"/>
            <w:vAlign w:val="center"/>
          </w:tcPr>
          <w:p w14:paraId="34CD1F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1800</w:t>
            </w:r>
          </w:p>
        </w:tc>
        <w:tc>
          <w:tcPr>
            <w:tcW w:w="2212" w:type="dxa"/>
            <w:noWrap w:val="0"/>
            <w:tcMar>
              <w:top w:w="16" w:type="dxa"/>
              <w:left w:w="16" w:type="dxa"/>
              <w:right w:w="16" w:type="dxa"/>
            </w:tcMar>
            <w:vAlign w:val="center"/>
          </w:tcPr>
          <w:p w14:paraId="2596778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789" w:type="dxa"/>
            <w:noWrap w:val="0"/>
            <w:vAlign w:val="center"/>
          </w:tcPr>
          <w:p w14:paraId="00BE1F84">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130</w:t>
            </w:r>
          </w:p>
        </w:tc>
      </w:tr>
      <w:tr w14:paraId="1C44E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6" w:type="dxa"/>
            <w:noWrap w:val="0"/>
            <w:tcMar>
              <w:top w:w="16" w:type="dxa"/>
              <w:left w:w="16" w:type="dxa"/>
              <w:right w:w="16" w:type="dxa"/>
            </w:tcMar>
            <w:vAlign w:val="center"/>
          </w:tcPr>
          <w:p w14:paraId="6229E31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3013" w:type="dxa"/>
            <w:noWrap w:val="0"/>
            <w:vAlign w:val="center"/>
          </w:tcPr>
          <w:p w14:paraId="39DD7BE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w:t>
            </w:r>
          </w:p>
        </w:tc>
        <w:tc>
          <w:tcPr>
            <w:tcW w:w="2212" w:type="dxa"/>
            <w:noWrap w:val="0"/>
            <w:tcMar>
              <w:top w:w="16" w:type="dxa"/>
              <w:left w:w="16" w:type="dxa"/>
              <w:right w:w="16" w:type="dxa"/>
            </w:tcMar>
            <w:vAlign w:val="center"/>
          </w:tcPr>
          <w:p w14:paraId="3ED5B59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789" w:type="dxa"/>
            <w:noWrap w:val="0"/>
            <w:vAlign w:val="center"/>
          </w:tcPr>
          <w:p w14:paraId="629AD46B">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5</w:t>
            </w:r>
            <w:r>
              <w:rPr>
                <w:rFonts w:hint="default" w:ascii="Times New Roman" w:hAnsi="Times New Roman" w:cs="Times New Roman"/>
                <w:color w:val="auto"/>
                <w:szCs w:val="21"/>
              </w:rPr>
              <w:t>个月</w:t>
            </w:r>
          </w:p>
        </w:tc>
      </w:tr>
      <w:tr w14:paraId="254BA4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noWrap w:val="0"/>
            <w:tcMar>
              <w:top w:w="16" w:type="dxa"/>
              <w:left w:w="16" w:type="dxa"/>
              <w:right w:w="16" w:type="dxa"/>
            </w:tcMar>
            <w:vAlign w:val="center"/>
          </w:tcPr>
          <w:p w14:paraId="3274FDF9">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3013" w:type="dxa"/>
            <w:noWrap w:val="0"/>
            <w:vAlign w:val="center"/>
          </w:tcPr>
          <w:p w14:paraId="037869A8">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14:paraId="1CFD8825">
            <w:pPr>
              <w:keepNext w:val="0"/>
              <w:keepLines w:val="0"/>
              <w:pageBreakBefore w:val="0"/>
              <w:widowControl w:val="0"/>
              <w:kinsoku/>
              <w:wordWrap/>
              <w:overflowPunct/>
              <w:topLinePunct w:val="0"/>
              <w:bidi w:val="0"/>
              <w:adjustRightInd w:val="0"/>
              <w:snapToGrid w:val="0"/>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212" w:type="dxa"/>
            <w:noWrap w:val="0"/>
            <w:tcMar>
              <w:top w:w="16" w:type="dxa"/>
              <w:left w:w="16" w:type="dxa"/>
              <w:right w:w="16" w:type="dxa"/>
            </w:tcMar>
            <w:vAlign w:val="center"/>
          </w:tcPr>
          <w:p w14:paraId="0AEADCB1">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165DB1A6">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w:t>
            </w:r>
          </w:p>
        </w:tc>
        <w:tc>
          <w:tcPr>
            <w:tcW w:w="2789" w:type="dxa"/>
            <w:noWrap w:val="0"/>
            <w:vAlign w:val="center"/>
          </w:tcPr>
          <w:p w14:paraId="384CA3AD">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22666.7</w:t>
            </w:r>
          </w:p>
        </w:tc>
      </w:tr>
      <w:tr w14:paraId="35C8DF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7BEF460A">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8014" w:type="dxa"/>
            <w:gridSpan w:val="3"/>
            <w:noWrap w:val="0"/>
            <w:vAlign w:val="center"/>
          </w:tcPr>
          <w:p w14:paraId="4A424216">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18505C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73C8B5DC">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w:t>
            </w:r>
          </w:p>
          <w:p w14:paraId="390BD14F">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情况</w:t>
            </w:r>
          </w:p>
        </w:tc>
        <w:tc>
          <w:tcPr>
            <w:tcW w:w="8014" w:type="dxa"/>
            <w:gridSpan w:val="3"/>
            <w:noWrap w:val="0"/>
            <w:vAlign w:val="center"/>
          </w:tcPr>
          <w:p w14:paraId="3F181E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kern w:val="0"/>
                <w:szCs w:val="21"/>
                <w:lang w:val="en-US" w:eastAsia="zh-CN"/>
              </w:rPr>
            </w:pPr>
            <w:r>
              <w:rPr>
                <w:rFonts w:hint="default" w:ascii="Times New Roman" w:hAnsi="Times New Roman" w:cs="Times New Roman"/>
                <w:color w:val="auto"/>
                <w:kern w:val="0"/>
                <w:szCs w:val="21"/>
              </w:rPr>
              <w:t>无</w:t>
            </w:r>
          </w:p>
        </w:tc>
      </w:tr>
      <w:tr w14:paraId="2FE83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141170B8">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4E05483C">
            <w:pPr>
              <w:keepNext w:val="0"/>
              <w:keepLines w:val="0"/>
              <w:pageBreakBefore w:val="0"/>
              <w:widowControl w:val="0"/>
              <w:kinsoku/>
              <w:wordWrap/>
              <w:overflowPunct/>
              <w:topLinePunct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8014" w:type="dxa"/>
            <w:gridSpan w:val="3"/>
            <w:noWrap w:val="0"/>
            <w:vAlign w:val="center"/>
          </w:tcPr>
          <w:p w14:paraId="3B2B0058">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无</w:t>
            </w:r>
          </w:p>
        </w:tc>
      </w:tr>
      <w:tr w14:paraId="7CAA88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noWrap w:val="0"/>
            <w:vAlign w:val="center"/>
          </w:tcPr>
          <w:p w14:paraId="4C897F05">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w:t>
            </w:r>
          </w:p>
          <w:p w14:paraId="62A2506E">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影响评价符合性分析</w:t>
            </w:r>
          </w:p>
        </w:tc>
        <w:tc>
          <w:tcPr>
            <w:tcW w:w="8014" w:type="dxa"/>
            <w:gridSpan w:val="3"/>
            <w:noWrap w:val="0"/>
            <w:vAlign w:val="center"/>
          </w:tcPr>
          <w:p w14:paraId="7BC743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color w:val="auto"/>
                <w:lang w:eastAsia="zh-CN"/>
              </w:rPr>
            </w:pPr>
            <w:r>
              <w:rPr>
                <w:rFonts w:hint="default" w:ascii="Times New Roman" w:hAnsi="Times New Roman" w:cs="Times New Roman"/>
                <w:color w:val="auto"/>
                <w:kern w:val="0"/>
                <w:szCs w:val="21"/>
              </w:rPr>
              <w:t>无</w:t>
            </w:r>
          </w:p>
        </w:tc>
      </w:tr>
      <w:tr w14:paraId="623798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6" w:type="dxa"/>
            <w:noWrap w:val="0"/>
            <w:vAlign w:val="center"/>
          </w:tcPr>
          <w:p w14:paraId="358E55AB">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8014" w:type="dxa"/>
            <w:gridSpan w:val="3"/>
            <w:noWrap w:val="0"/>
            <w:vAlign w:val="center"/>
          </w:tcPr>
          <w:p w14:paraId="60E85A3A">
            <w:pPr>
              <w:spacing w:line="360" w:lineRule="auto"/>
              <w:ind w:firstLine="482" w:firstLineChars="200"/>
              <w:rPr>
                <w:rFonts w:hint="default" w:ascii="Times New Roman" w:hAnsi="Times New Roman" w:cs="Times New Roman"/>
                <w:bCs/>
                <w:color w:val="auto"/>
                <w:sz w:val="24"/>
                <w:szCs w:val="24"/>
              </w:rPr>
            </w:pPr>
            <w:r>
              <w:rPr>
                <w:rFonts w:hint="default" w:ascii="Times New Roman" w:hAnsi="Times New Roman" w:cs="Times New Roman"/>
                <w:b/>
                <w:bCs w:val="0"/>
                <w:color w:val="auto"/>
                <w:sz w:val="24"/>
                <w:szCs w:val="24"/>
              </w:rPr>
              <w:t>1.项目与</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三线一单</w:t>
            </w:r>
            <w:r>
              <w:rPr>
                <w:rFonts w:hint="default" w:ascii="Times New Roman" w:hAnsi="Times New Roman" w:cs="Times New Roman"/>
                <w:b/>
                <w:bCs w:val="0"/>
                <w:color w:val="auto"/>
                <w:sz w:val="24"/>
                <w:szCs w:val="24"/>
                <w:lang w:eastAsia="zh-CN"/>
              </w:rPr>
              <w:t>”</w:t>
            </w:r>
            <w:r>
              <w:rPr>
                <w:rFonts w:hint="default" w:ascii="Times New Roman" w:hAnsi="Times New Roman" w:cs="Times New Roman"/>
                <w:b/>
                <w:bCs w:val="0"/>
                <w:color w:val="auto"/>
                <w:sz w:val="24"/>
                <w:szCs w:val="24"/>
              </w:rPr>
              <w:t>相符性分析</w:t>
            </w:r>
          </w:p>
          <w:p w14:paraId="055D31DA">
            <w:pPr>
              <w:autoSpaceDE w:val="0"/>
              <w:autoSpaceDN w:val="0"/>
              <w:adjustRightInd w:val="0"/>
              <w:snapToGrid w:val="0"/>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根据《陕西省“三线一单”生态环境分区管理应用技术指南》进行建设项目与“三线一单”生态环境分区管控符合性分析，采用“一图、一表、一说明”的形式表达（详见附件）。</w:t>
            </w:r>
          </w:p>
          <w:p w14:paraId="7E73A1CC">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aps w:val="0"/>
                <w:smallCaps w:val="0"/>
                <w:color w:val="auto"/>
                <w:spacing w:val="0"/>
                <w:w w:val="100"/>
                <w:sz w:val="24"/>
                <w:szCs w:val="24"/>
                <w:lang w:val="en-US" w:eastAsia="zh-CN"/>
              </w:rPr>
              <w:t>（1）</w:t>
            </w:r>
            <w:r>
              <w:rPr>
                <w:rFonts w:hint="default" w:ascii="Times New Roman" w:hAnsi="Times New Roman" w:cs="Times New Roman"/>
                <w:caps w:val="0"/>
                <w:smallCaps w:val="0"/>
                <w:color w:val="auto"/>
                <w:spacing w:val="0"/>
                <w:w w:val="100"/>
                <w:sz w:val="24"/>
                <w:szCs w:val="24"/>
                <w:lang w:val="en-US" w:eastAsia="zh-CN"/>
              </w:rPr>
              <w:t>“一图”</w:t>
            </w:r>
          </w:p>
          <w:p w14:paraId="01C174DE">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1"/>
                <w:szCs w:val="21"/>
                <w:lang w:val="en-US" w:eastAsia="zh-CN"/>
              </w:rPr>
            </w:pPr>
            <w:r>
              <w:rPr>
                <w:rFonts w:hint="default" w:ascii="Times New Roman" w:hAnsi="Times New Roman" w:cs="Times New Roman"/>
                <w:caps w:val="0"/>
                <w:smallCaps w:val="0"/>
                <w:color w:val="auto"/>
                <w:spacing w:val="0"/>
                <w:w w:val="100"/>
                <w:sz w:val="24"/>
                <w:szCs w:val="24"/>
                <w:lang w:val="en-US" w:eastAsia="zh-CN"/>
              </w:rPr>
              <w:t>根据陕西省“三线一单”数据应用管理平台，形成对照分析示意图，图中所示本项目位于重点管控单元，管控单元对照分析示意图见下图：</w:t>
            </w:r>
          </w:p>
          <w:p w14:paraId="0EAF5F51">
            <w:pPr>
              <w:autoSpaceDE w:val="0"/>
              <w:autoSpaceDN w:val="0"/>
              <w:adjustRightInd w:val="0"/>
              <w:snapToGrid w:val="0"/>
              <w:spacing w:line="360" w:lineRule="auto"/>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1312" behindDoc="0" locked="0" layoutInCell="1" allowOverlap="1">
                      <wp:simplePos x="0" y="0"/>
                      <wp:positionH relativeFrom="column">
                        <wp:posOffset>777875</wp:posOffset>
                      </wp:positionH>
                      <wp:positionV relativeFrom="paragraph">
                        <wp:posOffset>2980055</wp:posOffset>
                      </wp:positionV>
                      <wp:extent cx="799465" cy="304165"/>
                      <wp:effectExtent l="5080" t="4445" r="452755" b="15240"/>
                      <wp:wrapNone/>
                      <wp:docPr id="120" name="圆角矩形标注 120"/>
                      <wp:cNvGraphicFramePr/>
                      <a:graphic xmlns:a="http://schemas.openxmlformats.org/drawingml/2006/main">
                        <a:graphicData uri="http://schemas.microsoft.com/office/word/2010/wordprocessingShape">
                          <wps:wsp>
                            <wps:cNvSpPr/>
                            <wps:spPr>
                              <a:xfrm>
                                <a:off x="4975225" y="1579880"/>
                                <a:ext cx="799465" cy="304165"/>
                              </a:xfrm>
                              <a:prstGeom prst="wedgeRoundRectCallout">
                                <a:avLst>
                                  <a:gd name="adj1" fmla="val 105440"/>
                                  <a:gd name="adj2" fmla="val -43945"/>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61.25pt;margin-top:234.65pt;height:23.95pt;width:62.95pt;z-index:251661312;v-text-anchor:middle;mso-width-relative:page;mso-height-relative:page;" fillcolor="#FFFFFF [3212]" filled="t" stroked="t" coordsize="21600,21600" o:gfxdata="UEsDBAoAAAAAAIdO4kAAAAAAAAAAAAAAAAAEAAAAZHJzL1BLAwQUAAAACACHTuJA+3vupdsAAAAL&#10;AQAADwAAAGRycy9kb3ducmV2LnhtbE2PwU7DMBBE70j8g7VI3KgTk5YS4vSAVAmQQKJUVbk5sbEj&#10;4nWI3ab8PcsJjqN9mnlbrU6+Z0czxi6ghHyWATPYBt2hlbB9W18tgcWkUKs+oJHwbSKs6vOzSpU6&#10;TPhqjptkGZVgLJUEl9JQch5bZ7yKszAYpNtHGL1KFEfL9agmKvc9F1m24F51SAtODebemfZzc/A0&#10;YpsvfNTvzu1fnord2k0Pu2cr5eVFnt0BS+aU/mD41Sd1qMmpCQfUkfWUhZgTKqFY3F4DI0IUywJY&#10;I2Ge3wjgdcX//1D/AFBLAwQUAAAACACHTuJAzY1Y08kCAACKBQAADgAAAGRycy9lMm9Eb2MueG1s&#10;rVTNbhMxEL4j8Q6W7+3mZ5M0UTdVlCgIqaJVC+LseL0/yH/Y3mzKA8CdMxKIC3DmzOO08BiMvdt2&#10;W3rogRw2453Zb775ZjyHRzvB0ZYZWyqZ4P5+DyMmqUpLmSf41cv13gFG1hGZEq4kS/AFs/ho/vTJ&#10;Ya1nbKAKxVNmEIBIO6t1ggvn9CyKLC2YIHZfaSbBmSkjiIOjyaPUkBrQBY8Gvd44qpVJtVGUWQtv&#10;V40Tt4jmMYAqy0rKVopWgknXoBrGiYOSbFFqi+eBbZYx6k6yzDKHeIKhUheekATsjX9G80Myyw3R&#10;RUlbCuQxFO7VJEgpIekN1Io4gipT/gMlSmqUVZnbp0pETSFBEaii37unzXlBNAu1gNRW34hu/x8s&#10;fbE9NahMYRIGoIkkAlp++en9n28ff3/+cfnr69WXD1c/vyPvBa1qbWfwybk+Ne3JgukL32VG+H8o&#10;Ce0SHE8no8FghNEFII8m04ODVmu2c4hCwGQ6jcfgpxAw7MV9sAExugXSxrpnTAnkjQTXLM3Zmapk&#10;egZNXRLOVeWC5GR7bF3QPm35k/RNH6NMcGjllnDU743i+LrXnaBBN2gvHk7jQAK62AkadoP64/F4&#10;0hJt8wLla6qehFW8TNcl5+Fg8s2SGwQkErwOv/bjO2FcojrB4+EIOkAJ3KkMZhlMoaEvVuYYEZ7D&#10;ZaXOhIrvfGy7OXrh91AOz3FFbNFwCQhtGJegu29s00pvud1m1/Z3o9ILmBCjmqtjNV2XAHVMrDsl&#10;BgQGzrBN3Ak8Mq6gDtVaGBXKvHvovY+HEQYvRjXcPSjybUUMw4g/lzDc075vF3LhEI8mfjJN17Pp&#10;emQllgr0hZYDu2D6eMevzcwo8RqWzsJnBReRFHI3craHpWt2AqwtyhaLEAYXVBN3LM819eC+n1It&#10;Kqey0vlR9UI16rQHuKJhgtt14ndA9xyiblfo/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D7e+6l&#10;2wAAAAsBAAAPAAAAAAAAAAEAIAAAACIAAABkcnMvZG93bnJldi54bWxQSwECFAAUAAAACACHTuJA&#10;zY1Y08kCAACKBQAADgAAAAAAAAABACAAAAAqAQAAZHJzL2Uyb0RvYy54bWxQSwUGAAAAAAYABgBZ&#10;AQAAZQYAAAAA&#10;" adj="33575,1308,14400">
                      <v:fill on="t" focussize="0,0"/>
                      <v:stroke weight="0.5pt" color="#000000 [3213]" joinstyle="round"/>
                      <v:imagedata o:title=""/>
                      <o:lock v:ext="edit" aspectratio="f"/>
                      <v:textbo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drawing>
                <wp:inline distT="0" distB="0" distL="114300" distR="114300">
                  <wp:extent cx="4164330" cy="6553200"/>
                  <wp:effectExtent l="0" t="0" r="762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4164330" cy="6553200"/>
                          </a:xfrm>
                          <a:prstGeom prst="rect">
                            <a:avLst/>
                          </a:prstGeom>
                          <a:noFill/>
                          <a:ln>
                            <a:noFill/>
                          </a:ln>
                        </pic:spPr>
                      </pic:pic>
                    </a:graphicData>
                  </a:graphic>
                </wp:inline>
              </w:drawing>
            </w:r>
          </w:p>
          <w:p w14:paraId="476D44B1">
            <w:pPr>
              <w:pStyle w:val="177"/>
              <w:bidi w:val="0"/>
              <w:spacing w:line="36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图1-1  本项目与环境管控单元对照分析示意图</w:t>
            </w:r>
          </w:p>
          <w:p w14:paraId="4B397BE5">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“一表”</w:t>
            </w:r>
          </w:p>
          <w:p w14:paraId="35E7A75D">
            <w:pPr>
              <w:autoSpaceDE w:val="0"/>
              <w:autoSpaceDN w:val="0"/>
              <w:adjustRightInd w:val="0"/>
              <w:snapToGrid w:val="0"/>
              <w:spacing w:line="360" w:lineRule="auto"/>
              <w:ind w:firstLine="480" w:firstLineChars="200"/>
              <w:jc w:val="both"/>
              <w:rPr>
                <w:rFonts w:hint="default" w:ascii="Times New Roman" w:hAnsi="Times New Roman" w:cs="Times New Roman"/>
                <w:caps w:val="0"/>
                <w:smallCaps w:val="0"/>
                <w:color w:val="auto"/>
                <w:spacing w:val="0"/>
                <w:w w:val="100"/>
                <w:sz w:val="24"/>
                <w:szCs w:val="24"/>
                <w:lang w:val="en-US" w:eastAsia="zh-CN"/>
              </w:rPr>
            </w:pPr>
            <w:r>
              <w:rPr>
                <w:rFonts w:hint="default" w:ascii="Times New Roman" w:hAnsi="Times New Roman" w:eastAsia="宋体" w:cs="Times New Roman"/>
                <w:caps w:val="0"/>
                <w:smallCaps w:val="0"/>
                <w:color w:val="auto"/>
                <w:spacing w:val="0"/>
                <w:w w:val="100"/>
                <w:sz w:val="24"/>
                <w:szCs w:val="24"/>
                <w:lang w:val="en-US" w:eastAsia="zh-CN"/>
              </w:rPr>
              <w:t>经查阅陕西省</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三线一单</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数据应用系统（V1.0），</w:t>
            </w:r>
            <w:r>
              <w:rPr>
                <w:rFonts w:hint="default" w:ascii="Times New Roman" w:hAnsi="Times New Roman" w:cs="Times New Roman"/>
                <w:caps w:val="0"/>
                <w:smallCaps w:val="0"/>
                <w:color w:val="auto"/>
                <w:spacing w:val="0"/>
                <w:w w:val="100"/>
                <w:sz w:val="24"/>
                <w:szCs w:val="24"/>
                <w:lang w:eastAsia="zh-CN"/>
              </w:rPr>
              <w:t>本项目不涉及优先保护单元</w:t>
            </w:r>
            <w:r>
              <w:rPr>
                <w:rFonts w:hint="default" w:ascii="Times New Roman" w:hAnsi="Times New Roman" w:cs="Times New Roman"/>
                <w:caps w:val="0"/>
                <w:smallCaps w:val="0"/>
                <w:color w:val="auto"/>
                <w:spacing w:val="0"/>
                <w:w w:val="100"/>
                <w:sz w:val="24"/>
                <w:szCs w:val="24"/>
                <w:lang w:val="en-US" w:eastAsia="zh-CN"/>
              </w:rPr>
              <w:t>，不涉及一般管控单元</w:t>
            </w:r>
            <w:r>
              <w:rPr>
                <w:rFonts w:hint="default" w:ascii="Times New Roman" w:hAnsi="Times New Roman" w:cs="Times New Roman"/>
                <w:caps w:val="0"/>
                <w:smallCaps w:val="0"/>
                <w:color w:val="auto"/>
                <w:spacing w:val="0"/>
                <w:w w:val="100"/>
                <w:sz w:val="24"/>
                <w:szCs w:val="24"/>
                <w:lang w:eastAsia="zh-CN"/>
              </w:rPr>
              <w:t>，</w:t>
            </w:r>
            <w:r>
              <w:rPr>
                <w:rFonts w:hint="default" w:ascii="Times New Roman" w:hAnsi="Times New Roman" w:eastAsia="宋体" w:cs="Times New Roman"/>
                <w:caps w:val="0"/>
                <w:smallCaps w:val="0"/>
                <w:color w:val="auto"/>
                <w:spacing w:val="0"/>
                <w:w w:val="100"/>
                <w:sz w:val="24"/>
                <w:szCs w:val="24"/>
                <w:lang w:val="en-US" w:eastAsia="zh-CN"/>
              </w:rPr>
              <w:t>项目范围涉及的生态环境</w:t>
            </w:r>
            <w:r>
              <w:rPr>
                <w:rFonts w:hint="default" w:ascii="Times New Roman" w:hAnsi="Times New Roman" w:eastAsia="宋体" w:cs="Times New Roman"/>
                <w:b w:val="0"/>
                <w:bCs w:val="0"/>
                <w:color w:val="auto"/>
                <w:sz w:val="24"/>
                <w:szCs w:val="24"/>
                <w:lang w:val="en-US" w:eastAsia="zh-CN"/>
              </w:rPr>
              <w:t>管控</w:t>
            </w:r>
            <w:r>
              <w:rPr>
                <w:rFonts w:hint="default" w:ascii="Times New Roman" w:hAnsi="Times New Roman" w:eastAsia="宋体" w:cs="Times New Roman"/>
                <w:caps w:val="0"/>
                <w:smallCaps w:val="0"/>
                <w:color w:val="auto"/>
                <w:spacing w:val="0"/>
                <w:w w:val="100"/>
                <w:sz w:val="24"/>
                <w:szCs w:val="24"/>
                <w:lang w:val="en-US" w:eastAsia="zh-CN"/>
              </w:rPr>
              <w:t>单元准入清单及符合性说明详见下表</w:t>
            </w:r>
            <w:r>
              <w:rPr>
                <w:rFonts w:hint="default" w:ascii="Times New Roman" w:hAnsi="Times New Roman" w:cs="Times New Roman"/>
                <w:caps w:val="0"/>
                <w:smallCaps w:val="0"/>
                <w:color w:val="auto"/>
                <w:spacing w:val="0"/>
                <w:w w:val="100"/>
                <w:sz w:val="24"/>
                <w:szCs w:val="24"/>
                <w:lang w:val="en-US" w:eastAsia="zh-CN"/>
              </w:rPr>
              <w:t>：</w:t>
            </w:r>
          </w:p>
          <w:p w14:paraId="71A0C135">
            <w:pPr>
              <w:autoSpaceDE w:val="0"/>
              <w:autoSpaceDN w:val="0"/>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w:t>
            </w:r>
            <w:r>
              <w:rPr>
                <w:rFonts w:hint="eastAsia" w:cs="Times New Roman"/>
                <w:b/>
                <w:bCs w:val="0"/>
                <w:color w:val="auto"/>
                <w:sz w:val="21"/>
                <w:szCs w:val="21"/>
                <w:lang w:val="en-US" w:eastAsia="zh-CN"/>
              </w:rPr>
              <w:t>1</w:t>
            </w:r>
            <w:r>
              <w:rPr>
                <w:rFonts w:hint="default" w:ascii="Times New Roman" w:hAnsi="Times New Roman" w:cs="Times New Roman"/>
                <w:b/>
                <w:bCs w:val="0"/>
                <w:color w:val="auto"/>
                <w:sz w:val="21"/>
                <w:szCs w:val="21"/>
              </w:rPr>
              <w:t xml:space="preserve">  </w:t>
            </w:r>
            <w:r>
              <w:rPr>
                <w:rFonts w:hint="default" w:ascii="Times New Roman" w:hAnsi="Times New Roman" w:cs="Times New Roman"/>
                <w:b/>
                <w:bCs w:val="0"/>
                <w:color w:val="auto"/>
                <w:sz w:val="21"/>
                <w:szCs w:val="21"/>
                <w:lang w:val="en-US" w:eastAsia="zh-CN"/>
              </w:rPr>
              <w:t>项目与环境管控单元涉及情况</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746"/>
              <w:gridCol w:w="732"/>
              <w:gridCol w:w="3292"/>
              <w:gridCol w:w="2292"/>
            </w:tblGrid>
            <w:tr w14:paraId="1B213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pct"/>
                  <w:noWrap w:val="0"/>
                  <w:vAlign w:val="center"/>
                </w:tcPr>
                <w:p w14:paraId="693E4800">
                  <w:pPr>
                    <w:tabs>
                      <w:tab w:val="left" w:pos="1393"/>
                    </w:tabs>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环境管控单元名称</w:t>
                  </w:r>
                </w:p>
              </w:tc>
              <w:tc>
                <w:tcPr>
                  <w:tcW w:w="479" w:type="pct"/>
                  <w:noWrap w:val="0"/>
                  <w:vAlign w:val="center"/>
                </w:tcPr>
                <w:p w14:paraId="32420A75">
                  <w:pPr>
                    <w:tabs>
                      <w:tab w:val="left" w:pos="1393"/>
                    </w:tabs>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单元要素属性</w:t>
                  </w:r>
                </w:p>
              </w:tc>
              <w:tc>
                <w:tcPr>
                  <w:tcW w:w="470" w:type="pct"/>
                  <w:noWrap w:val="0"/>
                  <w:vAlign w:val="center"/>
                </w:tcPr>
                <w:p w14:paraId="10B5F925">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管控要求分类</w:t>
                  </w:r>
                </w:p>
              </w:tc>
              <w:tc>
                <w:tcPr>
                  <w:tcW w:w="2113" w:type="pct"/>
                  <w:noWrap w:val="0"/>
                  <w:vAlign w:val="center"/>
                </w:tcPr>
                <w:p w14:paraId="7551F930">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管控要求</w:t>
                  </w:r>
                </w:p>
              </w:tc>
              <w:tc>
                <w:tcPr>
                  <w:tcW w:w="1470" w:type="pct"/>
                  <w:noWrap w:val="0"/>
                  <w:vAlign w:val="center"/>
                </w:tcPr>
                <w:p w14:paraId="3B937F23">
                  <w:pPr>
                    <w:autoSpaceDE w:val="0"/>
                    <w:autoSpaceDN w:val="0"/>
                    <w:adjustRightInd w:val="0"/>
                    <w:snapToGrid w:val="0"/>
                    <w:jc w:val="center"/>
                    <w:rPr>
                      <w:rFonts w:hint="default" w:ascii="Times New Roman" w:hAnsi="Times New Roman"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与本项目符合性</w:t>
                  </w:r>
                </w:p>
              </w:tc>
            </w:tr>
            <w:tr w14:paraId="6605F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4" w:type="pct"/>
                  <w:vMerge w:val="restart"/>
                  <w:noWrap w:val="0"/>
                  <w:vAlign w:val="center"/>
                </w:tcPr>
                <w:p w14:paraId="7887DA29">
                  <w:pPr>
                    <w:widowControl/>
                    <w:adjustRightInd w:val="0"/>
                    <w:snapToGrid w:val="0"/>
                    <w:jc w:val="center"/>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陕西省宝鸡市</w:t>
                  </w:r>
                  <w:r>
                    <w:rPr>
                      <w:rFonts w:hint="eastAsia" w:ascii="Times New Roman" w:hAnsi="Times New Roman" w:cs="Times New Roman"/>
                      <w:color w:val="auto"/>
                      <w:sz w:val="21"/>
                      <w:szCs w:val="21"/>
                      <w:shd w:val="clear" w:color="auto" w:fill="auto"/>
                      <w:lang w:val="en-US" w:eastAsia="zh-CN"/>
                    </w:rPr>
                    <w:t>陈仓区重点管控单元</w:t>
                  </w:r>
                  <w:r>
                    <w:rPr>
                      <w:rFonts w:hint="eastAsia" w:cs="Times New Roman"/>
                      <w:color w:val="auto"/>
                      <w:sz w:val="21"/>
                      <w:szCs w:val="21"/>
                      <w:shd w:val="clear" w:color="auto" w:fill="auto"/>
                      <w:lang w:val="en-US" w:eastAsia="zh-CN"/>
                    </w:rPr>
                    <w:t>10</w:t>
                  </w:r>
                </w:p>
              </w:tc>
              <w:tc>
                <w:tcPr>
                  <w:tcW w:w="479" w:type="pct"/>
                  <w:vMerge w:val="restart"/>
                  <w:noWrap w:val="0"/>
                  <w:vAlign w:val="center"/>
                </w:tcPr>
                <w:p w14:paraId="53D59525">
                  <w:pPr>
                    <w:widowControl/>
                    <w:adjustRightInd w:val="0"/>
                    <w:snapToGrid w:val="0"/>
                    <w:jc w:val="center"/>
                    <w:rPr>
                      <w:rFonts w:hint="default" w:ascii="Times New Roman" w:hAnsi="Times New Roman" w:cs="Times New Roman"/>
                      <w:color w:val="auto"/>
                      <w:sz w:val="21"/>
                      <w:szCs w:val="21"/>
                      <w:shd w:val="clear" w:color="auto" w:fill="auto"/>
                      <w:lang w:val="en-US"/>
                    </w:rPr>
                  </w:pPr>
                  <w:r>
                    <w:rPr>
                      <w:rFonts w:hint="default" w:ascii="Times New Roman" w:hAnsi="Times New Roman" w:cs="Times New Roman"/>
                      <w:bCs/>
                      <w:color w:val="auto"/>
                      <w:sz w:val="21"/>
                      <w:szCs w:val="21"/>
                      <w:shd w:val="clear" w:color="auto" w:fill="auto"/>
                      <w:lang w:val="en-US" w:eastAsia="zh-CN"/>
                    </w:rPr>
                    <w:t>大气环境</w:t>
                  </w:r>
                  <w:r>
                    <w:rPr>
                      <w:rFonts w:hint="eastAsia" w:cs="Times New Roman"/>
                      <w:bCs/>
                      <w:color w:val="auto"/>
                      <w:sz w:val="21"/>
                      <w:szCs w:val="21"/>
                      <w:shd w:val="clear" w:color="auto" w:fill="auto"/>
                      <w:lang w:val="en-US" w:eastAsia="zh-CN"/>
                    </w:rPr>
                    <w:t>布局</w:t>
                  </w:r>
                  <w:r>
                    <w:rPr>
                      <w:rFonts w:hint="default" w:ascii="Times New Roman" w:hAnsi="Times New Roman" w:cs="Times New Roman"/>
                      <w:bCs/>
                      <w:color w:val="auto"/>
                      <w:sz w:val="21"/>
                      <w:szCs w:val="21"/>
                      <w:shd w:val="clear" w:color="auto" w:fill="auto"/>
                      <w:lang w:val="en-US" w:eastAsia="zh-CN"/>
                    </w:rPr>
                    <w:t>敏感重点管控区、水环境</w:t>
                  </w:r>
                  <w:r>
                    <w:rPr>
                      <w:rFonts w:hint="eastAsia" w:ascii="Times New Roman" w:hAnsi="Times New Roman" w:cs="Times New Roman"/>
                      <w:bCs/>
                      <w:color w:val="auto"/>
                      <w:sz w:val="21"/>
                      <w:szCs w:val="21"/>
                      <w:shd w:val="clear" w:color="auto" w:fill="auto"/>
                      <w:lang w:val="en-US" w:eastAsia="zh-CN"/>
                    </w:rPr>
                    <w:t>城镇生活</w:t>
                  </w:r>
                  <w:r>
                    <w:rPr>
                      <w:rFonts w:hint="default" w:ascii="Times New Roman" w:hAnsi="Times New Roman" w:cs="Times New Roman"/>
                      <w:bCs/>
                      <w:color w:val="auto"/>
                      <w:sz w:val="21"/>
                      <w:szCs w:val="21"/>
                      <w:shd w:val="clear" w:color="auto" w:fill="auto"/>
                      <w:lang w:val="en-US" w:eastAsia="zh-CN"/>
                    </w:rPr>
                    <w:t>污染重点管控区、生态用水补给区管控</w:t>
                  </w:r>
                  <w:r>
                    <w:rPr>
                      <w:rFonts w:hint="eastAsia" w:cs="Times New Roman"/>
                      <w:bCs/>
                      <w:color w:val="auto"/>
                      <w:sz w:val="21"/>
                      <w:szCs w:val="21"/>
                      <w:shd w:val="clear" w:color="auto" w:fill="auto"/>
                      <w:lang w:val="en-US" w:eastAsia="zh-CN"/>
                    </w:rPr>
                    <w:t>分</w:t>
                  </w:r>
                  <w:r>
                    <w:rPr>
                      <w:rFonts w:hint="default" w:ascii="Times New Roman" w:hAnsi="Times New Roman" w:cs="Times New Roman"/>
                      <w:bCs/>
                      <w:color w:val="auto"/>
                      <w:sz w:val="21"/>
                      <w:szCs w:val="21"/>
                      <w:shd w:val="clear" w:color="auto" w:fill="auto"/>
                      <w:lang w:val="en-US" w:eastAsia="zh-CN"/>
                    </w:rPr>
                    <w:t>区、高污染燃料禁燃区</w:t>
                  </w:r>
                </w:p>
              </w:tc>
              <w:tc>
                <w:tcPr>
                  <w:tcW w:w="470" w:type="pct"/>
                  <w:noWrap w:val="0"/>
                  <w:vAlign w:val="center"/>
                </w:tcPr>
                <w:p w14:paraId="57DB8527">
                  <w:pPr>
                    <w:autoSpaceDE w:val="0"/>
                    <w:autoSpaceDN w:val="0"/>
                    <w:adjustRightInd w:val="0"/>
                    <w:snapToGrid w:val="0"/>
                    <w:jc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lang w:val="en-US" w:eastAsia="zh-CN"/>
                    </w:rPr>
                    <w:t>空间布局约束</w:t>
                  </w:r>
                </w:p>
              </w:tc>
              <w:tc>
                <w:tcPr>
                  <w:tcW w:w="2113" w:type="pct"/>
                  <w:noWrap w:val="0"/>
                  <w:vAlign w:val="center"/>
                </w:tcPr>
                <w:p w14:paraId="0EA0F0CE">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r>
                    <w:rPr>
                      <w:rFonts w:hint="default" w:ascii="Times New Roman" w:hAnsi="Times New Roman" w:eastAsia="宋体" w:cs="Times New Roman"/>
                      <w:color w:val="auto"/>
                      <w:kern w:val="0"/>
                      <w:sz w:val="21"/>
                      <w:szCs w:val="21"/>
                      <w:lang w:val="en-US" w:eastAsia="zh-CN" w:bidi="ar"/>
                    </w:rPr>
                    <w:t>1.严格控制新增《陕西省</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项目管理暂行目录》行业项目（民生等项目除外，后续对</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范围国家如有新规定的，从其规定）。</w:t>
                  </w:r>
                </w:p>
                <w:p w14:paraId="66BF73E9">
                  <w:pPr>
                    <w:keepNext w:val="0"/>
                    <w:keepLines w:val="0"/>
                    <w:widowControl/>
                    <w:numPr>
                      <w:ilvl w:val="0"/>
                      <w:numId w:val="1"/>
                    </w:numPr>
                    <w:suppressLineNumbers w:val="0"/>
                    <w:jc w:val="left"/>
                    <w:rPr>
                      <w:rFonts w:hint="default"/>
                      <w:color w:val="auto"/>
                      <w:lang w:val="en-US" w:eastAsia="zh-CN"/>
                    </w:rPr>
                  </w:pPr>
                  <w:r>
                    <w:rPr>
                      <w:rFonts w:hint="default" w:ascii="Times New Roman" w:hAnsi="Times New Roman" w:eastAsia="宋体" w:cs="Times New Roman"/>
                      <w:color w:val="auto"/>
                      <w:kern w:val="0"/>
                      <w:sz w:val="21"/>
                      <w:szCs w:val="21"/>
                      <w:lang w:val="en-US" w:eastAsia="zh-CN" w:bidi="ar"/>
                    </w:rPr>
                    <w:t>严禁新增钢铁、焦化、水泥熟料、平板玻璃、电解铝、氧化铝、煤化工</w:t>
                  </w:r>
                  <w:r>
                    <w:rPr>
                      <w:rFonts w:hint="eastAsia" w:cs="Times New Roman"/>
                      <w:color w:val="auto"/>
                      <w:kern w:val="0"/>
                      <w:sz w:val="21"/>
                      <w:szCs w:val="21"/>
                      <w:lang w:val="en-US" w:eastAsia="zh-CN" w:bidi="ar"/>
                    </w:rPr>
                    <w:t>等</w:t>
                  </w:r>
                  <w:r>
                    <w:rPr>
                      <w:rFonts w:hint="default" w:ascii="Times New Roman" w:hAnsi="Times New Roman" w:eastAsia="宋体" w:cs="Times New Roman"/>
                      <w:color w:val="auto"/>
                      <w:kern w:val="0"/>
                      <w:sz w:val="21"/>
                      <w:szCs w:val="21"/>
                      <w:lang w:val="en-US" w:eastAsia="zh-CN" w:bidi="ar"/>
                    </w:rPr>
                    <w:t>产能。</w:t>
                  </w:r>
                  <w:r>
                    <w:rPr>
                      <w:rFonts w:hint="eastAsia" w:ascii="Times New Roman" w:hAnsi="Times New Roman" w:eastAsia="宋体" w:cs="Times New Roman"/>
                      <w:color w:val="auto"/>
                      <w:kern w:val="0"/>
                      <w:sz w:val="21"/>
                      <w:szCs w:val="21"/>
                      <w:lang w:val="en-US" w:eastAsia="zh-CN" w:bidi="ar"/>
                    </w:rPr>
                    <w:t>3.推动重污染企业搬迁入园或依法关闭，实施工业企业退城搬迁改造。</w:t>
                  </w:r>
                </w:p>
                <w:p w14:paraId="2277CBB8">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w:t>
                  </w:r>
                  <w:r>
                    <w:rPr>
                      <w:rFonts w:hint="eastAsia" w:ascii="Times New Roman" w:hAnsi="Times New Roman" w:cs="Times New Roman"/>
                      <w:b w:val="0"/>
                      <w:bCs w:val="0"/>
                      <w:color w:val="auto"/>
                      <w:kern w:val="0"/>
                      <w:sz w:val="21"/>
                      <w:szCs w:val="21"/>
                      <w:lang w:val="en-US" w:eastAsia="zh-CN" w:bidi="ar"/>
                    </w:rPr>
                    <w:t>持续推进城中村、老旧城区、城乡</w:t>
                  </w:r>
                  <w:r>
                    <w:rPr>
                      <w:rFonts w:hint="eastAsia" w:cs="Times New Roman"/>
                      <w:b w:val="0"/>
                      <w:bCs w:val="0"/>
                      <w:color w:val="auto"/>
                      <w:kern w:val="0"/>
                      <w:sz w:val="21"/>
                      <w:szCs w:val="21"/>
                      <w:lang w:val="en-US" w:eastAsia="zh-CN" w:bidi="ar"/>
                    </w:rPr>
                    <w:t>接合</w:t>
                  </w:r>
                  <w:r>
                    <w:rPr>
                      <w:rFonts w:hint="eastAsia" w:ascii="Times New Roman" w:hAnsi="Times New Roman" w:cs="Times New Roman"/>
                      <w:b w:val="0"/>
                      <w:bCs w:val="0"/>
                      <w:color w:val="auto"/>
                      <w:kern w:val="0"/>
                      <w:sz w:val="21"/>
                      <w:szCs w:val="21"/>
                      <w:lang w:val="en-US" w:eastAsia="zh-CN" w:bidi="ar"/>
                    </w:rPr>
                    <w:t>部污水截流、收集和城市雨污管道新建、改建。到2025年底，基本实现城市和县城建成区内生活污水全收集。</w:t>
                  </w:r>
                </w:p>
              </w:tc>
              <w:tc>
                <w:tcPr>
                  <w:tcW w:w="1470" w:type="pct"/>
                  <w:noWrap w:val="0"/>
                  <w:vAlign w:val="center"/>
                </w:tcPr>
                <w:p w14:paraId="539D4615">
                  <w:pPr>
                    <w:numPr>
                      <w:ilvl w:val="0"/>
                      <w:numId w:val="0"/>
                    </w:numPr>
                    <w:autoSpaceDE w:val="0"/>
                    <w:autoSpaceDN w:val="0"/>
                    <w:adjustRightInd w:val="0"/>
                    <w:snapToGrid w:val="0"/>
                    <w:jc w:val="both"/>
                    <w:rPr>
                      <w:rFonts w:hint="eastAsia" w:ascii="Times New Roman" w:hAnsi="Times New Roman" w:cs="Times New Roman"/>
                      <w:bCs/>
                      <w:color w:val="auto"/>
                      <w:sz w:val="21"/>
                      <w:szCs w:val="21"/>
                      <w:shd w:val="clear" w:color="auto" w:fill="auto"/>
                      <w:lang w:val="en-US" w:eastAsia="zh-CN"/>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4F405F1D">
                  <w:pPr>
                    <w:numPr>
                      <w:ilvl w:val="0"/>
                      <w:numId w:val="0"/>
                    </w:numPr>
                    <w:autoSpaceDE w:val="0"/>
                    <w:autoSpaceDN w:val="0"/>
                    <w:adjustRightInd w:val="0"/>
                    <w:snapToGrid w:val="0"/>
                    <w:jc w:val="both"/>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cs="Times New Roman"/>
                      <w:bCs/>
                      <w:color w:val="auto"/>
                      <w:sz w:val="21"/>
                      <w:szCs w:val="21"/>
                      <w:shd w:val="clear" w:color="auto" w:fill="auto"/>
                      <w:lang w:val="en-US" w:eastAsia="zh-CN"/>
                    </w:rPr>
                    <w:t>1.</w:t>
                  </w:r>
                  <w:r>
                    <w:rPr>
                      <w:rFonts w:hint="default" w:ascii="Times New Roman" w:hAnsi="Times New Roman" w:cs="Times New Roman"/>
                      <w:bCs/>
                      <w:color w:val="auto"/>
                      <w:sz w:val="21"/>
                      <w:szCs w:val="21"/>
                      <w:shd w:val="clear" w:color="auto" w:fill="auto"/>
                      <w:lang w:val="en-US" w:eastAsia="zh-CN"/>
                    </w:rPr>
                    <w:t>本项目</w:t>
                  </w:r>
                  <w:r>
                    <w:rPr>
                      <w:rFonts w:hint="eastAsia" w:cs="Times New Roman"/>
                      <w:bCs/>
                      <w:color w:val="auto"/>
                      <w:sz w:val="21"/>
                      <w:szCs w:val="21"/>
                      <w:shd w:val="clear" w:color="auto" w:fill="auto"/>
                      <w:lang w:val="en-US" w:eastAsia="zh-CN"/>
                    </w:rPr>
                    <w:t>为煤炭仓储与中转</w:t>
                  </w:r>
                  <w:r>
                    <w:rPr>
                      <w:rFonts w:hint="default" w:ascii="Times New Roman" w:hAnsi="Times New Roman" w:cs="Times New Roman"/>
                      <w:color w:val="auto"/>
                      <w:sz w:val="21"/>
                      <w:szCs w:val="21"/>
                      <w:lang w:val="en-US" w:eastAsia="zh-CN"/>
                    </w:rPr>
                    <w:t>，</w:t>
                  </w:r>
                  <w:r>
                    <w:rPr>
                      <w:rFonts w:hint="default" w:ascii="Times New Roman" w:hAnsi="Times New Roman" w:cs="Times New Roman"/>
                      <w:bCs/>
                      <w:color w:val="auto"/>
                      <w:sz w:val="21"/>
                      <w:szCs w:val="21"/>
                      <w:shd w:val="clear" w:color="auto" w:fill="auto"/>
                      <w:lang w:val="en-US" w:eastAsia="zh-CN"/>
                    </w:rPr>
                    <w:t>经查阅《陕西省“两高”项目管理暂行目录》（2022年版）</w:t>
                  </w:r>
                  <w:r>
                    <w:rPr>
                      <w:rFonts w:hint="default" w:ascii="Times New Roman" w:hAnsi="Times New Roman" w:eastAsia="宋体" w:cs="Times New Roman"/>
                      <w:color w:val="auto"/>
                      <w:kern w:val="0"/>
                      <w:sz w:val="21"/>
                      <w:szCs w:val="21"/>
                      <w:lang w:val="en-US" w:eastAsia="zh-CN" w:bidi="ar"/>
                    </w:rPr>
                    <w:t>，本项目不属于</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行业项目</w:t>
                  </w:r>
                  <w:r>
                    <w:rPr>
                      <w:rFonts w:hint="eastAsia" w:ascii="Times New Roman" w:hAnsi="Times New Roman" w:eastAsia="宋体" w:cs="Times New Roman"/>
                      <w:color w:val="auto"/>
                      <w:kern w:val="0"/>
                      <w:sz w:val="21"/>
                      <w:szCs w:val="21"/>
                      <w:lang w:val="en-US" w:eastAsia="zh-CN" w:bidi="ar"/>
                    </w:rPr>
                    <w:t>。</w:t>
                  </w:r>
                </w:p>
                <w:p w14:paraId="73A1B8F9">
                  <w:pPr>
                    <w:autoSpaceDE w:val="0"/>
                    <w:autoSpaceDN w:val="0"/>
                    <w:adjustRightInd w:val="0"/>
                    <w:snapToGrid w:val="0"/>
                    <w:jc w:val="center"/>
                    <w:rPr>
                      <w:rFonts w:hint="default" w:cs="Times New Roman"/>
                      <w:snapToGrid w:val="0"/>
                      <w:color w:val="auto"/>
                      <w:sz w:val="21"/>
                      <w:szCs w:val="21"/>
                      <w:lang w:val="en-US" w:eastAsia="zh-CN"/>
                    </w:rPr>
                  </w:pPr>
                  <w:r>
                    <w:rPr>
                      <w:rFonts w:hint="eastAsia" w:ascii="Times New Roman" w:hAnsi="Times New Roman" w:cs="Times New Roman"/>
                      <w:color w:val="auto"/>
                      <w:kern w:val="0"/>
                      <w:sz w:val="21"/>
                      <w:szCs w:val="21"/>
                      <w:lang w:val="en-US" w:eastAsia="zh-CN" w:bidi="ar"/>
                    </w:rPr>
                    <w:t>2.</w:t>
                  </w:r>
                  <w:r>
                    <w:rPr>
                      <w:rFonts w:hint="eastAsia" w:cs="Times New Roman"/>
                      <w:snapToGrid w:val="0"/>
                      <w:color w:val="auto"/>
                      <w:sz w:val="21"/>
                      <w:szCs w:val="21"/>
                      <w:lang w:val="en-US" w:eastAsia="zh-CN"/>
                    </w:rPr>
                    <w:t>本项目为煤炭仓储与运输中转项目，不涉及散煤销售、燃用等环节，不属于严禁新增类项目。</w:t>
                  </w:r>
                </w:p>
                <w:p w14:paraId="6FF07587">
                  <w:pPr>
                    <w:numPr>
                      <w:ilvl w:val="0"/>
                      <w:numId w:val="0"/>
                    </w:numPr>
                    <w:autoSpaceDE w:val="0"/>
                    <w:autoSpaceDN w:val="0"/>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val="0"/>
                      <w:bCs w:val="0"/>
                      <w:color w:val="auto"/>
                      <w:kern w:val="0"/>
                      <w:sz w:val="21"/>
                      <w:szCs w:val="21"/>
                      <w:lang w:val="en-US" w:eastAsia="zh-CN" w:bidi="ar"/>
                    </w:rPr>
                    <w:t>1.本项目无新增生活污水，原有生活污水拉运</w:t>
                  </w:r>
                  <w:r>
                    <w:rPr>
                      <w:rFonts w:hint="eastAsia" w:cs="Times New Roman"/>
                      <w:b w:val="0"/>
                      <w:bCs w:val="0"/>
                      <w:color w:val="auto"/>
                      <w:kern w:val="0"/>
                      <w:sz w:val="21"/>
                      <w:szCs w:val="21"/>
                      <w:lang w:val="en-US" w:eastAsia="zh-CN" w:bidi="ar"/>
                    </w:rPr>
                    <w:t>至农田</w:t>
                  </w:r>
                  <w:r>
                    <w:rPr>
                      <w:rFonts w:hint="eastAsia" w:ascii="Times New Roman" w:hAnsi="Times New Roman" w:cs="Times New Roman"/>
                      <w:b w:val="0"/>
                      <w:bCs w:val="0"/>
                      <w:color w:val="auto"/>
                      <w:kern w:val="0"/>
                      <w:sz w:val="21"/>
                      <w:szCs w:val="21"/>
                      <w:lang w:val="en-US" w:eastAsia="zh-CN" w:bidi="ar"/>
                    </w:rPr>
                    <w:t>用于土壤改良，</w:t>
                  </w:r>
                  <w:r>
                    <w:rPr>
                      <w:rFonts w:hint="eastAsia" w:cs="Times New Roman"/>
                      <w:b w:val="0"/>
                      <w:bCs w:val="0"/>
                      <w:color w:val="auto"/>
                      <w:kern w:val="0"/>
                      <w:sz w:val="21"/>
                      <w:szCs w:val="21"/>
                      <w:lang w:val="en-US" w:eastAsia="zh-CN" w:bidi="ar"/>
                    </w:rPr>
                    <w:t>车辆冲洗废水经沉淀池沉淀处理后重复</w:t>
                  </w:r>
                  <w:r>
                    <w:rPr>
                      <w:rFonts w:hint="eastAsia" w:ascii="Times New Roman" w:hAnsi="Times New Roman" w:cs="Times New Roman"/>
                      <w:b w:val="0"/>
                      <w:bCs w:val="0"/>
                      <w:color w:val="auto"/>
                      <w:kern w:val="0"/>
                      <w:sz w:val="21"/>
                      <w:szCs w:val="21"/>
                      <w:lang w:val="en-US" w:eastAsia="zh-CN" w:bidi="ar"/>
                    </w:rPr>
                    <w:t>使用，不外排</w:t>
                  </w:r>
                  <w:r>
                    <w:rPr>
                      <w:rFonts w:hint="eastAsia" w:cs="Times New Roman"/>
                      <w:b w:val="0"/>
                      <w:bCs w:val="0"/>
                      <w:color w:val="auto"/>
                      <w:kern w:val="0"/>
                      <w:sz w:val="21"/>
                      <w:szCs w:val="21"/>
                      <w:lang w:val="en-US" w:eastAsia="zh-CN" w:bidi="ar"/>
                    </w:rPr>
                    <w:t>，</w:t>
                  </w:r>
                  <w:r>
                    <w:rPr>
                      <w:rFonts w:hint="eastAsia" w:ascii="Times New Roman" w:hAnsi="Times New Roman" w:cs="Times New Roman"/>
                      <w:b w:val="0"/>
                      <w:bCs w:val="0"/>
                      <w:color w:val="auto"/>
                      <w:kern w:val="0"/>
                      <w:sz w:val="21"/>
                      <w:szCs w:val="21"/>
                      <w:lang w:val="en-US" w:eastAsia="zh-CN" w:bidi="ar"/>
                    </w:rPr>
                    <w:t>不涉及其他。</w:t>
                  </w:r>
                </w:p>
              </w:tc>
            </w:tr>
            <w:tr w14:paraId="5D1D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pct"/>
                  <w:vMerge w:val="continue"/>
                  <w:noWrap w:val="0"/>
                  <w:vAlign w:val="center"/>
                </w:tcPr>
                <w:p w14:paraId="3B21AA93">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noWrap w:val="0"/>
                  <w:vAlign w:val="center"/>
                </w:tcPr>
                <w:p w14:paraId="47674EC0">
                  <w:pPr>
                    <w:widowControl/>
                    <w:adjustRightInd w:val="0"/>
                    <w:snapToGrid w:val="0"/>
                    <w:jc w:val="center"/>
                    <w:rPr>
                      <w:rFonts w:hint="default" w:ascii="Times New Roman" w:hAnsi="Times New Roman" w:cs="Times New Roman"/>
                      <w:color w:val="auto"/>
                      <w:sz w:val="21"/>
                      <w:szCs w:val="21"/>
                      <w:shd w:val="clear" w:color="auto" w:fill="auto"/>
                    </w:rPr>
                  </w:pPr>
                </w:p>
              </w:tc>
              <w:tc>
                <w:tcPr>
                  <w:tcW w:w="470" w:type="pct"/>
                  <w:noWrap w:val="0"/>
                  <w:vAlign w:val="center"/>
                </w:tcPr>
                <w:p w14:paraId="6BF6146E">
                  <w:pPr>
                    <w:autoSpaceDE w:val="0"/>
                    <w:autoSpaceDN w:val="0"/>
                    <w:adjustRightInd w:val="0"/>
                    <w:snapToGrid w:val="0"/>
                    <w:jc w:val="center"/>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rPr>
                    <w:t>污染物排放管控</w:t>
                  </w:r>
                </w:p>
              </w:tc>
              <w:tc>
                <w:tcPr>
                  <w:tcW w:w="2113" w:type="pct"/>
                  <w:noWrap w:val="0"/>
                  <w:vAlign w:val="center"/>
                </w:tcPr>
                <w:p w14:paraId="558145FF">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619A5173">
                  <w:pPr>
                    <w:keepNext w:val="0"/>
                    <w:keepLines w:val="0"/>
                    <w:widowControl/>
                    <w:suppressLineNumbers w:val="0"/>
                    <w:jc w:val="left"/>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1.鼓励将老旧车辆和非道路移动机械替换为清洁能源车辆。推进新能源或清洁能源汽车使用。2.巩固城市建成区、县（区）平原区域散煤动态清理成效。</w:t>
                  </w:r>
                </w:p>
                <w:p w14:paraId="4A12CD13">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val="0"/>
                      <w:bCs w:val="0"/>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加强城镇污水收集处理设施建设与提标改造。全省黄河流域城镇生活污水处理</w:t>
                  </w:r>
                  <w:r>
                    <w:rPr>
                      <w:rFonts w:hint="eastAsia" w:cs="Times New Roman"/>
                      <w:color w:val="auto"/>
                      <w:kern w:val="0"/>
                      <w:sz w:val="21"/>
                      <w:szCs w:val="21"/>
                      <w:lang w:val="en-US" w:eastAsia="zh-CN" w:bidi="ar"/>
                    </w:rPr>
                    <w:t>应达到</w:t>
                  </w:r>
                  <w:r>
                    <w:rPr>
                      <w:rFonts w:hint="eastAsia" w:ascii="Times New Roman" w:hAnsi="Times New Roman" w:eastAsia="宋体" w:cs="Times New Roman"/>
                      <w:color w:val="auto"/>
                      <w:kern w:val="0"/>
                      <w:sz w:val="21"/>
                      <w:szCs w:val="21"/>
                      <w:lang w:val="en-US" w:eastAsia="zh-CN" w:bidi="ar"/>
                    </w:rPr>
                    <w:t>《陕西省黄河流域污水综合排放标准》（DB61/224-2018）</w:t>
                  </w:r>
                  <w:r>
                    <w:rPr>
                      <w:rFonts w:hint="eastAsia" w:cs="Times New Roman"/>
                      <w:color w:val="auto"/>
                      <w:kern w:val="0"/>
                      <w:sz w:val="21"/>
                      <w:szCs w:val="21"/>
                      <w:lang w:val="en-US" w:eastAsia="zh-CN" w:bidi="ar"/>
                    </w:rPr>
                    <w:t>的要求，加强</w:t>
                  </w:r>
                  <w:r>
                    <w:rPr>
                      <w:rFonts w:hint="eastAsia" w:ascii="Times New Roman" w:hAnsi="Times New Roman" w:eastAsia="宋体" w:cs="Times New Roman"/>
                      <w:color w:val="auto"/>
                      <w:kern w:val="0"/>
                      <w:sz w:val="21"/>
                      <w:szCs w:val="21"/>
                      <w:lang w:val="en-US" w:eastAsia="zh-CN" w:bidi="ar"/>
                    </w:rPr>
                    <w:t>城镇生活污水处理，提高对生活污水的处理</w:t>
                  </w:r>
                  <w:r>
                    <w:rPr>
                      <w:rFonts w:hint="eastAsia" w:cs="Times New Roman"/>
                      <w:color w:val="auto"/>
                      <w:kern w:val="0"/>
                      <w:sz w:val="21"/>
                      <w:szCs w:val="21"/>
                      <w:lang w:val="en-US" w:eastAsia="zh-CN" w:bidi="ar"/>
                    </w:rPr>
                    <w:t>能力</w:t>
                  </w:r>
                  <w:r>
                    <w:rPr>
                      <w:rFonts w:hint="eastAsia" w:ascii="Times New Roman" w:hAnsi="Times New Roman" w:eastAsia="宋体" w:cs="Times New Roman"/>
                      <w:color w:val="auto"/>
                      <w:kern w:val="0"/>
                      <w:sz w:val="21"/>
                      <w:szCs w:val="21"/>
                      <w:lang w:val="en-US" w:eastAsia="zh-CN" w:bidi="ar"/>
                    </w:rPr>
                    <w:t>。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tc>
              <w:tc>
                <w:tcPr>
                  <w:tcW w:w="1470" w:type="pct"/>
                  <w:noWrap w:val="0"/>
                  <w:vAlign w:val="center"/>
                </w:tcPr>
                <w:p w14:paraId="6CC97BCF">
                  <w:pPr>
                    <w:autoSpaceDE w:val="0"/>
                    <w:autoSpaceDN w:val="0"/>
                    <w:adjustRightInd w:val="0"/>
                    <w:snapToGrid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0594F44D">
                  <w:pPr>
                    <w:autoSpaceDE w:val="0"/>
                    <w:autoSpaceDN w:val="0"/>
                    <w:adjustRightInd w:val="0"/>
                    <w:snapToGrid w:val="0"/>
                    <w:jc w:val="center"/>
                    <w:rPr>
                      <w:rFonts w:hint="default" w:cs="Times New Roman"/>
                      <w:snapToGrid w:val="0"/>
                      <w:color w:val="auto"/>
                      <w:sz w:val="21"/>
                      <w:szCs w:val="21"/>
                      <w:lang w:val="en-US" w:eastAsia="zh-CN"/>
                    </w:rPr>
                  </w:pPr>
                  <w:r>
                    <w:rPr>
                      <w:rFonts w:hint="eastAsia" w:cs="Times New Roman"/>
                      <w:snapToGrid w:val="0"/>
                      <w:color w:val="auto"/>
                      <w:sz w:val="21"/>
                      <w:szCs w:val="21"/>
                      <w:lang w:val="en-US" w:eastAsia="zh-CN"/>
                    </w:rPr>
                    <w:t>1.本项目运输车辆和转运车辆使用清洁能源车辆，并设充电桩。2.本项目为煤炭仓储与运输中转项目，不涉及散煤销售、燃用环节。</w:t>
                  </w:r>
                </w:p>
                <w:p w14:paraId="76BE8DAD">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eastAsia" w:ascii="Times New Roman" w:hAnsi="Times New Roman" w:cs="Times New Roman"/>
                      <w:b/>
                      <w:bCs/>
                      <w:color w:val="auto"/>
                      <w:kern w:val="0"/>
                      <w:sz w:val="21"/>
                      <w:szCs w:val="21"/>
                      <w:lang w:val="en-US" w:eastAsia="zh-CN" w:bidi="ar"/>
                    </w:rPr>
                    <w:t>：</w:t>
                  </w:r>
                  <w:r>
                    <w:rPr>
                      <w:rFonts w:hint="eastAsia" w:ascii="Times New Roman" w:hAnsi="Times New Roman" w:cs="Times New Roman"/>
                      <w:b w:val="0"/>
                      <w:bCs w:val="0"/>
                      <w:color w:val="auto"/>
                      <w:kern w:val="0"/>
                      <w:sz w:val="21"/>
                      <w:szCs w:val="21"/>
                      <w:lang w:val="en-US" w:eastAsia="zh-CN" w:bidi="ar"/>
                    </w:rPr>
                    <w:t>1.本项目无新增生活污水，原有生活污水拉运农田用于土壤改良，</w:t>
                  </w:r>
                  <w:r>
                    <w:rPr>
                      <w:rFonts w:hint="eastAsia" w:cs="Times New Roman"/>
                      <w:b w:val="0"/>
                      <w:bCs w:val="0"/>
                      <w:color w:val="auto"/>
                      <w:kern w:val="0"/>
                      <w:sz w:val="21"/>
                      <w:szCs w:val="21"/>
                      <w:lang w:val="en-US" w:eastAsia="zh-CN" w:bidi="ar"/>
                    </w:rPr>
                    <w:t>车辆冲洗废水经沉淀池沉淀处理后重复</w:t>
                  </w:r>
                  <w:r>
                    <w:rPr>
                      <w:rFonts w:hint="eastAsia" w:ascii="Times New Roman" w:hAnsi="Times New Roman" w:cs="Times New Roman"/>
                      <w:b w:val="0"/>
                      <w:bCs w:val="0"/>
                      <w:color w:val="auto"/>
                      <w:kern w:val="0"/>
                      <w:sz w:val="21"/>
                      <w:szCs w:val="21"/>
                      <w:lang w:val="en-US" w:eastAsia="zh-CN" w:bidi="ar"/>
                    </w:rPr>
                    <w:t>使用，不外排。不涉及其他。</w:t>
                  </w:r>
                </w:p>
              </w:tc>
            </w:tr>
            <w:tr w14:paraId="2D2C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pct"/>
                  <w:vMerge w:val="continue"/>
                  <w:noWrap w:val="0"/>
                  <w:vAlign w:val="center"/>
                </w:tcPr>
                <w:p w14:paraId="7D4C6FA2">
                  <w:pPr>
                    <w:widowControl/>
                    <w:adjustRightInd w:val="0"/>
                    <w:snapToGrid w:val="0"/>
                    <w:jc w:val="center"/>
                    <w:rPr>
                      <w:rFonts w:hint="default" w:ascii="Times New Roman" w:hAnsi="Times New Roman" w:cs="Times New Roman"/>
                      <w:color w:val="auto"/>
                      <w:sz w:val="21"/>
                      <w:szCs w:val="21"/>
                      <w:shd w:val="clear" w:color="auto" w:fill="auto"/>
                    </w:rPr>
                  </w:pPr>
                </w:p>
              </w:tc>
              <w:tc>
                <w:tcPr>
                  <w:tcW w:w="479" w:type="pct"/>
                  <w:vMerge w:val="continue"/>
                  <w:noWrap w:val="0"/>
                  <w:vAlign w:val="center"/>
                </w:tcPr>
                <w:p w14:paraId="0FCED00A">
                  <w:pPr>
                    <w:widowControl/>
                    <w:adjustRightInd w:val="0"/>
                    <w:snapToGrid w:val="0"/>
                    <w:jc w:val="center"/>
                    <w:rPr>
                      <w:rFonts w:hint="default" w:ascii="Times New Roman" w:hAnsi="Times New Roman" w:cs="Times New Roman"/>
                      <w:color w:val="auto"/>
                      <w:sz w:val="21"/>
                      <w:szCs w:val="21"/>
                      <w:shd w:val="clear" w:color="auto" w:fill="auto"/>
                    </w:rPr>
                  </w:pPr>
                </w:p>
              </w:tc>
              <w:tc>
                <w:tcPr>
                  <w:tcW w:w="470" w:type="pct"/>
                  <w:noWrap w:val="0"/>
                  <w:vAlign w:val="center"/>
                </w:tcPr>
                <w:p w14:paraId="38F9A870">
                  <w:pPr>
                    <w:autoSpaceDE w:val="0"/>
                    <w:autoSpaceDN w:val="0"/>
                    <w:adjustRightInd w:val="0"/>
                    <w:snapToGrid w:val="0"/>
                    <w:jc w:val="center"/>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资源开发效率要求</w:t>
                  </w:r>
                </w:p>
              </w:tc>
              <w:tc>
                <w:tcPr>
                  <w:tcW w:w="2113" w:type="pct"/>
                  <w:noWrap w:val="0"/>
                  <w:vAlign w:val="center"/>
                </w:tcPr>
                <w:p w14:paraId="42169F1E">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p>
                <w:p w14:paraId="044B766D">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default" w:ascii="Times New Roman" w:hAnsi="Times New Roman" w:cs="Times New Roman"/>
                      <w:b w:val="0"/>
                      <w:bCs w:val="0"/>
                      <w:color w:val="auto"/>
                      <w:kern w:val="0"/>
                      <w:sz w:val="21"/>
                      <w:szCs w:val="21"/>
                      <w:lang w:val="en-US" w:eastAsia="zh-CN" w:bidi="ar"/>
                    </w:rPr>
                    <w:t>1.禁止销售、燃用高污染燃料（35蒸吨及以上锅炉、火力发电企业机组除外）。</w:t>
                  </w:r>
                </w:p>
                <w:p w14:paraId="4BA4EC72">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eastAsia" w:cs="Times New Roman"/>
                      <w:b w:val="0"/>
                      <w:bCs w:val="0"/>
                      <w:color w:val="auto"/>
                      <w:kern w:val="0"/>
                      <w:sz w:val="21"/>
                      <w:szCs w:val="21"/>
                      <w:lang w:val="en-US" w:eastAsia="zh-CN" w:bidi="ar"/>
                    </w:rPr>
                    <w:t>2.高污染燃料禁燃区执行Ⅲ类（严格）要求，禁止使用煤炭及其制品、石油焦、油页岩、原油、重油、渣油、煤焦油以及非专用锅炉或未配置高效除尘设施的专用锅炉燃用的生物质成型燃料。</w:t>
                  </w:r>
                </w:p>
                <w:p w14:paraId="66D46519">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3.禁止新建、扩建燃用高污染燃料的锅炉、窑炉、炉灶等设施，不得将其他燃料燃用设施改造为高污染燃料燃用设施。</w:t>
                  </w:r>
                  <w:r>
                    <w:rPr>
                      <w:rFonts w:hint="eastAsia" w:cs="Times New Roman"/>
                      <w:b w:val="0"/>
                      <w:bCs w:val="0"/>
                      <w:color w:val="auto"/>
                      <w:kern w:val="0"/>
                      <w:sz w:val="21"/>
                      <w:szCs w:val="21"/>
                      <w:lang w:val="en-US" w:eastAsia="zh-CN" w:bidi="ar"/>
                    </w:rPr>
                    <w:t>4.禁燃区内集中供热企业必须使用符合《商品煤质量管理暂行办法》的燃煤，发电企业必须使用符合《商品煤质量发电煤粉锅炉用煤》（GB/T7562-2018）标准的燃煤，不得擅自改用其他类型的高污染燃料，高效除尘、脱硫、脱硝设施必须正常稳定运行，确保大气污染物达标排放。5.禁止生产、销售和使用高污染燃料。禁止露天烧烤，禁止焦（木）炭烧烤，禁止焚烧垃圾（树叶、杂草）、沥青、油毡、橡胶、皮革等可产生有毒、有害烟尘和恶臭气体的物质。</w:t>
                  </w:r>
                </w:p>
                <w:p w14:paraId="317AAC13">
                  <w:pPr>
                    <w:keepNext w:val="0"/>
                    <w:keepLines w:val="0"/>
                    <w:widowControl/>
                    <w:suppressLineNumbers w:val="0"/>
                    <w:jc w:val="left"/>
                    <w:rPr>
                      <w:rFonts w:hint="default" w:ascii="Times New Roman" w:hAnsi="Times New Roman" w:cs="Times New Roman"/>
                      <w:b/>
                      <w:bCs/>
                      <w:color w:val="auto"/>
                      <w:kern w:val="0"/>
                      <w:sz w:val="21"/>
                      <w:szCs w:val="21"/>
                      <w:lang w:val="en-US" w:eastAsia="zh-CN" w:bidi="ar"/>
                    </w:rPr>
                  </w:pPr>
                </w:p>
              </w:tc>
              <w:tc>
                <w:tcPr>
                  <w:tcW w:w="1470" w:type="pct"/>
                  <w:noWrap w:val="0"/>
                  <w:vAlign w:val="center"/>
                </w:tcPr>
                <w:p w14:paraId="2E967CBD">
                  <w:pPr>
                    <w:autoSpaceDE w:val="0"/>
                    <w:autoSpaceDN w:val="0"/>
                    <w:adjustRightInd w:val="0"/>
                    <w:snapToGrid w:val="0"/>
                    <w:jc w:val="center"/>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高污染燃料禁燃区：</w:t>
                  </w:r>
                  <w:r>
                    <w:rPr>
                      <w:rFonts w:hint="eastAsia" w:cs="Times New Roman"/>
                      <w:b w:val="0"/>
                      <w:bCs w:val="0"/>
                      <w:color w:val="auto"/>
                      <w:kern w:val="0"/>
                      <w:sz w:val="21"/>
                      <w:szCs w:val="21"/>
                      <w:lang w:val="en-US" w:eastAsia="zh-CN" w:bidi="ar"/>
                    </w:rPr>
                    <w:t>本项目主要为煤炭仓储和运输，不涉及高污染燃料生产、销售和使用。不会产生相应燃烧废气。</w:t>
                  </w:r>
                </w:p>
                <w:p w14:paraId="35A45DD0">
                  <w:pPr>
                    <w:autoSpaceDE w:val="0"/>
                    <w:autoSpaceDN w:val="0"/>
                    <w:adjustRightInd w:val="0"/>
                    <w:snapToGrid w:val="0"/>
                    <w:jc w:val="center"/>
                    <w:rPr>
                      <w:rFonts w:hint="default" w:ascii="Times New Roman" w:hAnsi="Times New Roman" w:eastAsia="宋体" w:cs="Times New Roman"/>
                      <w:snapToGrid w:val="0"/>
                      <w:color w:val="auto"/>
                      <w:sz w:val="21"/>
                      <w:szCs w:val="21"/>
                      <w:lang w:val="en-US" w:eastAsia="zh-CN"/>
                    </w:rPr>
                  </w:pPr>
                </w:p>
              </w:tc>
            </w:tr>
          </w:tbl>
          <w:p w14:paraId="39ECA7AE">
            <w:p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（3）“</w:t>
            </w:r>
            <w:r>
              <w:rPr>
                <w:rFonts w:hint="default" w:ascii="Times New Roman" w:hAnsi="Times New Roman" w:cs="Times New Roman"/>
                <w:b w:val="0"/>
                <w:bCs/>
                <w:color w:val="auto"/>
                <w:sz w:val="24"/>
                <w:szCs w:val="24"/>
                <w:highlight w:val="none"/>
                <w:lang w:val="en-US" w:eastAsia="zh-CN"/>
              </w:rPr>
              <w:t>一说明</w:t>
            </w:r>
            <w:r>
              <w:rPr>
                <w:rFonts w:hint="default" w:ascii="Times New Roman" w:hAnsi="Times New Roman" w:cs="Times New Roman"/>
                <w:b w:val="0"/>
                <w:bCs/>
                <w:color w:val="auto"/>
                <w:sz w:val="24"/>
                <w:szCs w:val="24"/>
                <w:highlight w:val="none"/>
                <w:lang w:eastAsia="zh-CN"/>
              </w:rPr>
              <w:t>”</w:t>
            </w:r>
          </w:p>
          <w:p w14:paraId="61208577">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根据上文“一图、一表”的分析，项目位于</w:t>
            </w:r>
            <w:r>
              <w:rPr>
                <w:rFonts w:hint="default" w:ascii="Times New Roman" w:hAnsi="Times New Roman" w:cs="Times New Roman"/>
                <w:color w:val="auto"/>
                <w:sz w:val="24"/>
                <w:szCs w:val="24"/>
                <w:shd w:val="clear" w:color="auto" w:fill="auto"/>
                <w:lang w:val="en-US" w:eastAsia="zh-CN"/>
              </w:rPr>
              <w:t>陕西省宝鸡市</w:t>
            </w:r>
            <w:r>
              <w:rPr>
                <w:rFonts w:hint="eastAsia" w:ascii="Times New Roman" w:hAnsi="Times New Roman" w:cs="Times New Roman"/>
                <w:color w:val="auto"/>
                <w:sz w:val="24"/>
                <w:szCs w:val="24"/>
                <w:shd w:val="clear" w:color="auto" w:fill="auto"/>
                <w:lang w:val="en-US" w:eastAsia="zh-CN"/>
              </w:rPr>
              <w:t>陈仓区</w:t>
            </w:r>
            <w:r>
              <w:rPr>
                <w:rFonts w:hint="default" w:ascii="Times New Roman" w:hAnsi="Times New Roman" w:cs="Times New Roman"/>
                <w:color w:val="auto"/>
                <w:sz w:val="24"/>
                <w:szCs w:val="24"/>
                <w:shd w:val="clear" w:color="auto" w:fill="auto"/>
                <w:lang w:val="en-US" w:eastAsia="zh-CN"/>
              </w:rPr>
              <w:t>重点管控单元</w:t>
            </w:r>
            <w:r>
              <w:rPr>
                <w:rFonts w:hint="eastAsia" w:cs="Times New Roman"/>
                <w:color w:val="auto"/>
                <w:sz w:val="24"/>
                <w:szCs w:val="24"/>
                <w:shd w:val="clear" w:color="auto" w:fill="auto"/>
                <w:lang w:val="en-US" w:eastAsia="zh-CN"/>
              </w:rPr>
              <w:t>10</w:t>
            </w:r>
            <w:r>
              <w:rPr>
                <w:rFonts w:hint="default" w:ascii="Times New Roman" w:hAnsi="Times New Roman" w:cs="Times New Roman"/>
                <w:b w:val="0"/>
                <w:bCs/>
                <w:color w:val="auto"/>
                <w:sz w:val="24"/>
                <w:szCs w:val="24"/>
                <w:highlight w:val="none"/>
                <w:lang w:val="en-US" w:eastAsia="zh-CN"/>
              </w:rPr>
              <w:t>，项目所在地不涉及生态红线，本项目生产过程中会产生一定的废气、废水、噪声及固废，经下文预测，废气、厂界噪声均能够达标排放；</w:t>
            </w:r>
            <w:r>
              <w:rPr>
                <w:rFonts w:hint="eastAsia" w:ascii="Times New Roman" w:hAnsi="Times New Roman" w:cs="Times New Roman"/>
                <w:b w:val="0"/>
                <w:bCs/>
                <w:color w:val="auto"/>
                <w:sz w:val="24"/>
                <w:szCs w:val="24"/>
                <w:highlight w:val="none"/>
                <w:lang w:val="en-US" w:eastAsia="zh-CN"/>
              </w:rPr>
              <w:t>废水经处理后</w:t>
            </w:r>
            <w:r>
              <w:rPr>
                <w:rFonts w:hint="eastAsia" w:cs="Times New Roman"/>
                <w:b w:val="0"/>
                <w:bCs/>
                <w:color w:val="auto"/>
                <w:sz w:val="24"/>
                <w:szCs w:val="24"/>
                <w:highlight w:val="none"/>
                <w:lang w:val="en-US" w:eastAsia="zh-CN"/>
              </w:rPr>
              <w:t>重复</w:t>
            </w:r>
            <w:r>
              <w:rPr>
                <w:rFonts w:hint="eastAsia" w:ascii="Times New Roman" w:hAnsi="Times New Roman" w:cs="Times New Roman"/>
                <w:b w:val="0"/>
                <w:bCs/>
                <w:color w:val="auto"/>
                <w:sz w:val="24"/>
                <w:szCs w:val="24"/>
                <w:highlight w:val="none"/>
                <w:lang w:val="en-US" w:eastAsia="zh-CN"/>
              </w:rPr>
              <w:t>使用不外排，</w:t>
            </w:r>
            <w:r>
              <w:rPr>
                <w:rFonts w:hint="default" w:ascii="Times New Roman" w:hAnsi="Times New Roman" w:cs="Times New Roman"/>
                <w:b w:val="0"/>
                <w:bCs/>
                <w:color w:val="auto"/>
                <w:sz w:val="24"/>
                <w:szCs w:val="24"/>
                <w:highlight w:val="none"/>
                <w:lang w:val="en-US" w:eastAsia="zh-CN"/>
              </w:rPr>
              <w:t>产生</w:t>
            </w:r>
            <w:r>
              <w:rPr>
                <w:rFonts w:hint="eastAsia" w:cs="Times New Roman"/>
                <w:b w:val="0"/>
                <w:bCs/>
                <w:color w:val="auto"/>
                <w:sz w:val="24"/>
                <w:szCs w:val="24"/>
                <w:highlight w:val="none"/>
                <w:lang w:val="en-US" w:eastAsia="zh-CN"/>
              </w:rPr>
              <w:t>的</w:t>
            </w:r>
            <w:r>
              <w:rPr>
                <w:rFonts w:hint="default" w:ascii="Times New Roman" w:hAnsi="Times New Roman" w:cs="Times New Roman"/>
                <w:b w:val="0"/>
                <w:bCs/>
                <w:color w:val="auto"/>
                <w:sz w:val="24"/>
                <w:szCs w:val="24"/>
                <w:highlight w:val="none"/>
                <w:lang w:val="en-US" w:eastAsia="zh-CN"/>
              </w:rPr>
              <w:t>固废经收集后均能得到合理处置，可以满足相关环境管控单元的管控要求。</w:t>
            </w:r>
          </w:p>
          <w:p w14:paraId="39164FCE">
            <w:pPr>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2</w:t>
            </w:r>
            <w:r>
              <w:rPr>
                <w:rFonts w:hint="eastAsia" w:ascii="Times New Roman" w:hAnsi="Times New Roman" w:eastAsia="宋体" w:cs="Times New Roman"/>
                <w:b/>
                <w:bCs w:val="0"/>
                <w:color w:val="auto"/>
                <w:sz w:val="24"/>
                <w:szCs w:val="24"/>
                <w:lang w:val="en-US" w:eastAsia="zh-CN"/>
              </w:rPr>
              <w:t>.</w:t>
            </w:r>
            <w:r>
              <w:rPr>
                <w:rFonts w:hint="default" w:ascii="Times New Roman" w:hAnsi="Times New Roman" w:eastAsia="宋体" w:cs="Times New Roman"/>
                <w:b/>
                <w:bCs w:val="0"/>
                <w:color w:val="auto"/>
                <w:sz w:val="24"/>
                <w:szCs w:val="24"/>
              </w:rPr>
              <w:t>项目</w:t>
            </w:r>
            <w:r>
              <w:rPr>
                <w:rFonts w:hint="eastAsia" w:ascii="Times New Roman" w:hAnsi="Times New Roman" w:eastAsia="宋体" w:cs="Times New Roman"/>
                <w:b/>
                <w:bCs w:val="0"/>
                <w:color w:val="auto"/>
                <w:sz w:val="24"/>
                <w:szCs w:val="24"/>
                <w:lang w:eastAsia="zh-CN"/>
              </w:rPr>
              <w:t>与</w:t>
            </w:r>
            <w:r>
              <w:rPr>
                <w:rFonts w:hint="default" w:ascii="Times New Roman" w:hAnsi="Times New Roman" w:eastAsia="宋体" w:cs="Times New Roman"/>
                <w:b/>
                <w:bCs w:val="0"/>
                <w:color w:val="auto"/>
                <w:sz w:val="24"/>
                <w:szCs w:val="24"/>
                <w:lang w:eastAsia="zh-CN"/>
              </w:rPr>
              <w:t>相关生态环境保护法律法</w:t>
            </w:r>
            <w:r>
              <w:rPr>
                <w:rFonts w:hint="eastAsia" w:ascii="Times New Roman" w:hAnsi="Times New Roman" w:eastAsia="宋体" w:cs="Times New Roman"/>
                <w:b/>
                <w:bCs w:val="0"/>
                <w:color w:val="auto"/>
                <w:sz w:val="24"/>
                <w:szCs w:val="24"/>
                <w:lang w:eastAsia="zh-CN"/>
              </w:rPr>
              <w:t>规和</w:t>
            </w:r>
            <w:r>
              <w:rPr>
                <w:rFonts w:hint="default" w:ascii="Times New Roman" w:hAnsi="Times New Roman" w:eastAsia="宋体" w:cs="Times New Roman"/>
                <w:b/>
                <w:bCs w:val="0"/>
                <w:color w:val="auto"/>
                <w:sz w:val="24"/>
                <w:szCs w:val="24"/>
                <w:lang w:eastAsia="zh-CN"/>
              </w:rPr>
              <w:t>政策、生态环境保护规划的符合性分析</w:t>
            </w:r>
            <w:r>
              <w:rPr>
                <w:rFonts w:hint="default" w:ascii="Times New Roman" w:hAnsi="Times New Roman" w:eastAsia="宋体" w:cs="Times New Roman"/>
                <w:b/>
                <w:bCs w:val="0"/>
                <w:color w:val="auto"/>
                <w:sz w:val="24"/>
                <w:szCs w:val="24"/>
              </w:rPr>
              <w:t>：</w:t>
            </w:r>
          </w:p>
          <w:p w14:paraId="549B8AE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lang w:val="en-US" w:eastAsia="zh-CN"/>
              </w:rPr>
              <w:t xml:space="preserve"> 项目与生态环境保护法律法规政策、</w:t>
            </w:r>
            <w:r>
              <w:rPr>
                <w:rFonts w:hint="eastAsia" w:cs="Times New Roman"/>
                <w:b/>
                <w:bCs/>
                <w:color w:val="auto"/>
                <w:sz w:val="21"/>
                <w:szCs w:val="21"/>
                <w:lang w:val="en-US" w:eastAsia="zh-CN"/>
              </w:rPr>
              <w:t>生态环境保护</w:t>
            </w:r>
            <w:r>
              <w:rPr>
                <w:rFonts w:hint="default" w:ascii="Times New Roman" w:hAnsi="Times New Roman" w:eastAsia="宋体" w:cs="Times New Roman"/>
                <w:b/>
                <w:bCs/>
                <w:color w:val="auto"/>
                <w:sz w:val="21"/>
                <w:szCs w:val="21"/>
                <w:lang w:val="en-US" w:eastAsia="zh-CN"/>
              </w:rPr>
              <w:t>规划符合性分析表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3205"/>
              <w:gridCol w:w="2096"/>
              <w:gridCol w:w="887"/>
            </w:tblGrid>
            <w:tr w14:paraId="44EE4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tcBorders>
                    <w:tl2br w:val="nil"/>
                    <w:tr2bl w:val="nil"/>
                  </w:tcBorders>
                  <w:noWrap w:val="0"/>
                  <w:vAlign w:val="center"/>
                </w:tcPr>
                <w:p w14:paraId="5CFF940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063" w:type="pct"/>
                  <w:tcBorders>
                    <w:tl2br w:val="nil"/>
                    <w:tr2bl w:val="nil"/>
                  </w:tcBorders>
                  <w:noWrap w:val="0"/>
                  <w:vAlign w:val="center"/>
                </w:tcPr>
                <w:p w14:paraId="7F21C65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规划内容</w:t>
                  </w:r>
                </w:p>
              </w:tc>
              <w:tc>
                <w:tcPr>
                  <w:tcW w:w="1349" w:type="pct"/>
                  <w:tcBorders>
                    <w:tl2br w:val="nil"/>
                    <w:tr2bl w:val="nil"/>
                  </w:tcBorders>
                  <w:noWrap w:val="0"/>
                  <w:vAlign w:val="center"/>
                </w:tcPr>
                <w:p w14:paraId="420C515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本项目情况</w:t>
                  </w:r>
                </w:p>
              </w:tc>
              <w:tc>
                <w:tcPr>
                  <w:tcW w:w="571" w:type="pct"/>
                  <w:tcBorders>
                    <w:tl2br w:val="nil"/>
                    <w:tr2bl w:val="nil"/>
                  </w:tcBorders>
                  <w:noWrap w:val="0"/>
                  <w:vAlign w:val="center"/>
                </w:tcPr>
                <w:p w14:paraId="4E6869F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符合性</w:t>
                  </w:r>
                </w:p>
              </w:tc>
            </w:tr>
            <w:tr w14:paraId="6186B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6" w:hRule="atLeast"/>
                <w:jc w:val="center"/>
              </w:trPr>
              <w:tc>
                <w:tcPr>
                  <w:tcW w:w="1015" w:type="pct"/>
                  <w:vMerge w:val="restart"/>
                  <w:tcBorders>
                    <w:tl2br w:val="nil"/>
                    <w:tr2bl w:val="nil"/>
                  </w:tcBorders>
                  <w:noWrap w:val="0"/>
                  <w:vAlign w:val="center"/>
                </w:tcPr>
                <w:p w14:paraId="465CDF5D">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eastAsia="宋体" w:cs="Times New Roman"/>
                      <w:color w:val="auto"/>
                    </w:rPr>
                    <w:t>《宝鸡市“十</w:t>
                  </w:r>
                  <w:r>
                    <w:rPr>
                      <w:rFonts w:hint="default" w:ascii="Times New Roman" w:hAnsi="Times New Roman" w:eastAsia="宋体" w:cs="Times New Roman"/>
                      <w:color w:val="auto"/>
                      <w:lang w:eastAsia="zh-CN"/>
                    </w:rPr>
                    <w:t>四</w:t>
                  </w:r>
                  <w:r>
                    <w:rPr>
                      <w:rFonts w:hint="default" w:ascii="Times New Roman" w:hAnsi="Times New Roman" w:eastAsia="宋体" w:cs="Times New Roman"/>
                      <w:color w:val="auto"/>
                    </w:rPr>
                    <w:t>五”生态环境保护规划》</w:t>
                  </w:r>
                </w:p>
              </w:tc>
              <w:tc>
                <w:tcPr>
                  <w:tcW w:w="2063" w:type="pct"/>
                  <w:tcBorders>
                    <w:tl2br w:val="nil"/>
                    <w:tr2bl w:val="nil"/>
                  </w:tcBorders>
                  <w:noWrap w:val="0"/>
                  <w:vAlign w:val="center"/>
                </w:tcPr>
                <w:p w14:paraId="367DC0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Cs w:val="21"/>
                      <w:lang w:val="en-US"/>
                    </w:rPr>
                  </w:pPr>
                  <w:r>
                    <w:rPr>
                      <w:rFonts w:hint="eastAsia" w:cs="Times New Roman"/>
                      <w:color w:val="auto"/>
                      <w:lang w:val="en-US" w:eastAsia="zh-CN"/>
                    </w:rPr>
                    <w:t>持续推进堆场扬尘综合治理。进一步落实煤炭、商品混凝土、粉煤灰等工业企业物料堆场抑尘措施，配套建设密闭物料仓库，完善场地硬化、车辆冲洗、防风墙等抑尘措施，强化涉煤堆、土堆、沙堆、料堆等重点企业的监督管理。大型煤堆、料堆等物料堆场建立密闭料仓与传送装置，露天堆放时设置密闭大棚，并建设自动喷淋装置，所有进出口配备出厂洗车设备。</w:t>
                  </w:r>
                </w:p>
              </w:tc>
              <w:tc>
                <w:tcPr>
                  <w:tcW w:w="1349" w:type="pct"/>
                  <w:tcBorders>
                    <w:tl2br w:val="nil"/>
                    <w:tr2bl w:val="nil"/>
                  </w:tcBorders>
                  <w:noWrap w:val="0"/>
                  <w:vAlign w:val="center"/>
                </w:tcPr>
                <w:p w14:paraId="58E74A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本项目建设密闭仓储大棚，地面硬化处理，内设喷淋设施，厂区四周设防风墙，出口有洗车台，符合相关要求。</w:t>
                  </w:r>
                </w:p>
              </w:tc>
              <w:tc>
                <w:tcPr>
                  <w:tcW w:w="571" w:type="pct"/>
                  <w:tcBorders>
                    <w:tl2br w:val="nil"/>
                    <w:tr2bl w:val="nil"/>
                  </w:tcBorders>
                  <w:noWrap w:val="0"/>
                  <w:vAlign w:val="center"/>
                </w:tcPr>
                <w:p w14:paraId="381540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1273A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continue"/>
                  <w:tcBorders>
                    <w:tl2br w:val="nil"/>
                    <w:tr2bl w:val="nil"/>
                  </w:tcBorders>
                  <w:noWrap w:val="0"/>
                  <w:vAlign w:val="center"/>
                </w:tcPr>
                <w:p w14:paraId="5A0BBC6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rPr>
                  </w:pPr>
                </w:p>
              </w:tc>
              <w:tc>
                <w:tcPr>
                  <w:tcW w:w="2063" w:type="pct"/>
                  <w:tcBorders>
                    <w:tl2br w:val="nil"/>
                    <w:tr2bl w:val="nil"/>
                  </w:tcBorders>
                  <w:noWrap w:val="0"/>
                  <w:vAlign w:val="center"/>
                </w:tcPr>
                <w:p w14:paraId="67EF56A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强化涉固体废物建设项目的环境准入管理，从源头杜绝工业固体废物产生量大且综合利用率低，难以实现经济效益、环境效益和社会效益相协调的项目落地。</w:t>
                  </w:r>
                </w:p>
              </w:tc>
              <w:tc>
                <w:tcPr>
                  <w:tcW w:w="1349" w:type="pct"/>
                  <w:tcBorders>
                    <w:tl2br w:val="nil"/>
                    <w:tr2bl w:val="nil"/>
                  </w:tcBorders>
                  <w:noWrap w:val="0"/>
                  <w:vAlign w:val="center"/>
                </w:tcPr>
                <w:p w14:paraId="303B9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eastAsia="宋体" w:cs="Times New Roman"/>
                      <w:color w:val="auto"/>
                      <w:lang w:eastAsia="zh-CN"/>
                    </w:rPr>
                    <w:t>本项目</w:t>
                  </w:r>
                  <w:r>
                    <w:rPr>
                      <w:rFonts w:hint="eastAsia" w:cs="Times New Roman"/>
                      <w:color w:val="auto"/>
                      <w:lang w:val="en-US" w:eastAsia="zh-CN"/>
                    </w:rPr>
                    <w:t>固废主要为沉淀池内产生的煤泥，定期清理后倒入煤场回用。</w:t>
                  </w:r>
                </w:p>
              </w:tc>
              <w:tc>
                <w:tcPr>
                  <w:tcW w:w="571" w:type="pct"/>
                  <w:tcBorders>
                    <w:tl2br w:val="nil"/>
                    <w:tr2bl w:val="nil"/>
                  </w:tcBorders>
                  <w:noWrap w:val="0"/>
                  <w:vAlign w:val="center"/>
                </w:tcPr>
                <w:p w14:paraId="2BC24E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符合</w:t>
                  </w:r>
                </w:p>
              </w:tc>
            </w:tr>
            <w:tr w14:paraId="6C3F8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5" w:type="pct"/>
                  <w:tcBorders>
                    <w:tl2br w:val="nil"/>
                    <w:tr2bl w:val="nil"/>
                  </w:tcBorders>
                  <w:noWrap w:val="0"/>
                  <w:vAlign w:val="center"/>
                </w:tcPr>
                <w:p w14:paraId="63F342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cs="Times New Roman"/>
                      <w:snapToGrid w:val="0"/>
                      <w:color w:val="auto"/>
                      <w:szCs w:val="21"/>
                    </w:rPr>
                    <w:t>《宝鸡市大气污染防治条例》</w:t>
                  </w:r>
                </w:p>
              </w:tc>
              <w:tc>
                <w:tcPr>
                  <w:tcW w:w="2063" w:type="pct"/>
                  <w:tcBorders>
                    <w:tl2br w:val="nil"/>
                    <w:tr2bl w:val="nil"/>
                  </w:tcBorders>
                  <w:noWrap w:val="0"/>
                  <w:vAlign w:val="center"/>
                </w:tcPr>
                <w:p w14:paraId="36419A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eastAsia"/>
                      <w:bCs/>
                      <w:szCs w:val="21"/>
                    </w:rPr>
                    <w:t>工业生产企业应当采取密闭、围挡、遮盖、清扫、洒水等措施，减少内部物料的堆存、传输、装卸等环节产生的粉尘和气态污染物的排放。</w:t>
                  </w:r>
                </w:p>
              </w:tc>
              <w:tc>
                <w:tcPr>
                  <w:tcW w:w="1349" w:type="pct"/>
                  <w:tcBorders>
                    <w:tl2br w:val="nil"/>
                    <w:tr2bl w:val="nil"/>
                  </w:tcBorders>
                  <w:noWrap w:val="0"/>
                  <w:vAlign w:val="center"/>
                </w:tcPr>
                <w:p w14:paraId="73AE13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本项目建设密闭仓储大棚，内设喷淋抑尘设施，外设雾炮机、洒水车等降尘设施，出入口设洗车台，可有效降低堆存、传输、装卸等环节产生的粉尘。</w:t>
                  </w:r>
                </w:p>
              </w:tc>
              <w:tc>
                <w:tcPr>
                  <w:tcW w:w="571" w:type="pct"/>
                  <w:tcBorders>
                    <w:tl2br w:val="nil"/>
                    <w:tr2bl w:val="nil"/>
                  </w:tcBorders>
                  <w:noWrap w:val="0"/>
                  <w:vAlign w:val="center"/>
                </w:tcPr>
                <w:p w14:paraId="49F4C8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eastAsia="zh-CN"/>
                    </w:rPr>
                  </w:pPr>
                  <w:r>
                    <w:rPr>
                      <w:rFonts w:hint="default" w:ascii="Times New Roman" w:hAnsi="Times New Roman" w:cs="Times New Roman"/>
                      <w:color w:val="auto"/>
                      <w:szCs w:val="21"/>
                      <w:lang w:eastAsia="zh-CN"/>
                    </w:rPr>
                    <w:t>符合</w:t>
                  </w:r>
                </w:p>
              </w:tc>
            </w:tr>
            <w:tr w14:paraId="4216D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8" w:hRule="atLeast"/>
                <w:jc w:val="center"/>
              </w:trPr>
              <w:tc>
                <w:tcPr>
                  <w:tcW w:w="1015" w:type="pct"/>
                  <w:vMerge w:val="restart"/>
                  <w:tcBorders>
                    <w:tl2br w:val="nil"/>
                    <w:tr2bl w:val="nil"/>
                  </w:tcBorders>
                  <w:noWrap w:val="0"/>
                  <w:vAlign w:val="center"/>
                </w:tcPr>
                <w:p w14:paraId="1C61A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napToGrid w:val="0"/>
                      <w:color w:val="auto"/>
                      <w:szCs w:val="21"/>
                      <w:lang w:eastAsia="zh-CN"/>
                    </w:rPr>
                  </w:pPr>
                  <w:r>
                    <w:rPr>
                      <w:rFonts w:hint="eastAsia" w:ascii="Times New Roman" w:hAnsi="Times New Roman" w:cs="Times New Roman"/>
                      <w:snapToGrid w:val="0"/>
                      <w:color w:val="auto"/>
                      <w:szCs w:val="21"/>
                      <w:lang w:eastAsia="zh-CN"/>
                    </w:rPr>
                    <w:t>《</w:t>
                  </w:r>
                  <w:r>
                    <w:rPr>
                      <w:rFonts w:hint="eastAsia" w:ascii="Times New Roman" w:hAnsi="Times New Roman" w:cs="Times New Roman"/>
                      <w:snapToGrid w:val="0"/>
                      <w:color w:val="auto"/>
                      <w:szCs w:val="21"/>
                      <w:lang w:val="en-US" w:eastAsia="zh-CN"/>
                    </w:rPr>
                    <w:t>宝鸡市大气污染专项行动方案</w:t>
                  </w:r>
                  <w:r>
                    <w:rPr>
                      <w:rFonts w:hint="eastAsia" w:ascii="Times New Roman" w:hAnsi="Times New Roman" w:cs="Times New Roman"/>
                      <w:snapToGrid w:val="0"/>
                      <w:color w:val="auto"/>
                      <w:szCs w:val="21"/>
                      <w:lang w:eastAsia="zh-CN"/>
                    </w:rPr>
                    <w:t>》（</w:t>
                  </w:r>
                  <w:r>
                    <w:rPr>
                      <w:rFonts w:hint="eastAsia" w:ascii="Times New Roman" w:hAnsi="Times New Roman" w:cs="Times New Roman"/>
                      <w:snapToGrid w:val="0"/>
                      <w:color w:val="auto"/>
                      <w:szCs w:val="21"/>
                      <w:lang w:val="en-US" w:eastAsia="zh-CN"/>
                    </w:rPr>
                    <w:t>2023-2027</w:t>
                  </w:r>
                  <w:r>
                    <w:rPr>
                      <w:rFonts w:hint="eastAsia" w:ascii="Times New Roman" w:hAnsi="Times New Roman" w:cs="Times New Roman"/>
                      <w:snapToGrid w:val="0"/>
                      <w:color w:val="auto"/>
                      <w:szCs w:val="21"/>
                      <w:lang w:eastAsia="zh-CN"/>
                    </w:rPr>
                    <w:t>）</w:t>
                  </w:r>
                </w:p>
              </w:tc>
              <w:tc>
                <w:tcPr>
                  <w:tcW w:w="2063" w:type="pct"/>
                  <w:tcBorders>
                    <w:tl2br w:val="nil"/>
                    <w:tr2bl w:val="nil"/>
                  </w:tcBorders>
                  <w:noWrap w:val="0"/>
                  <w:vAlign w:val="center"/>
                </w:tcPr>
                <w:p w14:paraId="057A6FA6">
                  <w:pPr>
                    <w:pageBreakBefore w:val="0"/>
                    <w:kinsoku/>
                    <w:overflowPunct/>
                    <w:topLinePunct w:val="0"/>
                    <w:bidi w:val="0"/>
                    <w:spacing w:beforeAutospacing="0" w:afterAutospacing="0" w:line="240" w:lineRule="auto"/>
                    <w:ind w:left="0" w:firstLine="0" w:firstLineChars="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严格落实监管责任，实施网格化考核。关中生活污水地区以降低PM</w:t>
                  </w:r>
                  <w:r>
                    <w:rPr>
                      <w:rFonts w:hint="eastAsia" w:ascii="Times New Roman" w:hAnsi="Times New Roman" w:eastAsia="宋体" w:cs="Times New Roman"/>
                      <w:color w:val="000000" w:themeColor="text1"/>
                      <w:sz w:val="21"/>
                      <w:szCs w:val="21"/>
                      <w:vertAlign w:val="subscript"/>
                      <w14:textFill>
                        <w14:solidFill>
                          <w14:schemeClr w14:val="tx1"/>
                        </w14:solidFill>
                      </w14:textFill>
                    </w:rPr>
                    <w:t>10</w:t>
                  </w:r>
                  <w:r>
                    <w:rPr>
                      <w:rFonts w:hint="eastAsia" w:ascii="Times New Roman" w:hAnsi="Times New Roman" w:eastAsia="宋体" w:cs="Times New Roman"/>
                      <w:color w:val="000000" w:themeColor="text1"/>
                      <w:sz w:val="21"/>
                      <w:szCs w:val="21"/>
                      <w14:textFill>
                        <w14:solidFill>
                          <w14:schemeClr w14:val="tx1"/>
                        </w14:solidFill>
                      </w14:textFill>
                    </w:rPr>
                    <w:t>指标为导向建立动态管控机制，施工场地严格执行“六个百分百”，施工工地扬尘排放</w:t>
                  </w:r>
                </w:p>
                <w:p w14:paraId="6C53C7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000000" w:themeColor="text1"/>
                      <w:sz w:val="21"/>
                      <w:szCs w:val="21"/>
                      <w14:textFill>
                        <w14:solidFill>
                          <w14:schemeClr w14:val="tx1"/>
                        </w14:solidFill>
                      </w14:textFill>
                    </w:rPr>
                    <w:t>超过《施工场界扬尘排放限值（DB61/1078-2017）》的立即停工整改</w:t>
                  </w:r>
                  <w:r>
                    <w:rPr>
                      <w:rFonts w:hint="eastAsia" w:cs="Times New Roman"/>
                      <w:color w:val="000000" w:themeColor="text1"/>
                      <w:sz w:val="21"/>
                      <w:szCs w:val="21"/>
                      <w:lang w:eastAsia="zh-CN"/>
                      <w14:textFill>
                        <w14:solidFill>
                          <w14:schemeClr w14:val="tx1"/>
                        </w14:solidFill>
                      </w14:textFill>
                    </w:rPr>
                    <w:t>。</w:t>
                  </w:r>
                </w:p>
              </w:tc>
              <w:tc>
                <w:tcPr>
                  <w:tcW w:w="1349" w:type="pct"/>
                  <w:vMerge w:val="restart"/>
                  <w:tcBorders>
                    <w:tl2br w:val="nil"/>
                    <w:tr2bl w:val="nil"/>
                  </w:tcBorders>
                  <w:noWrap w:val="0"/>
                  <w:vAlign w:val="center"/>
                </w:tcPr>
                <w:p w14:paraId="62889C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本项目施工过程中严格按照要求执行六个100%，并加强扬尘管控。</w:t>
                  </w:r>
                </w:p>
              </w:tc>
              <w:tc>
                <w:tcPr>
                  <w:tcW w:w="571" w:type="pct"/>
                  <w:vMerge w:val="restart"/>
                  <w:tcBorders>
                    <w:tl2br w:val="nil"/>
                    <w:tr2bl w:val="nil"/>
                  </w:tcBorders>
                  <w:noWrap w:val="0"/>
                  <w:vAlign w:val="center"/>
                </w:tcPr>
                <w:p w14:paraId="5DDB13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符合</w:t>
                  </w:r>
                </w:p>
              </w:tc>
            </w:tr>
            <w:tr w14:paraId="55DEF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restart"/>
                  <w:tcBorders>
                    <w:tl2br w:val="nil"/>
                    <w:tr2bl w:val="nil"/>
                  </w:tcBorders>
                  <w:noWrap w:val="0"/>
                  <w:vAlign w:val="center"/>
                </w:tcPr>
                <w:p w14:paraId="6F64BA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陕西省噪声污染防治行动计划</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2023</w:t>
                  </w:r>
                  <w:r>
                    <w:rPr>
                      <w:rFonts w:hint="eastAsia" w:cs="Times New Roman"/>
                      <w:color w:val="auto"/>
                      <w:szCs w:val="21"/>
                      <w:lang w:val="en-US" w:eastAsia="zh-CN"/>
                    </w:rPr>
                    <w:t>—</w:t>
                  </w:r>
                  <w:r>
                    <w:rPr>
                      <w:rFonts w:hint="eastAsia" w:ascii="Times New Roman" w:hAnsi="Times New Roman" w:cs="Times New Roman"/>
                      <w:color w:val="auto"/>
                      <w:szCs w:val="21"/>
                      <w:lang w:val="en-US" w:eastAsia="zh-CN"/>
                    </w:rPr>
                    <w:t>2025年</w:t>
                  </w:r>
                  <w:r>
                    <w:rPr>
                      <w:rFonts w:hint="eastAsia" w:ascii="Times New Roman" w:hAnsi="Times New Roman" w:cs="Times New Roman"/>
                      <w:color w:val="auto"/>
                      <w:szCs w:val="21"/>
                      <w:lang w:eastAsia="zh-CN"/>
                    </w:rPr>
                    <w:t>）</w:t>
                  </w:r>
                </w:p>
              </w:tc>
              <w:tc>
                <w:tcPr>
                  <w:tcW w:w="2063" w:type="pct"/>
                  <w:tcBorders>
                    <w:tl2br w:val="nil"/>
                    <w:tr2bl w:val="nil"/>
                  </w:tcBorders>
                  <w:noWrap w:val="0"/>
                  <w:vAlign w:val="center"/>
                </w:tcPr>
                <w:p w14:paraId="35E336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eastAsia="zh-CN"/>
                      <w14:textFill>
                        <w14:solidFill>
                          <w14:schemeClr w14:val="tx1"/>
                        </w14:solidFill>
                      </w14:textFill>
                    </w:rPr>
                    <w:t>加严噪声敏感建筑物集中区域施工要求。噪声敏感建筑物集中区域的施工场地应优先使用低噪声施工工艺和设备，采取减振降噪措施，加强进出场地运输车辆管理。建设单位应根据国家规定设置噪声自动监测系统。</w:t>
                  </w:r>
                </w:p>
              </w:tc>
              <w:tc>
                <w:tcPr>
                  <w:tcW w:w="1349" w:type="pct"/>
                  <w:vMerge w:val="restart"/>
                  <w:tcBorders>
                    <w:tl2br w:val="nil"/>
                    <w:tr2bl w:val="nil"/>
                  </w:tcBorders>
                  <w:noWrap w:val="0"/>
                  <w:vAlign w:val="center"/>
                </w:tcPr>
                <w:p w14:paraId="1033CBE6">
                  <w:pPr>
                    <w:pStyle w:val="12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w:t>
                  </w:r>
                  <w:r>
                    <w:rPr>
                      <w:rFonts w:hint="eastAsia" w:ascii="Times New Roman" w:hAnsi="Times New Roman" w:cs="Times New Roman"/>
                      <w:color w:val="000000" w:themeColor="text1"/>
                      <w:sz w:val="21"/>
                      <w:szCs w:val="21"/>
                      <w:lang w:val="en-US" w:eastAsia="zh-CN"/>
                      <w14:textFill>
                        <w14:solidFill>
                          <w14:schemeClr w14:val="tx1"/>
                        </w14:solidFill>
                      </w14:textFill>
                    </w:rPr>
                    <w:t>项目主要为煤炭仓储，主要噪声设备为铲车等非道路移动车辆，主要靠近西南侧铁路线位置活动，其他区域均为储存地，噪声设备，远离东北侧敏感点。</w:t>
                  </w:r>
                </w:p>
                <w:p w14:paraId="09F58262">
                  <w:pPr>
                    <w:pStyle w:val="126"/>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firstLine="0" w:firstLineChars="0"/>
                    <w:jc w:val="both"/>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建设单位</w:t>
                  </w:r>
                  <w:r>
                    <w:rPr>
                      <w:rFonts w:hint="eastAsia" w:ascii="Times New Roman" w:hAnsi="Times New Roman" w:cs="Times New Roman"/>
                      <w:color w:val="000000" w:themeColor="text1"/>
                      <w:sz w:val="21"/>
                      <w:szCs w:val="21"/>
                      <w:lang w:val="en-US" w:eastAsia="zh-CN"/>
                      <w14:textFill>
                        <w14:solidFill>
                          <w14:schemeClr w14:val="tx1"/>
                        </w14:solidFill>
                      </w14:textFill>
                    </w:rPr>
                    <w:t>对</w:t>
                  </w:r>
                  <w:r>
                    <w:rPr>
                      <w:rFonts w:hint="default" w:ascii="Times New Roman" w:hAnsi="Times New Roman" w:eastAsia="宋体" w:cs="Times New Roman"/>
                      <w:color w:val="000000" w:themeColor="text1"/>
                      <w:sz w:val="21"/>
                      <w:szCs w:val="21"/>
                      <w14:textFill>
                        <w14:solidFill>
                          <w14:schemeClr w14:val="tx1"/>
                        </w14:solidFill>
                      </w14:textFill>
                    </w:rPr>
                    <w:t>设备进行</w:t>
                  </w:r>
                  <w:r>
                    <w:rPr>
                      <w:rFonts w:hint="eastAsia" w:ascii="Times New Roman" w:hAnsi="Times New Roman" w:cs="Times New Roman"/>
                      <w:color w:val="000000" w:themeColor="text1"/>
                      <w:sz w:val="21"/>
                      <w:szCs w:val="21"/>
                      <w:lang w:val="en-US" w:eastAsia="zh-CN"/>
                      <w14:textFill>
                        <w14:solidFill>
                          <w14:schemeClr w14:val="tx1"/>
                        </w14:solidFill>
                      </w14:textFill>
                    </w:rPr>
                    <w:t>定期</w:t>
                  </w:r>
                  <w:r>
                    <w:rPr>
                      <w:rFonts w:hint="default" w:ascii="Times New Roman" w:hAnsi="Times New Roman" w:eastAsia="宋体" w:cs="Times New Roman"/>
                      <w:color w:val="000000" w:themeColor="text1"/>
                      <w:sz w:val="21"/>
                      <w:szCs w:val="21"/>
                      <w14:textFill>
                        <w14:solidFill>
                          <w14:schemeClr w14:val="tx1"/>
                        </w14:solidFill>
                      </w14:textFill>
                    </w:rPr>
                    <w:t>维护保养，避免设备非正常工作产生的尖锐噪声，且对运输</w:t>
                  </w:r>
                  <w:r>
                    <w:rPr>
                      <w:rFonts w:hint="eastAsia" w:ascii="Times New Roman" w:hAnsi="Times New Roman" w:cs="Times New Roman"/>
                      <w:color w:val="000000" w:themeColor="text1"/>
                      <w:sz w:val="21"/>
                      <w:szCs w:val="21"/>
                      <w:lang w:eastAsia="zh-CN"/>
                      <w14:textFill>
                        <w14:solidFill>
                          <w14:schemeClr w14:val="tx1"/>
                        </w14:solidFill>
                      </w14:textFill>
                    </w:rPr>
                    <w:t>车辆</w:t>
                  </w:r>
                  <w:r>
                    <w:rPr>
                      <w:rFonts w:hint="default" w:ascii="Times New Roman" w:hAnsi="Times New Roman" w:eastAsia="宋体" w:cs="Times New Roman"/>
                      <w:color w:val="000000" w:themeColor="text1"/>
                      <w:sz w:val="21"/>
                      <w:szCs w:val="21"/>
                      <w14:textFill>
                        <w14:solidFill>
                          <w14:schemeClr w14:val="tx1"/>
                        </w14:solidFill>
                      </w14:textFill>
                    </w:rPr>
                    <w:t>进行管理，在经过村庄、学校等区域时，限速在20km/h行驶，禁止随意鸣笛；严格控制施工时间，根据不同季节</w:t>
                  </w:r>
                  <w:r>
                    <w:rPr>
                      <w:rFonts w:hint="eastAsia" w:ascii="Times New Roman" w:hAnsi="Times New Roman" w:cs="Times New Roman"/>
                      <w:color w:val="000000" w:themeColor="text1"/>
                      <w:sz w:val="21"/>
                      <w:szCs w:val="21"/>
                      <w:lang w:val="en-US" w:eastAsia="zh-CN"/>
                      <w14:textFill>
                        <w14:solidFill>
                          <w14:schemeClr w14:val="tx1"/>
                        </w14:solidFill>
                      </w14:textFill>
                    </w:rPr>
                    <w:t>的</w:t>
                  </w:r>
                  <w:r>
                    <w:rPr>
                      <w:rFonts w:hint="default" w:ascii="Times New Roman" w:hAnsi="Times New Roman" w:eastAsia="宋体" w:cs="Times New Roman"/>
                      <w:color w:val="000000" w:themeColor="text1"/>
                      <w:sz w:val="21"/>
                      <w:szCs w:val="21"/>
                      <w14:textFill>
                        <w14:solidFill>
                          <w14:schemeClr w14:val="tx1"/>
                        </w14:solidFill>
                      </w14:textFill>
                    </w:rPr>
                    <w:t>正常休息时间，合理安排施工计划，避开夜间（22:00-06:00）昼间午休时间（12:00-14:00）施工，以免产生扰民现象。</w:t>
                  </w:r>
                </w:p>
              </w:tc>
              <w:tc>
                <w:tcPr>
                  <w:tcW w:w="571" w:type="pct"/>
                  <w:vMerge w:val="restart"/>
                  <w:tcBorders>
                    <w:tl2br w:val="nil"/>
                    <w:tr2bl w:val="nil"/>
                  </w:tcBorders>
                  <w:noWrap w:val="0"/>
                  <w:vAlign w:val="center"/>
                </w:tcPr>
                <w:p w14:paraId="294F82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5293D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015" w:type="pct"/>
                  <w:vMerge w:val="continue"/>
                  <w:tcBorders>
                    <w:tl2br w:val="nil"/>
                    <w:tr2bl w:val="nil"/>
                  </w:tcBorders>
                  <w:noWrap w:val="0"/>
                  <w:vAlign w:val="center"/>
                </w:tcPr>
                <w:p w14:paraId="7617420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rPr>
                  </w:pPr>
                </w:p>
              </w:tc>
              <w:tc>
                <w:tcPr>
                  <w:tcW w:w="2063" w:type="pct"/>
                  <w:tcBorders>
                    <w:tl2br w:val="nil"/>
                    <w:tr2bl w:val="nil"/>
                  </w:tcBorders>
                  <w:noWrap w:val="0"/>
                  <w:vAlign w:val="center"/>
                </w:tcPr>
                <w:p w14:paraId="7CC086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加强夜间施工噪声管控。严格夜间施工噪声管控，完善夜间施工证明申报、审核、时限及施工管理要求，并依法进行公示公告</w:t>
                  </w:r>
                  <w:r>
                    <w:rPr>
                      <w:rFonts w:hint="eastAsia" w:cs="Times New Roman"/>
                      <w:color w:val="000000" w:themeColor="text1"/>
                      <w:sz w:val="21"/>
                      <w:szCs w:val="21"/>
                      <w:lang w:eastAsia="zh-CN"/>
                      <w14:textFill>
                        <w14:solidFill>
                          <w14:schemeClr w14:val="tx1"/>
                        </w14:solidFill>
                      </w14:textFill>
                    </w:rPr>
                    <w:t>。</w:t>
                  </w:r>
                </w:p>
              </w:tc>
              <w:tc>
                <w:tcPr>
                  <w:tcW w:w="1349" w:type="pct"/>
                  <w:vMerge w:val="continue"/>
                  <w:tcBorders>
                    <w:tl2br w:val="nil"/>
                    <w:tr2bl w:val="nil"/>
                  </w:tcBorders>
                  <w:noWrap w:val="0"/>
                  <w:vAlign w:val="center"/>
                </w:tcPr>
                <w:p w14:paraId="7DC43E9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p>
              </w:tc>
              <w:tc>
                <w:tcPr>
                  <w:tcW w:w="571" w:type="pct"/>
                  <w:vMerge w:val="continue"/>
                  <w:tcBorders>
                    <w:tl2br w:val="nil"/>
                    <w:tr2bl w:val="nil"/>
                  </w:tcBorders>
                  <w:noWrap w:val="0"/>
                  <w:vAlign w:val="center"/>
                </w:tcPr>
                <w:p w14:paraId="10BFD9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p>
              </w:tc>
            </w:tr>
          </w:tbl>
          <w:p w14:paraId="1BA5F8D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经与</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宝鸡市“十四五”生态环境保护规划</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宝鸡市大气污染防治条例</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环境噪声与振动控制工程技术导则</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等相关政策和环保政策进行符合性分析，项目建设内容和污染防治措施与以</w:t>
            </w:r>
            <w:r>
              <w:rPr>
                <w:rFonts w:hint="default" w:ascii="Times New Roman" w:hAnsi="Times New Roman" w:cs="Times New Roman"/>
                <w:color w:val="auto"/>
                <w:sz w:val="24"/>
              </w:rPr>
              <w:t>上规划、相关政策相符。</w:t>
            </w:r>
          </w:p>
          <w:p w14:paraId="5EF7C4D9">
            <w:pPr>
              <w:keepLines w:val="0"/>
              <w:pageBreakBefore w:val="0"/>
              <w:widowControl w:val="0"/>
              <w:numPr>
                <w:ilvl w:val="0"/>
                <w:numId w:val="0"/>
              </w:numPr>
              <w:kinsoku/>
              <w:wordWrap/>
              <w:overflowPunct/>
              <w:topLinePunct w:val="0"/>
              <w:autoSpaceDE/>
              <w:autoSpaceDN/>
              <w:bidi w:val="0"/>
              <w:adjustRightInd w:val="0"/>
              <w:snapToGrid/>
              <w:spacing w:line="360" w:lineRule="auto"/>
              <w:jc w:val="center"/>
              <w:textAlignment w:val="auto"/>
              <w:rPr>
                <w:rFonts w:hint="default"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表1-3与《煤炭工业环境保护设计规范》（GB50821-2012）符合性分析</w:t>
            </w:r>
          </w:p>
          <w:tbl>
            <w:tblPr>
              <w:tblStyle w:val="3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000"/>
              <w:gridCol w:w="1533"/>
            </w:tblGrid>
            <w:tr w14:paraId="7FC76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62E5E6C0">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GB50821-2012要求</w:t>
                  </w:r>
                </w:p>
              </w:tc>
              <w:tc>
                <w:tcPr>
                  <w:tcW w:w="3000" w:type="dxa"/>
                  <w:tcBorders>
                    <w:tl2br w:val="nil"/>
                    <w:tr2bl w:val="nil"/>
                  </w:tcBorders>
                  <w:vAlign w:val="center"/>
                </w:tcPr>
                <w:p w14:paraId="1FC2B769">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本项目情况</w:t>
                  </w:r>
                </w:p>
              </w:tc>
              <w:tc>
                <w:tcPr>
                  <w:tcW w:w="1533" w:type="dxa"/>
                  <w:tcBorders>
                    <w:tl2br w:val="nil"/>
                    <w:tr2bl w:val="nil"/>
                  </w:tcBorders>
                  <w:vAlign w:val="center"/>
                </w:tcPr>
                <w:p w14:paraId="26F87A8B">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符合性</w:t>
                  </w:r>
                </w:p>
              </w:tc>
            </w:tr>
            <w:tr w14:paraId="6B6270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2EB1F4FF">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2.1.1煤炭建设项目的工业场地附属设施，严禁建设在城市规划确定的生活居住区、文教区、水源保护区、风景游览区、自然保护区以及其他需要特别保护的区域内。</w:t>
                  </w:r>
                </w:p>
              </w:tc>
              <w:tc>
                <w:tcPr>
                  <w:tcW w:w="3000" w:type="dxa"/>
                  <w:tcBorders>
                    <w:tl2br w:val="nil"/>
                    <w:tr2bl w:val="nil"/>
                  </w:tcBorders>
                  <w:vAlign w:val="center"/>
                </w:tcPr>
                <w:p w14:paraId="18871014">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本项目位于宝鸡市陈仓区千河镇张家崖村，不在需要特别保护的区域内。</w:t>
                  </w:r>
                </w:p>
              </w:tc>
              <w:tc>
                <w:tcPr>
                  <w:tcW w:w="1533" w:type="dxa"/>
                  <w:tcBorders>
                    <w:tl2br w:val="nil"/>
                    <w:tr2bl w:val="nil"/>
                  </w:tcBorders>
                  <w:vAlign w:val="center"/>
                </w:tcPr>
                <w:p w14:paraId="2DDCF277">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14:paraId="74821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2F0135FA">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2.2.3在工业场地总平面布置时，应根据污染源合理确定建</w:t>
                  </w:r>
                  <w:r>
                    <w:rPr>
                      <w:rFonts w:hint="eastAsia"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构</w:t>
                  </w:r>
                  <w:r>
                    <w:rPr>
                      <w:rFonts w:hint="eastAsia"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筑物间距、卫生防护植物带的位置及宽度。翻车机房、装车仓、受煤坑、储煤场、事故煤泥沉淀池、锅炉房等粉尘、废气源，应按全年风向频率布置在对工业场地污染最小的地点，与进风井口、提升机房、压缩空气站、变配电所、机电设备维修车间、</w:t>
                  </w:r>
                </w:p>
                <w:p w14:paraId="04E94249">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办公楼、化验室等建筑的距离，应符合现行国家标准</w:t>
                  </w:r>
                  <w:r>
                    <w:rPr>
                      <w:rFonts w:hint="eastAsia" w:cs="Times New Roman"/>
                      <w:b w:val="0"/>
                      <w:bCs w:val="0"/>
                      <w:color w:val="auto"/>
                      <w:sz w:val="21"/>
                      <w:szCs w:val="21"/>
                      <w:highlight w:val="none"/>
                      <w:vertAlign w:val="baseline"/>
                      <w:lang w:val="en-US" w:eastAsia="zh-CN"/>
                    </w:rPr>
                    <w:t>《</w:t>
                  </w:r>
                  <w:r>
                    <w:rPr>
                      <w:rFonts w:hint="eastAsia" w:ascii="Times New Roman" w:hAnsi="Times New Roman" w:eastAsia="宋体" w:cs="Times New Roman"/>
                      <w:b w:val="0"/>
                      <w:bCs w:val="0"/>
                      <w:color w:val="auto"/>
                      <w:sz w:val="21"/>
                      <w:szCs w:val="21"/>
                      <w:highlight w:val="none"/>
                      <w:vertAlign w:val="baseline"/>
                      <w:lang w:val="en-US" w:eastAsia="zh-CN"/>
                    </w:rPr>
                    <w:t>煤炭工业矿井设计规范》GB 50215和《煤炭洗选工程设计规范》GB 50359有关总平面布置的规定。</w:t>
                  </w:r>
                </w:p>
              </w:tc>
              <w:tc>
                <w:tcPr>
                  <w:tcW w:w="3000" w:type="dxa"/>
                  <w:tcBorders>
                    <w:tl2br w:val="nil"/>
                    <w:tr2bl w:val="nil"/>
                  </w:tcBorders>
                  <w:vAlign w:val="center"/>
                </w:tcPr>
                <w:p w14:paraId="2A387856">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本项目储煤场设密闭仓储大棚，且远离东南侧居民，满足规范要求。</w:t>
                  </w:r>
                </w:p>
              </w:tc>
              <w:tc>
                <w:tcPr>
                  <w:tcW w:w="1533" w:type="dxa"/>
                  <w:tcBorders>
                    <w:tl2br w:val="nil"/>
                    <w:tr2bl w:val="nil"/>
                  </w:tcBorders>
                  <w:vAlign w:val="center"/>
                </w:tcPr>
                <w:p w14:paraId="57A2BECC">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14:paraId="545135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0AEA7EF1">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4.11煤炭建设项目大气污染防治应包括对煤炭、岩石剥离物等物料加工、储、装、运过程中产生的煤尘、粉尘，以及锅炉、各种炉窑排放的烟气、烟尘等</w:t>
                  </w:r>
                </w:p>
                <w:p w14:paraId="74BF3E69">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可能对大气环境造成污染的排放源进行治理的工程设计。</w:t>
                  </w:r>
                </w:p>
              </w:tc>
              <w:tc>
                <w:tcPr>
                  <w:tcW w:w="3000" w:type="dxa"/>
                  <w:vMerge w:val="restart"/>
                  <w:tcBorders>
                    <w:tl2br w:val="nil"/>
                    <w:tr2bl w:val="nil"/>
                  </w:tcBorders>
                  <w:vAlign w:val="center"/>
                </w:tcPr>
                <w:p w14:paraId="4D2FC802">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bCs/>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本项目为煤炭仓储项目，本项目配套建设了密闭仓储大棚，内设喷淋设施，地面硬化。厂界四周</w:t>
                  </w:r>
                  <w:r>
                    <w:rPr>
                      <w:rFonts w:hint="eastAsia" w:cs="Times New Roman"/>
                      <w:b w:val="0"/>
                      <w:bCs w:val="0"/>
                      <w:color w:val="auto"/>
                      <w:sz w:val="21"/>
                      <w:szCs w:val="21"/>
                      <w:highlight w:val="none"/>
                      <w:vertAlign w:val="baseline"/>
                      <w:lang w:val="en-US" w:eastAsia="zh-CN"/>
                    </w:rPr>
                    <w:t>设置</w:t>
                  </w:r>
                  <w:r>
                    <w:rPr>
                      <w:rFonts w:hint="eastAsia" w:ascii="Times New Roman" w:hAnsi="Times New Roman" w:eastAsia="宋体" w:cs="Times New Roman"/>
                      <w:b w:val="0"/>
                      <w:bCs w:val="0"/>
                      <w:color w:val="auto"/>
                      <w:sz w:val="21"/>
                      <w:szCs w:val="21"/>
                      <w:highlight w:val="none"/>
                      <w:vertAlign w:val="baseline"/>
                      <w:lang w:val="en-US" w:eastAsia="zh-CN"/>
                    </w:rPr>
                    <w:t>防风墙，并</w:t>
                  </w:r>
                  <w:r>
                    <w:rPr>
                      <w:rFonts w:hint="eastAsia" w:cs="Times New Roman"/>
                      <w:b w:val="0"/>
                      <w:bCs w:val="0"/>
                      <w:color w:val="auto"/>
                      <w:sz w:val="21"/>
                      <w:szCs w:val="21"/>
                      <w:highlight w:val="none"/>
                      <w:vertAlign w:val="baseline"/>
                      <w:lang w:val="en-US" w:eastAsia="zh-CN"/>
                    </w:rPr>
                    <w:t>依托</w:t>
                  </w:r>
                  <w:r>
                    <w:rPr>
                      <w:rFonts w:hint="eastAsia" w:ascii="Times New Roman" w:hAnsi="Times New Roman" w:eastAsia="宋体" w:cs="Times New Roman"/>
                      <w:b w:val="0"/>
                      <w:bCs w:val="0"/>
                      <w:color w:val="auto"/>
                      <w:sz w:val="21"/>
                      <w:szCs w:val="21"/>
                      <w:highlight w:val="none"/>
                      <w:vertAlign w:val="baseline"/>
                      <w:lang w:val="en-US" w:eastAsia="zh-CN"/>
                    </w:rPr>
                    <w:t>雾炮机和洒水车</w:t>
                  </w:r>
                  <w:r>
                    <w:rPr>
                      <w:rFonts w:hint="eastAsia" w:cs="Times New Roman"/>
                      <w:b w:val="0"/>
                      <w:bCs w:val="0"/>
                      <w:color w:val="auto"/>
                      <w:sz w:val="21"/>
                      <w:szCs w:val="21"/>
                      <w:highlight w:val="none"/>
                      <w:vertAlign w:val="baseline"/>
                      <w:lang w:val="en-US" w:eastAsia="zh-CN"/>
                    </w:rPr>
                    <w:t>进行道路抑尘</w:t>
                  </w:r>
                  <w:r>
                    <w:rPr>
                      <w:rFonts w:hint="eastAsia" w:ascii="Times New Roman" w:hAnsi="Times New Roman" w:eastAsia="宋体" w:cs="Times New Roman"/>
                      <w:b w:val="0"/>
                      <w:bCs w:val="0"/>
                      <w:color w:val="auto"/>
                      <w:sz w:val="21"/>
                      <w:szCs w:val="21"/>
                      <w:highlight w:val="none"/>
                      <w:vertAlign w:val="baseline"/>
                      <w:lang w:val="en-US" w:eastAsia="zh-CN"/>
                    </w:rPr>
                    <w:t>，可有效降低粉尘无组织排放。</w:t>
                  </w:r>
                </w:p>
              </w:tc>
              <w:tc>
                <w:tcPr>
                  <w:tcW w:w="1533" w:type="dxa"/>
                  <w:vMerge w:val="restart"/>
                  <w:tcBorders>
                    <w:tl2br w:val="nil"/>
                    <w:tr2bl w:val="nil"/>
                  </w:tcBorders>
                  <w:vAlign w:val="center"/>
                </w:tcPr>
                <w:p w14:paraId="3E0E2EBE">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14:paraId="5C105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27FC80E6">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4.16在煤炭储、装、运、破碎及筛分过程中宜采用产尘较少的封闭式作业工艺，并应在操作区设置抑尘设施，同时应减少敞开式操作。在其他干物料的储、</w:t>
                  </w:r>
                </w:p>
                <w:p w14:paraId="2E6D2842">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装、运系统中，也应采取相应的抑尘措施。生产作业区或车间向外环境无组织排放的粉尘浓度，以及通过除尘系统向室外排放的粉尘浓度控制，应符合现行国</w:t>
                  </w:r>
                </w:p>
                <w:p w14:paraId="1934462F">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家标准《煤炭工业污染物排放标准》GB 20426的有关规定</w:t>
                  </w:r>
                </w:p>
              </w:tc>
              <w:tc>
                <w:tcPr>
                  <w:tcW w:w="3000" w:type="dxa"/>
                  <w:vMerge w:val="continue"/>
                  <w:tcBorders>
                    <w:tl2br w:val="nil"/>
                    <w:tr2bl w:val="nil"/>
                  </w:tcBorders>
                  <w:vAlign w:val="center"/>
                </w:tcPr>
                <w:p w14:paraId="0F3F8582">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c>
                <w:tcPr>
                  <w:tcW w:w="1533" w:type="dxa"/>
                  <w:vMerge w:val="continue"/>
                  <w:tcBorders>
                    <w:tl2br w:val="nil"/>
                    <w:tr2bl w:val="nil"/>
                  </w:tcBorders>
                  <w:vAlign w:val="center"/>
                </w:tcPr>
                <w:p w14:paraId="5B00F6E9">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p>
              </w:tc>
            </w:tr>
            <w:tr w14:paraId="5DED1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0729D374">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4.17露天储煤场内应设置喷洒、喷雾等抑尘和防止自燃设施，其周围应设置防风抑尘设施。在强风干燥地区不宜采用露天储煤场。</w:t>
                  </w:r>
                </w:p>
              </w:tc>
              <w:tc>
                <w:tcPr>
                  <w:tcW w:w="3000" w:type="dxa"/>
                  <w:vMerge w:val="continue"/>
                  <w:tcBorders>
                    <w:tl2br w:val="nil"/>
                    <w:tr2bl w:val="nil"/>
                  </w:tcBorders>
                  <w:vAlign w:val="center"/>
                </w:tcPr>
                <w:p w14:paraId="65ABD5A7">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c>
                <w:tcPr>
                  <w:tcW w:w="1533" w:type="dxa"/>
                  <w:vMerge w:val="continue"/>
                  <w:tcBorders>
                    <w:tl2br w:val="nil"/>
                    <w:tr2bl w:val="nil"/>
                  </w:tcBorders>
                  <w:vAlign w:val="center"/>
                </w:tcPr>
                <w:p w14:paraId="49A6474F">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p>
              </w:tc>
            </w:tr>
            <w:tr w14:paraId="65C120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09A4AACA">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4.2.1煤炭建设项目污（废）水处理工程应根据水质、水量、用途，经过技术、经济、环境论证，确定最佳处理方法和处理工艺流程。</w:t>
                  </w:r>
                </w:p>
              </w:tc>
              <w:tc>
                <w:tcPr>
                  <w:tcW w:w="3000" w:type="dxa"/>
                  <w:vMerge w:val="restart"/>
                  <w:tcBorders>
                    <w:tl2br w:val="nil"/>
                    <w:tr2bl w:val="nil"/>
                  </w:tcBorders>
                  <w:vAlign w:val="center"/>
                </w:tcPr>
                <w:p w14:paraId="7D13463A">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bCs/>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本项目不新增员工，车辆冲洗利用现有洗车台，由沉淀池处理后重复使用，不外排。</w:t>
                  </w:r>
                </w:p>
              </w:tc>
              <w:tc>
                <w:tcPr>
                  <w:tcW w:w="1533" w:type="dxa"/>
                  <w:vMerge w:val="restart"/>
                  <w:tcBorders>
                    <w:tl2br w:val="nil"/>
                    <w:tr2bl w:val="nil"/>
                  </w:tcBorders>
                  <w:vAlign w:val="center"/>
                </w:tcPr>
                <w:p w14:paraId="5CAC6BD5">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14:paraId="3AC2F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0A621887">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4.2.2煤炭建设项目产生的污（废）水处理后应达到排放标准，并应符合当地环境保护主管部门规定的污染物排放总量控制指标。</w:t>
                  </w:r>
                </w:p>
              </w:tc>
              <w:tc>
                <w:tcPr>
                  <w:tcW w:w="3000" w:type="dxa"/>
                  <w:vMerge w:val="continue"/>
                  <w:tcBorders>
                    <w:tl2br w:val="nil"/>
                    <w:tr2bl w:val="nil"/>
                  </w:tcBorders>
                  <w:vAlign w:val="center"/>
                </w:tcPr>
                <w:p w14:paraId="650BFA46">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c>
                <w:tcPr>
                  <w:tcW w:w="1533" w:type="dxa"/>
                  <w:vMerge w:val="continue"/>
                  <w:tcBorders>
                    <w:tl2br w:val="nil"/>
                    <w:tr2bl w:val="nil"/>
                  </w:tcBorders>
                  <w:vAlign w:val="center"/>
                </w:tcPr>
                <w:p w14:paraId="407B3FE7">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p>
              </w:tc>
            </w:tr>
            <w:tr w14:paraId="3B1E89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3760985E">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4.2.3污（废）水的输送应根据水质、水量、处理方法及用途要求等因素，通过综合比较，合理划分污（废）水的输送系统。</w:t>
                  </w:r>
                </w:p>
              </w:tc>
              <w:tc>
                <w:tcPr>
                  <w:tcW w:w="3000" w:type="dxa"/>
                  <w:vMerge w:val="continue"/>
                  <w:tcBorders>
                    <w:tl2br w:val="nil"/>
                    <w:tr2bl w:val="nil"/>
                  </w:tcBorders>
                  <w:vAlign w:val="center"/>
                </w:tcPr>
                <w:p w14:paraId="2A949A36">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c>
                <w:tcPr>
                  <w:tcW w:w="1533" w:type="dxa"/>
                  <w:vMerge w:val="continue"/>
                  <w:tcBorders>
                    <w:tl2br w:val="nil"/>
                    <w:tr2bl w:val="nil"/>
                  </w:tcBorders>
                  <w:vAlign w:val="center"/>
                </w:tcPr>
                <w:p w14:paraId="669EBA93">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p>
              </w:tc>
            </w:tr>
            <w:tr w14:paraId="41E2C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4FF2EB69">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4.4.1新建、改建和扩建的矿井、露天矿、选煤厂及矿区辅助附属生产设施，应进行噪声控制，并应符合现行国家标准《工业企业噪声控制设计规范》GBJ 87</w:t>
                  </w:r>
                </w:p>
                <w:p w14:paraId="1C37F861">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的有关规定。</w:t>
                  </w:r>
                </w:p>
              </w:tc>
              <w:tc>
                <w:tcPr>
                  <w:tcW w:w="3000" w:type="dxa"/>
                  <w:vMerge w:val="restart"/>
                  <w:tcBorders>
                    <w:tl2br w:val="nil"/>
                    <w:tr2bl w:val="nil"/>
                  </w:tcBorders>
                  <w:vAlign w:val="center"/>
                </w:tcPr>
                <w:p w14:paraId="6D646B0F">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eastAsia="宋体" w:cs="Times New Roman"/>
                      <w:b/>
                      <w:bCs/>
                      <w:color w:val="auto"/>
                      <w:sz w:val="21"/>
                      <w:szCs w:val="21"/>
                      <w:highlight w:val="none"/>
                      <w:vertAlign w:val="baseline"/>
                      <w:lang w:val="en-US" w:eastAsia="zh-CN"/>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本项目主要为煤炭仓储，主要噪声为煤炭运输和装卸过程产生的噪声，</w:t>
                  </w:r>
                  <w:r>
                    <w:rPr>
                      <w:rFonts w:hint="default" w:ascii="Times New Roman" w:hAnsi="Times New Roman" w:eastAsia="宋体" w:cs="Times New Roman"/>
                      <w:color w:val="000000" w:themeColor="text1"/>
                      <w:sz w:val="21"/>
                      <w:szCs w:val="21"/>
                      <w14:textFill>
                        <w14:solidFill>
                          <w14:schemeClr w14:val="tx1"/>
                        </w14:solidFill>
                      </w14:textFill>
                    </w:rPr>
                    <w:t>对运输车</w:t>
                  </w:r>
                  <w:r>
                    <w:rPr>
                      <w:rFonts w:hint="eastAsia" w:cs="Times New Roman"/>
                      <w:color w:val="000000" w:themeColor="text1"/>
                      <w:sz w:val="21"/>
                      <w:szCs w:val="21"/>
                      <w:lang w:val="en-US" w:eastAsia="zh-CN"/>
                      <w14:textFill>
                        <w14:solidFill>
                          <w14:schemeClr w14:val="tx1"/>
                        </w14:solidFill>
                      </w14:textFill>
                    </w:rPr>
                    <w:t>辆</w:t>
                  </w:r>
                  <w:r>
                    <w:rPr>
                      <w:rFonts w:hint="default" w:ascii="Times New Roman" w:hAnsi="Times New Roman" w:eastAsia="宋体" w:cs="Times New Roman"/>
                      <w:color w:val="000000" w:themeColor="text1"/>
                      <w:sz w:val="21"/>
                      <w:szCs w:val="21"/>
                      <w14:textFill>
                        <w14:solidFill>
                          <w14:schemeClr w14:val="tx1"/>
                        </w14:solidFill>
                      </w14:textFill>
                    </w:rPr>
                    <w:t>进行管理，限速在20km/h行驶，禁止随意鸣笛</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其余均在棚内运行，通过隔声可有效降低噪声影响。</w:t>
                  </w:r>
                </w:p>
              </w:tc>
              <w:tc>
                <w:tcPr>
                  <w:tcW w:w="1533" w:type="dxa"/>
                  <w:vMerge w:val="restart"/>
                  <w:tcBorders>
                    <w:tl2br w:val="nil"/>
                    <w:tr2bl w:val="nil"/>
                  </w:tcBorders>
                  <w:vAlign w:val="center"/>
                </w:tcPr>
                <w:p w14:paraId="0B363852">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符合</w:t>
                  </w:r>
                </w:p>
              </w:tc>
            </w:tr>
            <w:tr w14:paraId="64050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0A7094C8">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4.4.2向周围环境排放噪声的煤炭建设项目，其厂界噪声限值应符合现行国家标准《工业企业厂界环境噪声排放标准》GB 12348的有关规定，厂界外区域的环境噪声应符合现行国家标准《声环境质量标准》GB 3096的有关规定。</w:t>
                  </w:r>
                </w:p>
                <w:p w14:paraId="7B66606F">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p>
              </w:tc>
              <w:tc>
                <w:tcPr>
                  <w:tcW w:w="3000" w:type="dxa"/>
                  <w:vMerge w:val="continue"/>
                  <w:tcBorders>
                    <w:tl2br w:val="nil"/>
                    <w:tr2bl w:val="nil"/>
                  </w:tcBorders>
                  <w:vAlign w:val="center"/>
                </w:tcPr>
                <w:p w14:paraId="0C5B83F4">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c>
                <w:tcPr>
                  <w:tcW w:w="1533" w:type="dxa"/>
                  <w:vMerge w:val="continue"/>
                  <w:tcBorders>
                    <w:tl2br w:val="nil"/>
                    <w:tr2bl w:val="nil"/>
                  </w:tcBorders>
                  <w:vAlign w:val="center"/>
                </w:tcPr>
                <w:p w14:paraId="5B35BD44">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r>
            <w:tr w14:paraId="53C54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379197C3">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4.4.3对生产过程和设备产生的噪声，应首先从声源上进行控制，应选择低噪声的工艺和设备；当仍达不到要求时，应采取隔声、消声、吸声、隔振以及综</w:t>
                  </w:r>
                </w:p>
                <w:p w14:paraId="6689B81A">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合控制等噪声控制措施。</w:t>
                  </w:r>
                </w:p>
              </w:tc>
              <w:tc>
                <w:tcPr>
                  <w:tcW w:w="3000" w:type="dxa"/>
                  <w:vMerge w:val="continue"/>
                  <w:tcBorders>
                    <w:tl2br w:val="nil"/>
                    <w:tr2bl w:val="nil"/>
                  </w:tcBorders>
                  <w:vAlign w:val="center"/>
                </w:tcPr>
                <w:p w14:paraId="46DD717B">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c>
                <w:tcPr>
                  <w:tcW w:w="1533" w:type="dxa"/>
                  <w:vMerge w:val="continue"/>
                  <w:tcBorders>
                    <w:tl2br w:val="nil"/>
                    <w:tr2bl w:val="nil"/>
                  </w:tcBorders>
                  <w:vAlign w:val="center"/>
                </w:tcPr>
                <w:p w14:paraId="584195B6">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r>
            <w:tr w14:paraId="6E831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Borders>
                    <w:tl2br w:val="nil"/>
                    <w:tr2bl w:val="nil"/>
                  </w:tcBorders>
                  <w:vAlign w:val="center"/>
                </w:tcPr>
                <w:p w14:paraId="2DA97496">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4.4.4噪声防治应对生产工艺、操作维修、降噪效果等进行综合控制。</w:t>
                  </w:r>
                </w:p>
              </w:tc>
              <w:tc>
                <w:tcPr>
                  <w:tcW w:w="3000" w:type="dxa"/>
                  <w:vMerge w:val="continue"/>
                  <w:tcBorders>
                    <w:tl2br w:val="nil"/>
                    <w:tr2bl w:val="nil"/>
                  </w:tcBorders>
                  <w:vAlign w:val="center"/>
                </w:tcPr>
                <w:p w14:paraId="0E07EE99">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c>
                <w:tcPr>
                  <w:tcW w:w="1533" w:type="dxa"/>
                  <w:vMerge w:val="continue"/>
                  <w:tcBorders>
                    <w:tl2br w:val="nil"/>
                    <w:tr2bl w:val="nil"/>
                  </w:tcBorders>
                  <w:vAlign w:val="center"/>
                </w:tcPr>
                <w:p w14:paraId="23DC5D54">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auto"/>
                    <w:rPr>
                      <w:rFonts w:hint="eastAsia" w:cs="Times New Roman"/>
                      <w:b/>
                      <w:bCs/>
                      <w:color w:val="auto"/>
                      <w:sz w:val="21"/>
                      <w:szCs w:val="21"/>
                      <w:highlight w:val="none"/>
                      <w:vertAlign w:val="baseline"/>
                      <w:lang w:val="en-US" w:eastAsia="zh-CN"/>
                    </w:rPr>
                  </w:pPr>
                </w:p>
              </w:tc>
            </w:tr>
          </w:tbl>
          <w:p w14:paraId="7FF75E72">
            <w:pPr>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w:t>
            </w:r>
            <w:r>
              <w:rPr>
                <w:rFonts w:hint="eastAsia"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val="en-US" w:eastAsia="zh-CN"/>
              </w:rPr>
              <w:t>项目选址合理性分析：</w:t>
            </w:r>
          </w:p>
          <w:p w14:paraId="3ABA10F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lang w:val="en-US" w:eastAsia="zh-CN"/>
              </w:rPr>
              <w:t>1）本项目选址位于陕西省宝鸡市陈仓</w:t>
            </w:r>
            <w:r>
              <w:rPr>
                <w:rFonts w:hint="default" w:ascii="Times New Roman" w:hAnsi="Times New Roman" w:eastAsia="宋体" w:cs="Times New Roman"/>
                <w:bCs/>
                <w:color w:val="auto"/>
                <w:sz w:val="24"/>
                <w:lang w:val="en-US" w:eastAsia="zh-CN"/>
              </w:rPr>
              <w:t>区</w:t>
            </w:r>
            <w:r>
              <w:rPr>
                <w:rFonts w:hint="eastAsia" w:cs="Times New Roman"/>
                <w:bCs/>
                <w:color w:val="auto"/>
                <w:sz w:val="24"/>
                <w:lang w:val="en-US" w:eastAsia="zh-CN"/>
              </w:rPr>
              <w:t>张家崖村</w:t>
            </w:r>
            <w:r>
              <w:rPr>
                <w:rFonts w:hint="eastAsia" w:ascii="Times New Roman" w:hAnsi="Times New Roman" w:eastAsia="宋体" w:cs="Times New Roman"/>
                <w:bCs/>
                <w:color w:val="auto"/>
                <w:sz w:val="24"/>
                <w:lang w:val="en-US" w:eastAsia="zh-CN"/>
              </w:rPr>
              <w:t>，</w:t>
            </w:r>
            <w:r>
              <w:rPr>
                <w:rFonts w:hint="default" w:ascii="Times New Roman" w:hAnsi="Times New Roman" w:cs="Times New Roman"/>
                <w:bCs/>
                <w:color w:val="auto"/>
                <w:sz w:val="24"/>
                <w:lang w:val="en-US" w:eastAsia="zh-CN"/>
              </w:rPr>
              <w:t>该地块土地</w:t>
            </w:r>
            <w:r>
              <w:rPr>
                <w:rFonts w:hint="default" w:ascii="Times New Roman" w:hAnsi="Times New Roman" w:eastAsia="宋体" w:cs="Times New Roman"/>
                <w:bCs/>
                <w:color w:val="auto"/>
                <w:sz w:val="24"/>
                <w:lang w:val="en-US" w:eastAsia="zh-CN"/>
              </w:rPr>
              <w:t>性质属于</w:t>
            </w:r>
            <w:r>
              <w:rPr>
                <w:rFonts w:hint="eastAsia" w:cs="Times New Roman"/>
                <w:bCs/>
                <w:color w:val="auto"/>
                <w:sz w:val="24"/>
                <w:lang w:val="en-US" w:eastAsia="zh-CN"/>
              </w:rPr>
              <w:t>仓储</w:t>
            </w:r>
            <w:r>
              <w:rPr>
                <w:rFonts w:hint="default" w:ascii="Times New Roman" w:hAnsi="Times New Roman" w:eastAsia="宋体" w:cs="Times New Roman"/>
                <w:bCs/>
                <w:color w:val="auto"/>
                <w:sz w:val="24"/>
                <w:lang w:val="en-US" w:eastAsia="zh-CN"/>
              </w:rPr>
              <w:t>用地，</w:t>
            </w:r>
            <w:r>
              <w:rPr>
                <w:rFonts w:hint="eastAsia" w:cs="Times New Roman"/>
                <w:bCs/>
                <w:color w:val="auto"/>
                <w:sz w:val="24"/>
                <w:lang w:val="en-US" w:eastAsia="zh-CN"/>
              </w:rPr>
              <w:t>西</w:t>
            </w:r>
            <w:r>
              <w:rPr>
                <w:rFonts w:hint="eastAsia" w:ascii="Times New Roman" w:hAnsi="Times New Roman" w:cs="Times New Roman"/>
                <w:bCs/>
                <w:color w:val="auto"/>
                <w:sz w:val="24"/>
                <w:lang w:val="en-US" w:eastAsia="zh-CN"/>
              </w:rPr>
              <w:t>侧</w:t>
            </w:r>
            <w:r>
              <w:rPr>
                <w:rFonts w:hint="eastAsia" w:cs="Times New Roman"/>
                <w:bCs/>
                <w:color w:val="auto"/>
                <w:sz w:val="24"/>
                <w:lang w:val="en-US" w:eastAsia="zh-CN"/>
              </w:rPr>
              <w:t>为铁路、东</w:t>
            </w:r>
            <w:r>
              <w:rPr>
                <w:rFonts w:hint="default" w:ascii="Times New Roman" w:hAnsi="Times New Roman" w:cs="Times New Roman"/>
                <w:bCs/>
                <w:color w:val="auto"/>
                <w:sz w:val="24"/>
                <w:lang w:val="en-US" w:eastAsia="zh-CN"/>
              </w:rPr>
              <w:t>南侧</w:t>
            </w:r>
            <w:r>
              <w:rPr>
                <w:rFonts w:hint="eastAsia" w:cs="Times New Roman"/>
                <w:bCs/>
                <w:color w:val="auto"/>
                <w:sz w:val="24"/>
                <w:lang w:val="en-US" w:eastAsia="zh-CN"/>
              </w:rPr>
              <w:t>为现有项目仓储地</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东北侧为张家崖6组</w:t>
            </w:r>
            <w:r>
              <w:rPr>
                <w:rFonts w:hint="default" w:ascii="Times New Roman" w:hAnsi="Times New Roman" w:cs="Times New Roman"/>
                <w:bCs/>
                <w:color w:val="auto"/>
                <w:sz w:val="24"/>
                <w:lang w:val="en-US" w:eastAsia="zh-CN"/>
              </w:rPr>
              <w:t>、</w:t>
            </w:r>
            <w:r>
              <w:rPr>
                <w:rFonts w:hint="eastAsia" w:cs="Times New Roman"/>
                <w:bCs/>
                <w:color w:val="auto"/>
                <w:sz w:val="24"/>
                <w:lang w:val="en-US" w:eastAsia="zh-CN"/>
              </w:rPr>
              <w:t>东侧100米处为冯家山库路</w:t>
            </w:r>
            <w:r>
              <w:rPr>
                <w:rFonts w:hint="default" w:ascii="Times New Roman" w:hAnsi="Times New Roman" w:cs="Times New Roman"/>
                <w:bCs/>
                <w:color w:val="auto"/>
                <w:sz w:val="24"/>
                <w:lang w:val="en-US" w:eastAsia="zh-CN"/>
              </w:rPr>
              <w:t>，路网完善、交通便利。</w:t>
            </w:r>
          </w:p>
          <w:p w14:paraId="10EEA24F">
            <w:pPr>
              <w:pStyle w:val="3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shd w:val="clear" w:color="auto" w:fill="auto"/>
              </w:rPr>
            </w:pPr>
            <w:r>
              <w:rPr>
                <w:rFonts w:hint="default" w:ascii="Times New Roman" w:hAnsi="Times New Roman" w:cs="Times New Roman"/>
                <w:bCs/>
                <w:color w:val="auto"/>
                <w:sz w:val="24"/>
                <w:lang w:val="en-US" w:eastAsia="zh-CN"/>
              </w:rPr>
              <w:t>2）</w:t>
            </w:r>
            <w:r>
              <w:rPr>
                <w:rFonts w:hint="default" w:ascii="Times New Roman" w:hAnsi="Times New Roman" w:eastAsia="宋体" w:cs="Times New Roman"/>
                <w:color w:val="auto"/>
                <w:sz w:val="24"/>
                <w:szCs w:val="24"/>
                <w:shd w:val="clear" w:color="auto" w:fill="auto"/>
                <w:lang w:eastAsia="zh-CN"/>
              </w:rPr>
              <w:t>项目</w:t>
            </w:r>
            <w:r>
              <w:rPr>
                <w:rFonts w:hint="default" w:ascii="Times New Roman" w:hAnsi="Times New Roman" w:eastAsia="宋体" w:cs="Times New Roman"/>
                <w:color w:val="auto"/>
                <w:sz w:val="24"/>
                <w:szCs w:val="24"/>
                <w:shd w:val="clear" w:color="auto" w:fill="auto"/>
              </w:rPr>
              <w:t>选址周围无需要特殊保护的野生动植物分布，无与建设项目性质不相符的其他建设项目，项目</w:t>
            </w:r>
            <w:r>
              <w:rPr>
                <w:rFonts w:hint="default" w:ascii="Times New Roman" w:hAnsi="Times New Roman" w:eastAsia="宋体" w:cs="Times New Roman"/>
                <w:color w:val="auto"/>
                <w:sz w:val="24"/>
                <w:szCs w:val="24"/>
                <w:shd w:val="clear" w:color="auto" w:fill="auto"/>
                <w:lang w:val="zh-CN"/>
              </w:rPr>
              <w:t>所在区域不属于自然保护区、森林公园、风景名胜区等禁止开发的生态红线区、重点保护生态红线区以及脆弱生态保护红线区内，项目建设不会占用</w:t>
            </w:r>
            <w:r>
              <w:rPr>
                <w:rFonts w:hint="eastAsia" w:cs="Times New Roman"/>
                <w:color w:val="auto"/>
                <w:sz w:val="24"/>
                <w:szCs w:val="24"/>
                <w:shd w:val="clear" w:color="auto" w:fill="auto"/>
                <w:lang w:val="zh-CN"/>
              </w:rPr>
              <w:t>生态功能保护区</w:t>
            </w:r>
            <w:r>
              <w:rPr>
                <w:rFonts w:hint="default" w:ascii="Times New Roman" w:hAnsi="Times New Roman" w:eastAsia="宋体" w:cs="Times New Roman"/>
                <w:color w:val="auto"/>
                <w:sz w:val="24"/>
                <w:szCs w:val="24"/>
                <w:shd w:val="clear" w:color="auto" w:fill="auto"/>
                <w:lang w:val="zh-CN"/>
              </w:rPr>
              <w:t>。</w:t>
            </w:r>
          </w:p>
          <w:p w14:paraId="294AC59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lang w:val="en-US" w:eastAsia="zh-CN"/>
              </w:rPr>
            </w:pPr>
            <w:r>
              <w:rPr>
                <w:rFonts w:hint="default" w:ascii="Times New Roman" w:hAnsi="Times New Roman" w:eastAsia="宋体" w:cs="Times New Roman"/>
                <w:bCs/>
                <w:color w:val="auto"/>
                <w:sz w:val="24"/>
                <w:lang w:val="en-US" w:eastAsia="zh-CN"/>
              </w:rPr>
              <w:t>3）</w:t>
            </w:r>
            <w:r>
              <w:rPr>
                <w:rFonts w:hint="eastAsia" w:cs="Times New Roman"/>
                <w:bCs/>
                <w:color w:val="auto"/>
                <w:sz w:val="24"/>
                <w:lang w:val="en-US" w:eastAsia="zh-CN"/>
              </w:rPr>
              <w:t>本项目废气主要为仓储煤扬尘和运输、装卸过程产生的煤扬尘，企业通过建设密闭仓储大棚，设喷淋、防风墙、洒水车、洗车台等措施用于降低扬尘逸散；洗车依托现有项目洗车设备，废水经沉淀池沉淀后重复使用，不外排。仓储棚设置在西北侧位置，远离东南处居民，有效合理布局可降低设备噪声对厂界四周环境的影响；</w:t>
            </w:r>
            <w:r>
              <w:rPr>
                <w:rFonts w:hint="default" w:ascii="Times New Roman" w:hAnsi="Times New Roman" w:eastAsia="宋体" w:cs="Times New Roman"/>
                <w:color w:val="auto"/>
                <w:kern w:val="0"/>
                <w:sz w:val="24"/>
                <w:szCs w:val="24"/>
                <w:lang w:val="en-US" w:eastAsia="zh-CN"/>
              </w:rPr>
              <w:t>运行</w:t>
            </w:r>
            <w:r>
              <w:rPr>
                <w:rFonts w:hint="eastAsia" w:cs="Times New Roman"/>
                <w:color w:val="auto"/>
                <w:kern w:val="0"/>
                <w:sz w:val="24"/>
                <w:szCs w:val="24"/>
                <w:lang w:val="en-US" w:eastAsia="zh-CN"/>
              </w:rPr>
              <w:t>期间</w:t>
            </w:r>
            <w:r>
              <w:rPr>
                <w:rFonts w:hint="default" w:ascii="Times New Roman" w:hAnsi="Times New Roman" w:eastAsia="宋体" w:cs="Times New Roman"/>
                <w:color w:val="auto"/>
                <w:kern w:val="0"/>
                <w:sz w:val="24"/>
                <w:szCs w:val="24"/>
                <w:lang w:val="en-US" w:eastAsia="zh-CN"/>
              </w:rPr>
              <w:t>固废采取妥善处置，不会造成二次污染</w:t>
            </w:r>
            <w:r>
              <w:rPr>
                <w:rFonts w:hint="eastAsia" w:cs="Times New Roman"/>
                <w:color w:val="auto"/>
                <w:kern w:val="0"/>
                <w:sz w:val="24"/>
                <w:szCs w:val="24"/>
                <w:lang w:val="en-US" w:eastAsia="zh-CN"/>
              </w:rPr>
              <w:t>，</w:t>
            </w:r>
            <w:r>
              <w:rPr>
                <w:rFonts w:hint="default" w:ascii="Times New Roman" w:hAnsi="Times New Roman" w:cs="Times New Roman"/>
                <w:bCs/>
                <w:color w:val="auto"/>
                <w:sz w:val="24"/>
                <w:lang w:val="en-US" w:eastAsia="zh-CN"/>
              </w:rPr>
              <w:t>对周边环境不会产生明显不利影响。</w:t>
            </w:r>
          </w:p>
          <w:p w14:paraId="777E251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lang w:val="en-US" w:eastAsia="zh-CN"/>
              </w:rPr>
              <w:t>项目厂界外500m范围不涉及自然保护区、风景名胜区、饮用水源保护区，</w:t>
            </w:r>
            <w:r>
              <w:rPr>
                <w:rFonts w:hint="eastAsia" w:ascii="Times New Roman" w:hAnsi="Times New Roman" w:eastAsia="宋体" w:cs="Times New Roman"/>
                <w:color w:val="auto"/>
                <w:kern w:val="0"/>
                <w:sz w:val="24"/>
                <w:szCs w:val="24"/>
                <w:lang w:val="en-US" w:eastAsia="zh-CN"/>
              </w:rPr>
              <w:t>本项目运行期对该地影响较小。</w:t>
            </w:r>
            <w:r>
              <w:rPr>
                <w:rFonts w:hint="default" w:ascii="Times New Roman" w:hAnsi="Times New Roman" w:eastAsia="宋体" w:cs="Times New Roman"/>
                <w:color w:val="auto"/>
                <w:kern w:val="0"/>
                <w:sz w:val="24"/>
                <w:szCs w:val="24"/>
                <w:lang w:val="en-US" w:eastAsia="zh-CN"/>
              </w:rPr>
              <w:t>故项目的建设不存在制约因素。</w:t>
            </w:r>
          </w:p>
          <w:p w14:paraId="7D3742F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因此，</w:t>
            </w:r>
            <w:r>
              <w:rPr>
                <w:rFonts w:hint="default" w:ascii="Times New Roman" w:hAnsi="Times New Roman" w:cs="Times New Roman"/>
                <w:color w:val="auto"/>
                <w:sz w:val="24"/>
                <w:lang w:eastAsia="zh-CN"/>
              </w:rPr>
              <w:t>从环境保护方面分析，</w:t>
            </w:r>
            <w:r>
              <w:rPr>
                <w:rFonts w:hint="default" w:ascii="Times New Roman" w:hAnsi="Times New Roman" w:cs="Times New Roman"/>
                <w:color w:val="auto"/>
                <w:sz w:val="24"/>
              </w:rPr>
              <w:t>项目选址基本合理。</w:t>
            </w:r>
          </w:p>
          <w:p w14:paraId="6939E5E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p>
          <w:p w14:paraId="24807D29">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kern w:val="0"/>
                <w:szCs w:val="21"/>
              </w:rPr>
            </w:pPr>
          </w:p>
        </w:tc>
      </w:tr>
    </w:tbl>
    <w:p w14:paraId="44332BDA">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588D7AF">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1"/>
        <w:tblW w:w="90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70"/>
      </w:tblGrid>
      <w:tr w14:paraId="3F165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noWrap w:val="0"/>
            <w:vAlign w:val="center"/>
          </w:tcPr>
          <w:p w14:paraId="139953C8">
            <w:pPr>
              <w:pStyle w:val="2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670" w:type="dxa"/>
            <w:noWrap w:val="0"/>
            <w:vAlign w:val="top"/>
          </w:tcPr>
          <w:p w14:paraId="19622C3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项目由来</w:t>
            </w:r>
          </w:p>
          <w:p w14:paraId="40B6D3E6">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宝鸡大成广宇商贸有限责任公司</w:t>
            </w:r>
            <w:r>
              <w:rPr>
                <w:rFonts w:hint="default" w:ascii="Times New Roman" w:hAnsi="Times New Roman" w:cs="Times New Roman"/>
                <w:color w:val="auto"/>
                <w:sz w:val="24"/>
                <w:lang w:val="en-US" w:eastAsia="zh-CN"/>
              </w:rPr>
              <w:t>于</w:t>
            </w:r>
            <w:r>
              <w:rPr>
                <w:rFonts w:hint="eastAsia" w:cs="Times New Roman"/>
                <w:color w:val="auto"/>
                <w:sz w:val="24"/>
                <w:lang w:val="en-US" w:eastAsia="zh-CN"/>
              </w:rPr>
              <w:t>2025年11月5日租赁中铁一局集团新运工程有限公司闲置地块，建设密闭仓储棚，用于煤炭存储与输送。本项目南侧为建设单位现有项目，于</w:t>
            </w:r>
            <w:r>
              <w:rPr>
                <w:rFonts w:hint="default" w:ascii="Times New Roman" w:hAnsi="Times New Roman" w:cs="Times New Roman"/>
                <w:color w:val="auto"/>
                <w:sz w:val="24"/>
                <w:lang w:val="en-US" w:eastAsia="zh-CN"/>
              </w:rPr>
              <w:t>20</w:t>
            </w:r>
            <w:r>
              <w:rPr>
                <w:rFonts w:hint="eastAsia" w:cs="Times New Roman"/>
                <w:color w:val="auto"/>
                <w:sz w:val="24"/>
                <w:lang w:val="en-US" w:eastAsia="zh-CN"/>
              </w:rPr>
              <w:t>19</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编制完成《中铁二十局集团千河清洁煤炭铁路储运站环保改造工程》环境影响报告，并于2019年7月12日取得宝鸡市环境影响保护局高新分局对该项目环境影响评价报告表的批复（高新环函〔2019〕382号）。主要对原有项目的环保工程进行升级改造。2022年9月21日完成该项目竣工环境保护验收。</w:t>
            </w:r>
          </w:p>
          <w:p w14:paraId="6993EEB3">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本次在原有项目西北方向新增土地，占地面积22666.7㎡，建设密闭式仓储大棚20000平方米，年周转煤炭能力50万吨。配套建设重卡充电桩10个，大棚顶部规划建设光伏发电2兆瓦，同时配套环保相关设施。本项目所占地块内东南角处存在一层办公楼（占地面积600㎡），西侧存在现有项目已建设完成的两条转运铁路线，可供本项目行政办公及煤炭运输周转，其余均为空地，用于建设密闭仓储大棚、停车充电桩等设施。</w:t>
            </w:r>
          </w:p>
          <w:p w14:paraId="464A98B4">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cs="Times New Roman"/>
                <w:color w:val="auto"/>
                <w:sz w:val="24"/>
              </w:rPr>
              <w:t>根据《中华人民共和国环境影响评价法</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建设项目环境保护管理条例》和《建设项目环境影响评价分类管理名录》</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2021年版</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本项目主要</w:t>
            </w:r>
            <w:r>
              <w:rPr>
                <w:rFonts w:hint="eastAsia" w:cs="Times New Roman"/>
                <w:color w:val="auto"/>
                <w:sz w:val="24"/>
                <w:lang w:val="en-US" w:eastAsia="zh-CN"/>
              </w:rPr>
              <w:t>为煤炭储存和集运</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属</w:t>
            </w:r>
            <w:r>
              <w:rPr>
                <w:rFonts w:hint="eastAsia" w:cs="Times New Roman"/>
                <w:color w:val="auto"/>
                <w:sz w:val="24"/>
                <w:lang w:val="en-US" w:eastAsia="zh-CN"/>
              </w:rPr>
              <w:t>于四、煤炭开采和洗选业06</w:t>
            </w:r>
            <w:r>
              <w:rPr>
                <w:rFonts w:hint="eastAsia" w:ascii="Times New Roman" w:hAnsi="Times New Roman" w:eastAsia="宋体" w:cs="Times New Roman"/>
                <w:color w:val="auto"/>
                <w:sz w:val="24"/>
                <w:lang w:eastAsia="zh-CN"/>
              </w:rPr>
              <w:t>中</w:t>
            </w:r>
            <w:r>
              <w:rPr>
                <w:rFonts w:hint="eastAsia" w:cs="Times New Roman"/>
                <w:color w:val="auto"/>
                <w:sz w:val="24"/>
                <w:lang w:eastAsia="zh-CN"/>
              </w:rPr>
              <w:t>“</w:t>
            </w:r>
            <w:r>
              <w:rPr>
                <w:rFonts w:hint="eastAsia" w:cs="Times New Roman"/>
                <w:color w:val="auto"/>
                <w:sz w:val="24"/>
                <w:lang w:val="en-US" w:eastAsia="zh-CN"/>
              </w:rPr>
              <w:t>煤炭储存、集运</w:t>
            </w:r>
            <w:r>
              <w:rPr>
                <w:rFonts w:hint="eastAsia" w:cs="Times New Roman"/>
                <w:color w:val="auto"/>
                <w:sz w:val="24"/>
                <w:lang w:eastAsia="zh-CN"/>
              </w:rPr>
              <w:t>”</w:t>
            </w:r>
            <w:r>
              <w:rPr>
                <w:rFonts w:hint="default" w:ascii="Times New Roman" w:hAnsi="Times New Roman" w:eastAsia="宋体" w:cs="Times New Roman"/>
                <w:color w:val="auto"/>
                <w:sz w:val="24"/>
                <w:lang w:eastAsia="zh-CN"/>
              </w:rPr>
              <w:t>，故</w:t>
            </w:r>
            <w:r>
              <w:rPr>
                <w:rFonts w:hint="default" w:ascii="Times New Roman" w:hAnsi="Times New Roman" w:eastAsia="宋体" w:cs="Times New Roman"/>
                <w:color w:val="auto"/>
                <w:sz w:val="24"/>
              </w:rPr>
              <w:t>该项目需进行环境影响评价，编制环境影响报告表。</w:t>
            </w:r>
          </w:p>
          <w:p w14:paraId="19FA5E6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项目概况</w:t>
            </w:r>
          </w:p>
          <w:p w14:paraId="6AD5D9F5">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项目名称：</w:t>
            </w:r>
            <w:r>
              <w:rPr>
                <w:rFonts w:hint="eastAsia" w:cs="Times New Roman"/>
                <w:color w:val="auto"/>
                <w:sz w:val="24"/>
                <w:lang w:val="en-US" w:eastAsia="zh-CN"/>
              </w:rPr>
              <w:t>宝鸡大成广宇商贸有限责任公司扩建项目</w:t>
            </w:r>
          </w:p>
          <w:p w14:paraId="0B01BB99">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建设单位：</w:t>
            </w:r>
            <w:r>
              <w:rPr>
                <w:rFonts w:hint="eastAsia" w:cs="Times New Roman"/>
                <w:color w:val="auto"/>
                <w:sz w:val="24"/>
                <w:lang w:val="en-US" w:eastAsia="zh-CN"/>
              </w:rPr>
              <w:t>宝鸡大成广宇商贸有限责任公司</w:t>
            </w:r>
          </w:p>
          <w:p w14:paraId="60400561">
            <w:pPr>
              <w:spacing w:line="360" w:lineRule="auto"/>
              <w:ind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建设性质：</w:t>
            </w:r>
            <w:r>
              <w:rPr>
                <w:rFonts w:hint="eastAsia" w:cs="Times New Roman"/>
                <w:color w:val="auto"/>
                <w:sz w:val="24"/>
                <w:lang w:val="en-US" w:eastAsia="zh-CN"/>
              </w:rPr>
              <w:t>扩建</w:t>
            </w:r>
          </w:p>
          <w:p w14:paraId="308C314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建设地点：本项目位于</w:t>
            </w:r>
            <w:r>
              <w:rPr>
                <w:rFonts w:hint="default" w:ascii="Times New Roman" w:hAnsi="Times New Roman" w:cs="Times New Roman"/>
                <w:color w:val="auto"/>
                <w:sz w:val="24"/>
                <w:lang w:eastAsia="zh-CN"/>
              </w:rPr>
              <w:t>陕西省宝鸡市陈仓区</w:t>
            </w:r>
            <w:r>
              <w:rPr>
                <w:rFonts w:hint="eastAsia" w:cs="Times New Roman"/>
                <w:color w:val="auto"/>
                <w:sz w:val="24"/>
                <w:lang w:val="en-US" w:eastAsia="zh-CN"/>
              </w:rPr>
              <w:t>千河镇张家崖村</w:t>
            </w:r>
            <w:r>
              <w:rPr>
                <w:rFonts w:hint="default" w:ascii="Times New Roman" w:hAnsi="Times New Roman" w:cs="Times New Roman"/>
                <w:color w:val="auto"/>
                <w:sz w:val="24"/>
              </w:rPr>
              <w:t>，项目中心地理坐标为</w:t>
            </w:r>
            <w:r>
              <w:rPr>
                <w:rFonts w:hint="default" w:cs="Times New Roman"/>
                <w:color w:val="auto"/>
                <w:sz w:val="24"/>
                <w:lang w:val="en-US" w:eastAsia="zh-CN"/>
              </w:rPr>
              <w:t>东经107°</w:t>
            </w:r>
            <w:r>
              <w:rPr>
                <w:rFonts w:hint="eastAsia" w:cs="Times New Roman"/>
                <w:color w:val="auto"/>
                <w:sz w:val="24"/>
                <w:lang w:val="en-US" w:eastAsia="zh-CN"/>
              </w:rPr>
              <w:t>17</w:t>
            </w:r>
            <w:r>
              <w:rPr>
                <w:rFonts w:hint="default" w:cs="Times New Roman"/>
                <w:color w:val="auto"/>
                <w:sz w:val="24"/>
                <w:lang w:val="en-US" w:eastAsia="zh-CN"/>
              </w:rPr>
              <w:t>′</w:t>
            </w:r>
            <w:r>
              <w:rPr>
                <w:rFonts w:hint="eastAsia" w:cs="Times New Roman"/>
                <w:color w:val="auto"/>
                <w:sz w:val="24"/>
                <w:lang w:val="en-US" w:eastAsia="zh-CN"/>
              </w:rPr>
              <w:t>32.852</w:t>
            </w:r>
            <w:r>
              <w:rPr>
                <w:rFonts w:hint="default" w:cs="Times New Roman"/>
                <w:color w:val="auto"/>
                <w:sz w:val="24"/>
                <w:lang w:val="en-US" w:eastAsia="zh-CN"/>
              </w:rPr>
              <w:t>″，北纬34°2</w:t>
            </w:r>
            <w:r>
              <w:rPr>
                <w:rFonts w:hint="eastAsia" w:cs="Times New Roman"/>
                <w:color w:val="auto"/>
                <w:sz w:val="24"/>
                <w:lang w:val="en-US" w:eastAsia="zh-CN"/>
              </w:rPr>
              <w:t>4</w:t>
            </w:r>
            <w:r>
              <w:rPr>
                <w:rFonts w:hint="default" w:cs="Times New Roman"/>
                <w:color w:val="auto"/>
                <w:sz w:val="24"/>
                <w:lang w:val="en-US" w:eastAsia="zh-CN"/>
              </w:rPr>
              <w:t>′</w:t>
            </w:r>
            <w:r>
              <w:rPr>
                <w:rFonts w:hint="eastAsia" w:cs="Times New Roman"/>
                <w:color w:val="auto"/>
                <w:sz w:val="24"/>
                <w:lang w:val="en-US" w:eastAsia="zh-CN"/>
              </w:rPr>
              <w:t>8.110</w:t>
            </w:r>
            <w:r>
              <w:rPr>
                <w:rFonts w:hint="default" w:cs="Times New Roman"/>
                <w:color w:val="auto"/>
                <w:sz w:val="24"/>
                <w:lang w:val="en-US" w:eastAsia="zh-CN"/>
              </w:rPr>
              <w:t>″。</w:t>
            </w:r>
            <w:r>
              <w:rPr>
                <w:rFonts w:hint="default" w:ascii="Times New Roman" w:hAnsi="Times New Roman" w:cs="Times New Roman"/>
                <w:color w:val="auto"/>
                <w:sz w:val="24"/>
              </w:rPr>
              <w:t>具体建设地理位置如附图1所示。</w:t>
            </w:r>
          </w:p>
          <w:p w14:paraId="707A7DA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建设工程内容及规模</w:t>
            </w:r>
          </w:p>
          <w:p w14:paraId="0AD7BD1E">
            <w:pPr>
              <w:spacing w:line="360" w:lineRule="auto"/>
              <w:ind w:firstLine="480" w:firstLineChars="200"/>
              <w:jc w:val="left"/>
              <w:rPr>
                <w:rFonts w:hint="default" w:ascii="Times New Roman" w:hAnsi="Times New Roman" w:cs="Times New Roman"/>
                <w:bCs/>
                <w:color w:val="auto"/>
                <w:sz w:val="24"/>
              </w:rPr>
            </w:pPr>
            <w:r>
              <w:rPr>
                <w:rFonts w:hint="eastAsia" w:cs="Times New Roman"/>
                <w:color w:val="auto"/>
                <w:sz w:val="24"/>
                <w:lang w:val="en-US" w:eastAsia="zh-CN"/>
              </w:rPr>
              <w:t>本次在原有项目西北方向新增土地，占地面积22666.7㎡，建设密闭式仓储大棚20000平方米，年周转煤炭能力50万吨。配套建设重卡充电桩10个，大棚顶部规划建设光伏发电2兆瓦，同时配套环保相关设施。</w:t>
            </w:r>
            <w:r>
              <w:rPr>
                <w:rFonts w:hint="default" w:ascii="Times New Roman" w:hAnsi="Times New Roman" w:cs="Times New Roman"/>
                <w:color w:val="auto"/>
                <w:sz w:val="24"/>
              </w:rPr>
              <w:t>本项目组成详见表2-1。</w:t>
            </w:r>
          </w:p>
          <w:p w14:paraId="665F175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表2-1  项目组成一览表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96"/>
              <w:gridCol w:w="4879"/>
              <w:gridCol w:w="1353"/>
            </w:tblGrid>
            <w:tr w14:paraId="79DE0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530" w:type="pct"/>
                  <w:noWrap w:val="0"/>
                  <w:vAlign w:val="center"/>
                </w:tcPr>
                <w:p w14:paraId="3F29B4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769" w:type="pct"/>
                  <w:noWrap w:val="0"/>
                  <w:vAlign w:val="center"/>
                </w:tcPr>
                <w:p w14:paraId="0C76B13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2896" w:type="pct"/>
                  <w:noWrap w:val="0"/>
                  <w:vAlign w:val="center"/>
                </w:tcPr>
                <w:p w14:paraId="349A97F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项目组成</w:t>
                  </w:r>
                </w:p>
              </w:tc>
              <w:tc>
                <w:tcPr>
                  <w:tcW w:w="803" w:type="pct"/>
                  <w:noWrap w:val="0"/>
                  <w:vAlign w:val="center"/>
                </w:tcPr>
                <w:p w14:paraId="360FA3A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14:paraId="3F67C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530" w:type="pct"/>
                  <w:noWrap w:val="0"/>
                  <w:vAlign w:val="center"/>
                </w:tcPr>
                <w:p w14:paraId="06A4D4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主体</w:t>
                  </w:r>
                </w:p>
                <w:p w14:paraId="61A6CF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69" w:type="pct"/>
                  <w:noWrap w:val="0"/>
                  <w:vAlign w:val="center"/>
                </w:tcPr>
                <w:p w14:paraId="393979C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储煤场地</w:t>
                  </w:r>
                </w:p>
              </w:tc>
              <w:tc>
                <w:tcPr>
                  <w:tcW w:w="2896" w:type="pct"/>
                  <w:noWrap w:val="0"/>
                  <w:vAlign w:val="center"/>
                </w:tcPr>
                <w:p w14:paraId="17C86D2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密闭仓储大棚20000㎡（168.5m*119m*13m），主要用于煤炭仓储。</w:t>
                  </w:r>
                </w:p>
              </w:tc>
              <w:tc>
                <w:tcPr>
                  <w:tcW w:w="803" w:type="pct"/>
                  <w:noWrap w:val="0"/>
                  <w:vAlign w:val="center"/>
                </w:tcPr>
                <w:p w14:paraId="4EDA1993">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新建</w:t>
                  </w:r>
                </w:p>
              </w:tc>
            </w:tr>
            <w:tr w14:paraId="357F57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restart"/>
                  <w:noWrap w:val="0"/>
                  <w:vAlign w:val="center"/>
                </w:tcPr>
                <w:p w14:paraId="403ED7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辅助</w:t>
                  </w:r>
                </w:p>
                <w:p w14:paraId="4374577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69" w:type="pct"/>
                  <w:tcBorders>
                    <w:top w:val="single" w:color="auto" w:sz="4" w:space="0"/>
                  </w:tcBorders>
                  <w:noWrap w:val="0"/>
                  <w:vAlign w:val="center"/>
                </w:tcPr>
                <w:p w14:paraId="4153E931">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办公</w:t>
                  </w:r>
                  <w:r>
                    <w:rPr>
                      <w:rFonts w:hint="eastAsia" w:ascii="Times New Roman" w:hAnsi="Times New Roman" w:cs="Times New Roman"/>
                      <w:color w:val="auto"/>
                      <w:szCs w:val="21"/>
                      <w:lang w:eastAsia="zh-CN"/>
                    </w:rPr>
                    <w:t>室</w:t>
                  </w:r>
                </w:p>
              </w:tc>
              <w:tc>
                <w:tcPr>
                  <w:tcW w:w="2896" w:type="pct"/>
                  <w:noWrap w:val="0"/>
                  <w:vAlign w:val="center"/>
                </w:tcPr>
                <w:p w14:paraId="7A724B9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层，砖混结构，占地面积</w:t>
                  </w:r>
                  <w:r>
                    <w:rPr>
                      <w:rFonts w:hint="eastAsia" w:cs="Times New Roman"/>
                      <w:color w:val="auto"/>
                      <w:szCs w:val="21"/>
                      <w:lang w:val="en-US" w:eastAsia="zh-CN"/>
                    </w:rPr>
                    <w:t>600</w:t>
                  </w:r>
                  <w:r>
                    <w:rPr>
                      <w:rFonts w:hint="default"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eastAsia="zh-CN"/>
                    </w:rPr>
                    <w:t>（</w:t>
                  </w:r>
                  <w:r>
                    <w:rPr>
                      <w:rFonts w:hint="eastAsia" w:cs="Times New Roman"/>
                      <w:color w:val="auto"/>
                      <w:szCs w:val="21"/>
                      <w:lang w:val="en-US" w:eastAsia="zh-CN"/>
                    </w:rPr>
                    <w:t>40</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5</w:t>
                  </w:r>
                  <w:r>
                    <w:rPr>
                      <w:rFonts w:hint="default" w:ascii="Times New Roman" w:hAnsi="Times New Roman" w:cs="Times New Roman"/>
                      <w:color w:val="auto"/>
                      <w:szCs w:val="21"/>
                      <w:lang w:val="en-US" w:eastAsia="zh-CN"/>
                    </w:rPr>
                    <w:t>m*</w:t>
                  </w:r>
                  <w:r>
                    <w:rPr>
                      <w:rFonts w:hint="eastAsia" w:ascii="Times New Roman" w:hAnsi="Times New Roman" w:cs="Times New Roman"/>
                      <w:color w:val="auto"/>
                      <w:szCs w:val="21"/>
                      <w:lang w:val="en-US" w:eastAsia="zh-CN"/>
                    </w:rPr>
                    <w:t>3</w:t>
                  </w:r>
                  <w:r>
                    <w:rPr>
                      <w:rFonts w:hint="default" w:ascii="Times New Roman" w:hAnsi="Times New Roman" w:cs="Times New Roman"/>
                      <w:color w:val="auto"/>
                      <w:szCs w:val="21"/>
                      <w:lang w:val="en-US" w:eastAsia="zh-CN"/>
                    </w:rPr>
                    <w:t>m</w:t>
                  </w:r>
                  <w:r>
                    <w:rPr>
                      <w:rFonts w:hint="eastAsia" w:ascii="Times New Roman" w:hAnsi="Times New Roman" w:eastAsia="宋体" w:cs="Times New Roman"/>
                      <w:color w:val="auto"/>
                      <w:szCs w:val="21"/>
                      <w:lang w:eastAsia="zh-CN"/>
                    </w:rPr>
                    <w:t>）</w:t>
                  </w:r>
                  <w:r>
                    <w:rPr>
                      <w:rFonts w:hint="default" w:ascii="Times New Roman" w:hAnsi="Times New Roman" w:cs="Times New Roman"/>
                      <w:color w:val="auto"/>
                      <w:szCs w:val="21"/>
                    </w:rPr>
                    <w:t>，位于</w:t>
                  </w:r>
                  <w:r>
                    <w:rPr>
                      <w:rFonts w:hint="eastAsia" w:ascii="Times New Roman" w:hAnsi="Times New Roman" w:cs="Times New Roman"/>
                      <w:color w:val="auto"/>
                      <w:szCs w:val="21"/>
                      <w:lang w:eastAsia="zh-CN"/>
                    </w:rPr>
                    <w:t>项目</w:t>
                  </w:r>
                  <w:r>
                    <w:rPr>
                      <w:rFonts w:hint="default" w:ascii="Times New Roman" w:hAnsi="Times New Roman" w:cs="Times New Roman"/>
                      <w:color w:val="auto"/>
                      <w:szCs w:val="21"/>
                      <w:lang w:eastAsia="zh-CN"/>
                    </w:rPr>
                    <w:t>东</w:t>
                  </w:r>
                  <w:r>
                    <w:rPr>
                      <w:rFonts w:hint="eastAsia" w:ascii="Times New Roman" w:hAnsi="Times New Roman" w:cs="Times New Roman"/>
                      <w:color w:val="auto"/>
                      <w:szCs w:val="21"/>
                      <w:lang w:val="en-US" w:eastAsia="zh-CN"/>
                    </w:rPr>
                    <w:t>南位置</w:t>
                  </w:r>
                  <w:r>
                    <w:rPr>
                      <w:rFonts w:hint="eastAsia" w:ascii="Times New Roman" w:hAnsi="Times New Roman" w:cs="Times New Roman"/>
                      <w:color w:val="auto"/>
                      <w:szCs w:val="21"/>
                      <w:lang w:eastAsia="zh-CN"/>
                    </w:rPr>
                    <w:t>，项目入口处</w:t>
                  </w:r>
                  <w:r>
                    <w:rPr>
                      <w:rFonts w:hint="eastAsia" w:cs="Times New Roman"/>
                      <w:color w:val="auto"/>
                      <w:szCs w:val="21"/>
                      <w:lang w:val="en-US" w:eastAsia="zh-CN"/>
                    </w:rPr>
                    <w:t>东</w:t>
                  </w:r>
                  <w:r>
                    <w:rPr>
                      <w:rFonts w:hint="eastAsia" w:ascii="Times New Roman" w:hAnsi="Times New Roman" w:cs="Times New Roman"/>
                      <w:color w:val="auto"/>
                      <w:szCs w:val="21"/>
                      <w:lang w:eastAsia="zh-CN"/>
                    </w:rPr>
                    <w:t>侧位置。</w:t>
                  </w:r>
                  <w:r>
                    <w:rPr>
                      <w:rFonts w:hint="eastAsia" w:cs="Times New Roman"/>
                      <w:color w:val="auto"/>
                      <w:szCs w:val="21"/>
                      <w:lang w:val="en-US" w:eastAsia="zh-CN"/>
                    </w:rPr>
                    <w:t>原为闲置空房，需对其进行改造，用于员工办公。</w:t>
                  </w:r>
                </w:p>
              </w:tc>
              <w:tc>
                <w:tcPr>
                  <w:tcW w:w="803" w:type="pct"/>
                  <w:noWrap w:val="0"/>
                  <w:vAlign w:val="center"/>
                </w:tcPr>
                <w:p w14:paraId="33B362F4">
                  <w:pPr>
                    <w:adjustRightInd w:val="0"/>
                    <w:snapToGrid w:val="0"/>
                    <w:jc w:val="center"/>
                    <w:rPr>
                      <w:rFonts w:hint="default" w:ascii="Times New Roman" w:hAnsi="Times New Roman" w:eastAsia="宋体" w:cs="Times New Roman"/>
                      <w:color w:val="auto"/>
                      <w:szCs w:val="21"/>
                      <w:lang w:eastAsia="zh-CN"/>
                    </w:rPr>
                  </w:pPr>
                  <w:r>
                    <w:rPr>
                      <w:rFonts w:hint="eastAsia" w:cs="Times New Roman"/>
                      <w:color w:val="auto"/>
                      <w:szCs w:val="21"/>
                      <w:lang w:val="en-US" w:eastAsia="zh-CN"/>
                    </w:rPr>
                    <w:t>改建</w:t>
                  </w:r>
                </w:p>
              </w:tc>
            </w:tr>
            <w:tr w14:paraId="17868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0610D51A">
                  <w:pPr>
                    <w:adjustRightInd w:val="0"/>
                    <w:snapToGrid w:val="0"/>
                    <w:jc w:val="center"/>
                    <w:rPr>
                      <w:rFonts w:hint="default" w:ascii="Times New Roman" w:hAnsi="Times New Roman" w:cs="Times New Roman"/>
                      <w:color w:val="auto"/>
                      <w:szCs w:val="21"/>
                    </w:rPr>
                  </w:pPr>
                </w:p>
              </w:tc>
              <w:tc>
                <w:tcPr>
                  <w:tcW w:w="769" w:type="pct"/>
                  <w:tcBorders>
                    <w:top w:val="single" w:color="auto" w:sz="4" w:space="0"/>
                  </w:tcBorders>
                  <w:noWrap w:val="0"/>
                  <w:vAlign w:val="center"/>
                </w:tcPr>
                <w:p w14:paraId="38C0017C">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充电桩</w:t>
                  </w:r>
                </w:p>
              </w:tc>
              <w:tc>
                <w:tcPr>
                  <w:tcW w:w="2896" w:type="pct"/>
                  <w:noWrap w:val="0"/>
                  <w:vAlign w:val="center"/>
                </w:tcPr>
                <w:p w14:paraId="064DCD8F">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建设10个重卡充电桩，用于运输车辆充电。</w:t>
                  </w:r>
                </w:p>
              </w:tc>
              <w:tc>
                <w:tcPr>
                  <w:tcW w:w="803" w:type="pct"/>
                  <w:noWrap w:val="0"/>
                  <w:vAlign w:val="center"/>
                </w:tcPr>
                <w:p w14:paraId="50524B0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新建</w:t>
                  </w:r>
                </w:p>
              </w:tc>
            </w:tr>
            <w:tr w14:paraId="145A61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4689954A">
                  <w:pPr>
                    <w:adjustRightInd w:val="0"/>
                    <w:snapToGrid w:val="0"/>
                    <w:jc w:val="center"/>
                    <w:rPr>
                      <w:rFonts w:hint="default" w:ascii="Times New Roman" w:hAnsi="Times New Roman" w:cs="Times New Roman"/>
                      <w:color w:val="auto"/>
                      <w:szCs w:val="21"/>
                    </w:rPr>
                  </w:pPr>
                </w:p>
              </w:tc>
              <w:tc>
                <w:tcPr>
                  <w:tcW w:w="769" w:type="pct"/>
                  <w:tcBorders>
                    <w:top w:val="single" w:color="auto" w:sz="4" w:space="0"/>
                  </w:tcBorders>
                  <w:noWrap w:val="0"/>
                  <w:vAlign w:val="center"/>
                </w:tcPr>
                <w:p w14:paraId="6C31E885">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光伏发电板</w:t>
                  </w:r>
                </w:p>
              </w:tc>
              <w:tc>
                <w:tcPr>
                  <w:tcW w:w="2896" w:type="pct"/>
                  <w:noWrap w:val="0"/>
                  <w:vAlign w:val="center"/>
                </w:tcPr>
                <w:p w14:paraId="091720F1">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在厂房顶棚上方建设光伏发电板2兆瓦，产生电能用于厂区内自用。</w:t>
                  </w:r>
                </w:p>
              </w:tc>
              <w:tc>
                <w:tcPr>
                  <w:tcW w:w="803" w:type="pct"/>
                  <w:noWrap w:val="0"/>
                  <w:vAlign w:val="center"/>
                </w:tcPr>
                <w:p w14:paraId="39F23B96">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新建</w:t>
                  </w:r>
                </w:p>
              </w:tc>
            </w:tr>
            <w:tr w14:paraId="31C23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11A3A51A">
                  <w:pPr>
                    <w:adjustRightInd w:val="0"/>
                    <w:snapToGrid w:val="0"/>
                    <w:jc w:val="center"/>
                    <w:rPr>
                      <w:rFonts w:hint="default" w:ascii="Times New Roman" w:hAnsi="Times New Roman" w:cs="Times New Roman"/>
                      <w:color w:val="auto"/>
                      <w:szCs w:val="21"/>
                    </w:rPr>
                  </w:pPr>
                </w:p>
              </w:tc>
              <w:tc>
                <w:tcPr>
                  <w:tcW w:w="769" w:type="pct"/>
                  <w:tcBorders>
                    <w:top w:val="single" w:color="auto" w:sz="4" w:space="0"/>
                  </w:tcBorders>
                  <w:noWrap w:val="0"/>
                  <w:vAlign w:val="center"/>
                </w:tcPr>
                <w:p w14:paraId="6B1F0AE1">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铁路线</w:t>
                  </w:r>
                </w:p>
              </w:tc>
              <w:tc>
                <w:tcPr>
                  <w:tcW w:w="2896" w:type="pct"/>
                  <w:noWrap w:val="0"/>
                  <w:vAlign w:val="center"/>
                </w:tcPr>
                <w:p w14:paraId="479593E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依托现有项目建好的铁路线进行物料输送。</w:t>
                  </w:r>
                </w:p>
              </w:tc>
              <w:tc>
                <w:tcPr>
                  <w:tcW w:w="803" w:type="pct"/>
                  <w:noWrap w:val="0"/>
                  <w:vAlign w:val="center"/>
                </w:tcPr>
                <w:p w14:paraId="6AC583A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依托</w:t>
                  </w:r>
                </w:p>
              </w:tc>
            </w:tr>
            <w:tr w14:paraId="0AA5D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restart"/>
                  <w:noWrap w:val="0"/>
                  <w:vAlign w:val="center"/>
                </w:tcPr>
                <w:p w14:paraId="5F212A08">
                  <w:pPr>
                    <w:adjustRightInd w:val="0"/>
                    <w:snapToGrid w:val="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依托</w:t>
                  </w:r>
                </w:p>
                <w:p w14:paraId="2C1F21F5">
                  <w:pPr>
                    <w:adjustRightInd w:val="0"/>
                    <w:snapToGrid w:val="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工程</w:t>
                  </w:r>
                </w:p>
              </w:tc>
              <w:tc>
                <w:tcPr>
                  <w:tcW w:w="769" w:type="pct"/>
                  <w:tcBorders>
                    <w:top w:val="single" w:color="auto" w:sz="4" w:space="0"/>
                  </w:tcBorders>
                  <w:noWrap w:val="0"/>
                  <w:vAlign w:val="center"/>
                </w:tcPr>
                <w:p w14:paraId="07765CEB">
                  <w:pPr>
                    <w:adjustRightInd w:val="0"/>
                    <w:snapToGrid w:val="0"/>
                    <w:jc w:val="center"/>
                    <w:rPr>
                      <w:rFonts w:hint="default" w:ascii="Times New Roman" w:hAnsi="Times New Roman" w:eastAsia="宋体" w:cs="Times New Roman"/>
                      <w:color w:val="auto"/>
                      <w:szCs w:val="21"/>
                      <w:lang w:val="en-US" w:eastAsia="zh-CN"/>
                    </w:rPr>
                  </w:pPr>
                  <w:r>
                    <w:rPr>
                      <w:rFonts w:hint="eastAsia"/>
                      <w:color w:val="auto"/>
                      <w:szCs w:val="21"/>
                      <w:lang w:val="en-US" w:eastAsia="zh-CN"/>
                    </w:rPr>
                    <w:t>洗车平台</w:t>
                  </w:r>
                </w:p>
              </w:tc>
              <w:tc>
                <w:tcPr>
                  <w:tcW w:w="2896" w:type="pct"/>
                  <w:noWrap w:val="0"/>
                  <w:vAlign w:val="center"/>
                </w:tcPr>
                <w:p w14:paraId="3E840484">
                  <w:pPr>
                    <w:adjustRightInd w:val="0"/>
                    <w:snapToGrid w:val="0"/>
                    <w:jc w:val="center"/>
                    <w:rPr>
                      <w:rFonts w:hint="default" w:ascii="Times New Roman" w:hAnsi="Times New Roman" w:eastAsia="宋体" w:cs="Times New Roman"/>
                      <w:color w:val="auto"/>
                      <w:szCs w:val="21"/>
                      <w:lang w:val="en-US" w:eastAsia="zh-CN"/>
                    </w:rPr>
                  </w:pPr>
                  <w:r>
                    <w:rPr>
                      <w:rFonts w:hint="eastAsia"/>
                      <w:color w:val="auto"/>
                      <w:szCs w:val="21"/>
                      <w:lang w:val="en-US" w:eastAsia="zh-CN"/>
                    </w:rPr>
                    <w:t>洗车平台位于现有项目与本项目出入口中间位置，运输车辆可经洗车台冲洗后分别进出两个密闭仓储棚运输物料，该洗车台配套二级沉淀池（总容积20m³），主要用于进出车辆冲洗。</w:t>
                  </w:r>
                </w:p>
              </w:tc>
              <w:tc>
                <w:tcPr>
                  <w:tcW w:w="803" w:type="pct"/>
                  <w:noWrap w:val="0"/>
                  <w:vAlign w:val="center"/>
                </w:tcPr>
                <w:p w14:paraId="75FC4A16">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2CFD4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530" w:type="pct"/>
                  <w:vMerge w:val="continue"/>
                  <w:noWrap w:val="0"/>
                  <w:vAlign w:val="center"/>
                </w:tcPr>
                <w:p w14:paraId="4FFE93E0">
                  <w:pPr>
                    <w:adjustRightInd w:val="0"/>
                    <w:snapToGrid w:val="0"/>
                    <w:jc w:val="center"/>
                    <w:rPr>
                      <w:rFonts w:hint="eastAsia" w:ascii="Times New Roman" w:hAnsi="Times New Roman" w:cs="Times New Roman"/>
                      <w:color w:val="auto"/>
                      <w:szCs w:val="21"/>
                      <w:lang w:val="en-US" w:eastAsia="zh-CN"/>
                    </w:rPr>
                  </w:pPr>
                </w:p>
              </w:tc>
              <w:tc>
                <w:tcPr>
                  <w:tcW w:w="769" w:type="pct"/>
                  <w:tcBorders>
                    <w:top w:val="single" w:color="auto" w:sz="4" w:space="0"/>
                  </w:tcBorders>
                  <w:noWrap w:val="0"/>
                  <w:vAlign w:val="center"/>
                </w:tcPr>
                <w:p w14:paraId="28DF9B97">
                  <w:pPr>
                    <w:adjustRightInd w:val="0"/>
                    <w:snapToGrid w:val="0"/>
                    <w:jc w:val="center"/>
                    <w:rPr>
                      <w:rFonts w:hint="default"/>
                      <w:color w:val="auto"/>
                      <w:szCs w:val="21"/>
                      <w:lang w:val="en-US" w:eastAsia="zh-CN"/>
                    </w:rPr>
                  </w:pPr>
                  <w:r>
                    <w:rPr>
                      <w:rFonts w:hint="eastAsia"/>
                      <w:color w:val="auto"/>
                      <w:szCs w:val="21"/>
                      <w:lang w:val="en-US" w:eastAsia="zh-CN"/>
                    </w:rPr>
                    <w:t>雨水收集池</w:t>
                  </w:r>
                </w:p>
              </w:tc>
              <w:tc>
                <w:tcPr>
                  <w:tcW w:w="2896" w:type="pct"/>
                  <w:noWrap w:val="0"/>
                  <w:vAlign w:val="center"/>
                </w:tcPr>
                <w:p w14:paraId="036F25A6">
                  <w:pPr>
                    <w:adjustRightInd w:val="0"/>
                    <w:snapToGrid w:val="0"/>
                    <w:jc w:val="center"/>
                    <w:rPr>
                      <w:rFonts w:hint="default" w:eastAsia="宋体"/>
                      <w:color w:val="auto"/>
                      <w:szCs w:val="21"/>
                      <w:lang w:val="en-US" w:eastAsia="zh-CN"/>
                    </w:rPr>
                  </w:pPr>
                  <w:r>
                    <w:rPr>
                      <w:rFonts w:hint="eastAsia"/>
                      <w:color w:val="auto"/>
                      <w:szCs w:val="21"/>
                      <w:lang w:val="en-US" w:eastAsia="zh-CN"/>
                    </w:rPr>
                    <w:t>位于现有项目密闭棚外，三级沉淀池，主要用于厂区内初期雨水收集，水池尺寸为3m*4m*4m，共3个</w:t>
                  </w:r>
                </w:p>
              </w:tc>
              <w:tc>
                <w:tcPr>
                  <w:tcW w:w="803" w:type="pct"/>
                  <w:noWrap w:val="0"/>
                  <w:vAlign w:val="center"/>
                </w:tcPr>
                <w:p w14:paraId="4180F38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依托</w:t>
                  </w:r>
                </w:p>
              </w:tc>
            </w:tr>
            <w:tr w14:paraId="50EFF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30" w:type="pct"/>
                  <w:vMerge w:val="restart"/>
                  <w:noWrap w:val="0"/>
                  <w:vAlign w:val="center"/>
                </w:tcPr>
                <w:p w14:paraId="3360209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公用</w:t>
                  </w:r>
                </w:p>
                <w:p w14:paraId="1C43FC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工程</w:t>
                  </w:r>
                </w:p>
              </w:tc>
              <w:tc>
                <w:tcPr>
                  <w:tcW w:w="769" w:type="pct"/>
                  <w:noWrap w:val="0"/>
                  <w:vAlign w:val="center"/>
                </w:tcPr>
                <w:p w14:paraId="72A15B7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供电</w:t>
                  </w:r>
                </w:p>
              </w:tc>
              <w:tc>
                <w:tcPr>
                  <w:tcW w:w="2896" w:type="pct"/>
                  <w:noWrap w:val="0"/>
                  <w:vAlign w:val="center"/>
                </w:tcPr>
                <w:p w14:paraId="7A6229C1">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由供电系统供给</w:t>
                  </w:r>
                  <w:r>
                    <w:rPr>
                      <w:rFonts w:hint="eastAsia" w:ascii="Times New Roman" w:hAnsi="Times New Roman" w:cs="Times New Roman"/>
                      <w:color w:val="auto"/>
                      <w:szCs w:val="21"/>
                      <w:lang w:eastAsia="zh-CN"/>
                    </w:rPr>
                    <w:t>。</w:t>
                  </w:r>
                </w:p>
              </w:tc>
              <w:tc>
                <w:tcPr>
                  <w:tcW w:w="803" w:type="pct"/>
                  <w:noWrap w:val="0"/>
                  <w:vAlign w:val="top"/>
                </w:tcPr>
                <w:p w14:paraId="38413683">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18528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30" w:type="pct"/>
                  <w:vMerge w:val="continue"/>
                  <w:noWrap w:val="0"/>
                  <w:vAlign w:val="center"/>
                </w:tcPr>
                <w:p w14:paraId="4945267A">
                  <w:pPr>
                    <w:adjustRightInd w:val="0"/>
                    <w:snapToGrid w:val="0"/>
                    <w:jc w:val="center"/>
                    <w:rPr>
                      <w:rFonts w:hint="default" w:ascii="Times New Roman" w:hAnsi="Times New Roman" w:cs="Times New Roman"/>
                      <w:color w:val="auto"/>
                      <w:szCs w:val="21"/>
                    </w:rPr>
                  </w:pPr>
                </w:p>
              </w:tc>
              <w:tc>
                <w:tcPr>
                  <w:tcW w:w="769" w:type="pct"/>
                  <w:noWrap w:val="0"/>
                  <w:vAlign w:val="center"/>
                </w:tcPr>
                <w:p w14:paraId="1DA7490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供水</w:t>
                  </w:r>
                </w:p>
              </w:tc>
              <w:tc>
                <w:tcPr>
                  <w:tcW w:w="2896" w:type="pct"/>
                  <w:noWrap w:val="0"/>
                  <w:vAlign w:val="center"/>
                </w:tcPr>
                <w:p w14:paraId="22334FD9">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由供水管网供给</w:t>
                  </w:r>
                  <w:r>
                    <w:rPr>
                      <w:rFonts w:hint="eastAsia" w:ascii="Times New Roman" w:hAnsi="Times New Roman" w:cs="Times New Roman"/>
                      <w:color w:val="auto"/>
                      <w:szCs w:val="21"/>
                      <w:lang w:eastAsia="zh-CN"/>
                    </w:rPr>
                    <w:t>。</w:t>
                  </w:r>
                </w:p>
              </w:tc>
              <w:tc>
                <w:tcPr>
                  <w:tcW w:w="803" w:type="pct"/>
                  <w:noWrap w:val="0"/>
                  <w:vAlign w:val="top"/>
                </w:tcPr>
                <w:p w14:paraId="747F64DA">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依托</w:t>
                  </w:r>
                </w:p>
              </w:tc>
            </w:tr>
            <w:tr w14:paraId="62D84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restart"/>
                  <w:noWrap w:val="0"/>
                  <w:vAlign w:val="center"/>
                </w:tcPr>
                <w:p w14:paraId="12EDB3E5">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环保</w:t>
                  </w:r>
                </w:p>
                <w:p w14:paraId="095C7606">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工程</w:t>
                  </w:r>
                </w:p>
              </w:tc>
              <w:tc>
                <w:tcPr>
                  <w:tcW w:w="769" w:type="pct"/>
                  <w:vMerge w:val="restart"/>
                  <w:noWrap w:val="0"/>
                  <w:vAlign w:val="center"/>
                </w:tcPr>
                <w:p w14:paraId="71C77D3A">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废气处理系统</w:t>
                  </w:r>
                </w:p>
              </w:tc>
              <w:tc>
                <w:tcPr>
                  <w:tcW w:w="2896" w:type="pct"/>
                  <w:noWrap w:val="0"/>
                  <w:vAlign w:val="center"/>
                </w:tcPr>
                <w:p w14:paraId="75483CB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建设密闭仓储棚，棚顶设喷淋设施对棚内扬尘进行降尘；四周设防风墙；物流输送均采用封闭车辆，并限制车速。</w:t>
                  </w:r>
                </w:p>
              </w:tc>
              <w:tc>
                <w:tcPr>
                  <w:tcW w:w="803" w:type="pct"/>
                  <w:noWrap w:val="0"/>
                  <w:vAlign w:val="center"/>
                </w:tcPr>
                <w:p w14:paraId="21AEC85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新建</w:t>
                  </w:r>
                </w:p>
              </w:tc>
            </w:tr>
            <w:tr w14:paraId="70F18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30" w:type="pct"/>
                  <w:vMerge w:val="continue"/>
                  <w:noWrap w:val="0"/>
                  <w:vAlign w:val="center"/>
                </w:tcPr>
                <w:p w14:paraId="0C7087E0">
                  <w:pPr>
                    <w:adjustRightInd w:val="0"/>
                    <w:snapToGrid w:val="0"/>
                    <w:jc w:val="center"/>
                    <w:rPr>
                      <w:rFonts w:hint="eastAsia" w:ascii="Times New Roman" w:hAnsi="Times New Roman" w:cs="Times New Roman"/>
                      <w:color w:val="auto"/>
                      <w:szCs w:val="21"/>
                      <w:lang w:eastAsia="zh-CN"/>
                    </w:rPr>
                  </w:pPr>
                </w:p>
              </w:tc>
              <w:tc>
                <w:tcPr>
                  <w:tcW w:w="769" w:type="pct"/>
                  <w:vMerge w:val="continue"/>
                  <w:noWrap w:val="0"/>
                  <w:vAlign w:val="center"/>
                </w:tcPr>
                <w:p w14:paraId="0990F863">
                  <w:pPr>
                    <w:adjustRightInd w:val="0"/>
                    <w:snapToGrid w:val="0"/>
                    <w:jc w:val="center"/>
                    <w:rPr>
                      <w:rFonts w:hint="default" w:ascii="Times New Roman" w:hAnsi="Times New Roman" w:cs="Times New Roman"/>
                      <w:color w:val="auto"/>
                      <w:szCs w:val="21"/>
                      <w:lang w:eastAsia="zh-CN"/>
                    </w:rPr>
                  </w:pPr>
                </w:p>
              </w:tc>
              <w:tc>
                <w:tcPr>
                  <w:tcW w:w="2896" w:type="pct"/>
                  <w:noWrap w:val="0"/>
                  <w:vAlign w:val="center"/>
                </w:tcPr>
                <w:p w14:paraId="3CE4C671">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利用现有项目配备的洒水车定时对运输道路及场地进行洒水抑尘、雾炮机对厂区内扬尘进行降尘；利用现有项目洗车台，对进出场车辆进行冲洗。</w:t>
                  </w:r>
                </w:p>
              </w:tc>
              <w:tc>
                <w:tcPr>
                  <w:tcW w:w="803" w:type="pct"/>
                  <w:noWrap w:val="0"/>
                  <w:vAlign w:val="center"/>
                </w:tcPr>
                <w:p w14:paraId="40BC8DD9">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依托</w:t>
                  </w:r>
                </w:p>
              </w:tc>
            </w:tr>
            <w:tr w14:paraId="352CD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30" w:type="pct"/>
                  <w:vMerge w:val="continue"/>
                  <w:noWrap w:val="0"/>
                  <w:vAlign w:val="center"/>
                </w:tcPr>
                <w:p w14:paraId="45888C21">
                  <w:pPr>
                    <w:adjustRightInd w:val="0"/>
                    <w:snapToGrid w:val="0"/>
                    <w:jc w:val="center"/>
                    <w:rPr>
                      <w:rFonts w:hint="default" w:ascii="Times New Roman" w:hAnsi="Times New Roman" w:cs="Times New Roman"/>
                      <w:color w:val="auto"/>
                      <w:szCs w:val="21"/>
                    </w:rPr>
                  </w:pPr>
                </w:p>
              </w:tc>
              <w:tc>
                <w:tcPr>
                  <w:tcW w:w="769" w:type="pct"/>
                  <w:noWrap w:val="0"/>
                  <w:vAlign w:val="center"/>
                </w:tcPr>
                <w:p w14:paraId="6704983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噪声处理系统</w:t>
                  </w:r>
                </w:p>
              </w:tc>
              <w:tc>
                <w:tcPr>
                  <w:tcW w:w="2896" w:type="pct"/>
                  <w:noWrap w:val="0"/>
                  <w:vAlign w:val="center"/>
                </w:tcPr>
                <w:p w14:paraId="117DEB5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合理布局、墙体隔声、距离衰减。</w:t>
                  </w:r>
                </w:p>
              </w:tc>
              <w:tc>
                <w:tcPr>
                  <w:tcW w:w="803" w:type="pct"/>
                  <w:noWrap w:val="0"/>
                  <w:vAlign w:val="center"/>
                </w:tcPr>
                <w:p w14:paraId="00D8252A">
                  <w:pPr>
                    <w:adjustRightInd w:val="0"/>
                    <w:snapToGrid w:val="0"/>
                    <w:jc w:val="center"/>
                    <w:rPr>
                      <w:rFonts w:hint="default" w:ascii="Times New Roman" w:hAnsi="Times New Roman" w:eastAsia="宋体" w:cs="Times New Roman"/>
                      <w:snapToGrid w:val="0"/>
                      <w:color w:val="auto"/>
                      <w:szCs w:val="21"/>
                      <w:lang w:val="en-US" w:eastAsia="zh-CN"/>
                    </w:rPr>
                  </w:pPr>
                  <w:r>
                    <w:rPr>
                      <w:rFonts w:hint="default" w:ascii="Times New Roman" w:hAnsi="Times New Roman" w:cs="Times New Roman"/>
                      <w:snapToGrid w:val="0"/>
                      <w:color w:val="auto"/>
                      <w:szCs w:val="21"/>
                    </w:rPr>
                    <w:t>新建</w:t>
                  </w:r>
                </w:p>
              </w:tc>
            </w:tr>
            <w:tr w14:paraId="10864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30" w:type="pct"/>
                  <w:vMerge w:val="continue"/>
                  <w:noWrap w:val="0"/>
                  <w:vAlign w:val="center"/>
                </w:tcPr>
                <w:p w14:paraId="26F90078">
                  <w:pPr>
                    <w:adjustRightInd w:val="0"/>
                    <w:snapToGrid w:val="0"/>
                    <w:jc w:val="center"/>
                    <w:rPr>
                      <w:rFonts w:hint="default" w:ascii="Times New Roman" w:hAnsi="Times New Roman" w:cs="Times New Roman"/>
                      <w:color w:val="auto"/>
                      <w:szCs w:val="21"/>
                    </w:rPr>
                  </w:pPr>
                </w:p>
              </w:tc>
              <w:tc>
                <w:tcPr>
                  <w:tcW w:w="769" w:type="pct"/>
                  <w:noWrap w:val="0"/>
                  <w:vAlign w:val="center"/>
                </w:tcPr>
                <w:p w14:paraId="5959387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废水处理系统</w:t>
                  </w:r>
                </w:p>
              </w:tc>
              <w:tc>
                <w:tcPr>
                  <w:tcW w:w="2896" w:type="pct"/>
                  <w:noWrap w:val="0"/>
                  <w:vAlign w:val="center"/>
                </w:tcPr>
                <w:p w14:paraId="005A7C95">
                  <w:pPr>
                    <w:adjustRightInd w:val="0"/>
                    <w:snapToGrid w:val="0"/>
                    <w:jc w:val="center"/>
                    <w:rPr>
                      <w:rFonts w:hint="default" w:ascii="Times New Roman" w:hAnsi="Times New Roman" w:cs="Times New Roman"/>
                      <w:snapToGrid w:val="0"/>
                      <w:color w:val="auto"/>
                      <w:szCs w:val="21"/>
                      <w:lang w:val="en-US" w:eastAsia="zh-CN"/>
                    </w:rPr>
                  </w:pPr>
                  <w:r>
                    <w:rPr>
                      <w:rFonts w:hint="eastAsia" w:cs="Times New Roman"/>
                      <w:snapToGrid w:val="0"/>
                      <w:color w:val="auto"/>
                      <w:szCs w:val="21"/>
                      <w:lang w:val="en-US" w:eastAsia="zh-CN"/>
                    </w:rPr>
                    <w:t>依托现有项目的洗车平台及沉淀池，废水经沉淀后循环使用，不外排。初期雨水经收集至雨水收集池内用于车辆冲洗及道路抑尘，不外排。</w:t>
                  </w:r>
                </w:p>
              </w:tc>
              <w:tc>
                <w:tcPr>
                  <w:tcW w:w="803" w:type="pct"/>
                  <w:noWrap w:val="0"/>
                  <w:vAlign w:val="center"/>
                </w:tcPr>
                <w:p w14:paraId="7A8AA78F">
                  <w:pPr>
                    <w:adjustRightInd w:val="0"/>
                    <w:snapToGrid w:val="0"/>
                    <w:jc w:val="center"/>
                    <w:rPr>
                      <w:rFonts w:hint="eastAsia" w:ascii="Times New Roman" w:hAnsi="Times New Roman" w:eastAsia="宋体" w:cs="Times New Roman"/>
                      <w:snapToGrid w:val="0"/>
                      <w:color w:val="auto"/>
                      <w:szCs w:val="21"/>
                      <w:lang w:val="en-US" w:eastAsia="zh-CN"/>
                    </w:rPr>
                  </w:pPr>
                  <w:r>
                    <w:rPr>
                      <w:rFonts w:hint="eastAsia" w:cs="Times New Roman"/>
                      <w:snapToGrid w:val="0"/>
                      <w:color w:val="auto"/>
                      <w:szCs w:val="21"/>
                      <w:lang w:val="en-US" w:eastAsia="zh-CN"/>
                    </w:rPr>
                    <w:t>依托</w:t>
                  </w:r>
                </w:p>
              </w:tc>
            </w:tr>
            <w:tr w14:paraId="043AA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530" w:type="pct"/>
                  <w:vMerge w:val="continue"/>
                  <w:noWrap w:val="0"/>
                  <w:vAlign w:val="center"/>
                </w:tcPr>
                <w:p w14:paraId="100CA3EA">
                  <w:pPr>
                    <w:adjustRightInd w:val="0"/>
                    <w:snapToGrid w:val="0"/>
                    <w:jc w:val="center"/>
                    <w:rPr>
                      <w:rFonts w:hint="default" w:ascii="Times New Roman" w:hAnsi="Times New Roman" w:cs="Times New Roman"/>
                      <w:color w:val="auto"/>
                      <w:szCs w:val="21"/>
                    </w:rPr>
                  </w:pPr>
                </w:p>
              </w:tc>
              <w:tc>
                <w:tcPr>
                  <w:tcW w:w="769" w:type="pct"/>
                  <w:noWrap w:val="0"/>
                  <w:vAlign w:val="center"/>
                </w:tcPr>
                <w:p w14:paraId="5598629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固废</w:t>
                  </w:r>
                </w:p>
              </w:tc>
              <w:tc>
                <w:tcPr>
                  <w:tcW w:w="2896" w:type="pct"/>
                  <w:noWrap w:val="0"/>
                  <w:vAlign w:val="center"/>
                </w:tcPr>
                <w:p w14:paraId="493FBAC0">
                  <w:pPr>
                    <w:adjustRightInd w:val="0"/>
                    <w:snapToGrid w:val="0"/>
                    <w:jc w:val="center"/>
                    <w:rPr>
                      <w:rFonts w:hint="default" w:cs="Times New Roman"/>
                      <w:snapToGrid w:val="0"/>
                      <w:color w:val="auto"/>
                      <w:szCs w:val="21"/>
                      <w:lang w:val="en-US" w:eastAsia="zh-CN"/>
                    </w:rPr>
                  </w:pPr>
                  <w:r>
                    <w:rPr>
                      <w:rFonts w:hint="eastAsia" w:cs="Times New Roman"/>
                      <w:snapToGrid w:val="0"/>
                      <w:color w:val="auto"/>
                      <w:szCs w:val="21"/>
                      <w:lang w:val="en-US" w:eastAsia="zh-CN"/>
                    </w:rPr>
                    <w:t>沉淀池煤泥定期清掏后运至成品堆场自然风干后作为原料回用于生产。</w:t>
                  </w:r>
                </w:p>
              </w:tc>
              <w:tc>
                <w:tcPr>
                  <w:tcW w:w="803" w:type="pct"/>
                  <w:noWrap w:val="0"/>
                  <w:vAlign w:val="center"/>
                </w:tcPr>
                <w:p w14:paraId="5C610858">
                  <w:pPr>
                    <w:adjustRightInd w:val="0"/>
                    <w:snapToGrid w:val="0"/>
                    <w:jc w:val="center"/>
                    <w:rPr>
                      <w:rFonts w:hint="default" w:cs="Times New Roman"/>
                      <w:snapToGrid w:val="0"/>
                      <w:color w:val="auto"/>
                      <w:szCs w:val="21"/>
                      <w:lang w:val="en-US" w:eastAsia="zh-CN"/>
                    </w:rPr>
                  </w:pPr>
                  <w:r>
                    <w:rPr>
                      <w:rFonts w:hint="eastAsia" w:cs="Times New Roman"/>
                      <w:snapToGrid w:val="0"/>
                      <w:color w:val="auto"/>
                      <w:szCs w:val="21"/>
                      <w:lang w:val="en-US" w:eastAsia="zh-CN"/>
                    </w:rPr>
                    <w:t>/</w:t>
                  </w:r>
                </w:p>
              </w:tc>
            </w:tr>
          </w:tbl>
          <w:p w14:paraId="44B3C491">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项目主要生产设施</w:t>
            </w:r>
          </w:p>
          <w:p w14:paraId="4B27627E">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项目主要生产设施见表2-2。</w:t>
            </w:r>
          </w:p>
          <w:p w14:paraId="6FF02A1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表2-2  主要生产设施一览表</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1"/>
              <w:gridCol w:w="1306"/>
              <w:gridCol w:w="1263"/>
              <w:gridCol w:w="902"/>
              <w:gridCol w:w="1060"/>
              <w:gridCol w:w="971"/>
              <w:gridCol w:w="787"/>
              <w:gridCol w:w="1681"/>
            </w:tblGrid>
            <w:tr w14:paraId="38FB9F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 w:type="pct"/>
                  <w:noWrap w:val="0"/>
                  <w:vAlign w:val="center"/>
                </w:tcPr>
                <w:p w14:paraId="4F219F9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775" w:type="pct"/>
                  <w:noWrap w:val="0"/>
                  <w:vAlign w:val="center"/>
                </w:tcPr>
                <w:p w14:paraId="0CCA38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设备名称</w:t>
                  </w:r>
                </w:p>
              </w:tc>
              <w:tc>
                <w:tcPr>
                  <w:tcW w:w="749" w:type="pct"/>
                  <w:noWrap w:val="0"/>
                  <w:vAlign w:val="center"/>
                </w:tcPr>
                <w:p w14:paraId="62E56CD2">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设备</w:t>
                  </w:r>
                  <w:r>
                    <w:rPr>
                      <w:rFonts w:hint="default" w:ascii="Times New Roman" w:hAnsi="Times New Roman" w:cs="Times New Roman"/>
                      <w:color w:val="auto"/>
                      <w:szCs w:val="21"/>
                      <w:lang w:eastAsia="zh-CN"/>
                    </w:rPr>
                    <w:t>参数</w:t>
                  </w:r>
                </w:p>
              </w:tc>
              <w:tc>
                <w:tcPr>
                  <w:tcW w:w="535" w:type="pct"/>
                  <w:noWrap w:val="0"/>
                  <w:vAlign w:val="center"/>
                </w:tcPr>
                <w:p w14:paraId="4911F240">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扩建前</w:t>
                  </w:r>
                </w:p>
                <w:p w14:paraId="105E3809">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数量</w:t>
                  </w:r>
                </w:p>
              </w:tc>
              <w:tc>
                <w:tcPr>
                  <w:tcW w:w="629" w:type="pct"/>
                  <w:noWrap w:val="0"/>
                  <w:vAlign w:val="center"/>
                </w:tcPr>
                <w:p w14:paraId="6C2E215F">
                  <w:pPr>
                    <w:adjustRightInd w:val="0"/>
                    <w:snapToGrid w:val="0"/>
                    <w:jc w:val="center"/>
                    <w:rPr>
                      <w:rFonts w:hint="eastAsia" w:ascii="Times New Roman" w:hAnsi="Times New Roman" w:cs="Times New Roman"/>
                      <w:color w:val="auto"/>
                      <w:szCs w:val="21"/>
                      <w:lang w:eastAsia="zh-CN"/>
                    </w:rPr>
                  </w:pPr>
                  <w:r>
                    <w:rPr>
                      <w:rFonts w:hint="eastAsia" w:ascii="Times New Roman" w:hAnsi="Times New Roman" w:cs="Times New Roman"/>
                      <w:color w:val="auto"/>
                      <w:szCs w:val="21"/>
                      <w:lang w:eastAsia="zh-CN"/>
                    </w:rPr>
                    <w:t>扩建后</w:t>
                  </w:r>
                </w:p>
                <w:p w14:paraId="255730E0">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数量</w:t>
                  </w:r>
                </w:p>
              </w:tc>
              <w:tc>
                <w:tcPr>
                  <w:tcW w:w="576" w:type="pct"/>
                  <w:noWrap w:val="0"/>
                  <w:vAlign w:val="center"/>
                </w:tcPr>
                <w:p w14:paraId="10C66635">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变化量</w:t>
                  </w:r>
                </w:p>
              </w:tc>
              <w:tc>
                <w:tcPr>
                  <w:tcW w:w="467" w:type="pct"/>
                  <w:noWrap w:val="0"/>
                  <w:vAlign w:val="center"/>
                </w:tcPr>
                <w:p w14:paraId="7A6B7D0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997" w:type="pct"/>
                  <w:noWrap w:val="0"/>
                  <w:vAlign w:val="center"/>
                </w:tcPr>
                <w:p w14:paraId="7C262218">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备注</w:t>
                  </w:r>
                </w:p>
              </w:tc>
            </w:tr>
            <w:tr w14:paraId="1AC469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 w:type="pct"/>
                  <w:noWrap w:val="0"/>
                  <w:vAlign w:val="center"/>
                </w:tcPr>
                <w:p w14:paraId="2A1A062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75" w:type="pct"/>
                  <w:shd w:val="clear" w:color="auto" w:fill="auto"/>
                  <w:noWrap w:val="0"/>
                  <w:vAlign w:val="center"/>
                </w:tcPr>
                <w:p w14:paraId="5B09717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装载机</w:t>
                  </w:r>
                </w:p>
              </w:tc>
              <w:tc>
                <w:tcPr>
                  <w:tcW w:w="749" w:type="pct"/>
                  <w:shd w:val="clear" w:color="auto" w:fill="auto"/>
                  <w:noWrap w:val="0"/>
                  <w:vAlign w:val="center"/>
                </w:tcPr>
                <w:p w14:paraId="2FB5607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535" w:type="pct"/>
                  <w:shd w:val="clear" w:color="auto" w:fill="auto"/>
                  <w:noWrap w:val="0"/>
                  <w:vAlign w:val="center"/>
                </w:tcPr>
                <w:p w14:paraId="4D49E18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629" w:type="pct"/>
                  <w:shd w:val="clear" w:color="auto" w:fill="auto"/>
                  <w:noWrap w:val="0"/>
                  <w:vAlign w:val="center"/>
                </w:tcPr>
                <w:p w14:paraId="57650EF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w:t>
                  </w:r>
                </w:p>
              </w:tc>
              <w:tc>
                <w:tcPr>
                  <w:tcW w:w="576" w:type="pct"/>
                  <w:shd w:val="clear" w:color="auto" w:fill="auto"/>
                  <w:noWrap w:val="0"/>
                  <w:vAlign w:val="center"/>
                </w:tcPr>
                <w:p w14:paraId="7E0075E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3</w:t>
                  </w:r>
                </w:p>
              </w:tc>
              <w:tc>
                <w:tcPr>
                  <w:tcW w:w="467" w:type="pct"/>
                  <w:shd w:val="clear" w:color="auto" w:fill="auto"/>
                  <w:noWrap w:val="0"/>
                  <w:vAlign w:val="center"/>
                </w:tcPr>
                <w:p w14:paraId="1AE6220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997" w:type="pct"/>
                  <w:shd w:val="clear" w:color="auto" w:fill="auto"/>
                  <w:noWrap w:val="0"/>
                  <w:vAlign w:val="center"/>
                </w:tcPr>
                <w:p w14:paraId="09EDD34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装卸</w:t>
                  </w:r>
                </w:p>
              </w:tc>
            </w:tr>
            <w:tr w14:paraId="4401BF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 w:type="pct"/>
                  <w:noWrap w:val="0"/>
                  <w:vAlign w:val="center"/>
                </w:tcPr>
                <w:p w14:paraId="5B266538">
                  <w:pPr>
                    <w:adjustRightInd w:val="0"/>
                    <w:snapToGrid w:val="0"/>
                    <w:jc w:val="center"/>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2</w:t>
                  </w:r>
                </w:p>
              </w:tc>
              <w:tc>
                <w:tcPr>
                  <w:tcW w:w="775" w:type="pct"/>
                  <w:shd w:val="clear" w:color="auto" w:fill="auto"/>
                  <w:noWrap w:val="0"/>
                  <w:vAlign w:val="center"/>
                </w:tcPr>
                <w:p w14:paraId="368D18BD">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雾炮机</w:t>
                  </w:r>
                </w:p>
              </w:tc>
              <w:tc>
                <w:tcPr>
                  <w:tcW w:w="749" w:type="pct"/>
                  <w:shd w:val="clear" w:color="auto" w:fill="auto"/>
                  <w:noWrap w:val="0"/>
                  <w:vAlign w:val="center"/>
                </w:tcPr>
                <w:p w14:paraId="403D79E7">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w:t>
                  </w:r>
                </w:p>
              </w:tc>
              <w:tc>
                <w:tcPr>
                  <w:tcW w:w="535" w:type="pct"/>
                  <w:shd w:val="clear" w:color="auto" w:fill="auto"/>
                  <w:noWrap w:val="0"/>
                  <w:vAlign w:val="center"/>
                </w:tcPr>
                <w:p w14:paraId="3A8D1B65">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629" w:type="pct"/>
                  <w:shd w:val="clear" w:color="auto" w:fill="auto"/>
                  <w:noWrap w:val="0"/>
                  <w:vAlign w:val="center"/>
                </w:tcPr>
                <w:p w14:paraId="168073C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576" w:type="pct"/>
                  <w:shd w:val="clear" w:color="auto" w:fill="auto"/>
                  <w:noWrap w:val="0"/>
                  <w:vAlign w:val="center"/>
                </w:tcPr>
                <w:p w14:paraId="0D2E10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467" w:type="pct"/>
                  <w:shd w:val="clear" w:color="auto" w:fill="auto"/>
                  <w:noWrap w:val="0"/>
                  <w:vAlign w:val="center"/>
                </w:tcPr>
                <w:p w14:paraId="4A62663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997" w:type="pct"/>
                  <w:shd w:val="clear" w:color="auto" w:fill="auto"/>
                  <w:noWrap w:val="0"/>
                  <w:vAlign w:val="center"/>
                </w:tcPr>
                <w:p w14:paraId="7A0D1F6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抑尘，电能</w:t>
                  </w:r>
                </w:p>
              </w:tc>
            </w:tr>
            <w:tr w14:paraId="6D97F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 w:type="pct"/>
                  <w:noWrap w:val="0"/>
                  <w:vAlign w:val="center"/>
                </w:tcPr>
                <w:p w14:paraId="65003978">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775" w:type="pct"/>
                  <w:shd w:val="clear" w:color="auto" w:fill="auto"/>
                  <w:noWrap w:val="0"/>
                  <w:vAlign w:val="center"/>
                </w:tcPr>
                <w:p w14:paraId="6FA69C1B">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洒水车</w:t>
                  </w:r>
                </w:p>
              </w:tc>
              <w:tc>
                <w:tcPr>
                  <w:tcW w:w="749" w:type="pct"/>
                  <w:shd w:val="clear" w:color="auto" w:fill="auto"/>
                  <w:noWrap w:val="0"/>
                  <w:vAlign w:val="center"/>
                </w:tcPr>
                <w:p w14:paraId="3D7ADDB6">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w:t>
                  </w:r>
                </w:p>
              </w:tc>
              <w:tc>
                <w:tcPr>
                  <w:tcW w:w="535" w:type="pct"/>
                  <w:shd w:val="clear" w:color="auto" w:fill="auto"/>
                  <w:noWrap w:val="0"/>
                  <w:vAlign w:val="center"/>
                </w:tcPr>
                <w:p w14:paraId="03704572">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629" w:type="pct"/>
                  <w:shd w:val="clear" w:color="auto" w:fill="auto"/>
                  <w:noWrap w:val="0"/>
                  <w:vAlign w:val="center"/>
                </w:tcPr>
                <w:p w14:paraId="36FB854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w:t>
                  </w:r>
                </w:p>
              </w:tc>
              <w:tc>
                <w:tcPr>
                  <w:tcW w:w="576" w:type="pct"/>
                  <w:shd w:val="clear" w:color="auto" w:fill="auto"/>
                  <w:noWrap w:val="0"/>
                  <w:vAlign w:val="center"/>
                </w:tcPr>
                <w:p w14:paraId="2C20022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p>
              </w:tc>
              <w:tc>
                <w:tcPr>
                  <w:tcW w:w="467" w:type="pct"/>
                  <w:shd w:val="clear" w:color="auto" w:fill="auto"/>
                  <w:noWrap w:val="0"/>
                  <w:vAlign w:val="center"/>
                </w:tcPr>
                <w:p w14:paraId="5E668FD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997" w:type="pct"/>
                  <w:shd w:val="clear" w:color="auto" w:fill="auto"/>
                  <w:noWrap w:val="0"/>
                  <w:vAlign w:val="center"/>
                </w:tcPr>
                <w:p w14:paraId="28420892">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抑尘，电能</w:t>
                  </w:r>
                </w:p>
              </w:tc>
            </w:tr>
            <w:tr w14:paraId="6D0D4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 w:type="pct"/>
                  <w:noWrap w:val="0"/>
                  <w:vAlign w:val="center"/>
                </w:tcPr>
                <w:p w14:paraId="715EDB6F">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775" w:type="pct"/>
                  <w:shd w:val="clear" w:color="auto" w:fill="auto"/>
                  <w:noWrap w:val="0"/>
                  <w:vAlign w:val="center"/>
                </w:tcPr>
                <w:p w14:paraId="26A436C8">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转煤车</w:t>
                  </w:r>
                </w:p>
              </w:tc>
              <w:tc>
                <w:tcPr>
                  <w:tcW w:w="749" w:type="pct"/>
                  <w:shd w:val="clear" w:color="auto" w:fill="auto"/>
                  <w:noWrap w:val="0"/>
                  <w:vAlign w:val="center"/>
                </w:tcPr>
                <w:p w14:paraId="108D256E">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w:t>
                  </w:r>
                </w:p>
              </w:tc>
              <w:tc>
                <w:tcPr>
                  <w:tcW w:w="535" w:type="pct"/>
                  <w:shd w:val="clear" w:color="auto" w:fill="auto"/>
                  <w:noWrap w:val="0"/>
                  <w:vAlign w:val="center"/>
                </w:tcPr>
                <w:p w14:paraId="368E2B3C">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629" w:type="pct"/>
                  <w:shd w:val="clear" w:color="auto" w:fill="auto"/>
                  <w:noWrap w:val="0"/>
                  <w:vAlign w:val="center"/>
                </w:tcPr>
                <w:p w14:paraId="296AC8E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5</w:t>
                  </w:r>
                </w:p>
              </w:tc>
              <w:tc>
                <w:tcPr>
                  <w:tcW w:w="576" w:type="pct"/>
                  <w:shd w:val="clear" w:color="auto" w:fill="auto"/>
                  <w:noWrap w:val="0"/>
                  <w:vAlign w:val="center"/>
                </w:tcPr>
                <w:p w14:paraId="571230A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467" w:type="pct"/>
                  <w:shd w:val="clear" w:color="auto" w:fill="auto"/>
                  <w:noWrap w:val="0"/>
                  <w:vAlign w:val="center"/>
                </w:tcPr>
                <w:p w14:paraId="33854BB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台</w:t>
                  </w:r>
                </w:p>
              </w:tc>
              <w:tc>
                <w:tcPr>
                  <w:tcW w:w="997" w:type="pct"/>
                  <w:shd w:val="clear" w:color="auto" w:fill="auto"/>
                  <w:noWrap w:val="0"/>
                  <w:vAlign w:val="center"/>
                </w:tcPr>
                <w:p w14:paraId="1F91672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转运，电能</w:t>
                  </w:r>
                </w:p>
              </w:tc>
            </w:tr>
            <w:tr w14:paraId="7FC22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 w:type="pct"/>
                  <w:noWrap w:val="0"/>
                  <w:vAlign w:val="center"/>
                </w:tcPr>
                <w:p w14:paraId="6D27F87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775" w:type="pct"/>
                  <w:shd w:val="clear" w:color="auto" w:fill="auto"/>
                  <w:noWrap w:val="0"/>
                  <w:vAlign w:val="center"/>
                </w:tcPr>
                <w:p w14:paraId="37CAFBE4">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喷淋设施</w:t>
                  </w:r>
                </w:p>
              </w:tc>
              <w:tc>
                <w:tcPr>
                  <w:tcW w:w="749" w:type="pct"/>
                  <w:shd w:val="clear" w:color="auto" w:fill="auto"/>
                  <w:noWrap w:val="0"/>
                  <w:vAlign w:val="center"/>
                </w:tcPr>
                <w:p w14:paraId="3E9E21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w:t>
                  </w:r>
                </w:p>
              </w:tc>
              <w:tc>
                <w:tcPr>
                  <w:tcW w:w="535" w:type="pct"/>
                  <w:shd w:val="clear" w:color="auto" w:fill="auto"/>
                  <w:noWrap w:val="0"/>
                  <w:vAlign w:val="center"/>
                </w:tcPr>
                <w:p w14:paraId="3ADAE0A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629" w:type="pct"/>
                  <w:shd w:val="clear" w:color="auto" w:fill="auto"/>
                  <w:noWrap w:val="0"/>
                  <w:vAlign w:val="center"/>
                </w:tcPr>
                <w:p w14:paraId="3FF5FAE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w:t>
                  </w:r>
                </w:p>
              </w:tc>
              <w:tc>
                <w:tcPr>
                  <w:tcW w:w="576" w:type="pct"/>
                  <w:shd w:val="clear" w:color="auto" w:fill="auto"/>
                  <w:noWrap w:val="0"/>
                  <w:vAlign w:val="center"/>
                </w:tcPr>
                <w:p w14:paraId="1363296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1</w:t>
                  </w:r>
                </w:p>
              </w:tc>
              <w:tc>
                <w:tcPr>
                  <w:tcW w:w="467" w:type="pct"/>
                  <w:shd w:val="clear" w:color="auto" w:fill="auto"/>
                  <w:noWrap w:val="0"/>
                  <w:vAlign w:val="center"/>
                </w:tcPr>
                <w:p w14:paraId="6B2CBE5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台</w:t>
                  </w:r>
                </w:p>
              </w:tc>
              <w:tc>
                <w:tcPr>
                  <w:tcW w:w="997" w:type="pct"/>
                  <w:shd w:val="clear" w:color="auto" w:fill="auto"/>
                  <w:noWrap w:val="0"/>
                  <w:vAlign w:val="center"/>
                </w:tcPr>
                <w:p w14:paraId="1562786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抑尘，废气治理</w:t>
                  </w:r>
                </w:p>
              </w:tc>
            </w:tr>
            <w:tr w14:paraId="0457B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68" w:type="pct"/>
                  <w:noWrap w:val="0"/>
                  <w:vAlign w:val="center"/>
                </w:tcPr>
                <w:p w14:paraId="680E066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6</w:t>
                  </w:r>
                </w:p>
              </w:tc>
              <w:tc>
                <w:tcPr>
                  <w:tcW w:w="775" w:type="pct"/>
                  <w:shd w:val="clear" w:color="auto" w:fill="auto"/>
                  <w:noWrap w:val="0"/>
                  <w:vAlign w:val="center"/>
                </w:tcPr>
                <w:p w14:paraId="5232A3FF">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cs="Times New Roman"/>
                      <w:color w:val="auto"/>
                      <w:szCs w:val="21"/>
                      <w:lang w:val="en-US" w:eastAsia="zh-CN"/>
                    </w:rPr>
                  </w:pPr>
                  <w:r>
                    <w:rPr>
                      <w:rFonts w:hint="eastAsia" w:cs="Times New Roman"/>
                      <w:color w:val="auto"/>
                      <w:szCs w:val="21"/>
                      <w:lang w:val="en-US" w:eastAsia="zh-CN"/>
                    </w:rPr>
                    <w:t>充电桩</w:t>
                  </w:r>
                </w:p>
              </w:tc>
              <w:tc>
                <w:tcPr>
                  <w:tcW w:w="749" w:type="pct"/>
                  <w:shd w:val="clear" w:color="auto" w:fill="auto"/>
                  <w:noWrap w:val="0"/>
                  <w:vAlign w:val="center"/>
                </w:tcPr>
                <w:p w14:paraId="54972354">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c>
                <w:tcPr>
                  <w:tcW w:w="535" w:type="pct"/>
                  <w:shd w:val="clear" w:color="auto" w:fill="auto"/>
                  <w:noWrap w:val="0"/>
                  <w:vAlign w:val="center"/>
                </w:tcPr>
                <w:p w14:paraId="56DB0C4D">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629" w:type="pct"/>
                  <w:shd w:val="clear" w:color="auto" w:fill="auto"/>
                  <w:noWrap w:val="0"/>
                  <w:vAlign w:val="center"/>
                </w:tcPr>
                <w:p w14:paraId="374984B4">
                  <w:pPr>
                    <w:adjustRightInd w:val="0"/>
                    <w:snapToGrid w:val="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576" w:type="pct"/>
                  <w:shd w:val="clear" w:color="auto" w:fill="auto"/>
                  <w:noWrap w:val="0"/>
                  <w:vAlign w:val="center"/>
                </w:tcPr>
                <w:p w14:paraId="6F664F1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467" w:type="pct"/>
                  <w:shd w:val="clear" w:color="auto" w:fill="auto"/>
                  <w:noWrap w:val="0"/>
                  <w:vAlign w:val="center"/>
                </w:tcPr>
                <w:p w14:paraId="5D7B2A4D">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个</w:t>
                  </w:r>
                </w:p>
              </w:tc>
              <w:tc>
                <w:tcPr>
                  <w:tcW w:w="997" w:type="pct"/>
                  <w:shd w:val="clear" w:color="auto" w:fill="auto"/>
                  <w:noWrap w:val="0"/>
                  <w:vAlign w:val="center"/>
                </w:tcPr>
                <w:p w14:paraId="4C6C65F9">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电车充电</w:t>
                  </w:r>
                </w:p>
              </w:tc>
            </w:tr>
          </w:tbl>
          <w:p w14:paraId="1A029E1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5.原辅材料</w:t>
            </w:r>
          </w:p>
          <w:p w14:paraId="3D44C00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24"/>
                <w:lang w:val="en-US" w:eastAsia="zh-CN"/>
              </w:rPr>
            </w:pPr>
            <w:r>
              <w:rPr>
                <w:rFonts w:hint="eastAsia" w:ascii="Times New Roman" w:hAnsi="Times New Roman" w:cs="Times New Roman"/>
                <w:color w:val="auto"/>
                <w:sz w:val="24"/>
                <w:lang w:val="en-US" w:eastAsia="zh-CN"/>
              </w:rPr>
              <w:t>本项目主要为煤炭仓储、转运，无原辅材料。</w:t>
            </w:r>
          </w:p>
          <w:p w14:paraId="59CA83E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6.</w:t>
            </w:r>
            <w:r>
              <w:rPr>
                <w:rFonts w:hint="default" w:ascii="Times New Roman" w:hAnsi="Times New Roman" w:eastAsia="宋体" w:cs="Times New Roman"/>
                <w:b/>
                <w:bCs/>
                <w:color w:val="auto"/>
                <w:sz w:val="24"/>
                <w:lang w:val="en-US" w:eastAsia="zh-CN"/>
              </w:rPr>
              <w:t>产品方案</w:t>
            </w:r>
          </w:p>
          <w:p w14:paraId="16BCCCF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eastAsia" w:cs="Times New Roman"/>
                <w:b w:val="0"/>
                <w:bCs w:val="0"/>
                <w:color w:val="auto"/>
                <w:sz w:val="24"/>
                <w:szCs w:val="24"/>
                <w:lang w:val="en-US" w:eastAsia="zh-CN"/>
              </w:rPr>
              <w:t>本项目最大储存量为50万吨，年周转量为50万吨。煤炭资源主要来自宝鸡市麟游县，经本项目密闭储煤场暂存后用于云、贵、川等地用于发电厂、热力公司等发电、供暖。储煤场内不设筛分、配煤等设施，主要采用火车及汽车将煤送至封闭式储煤场内储存，再由火车装煤运出。</w:t>
            </w:r>
          </w:p>
          <w:p w14:paraId="33DE20E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项目产品方案一览表</w:t>
            </w:r>
          </w:p>
          <w:tbl>
            <w:tblPr>
              <w:tblStyle w:val="3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6"/>
              <w:gridCol w:w="837"/>
              <w:gridCol w:w="942"/>
              <w:gridCol w:w="925"/>
              <w:gridCol w:w="950"/>
              <w:gridCol w:w="938"/>
              <w:gridCol w:w="950"/>
              <w:gridCol w:w="859"/>
              <w:gridCol w:w="992"/>
            </w:tblGrid>
            <w:tr w14:paraId="333CB9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09" w:type="pct"/>
                  <w:vMerge w:val="restart"/>
                  <w:noWrap w:val="0"/>
                  <w:vAlign w:val="center"/>
                </w:tcPr>
                <w:p w14:paraId="38BD58E8">
                  <w:pPr>
                    <w:pStyle w:val="165"/>
                    <w:rPr>
                      <w:rFonts w:hint="default" w:ascii="Times New Roman" w:hAnsi="Times New Roman" w:cs="Times New Roman"/>
                      <w:color w:val="auto"/>
                      <w:szCs w:val="21"/>
                    </w:rPr>
                  </w:pPr>
                  <w:r>
                    <w:rPr>
                      <w:rFonts w:hint="default" w:ascii="Times New Roman" w:hAnsi="Times New Roman" w:cs="Times New Roman"/>
                      <w:color w:val="auto"/>
                      <w:szCs w:val="21"/>
                    </w:rPr>
                    <w:t>产品</w:t>
                  </w:r>
                </w:p>
                <w:p w14:paraId="7AF4D48F">
                  <w:pPr>
                    <w:pStyle w:val="165"/>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497" w:type="pct"/>
                  <w:vMerge w:val="restart"/>
                  <w:noWrap w:val="0"/>
                  <w:vAlign w:val="center"/>
                </w:tcPr>
                <w:p w14:paraId="4641CC2D">
                  <w:pPr>
                    <w:pStyle w:val="165"/>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规格</w:t>
                  </w:r>
                </w:p>
              </w:tc>
              <w:tc>
                <w:tcPr>
                  <w:tcW w:w="559" w:type="pct"/>
                  <w:noWrap w:val="0"/>
                  <w:vAlign w:val="center"/>
                </w:tcPr>
                <w:p w14:paraId="3EA1D846">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扩建前</w:t>
                  </w:r>
                </w:p>
              </w:tc>
              <w:tc>
                <w:tcPr>
                  <w:tcW w:w="548" w:type="pct"/>
                  <w:noWrap w:val="0"/>
                  <w:vAlign w:val="center"/>
                </w:tcPr>
                <w:p w14:paraId="1DE8BFEF">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扩建后</w:t>
                  </w:r>
                </w:p>
              </w:tc>
              <w:tc>
                <w:tcPr>
                  <w:tcW w:w="564" w:type="pct"/>
                  <w:shd w:val="clear" w:color="auto" w:fill="auto"/>
                  <w:noWrap w:val="0"/>
                  <w:vAlign w:val="center"/>
                </w:tcPr>
                <w:p w14:paraId="2870BDE0">
                  <w:pPr>
                    <w:pStyle w:val="165"/>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扩建前</w:t>
                  </w:r>
                </w:p>
              </w:tc>
              <w:tc>
                <w:tcPr>
                  <w:tcW w:w="557" w:type="pct"/>
                  <w:shd w:val="clear" w:color="auto" w:fill="auto"/>
                  <w:noWrap w:val="0"/>
                  <w:vAlign w:val="center"/>
                </w:tcPr>
                <w:p w14:paraId="122AA3B9">
                  <w:pPr>
                    <w:pStyle w:val="165"/>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扩建后</w:t>
                  </w:r>
                </w:p>
              </w:tc>
              <w:tc>
                <w:tcPr>
                  <w:tcW w:w="1074" w:type="pct"/>
                  <w:gridSpan w:val="2"/>
                  <w:noWrap w:val="0"/>
                  <w:vAlign w:val="center"/>
                </w:tcPr>
                <w:p w14:paraId="346F8E30">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变化量</w:t>
                  </w:r>
                </w:p>
              </w:tc>
              <w:tc>
                <w:tcPr>
                  <w:tcW w:w="588" w:type="pct"/>
                  <w:vMerge w:val="restart"/>
                  <w:noWrap w:val="0"/>
                  <w:vAlign w:val="center"/>
                </w:tcPr>
                <w:p w14:paraId="43D56E55">
                  <w:pPr>
                    <w:pStyle w:val="165"/>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eastAsia="zh-CN"/>
                    </w:rPr>
                    <w:t>单位</w:t>
                  </w:r>
                </w:p>
              </w:tc>
            </w:tr>
            <w:tr w14:paraId="73FFD3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609" w:type="pct"/>
                  <w:vMerge w:val="continue"/>
                  <w:noWrap w:val="0"/>
                  <w:vAlign w:val="center"/>
                </w:tcPr>
                <w:p w14:paraId="4615F3FF">
                  <w:pPr>
                    <w:pStyle w:val="165"/>
                  </w:pPr>
                </w:p>
              </w:tc>
              <w:tc>
                <w:tcPr>
                  <w:tcW w:w="497" w:type="pct"/>
                  <w:vMerge w:val="continue"/>
                  <w:noWrap w:val="0"/>
                  <w:vAlign w:val="center"/>
                </w:tcPr>
                <w:p w14:paraId="75DBF7BA">
                  <w:pPr>
                    <w:pStyle w:val="165"/>
                  </w:pPr>
                </w:p>
              </w:tc>
              <w:tc>
                <w:tcPr>
                  <w:tcW w:w="1108" w:type="pct"/>
                  <w:gridSpan w:val="2"/>
                  <w:noWrap w:val="0"/>
                  <w:vAlign w:val="center"/>
                </w:tcPr>
                <w:p w14:paraId="5504BCC9">
                  <w:pPr>
                    <w:pStyle w:val="165"/>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最大储存量</w:t>
                  </w:r>
                </w:p>
              </w:tc>
              <w:tc>
                <w:tcPr>
                  <w:tcW w:w="1121" w:type="pct"/>
                  <w:gridSpan w:val="2"/>
                  <w:noWrap w:val="0"/>
                  <w:vAlign w:val="center"/>
                </w:tcPr>
                <w:p w14:paraId="535AFBDD">
                  <w:pPr>
                    <w:pStyle w:val="165"/>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年周转量</w:t>
                  </w:r>
                </w:p>
              </w:tc>
              <w:tc>
                <w:tcPr>
                  <w:tcW w:w="564" w:type="pct"/>
                  <w:shd w:val="clear" w:color="auto" w:fill="auto"/>
                  <w:noWrap w:val="0"/>
                  <w:vAlign w:val="center"/>
                </w:tcPr>
                <w:p w14:paraId="6CE321ED">
                  <w:pPr>
                    <w:pStyle w:val="165"/>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最大</w:t>
                  </w:r>
                </w:p>
                <w:p w14:paraId="45F2D378">
                  <w:pPr>
                    <w:pStyle w:val="165"/>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储存量</w:t>
                  </w:r>
                </w:p>
              </w:tc>
              <w:tc>
                <w:tcPr>
                  <w:tcW w:w="509" w:type="pct"/>
                  <w:shd w:val="clear" w:color="auto" w:fill="auto"/>
                  <w:noWrap w:val="0"/>
                  <w:vAlign w:val="center"/>
                </w:tcPr>
                <w:p w14:paraId="794391C2">
                  <w:pPr>
                    <w:pStyle w:val="165"/>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年周转量</w:t>
                  </w:r>
                </w:p>
              </w:tc>
              <w:tc>
                <w:tcPr>
                  <w:tcW w:w="588" w:type="pct"/>
                  <w:vMerge w:val="continue"/>
                  <w:noWrap w:val="0"/>
                  <w:vAlign w:val="center"/>
                </w:tcPr>
                <w:p w14:paraId="60241EBB">
                  <w:pPr>
                    <w:pStyle w:val="165"/>
                    <w:rPr>
                      <w:rFonts w:hint="eastAsia" w:ascii="Times New Roman" w:hAnsi="Times New Roman" w:cs="Times New Roman"/>
                      <w:color w:val="auto"/>
                      <w:szCs w:val="21"/>
                      <w:lang w:val="en-US" w:eastAsia="zh-CN"/>
                    </w:rPr>
                  </w:pPr>
                </w:p>
              </w:tc>
            </w:tr>
            <w:tr w14:paraId="4D3C6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trPr>
              <w:tc>
                <w:tcPr>
                  <w:tcW w:w="609" w:type="pct"/>
                  <w:noWrap w:val="0"/>
                  <w:vAlign w:val="center"/>
                </w:tcPr>
                <w:p w14:paraId="7F58DB77">
                  <w:pPr>
                    <w:pStyle w:val="165"/>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煤炭</w:t>
                  </w:r>
                </w:p>
                <w:p w14:paraId="470EBD68">
                  <w:pPr>
                    <w:pStyle w:val="165"/>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（原煤）</w:t>
                  </w:r>
                </w:p>
              </w:tc>
              <w:tc>
                <w:tcPr>
                  <w:tcW w:w="497" w:type="pct"/>
                  <w:noWrap w:val="0"/>
                  <w:vAlign w:val="center"/>
                </w:tcPr>
                <w:p w14:paraId="774FEE3C">
                  <w:pPr>
                    <w:pStyle w:val="165"/>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≤5cm</w:t>
                  </w:r>
                </w:p>
              </w:tc>
              <w:tc>
                <w:tcPr>
                  <w:tcW w:w="559" w:type="pct"/>
                  <w:noWrap w:val="0"/>
                  <w:vAlign w:val="center"/>
                </w:tcPr>
                <w:p w14:paraId="770CB522">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30</w:t>
                  </w:r>
                </w:p>
              </w:tc>
              <w:tc>
                <w:tcPr>
                  <w:tcW w:w="548" w:type="pct"/>
                  <w:noWrap w:val="0"/>
                  <w:vAlign w:val="center"/>
                </w:tcPr>
                <w:p w14:paraId="4991DEAC">
                  <w:pPr>
                    <w:pStyle w:val="165"/>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564" w:type="pct"/>
                  <w:noWrap w:val="0"/>
                  <w:vAlign w:val="center"/>
                </w:tcPr>
                <w:p w14:paraId="368899A8">
                  <w:pPr>
                    <w:pStyle w:val="165"/>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w:t>
                  </w:r>
                </w:p>
              </w:tc>
              <w:tc>
                <w:tcPr>
                  <w:tcW w:w="557" w:type="pct"/>
                  <w:noWrap w:val="0"/>
                  <w:vAlign w:val="center"/>
                </w:tcPr>
                <w:p w14:paraId="0F5547E6">
                  <w:pPr>
                    <w:pStyle w:val="165"/>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80</w:t>
                  </w:r>
                </w:p>
              </w:tc>
              <w:tc>
                <w:tcPr>
                  <w:tcW w:w="564" w:type="pct"/>
                  <w:noWrap w:val="0"/>
                  <w:vAlign w:val="center"/>
                </w:tcPr>
                <w:p w14:paraId="3B363559">
                  <w:pPr>
                    <w:pStyle w:val="165"/>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50</w:t>
                  </w:r>
                </w:p>
              </w:tc>
              <w:tc>
                <w:tcPr>
                  <w:tcW w:w="509" w:type="pct"/>
                  <w:noWrap w:val="0"/>
                  <w:vAlign w:val="center"/>
                </w:tcPr>
                <w:p w14:paraId="56FC0D16">
                  <w:pPr>
                    <w:pStyle w:val="165"/>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50</w:t>
                  </w:r>
                </w:p>
              </w:tc>
              <w:tc>
                <w:tcPr>
                  <w:tcW w:w="588" w:type="pct"/>
                  <w:noWrap w:val="0"/>
                  <w:vAlign w:val="center"/>
                </w:tcPr>
                <w:p w14:paraId="4CECB625">
                  <w:pPr>
                    <w:pStyle w:val="165"/>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万</w:t>
                  </w:r>
                  <w:r>
                    <w:rPr>
                      <w:rFonts w:hint="default" w:ascii="Times New Roman" w:hAnsi="Times New Roman" w:eastAsia="宋体" w:cs="Times New Roman"/>
                      <w:color w:val="auto"/>
                      <w:szCs w:val="21"/>
                      <w:lang w:val="en-US" w:eastAsia="zh-CN"/>
                    </w:rPr>
                    <w:t>t/a</w:t>
                  </w:r>
                </w:p>
              </w:tc>
            </w:tr>
          </w:tbl>
          <w:p w14:paraId="023F7BA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水平衡分析</w:t>
            </w:r>
          </w:p>
          <w:p w14:paraId="56D061C4">
            <w:pPr>
              <w:widowControl/>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（1）供水</w:t>
            </w:r>
          </w:p>
          <w:p w14:paraId="619A3D00">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因现有项目水井取水量约为0.88m³/a，远低于本项目供水需求，故本项目水主要由张家崖村供给。本次新增用水主要为喷淋用水、洗车用水、道路抑尘用水。</w:t>
            </w:r>
          </w:p>
          <w:p w14:paraId="7748888C">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cs="Times New Roman"/>
                <w:color w:val="auto"/>
                <w:sz w:val="24"/>
                <w:lang w:val="en-US" w:eastAsia="zh-CN"/>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lang w:val="en-US" w:eastAsia="zh-CN"/>
              </w:rPr>
              <w:t>）</w:t>
            </w:r>
            <w:r>
              <w:rPr>
                <w:rFonts w:hint="eastAsia" w:cs="Times New Roman"/>
                <w:b/>
                <w:bCs/>
                <w:color w:val="auto"/>
                <w:sz w:val="24"/>
                <w:lang w:val="en-US" w:eastAsia="zh-CN"/>
              </w:rPr>
              <w:t>喷淋用水</w:t>
            </w:r>
          </w:p>
          <w:p w14:paraId="0987CAF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default" w:hAnsi="Cambria Math" w:cs="Times New Roman"/>
                <w:i w:val="0"/>
                <w:color w:val="auto"/>
                <w:sz w:val="24"/>
                <w:lang w:val="en-US" w:eastAsia="zh-CN"/>
              </w:rPr>
            </w:pPr>
            <w:r>
              <w:rPr>
                <w:rFonts w:hint="eastAsia" w:hAnsi="Cambria Math" w:cs="Times New Roman"/>
                <w:i w:val="0"/>
                <w:color w:val="auto"/>
                <w:sz w:val="24"/>
                <w:lang w:val="en-US" w:eastAsia="zh-CN"/>
              </w:rPr>
              <w:t>本项目喷淋用水Q如下：</w:t>
            </w:r>
          </w:p>
          <w:p w14:paraId="4DDF2A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cs="Times New Roman"/>
                <w:color w:val="auto"/>
                <w:sz w:val="24"/>
                <w:lang w:val="en-US" w:eastAsia="zh-CN"/>
              </w:rPr>
            </w:pPr>
            <m:oMathPara>
              <m:oMath>
                <m:r>
                  <m:rPr/>
                  <w:rPr>
                    <w:rFonts w:hint="default" w:ascii="Cambria Math" w:hAnsi="Cambria Math" w:cs="Times New Roman"/>
                    <w:color w:val="auto"/>
                    <w:sz w:val="24"/>
                    <w:lang w:val="en-US" w:eastAsia="zh-CN"/>
                  </w:rPr>
                  <m:t>Q</m:t>
                </m:r>
                <m:r>
                  <m:rPr/>
                  <w:rPr>
                    <w:rFonts w:ascii="Cambria Math" w:hAnsi="Cambria Math" w:cs="Times New Roman"/>
                    <w:color w:val="auto"/>
                    <w:sz w:val="24"/>
                    <w:lang w:val="en-US"/>
                  </w:rPr>
                  <m:t>=</m:t>
                </m:r>
                <m:r>
                  <m:rPr/>
                  <w:rPr>
                    <w:rFonts w:hint="default" w:ascii="Cambria Math" w:hAnsi="Cambria Math" w:cs="Times New Roman"/>
                    <w:color w:val="auto"/>
                    <w:sz w:val="24"/>
                    <w:lang w:val="en-US" w:eastAsia="zh-CN"/>
                  </w:rPr>
                  <m:t>S∗q∗t∗K</m:t>
                </m:r>
              </m:oMath>
            </m:oMathPara>
          </w:p>
          <w:p w14:paraId="4C69874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式中：S：煤场实际喷淋面积（㎡），按煤堆投影面积与周边道路面积之和计算；（本项目取棚内最大面积：20000㎡）</w:t>
            </w:r>
          </w:p>
          <w:p w14:paraId="32078C6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q：单位面积喷淋强度，参考《煤炭洗选工程设计规范》（GB50359-2016）取值0.005～0.007m³/（㎡·h）；（本项目取中间值0.006m³/（㎡·h））</w:t>
            </w:r>
          </w:p>
          <w:p w14:paraId="2DF5E8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t：单班喷淋时长（h），根据扬尘情况确定，一般为4h～8h；（本项目取5h，每小时喷淋15分钟，间歇喷淋系数α取0.25）</w:t>
            </w:r>
          </w:p>
          <w:p w14:paraId="143F3F8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K：损耗系数，考虑蒸发、流失，取值1.2~1.5（本项目取1.3）。</w:t>
            </w:r>
          </w:p>
          <w:p w14:paraId="1DBA32E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cs="Times New Roman"/>
                <w:color w:val="auto"/>
                <w:sz w:val="24"/>
                <w:lang w:val="en-US" w:eastAsia="zh-CN"/>
              </w:rPr>
            </w:pPr>
            <w:r>
              <w:rPr>
                <w:rFonts w:hint="eastAsia" w:cs="Times New Roman"/>
                <w:color w:val="auto"/>
                <w:sz w:val="24"/>
                <w:lang w:val="en-US" w:eastAsia="zh-CN"/>
              </w:rPr>
              <w:t>故：经核算后，本项目为三班制，喷淋用水量为585m³/d（17550m³/a） 。</w:t>
            </w:r>
          </w:p>
          <w:p w14:paraId="6058232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cs="Times New Roman"/>
                <w:color w:val="auto"/>
                <w:sz w:val="24"/>
                <w:lang w:val="en-US" w:eastAsia="zh-CN"/>
              </w:rPr>
            </w:pPr>
            <w:r>
              <w:rPr>
                <w:rFonts w:hint="eastAsia" w:cs="Times New Roman"/>
                <w:b/>
                <w:bCs/>
                <w:color w:val="auto"/>
                <w:sz w:val="24"/>
                <w:lang w:val="en-US" w:eastAsia="zh-CN"/>
              </w:rPr>
              <w:t>2）洗车用水</w:t>
            </w:r>
          </w:p>
          <w:p w14:paraId="03A6B7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zh-CN" w:eastAsia="zh-CN"/>
              </w:rPr>
            </w:pPr>
            <w:r>
              <w:rPr>
                <w:rFonts w:hint="eastAsia" w:ascii="Times New Roman" w:hAnsi="Times New Roman" w:eastAsia="宋体" w:cs="Times New Roman"/>
                <w:color w:val="auto"/>
                <w:sz w:val="24"/>
                <w:lang w:val="en-US" w:eastAsia="zh-CN"/>
              </w:rPr>
              <w:t>本项目按照载重车辆为40t/辆进行计算，运输车辆进入厂区工序12500次，</w:t>
            </w:r>
            <w:r>
              <w:rPr>
                <w:rFonts w:hint="default" w:ascii="Times New Roman" w:hAnsi="Times New Roman" w:eastAsia="宋体" w:cs="Times New Roman"/>
                <w:color w:val="auto"/>
                <w:sz w:val="24"/>
                <w:lang w:val="en-US" w:eastAsia="zh-CN"/>
              </w:rPr>
              <w:t>根据《建筑给水排水设计标准》（GB50015-2019）中载重汽车循环用水冲洗用水量为40</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60L/（辆·次），本项目洗车用水量按</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0L/辆•次计</w:t>
            </w:r>
            <w:r>
              <w:rPr>
                <w:rFonts w:hint="eastAsia" w:ascii="Times New Roman" w:hAnsi="Times New Roman" w:eastAsia="宋体" w:cs="Times New Roman"/>
                <w:color w:val="auto"/>
                <w:sz w:val="24"/>
                <w:lang w:val="en-US" w:eastAsia="zh-CN"/>
              </w:rPr>
              <w:t>，煤炭</w:t>
            </w:r>
            <w:r>
              <w:rPr>
                <w:rFonts w:hint="default" w:ascii="Times New Roman" w:hAnsi="Times New Roman" w:eastAsia="宋体" w:cs="Times New Roman"/>
                <w:color w:val="auto"/>
                <w:sz w:val="24"/>
                <w:lang w:val="en-US" w:eastAsia="zh-CN"/>
              </w:rPr>
              <w:t>自卸式汽车进行装载，最大载重量</w:t>
            </w:r>
            <w:r>
              <w:rPr>
                <w:rFonts w:hint="eastAsia"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lang w:val="en-US" w:eastAsia="zh-CN"/>
              </w:rPr>
              <w:t>t，项目年运输车辆约</w:t>
            </w:r>
            <w:r>
              <w:rPr>
                <w:rFonts w:hint="eastAsia" w:ascii="Times New Roman" w:hAnsi="Times New Roman" w:eastAsia="宋体" w:cs="Times New Roman"/>
                <w:color w:val="auto"/>
                <w:sz w:val="24"/>
                <w:lang w:val="en-US" w:eastAsia="zh-CN"/>
              </w:rPr>
              <w:t>12500</w:t>
            </w:r>
            <w:r>
              <w:rPr>
                <w:rFonts w:hint="default" w:ascii="Times New Roman" w:hAnsi="Times New Roman" w:eastAsia="宋体" w:cs="Times New Roman"/>
                <w:color w:val="auto"/>
                <w:sz w:val="24"/>
                <w:lang w:val="en-US" w:eastAsia="zh-CN"/>
              </w:rPr>
              <w:t>辆次，则项目</w:t>
            </w:r>
            <w:r>
              <w:rPr>
                <w:rFonts w:hint="default" w:ascii="Times New Roman" w:hAnsi="Times New Roman" w:eastAsia="宋体" w:cs="Times New Roman"/>
                <w:color w:val="auto"/>
                <w:sz w:val="24"/>
                <w:lang w:val="zh-CN" w:eastAsia="zh-CN"/>
              </w:rPr>
              <w:t>车辆清洗</w:t>
            </w:r>
            <w:r>
              <w:rPr>
                <w:rFonts w:hint="default" w:ascii="Times New Roman" w:hAnsi="Times New Roman" w:eastAsia="宋体" w:cs="Times New Roman"/>
                <w:color w:val="auto"/>
                <w:sz w:val="24"/>
                <w:lang w:val="en-US" w:eastAsia="zh-CN"/>
              </w:rPr>
              <w:t>用水量为</w:t>
            </w:r>
            <w:r>
              <w:rPr>
                <w:rFonts w:hint="eastAsia" w:ascii="Times New Roman" w:hAnsi="Times New Roman" w:eastAsia="宋体" w:cs="Times New Roman"/>
                <w:color w:val="auto"/>
                <w:sz w:val="24"/>
                <w:lang w:val="en-US" w:eastAsia="zh-CN"/>
              </w:rPr>
              <w:t>2.5m³</w:t>
            </w:r>
            <w:r>
              <w:rPr>
                <w:rFonts w:hint="default" w:ascii="Times New Roman" w:hAnsi="Times New Roman" w:eastAsia="宋体" w:cs="Times New Roman"/>
                <w:color w:val="auto"/>
                <w:sz w:val="24"/>
                <w:lang w:val="zh-CN" w:eastAsia="zh-CN"/>
              </w:rPr>
              <w:t>/d。</w:t>
            </w:r>
            <w:r>
              <w:rPr>
                <w:rFonts w:hint="default" w:ascii="Times New Roman" w:hAnsi="Times New Roman" w:eastAsia="宋体" w:cs="Times New Roman"/>
                <w:color w:val="auto"/>
                <w:sz w:val="24"/>
                <w:lang w:val="en-US" w:eastAsia="zh-CN"/>
              </w:rPr>
              <w:t>废水排放量按用水量的85%计（15%损耗，损耗量为</w:t>
            </w:r>
            <w:r>
              <w:rPr>
                <w:rFonts w:hint="eastAsia" w:cs="Times New Roman"/>
                <w:color w:val="auto"/>
                <w:sz w:val="24"/>
                <w:lang w:val="en-US" w:eastAsia="zh-CN"/>
              </w:rPr>
              <w:t>0.375</w:t>
            </w:r>
            <w:r>
              <w:rPr>
                <w:rFonts w:hint="eastAsia" w:ascii="Times New Roman" w:hAnsi="Times New Roman" w:eastAsia="宋体" w:cs="Times New Roman"/>
                <w:color w:val="auto"/>
                <w:sz w:val="24"/>
                <w:lang w:val="en-US" w:eastAsia="zh-CN"/>
              </w:rPr>
              <w:t>m³</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lang w:val="en-US" w:eastAsia="zh-CN"/>
              </w:rPr>
              <w:t>），则项目洗车产生的废水量为</w:t>
            </w:r>
            <w:r>
              <w:rPr>
                <w:rFonts w:hint="eastAsia" w:ascii="Times New Roman" w:hAnsi="Times New Roman" w:eastAsia="宋体" w:cs="Times New Roman"/>
                <w:color w:val="auto"/>
                <w:sz w:val="24"/>
                <w:lang w:val="en-US" w:eastAsia="zh-CN"/>
              </w:rPr>
              <w:t>639m³</w:t>
            </w:r>
            <w:r>
              <w:rPr>
                <w:rFonts w:hint="default" w:ascii="Times New Roman" w:hAnsi="Times New Roman" w:eastAsia="宋体" w:cs="Times New Roman"/>
                <w:color w:val="auto"/>
                <w:sz w:val="24"/>
                <w:lang w:val="en-US" w:eastAsia="zh-CN"/>
              </w:rPr>
              <w:t>/a</w:t>
            </w:r>
            <w:r>
              <w:rPr>
                <w:rFonts w:hint="eastAsia" w:cs="Times New Roman"/>
                <w:color w:val="auto"/>
                <w:sz w:val="24"/>
                <w:lang w:val="en-US" w:eastAsia="zh-CN"/>
              </w:rPr>
              <w:t>（2.13m³/d）</w:t>
            </w:r>
            <w:r>
              <w:rPr>
                <w:rFonts w:hint="default" w:ascii="Times New Roman" w:hAnsi="Times New Roman" w:eastAsia="宋体" w:cs="Times New Roman"/>
                <w:color w:val="auto"/>
                <w:sz w:val="24"/>
                <w:lang w:val="en-US" w:eastAsia="zh-CN"/>
              </w:rPr>
              <w:t>。洗车废水经沉淀池处理后回用于洗车</w:t>
            </w:r>
            <w:r>
              <w:rPr>
                <w:rFonts w:hint="eastAsia" w:ascii="Times New Roman" w:hAnsi="Times New Roman" w:eastAsia="宋体" w:cs="Times New Roman"/>
                <w:color w:val="auto"/>
                <w:sz w:val="24"/>
                <w:lang w:val="en-US" w:eastAsia="zh-CN"/>
              </w:rPr>
              <w:t>，不外排</w:t>
            </w:r>
            <w:r>
              <w:rPr>
                <w:rFonts w:hint="default" w:ascii="Times New Roman" w:hAnsi="Times New Roman" w:eastAsia="宋体" w:cs="Times New Roman"/>
                <w:color w:val="auto"/>
                <w:sz w:val="24"/>
                <w:lang w:val="zh-CN" w:eastAsia="zh-CN"/>
              </w:rPr>
              <w:t>。</w:t>
            </w:r>
          </w:p>
          <w:p w14:paraId="222F58F8">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lang w:val="en-US" w:eastAsia="zh-CN"/>
              </w:rPr>
            </w:pPr>
            <w:r>
              <w:rPr>
                <w:rFonts w:hint="eastAsia" w:cs="Times New Roman"/>
                <w:b/>
                <w:bCs/>
                <w:color w:val="auto"/>
                <w:sz w:val="24"/>
                <w:lang w:val="en-US" w:eastAsia="zh-CN"/>
              </w:rPr>
              <w:t>3）</w:t>
            </w:r>
            <w:r>
              <w:rPr>
                <w:rFonts w:hint="eastAsia" w:ascii="Times New Roman" w:hAnsi="Times New Roman" w:eastAsia="宋体" w:cs="Times New Roman"/>
                <w:b/>
                <w:bCs/>
                <w:color w:val="auto"/>
                <w:sz w:val="24"/>
                <w:lang w:val="en-US" w:eastAsia="zh-CN"/>
              </w:rPr>
              <w:t>道路抑尘用水</w:t>
            </w:r>
            <w:r>
              <w:rPr>
                <w:rFonts w:hint="eastAsia" w:cs="Times New Roman"/>
                <w:color w:val="auto"/>
                <w:sz w:val="24"/>
                <w:lang w:val="en-US" w:eastAsia="zh-CN"/>
              </w:rPr>
              <w:t>：本项目运输道路总面积约2066.7㎡，参考《煤炭洗选工程设计规范》（GB50359-2016）中道路浇洒用水，用水定额为2.0—3.0L（㎡·d），本项目道路抑尘用水取2.0L/（㎡·d），堆场及道路抑尘用水量为4.13m³/d（1239m³/a）。</w:t>
            </w:r>
          </w:p>
          <w:p w14:paraId="5B8601A0">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ascii="Times New Roman" w:hAnsi="Times New Roman" w:eastAsia="宋体" w:cs="Times New Roman"/>
                <w:color w:val="auto"/>
                <w:sz w:val="24"/>
                <w:lang w:val="en-US" w:eastAsia="zh-CN"/>
              </w:rPr>
            </w:pPr>
            <w:r>
              <w:rPr>
                <w:rFonts w:hint="eastAsia" w:cs="Times New Roman"/>
                <w:b/>
                <w:bCs/>
                <w:color w:val="auto"/>
                <w:sz w:val="24"/>
                <w:lang w:val="en-US" w:eastAsia="zh-CN"/>
              </w:rPr>
              <w:t>4）初期雨水</w:t>
            </w:r>
          </w:p>
          <w:p w14:paraId="297EC07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全厂占地面积为22666.7㎡</w:t>
            </w:r>
            <w:r>
              <w:rPr>
                <w:rFonts w:hint="default" w:ascii="Times New Roman" w:hAnsi="Times New Roman" w:cs="Times New Roman"/>
                <w:color w:val="auto"/>
                <w:sz w:val="24"/>
                <w:szCs w:val="24"/>
                <w:highlight w:val="none"/>
                <w:lang w:val="en-US" w:eastAsia="zh-CN"/>
              </w:rPr>
              <w:t>，雨季形成污染雨水，具体初期雨水收集量如下核算：</w:t>
            </w:r>
            <w:r>
              <w:rPr>
                <w:rFonts w:hint="eastAsia" w:ascii="Times New Roman" w:hAnsi="Times New Roman" w:cs="Times New Roman"/>
                <w:color w:val="auto"/>
                <w:sz w:val="24"/>
                <w:szCs w:val="24"/>
                <w:highlight w:val="none"/>
                <w:lang w:val="en-US" w:eastAsia="zh-CN"/>
              </w:rPr>
              <w:t>初期雨水量=汇水面积*初期冲刷深度*径流系数</w:t>
            </w:r>
          </w:p>
          <w:p w14:paraId="74064D23">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汇水面积（F）：29266.7㎡；初期冲刷深度（hc）：对于密闭仓储棚，取</w:t>
            </w:r>
            <w:r>
              <w:rPr>
                <w:rFonts w:hint="eastAsia" w:cs="Times New Roman"/>
                <w:color w:val="auto"/>
                <w:kern w:val="2"/>
                <w:sz w:val="24"/>
                <w:szCs w:val="24"/>
                <w:highlight w:val="none"/>
                <w:lang w:val="en-US" w:eastAsia="zh-CN" w:bidi="ar-SA"/>
              </w:rPr>
              <w:t>0</w:t>
            </w:r>
            <w:r>
              <w:rPr>
                <w:rFonts w:hint="eastAsia" w:ascii="Times New Roman" w:hAnsi="Times New Roman" w:eastAsia="宋体" w:cs="Times New Roman"/>
                <w:color w:val="auto"/>
                <w:kern w:val="2"/>
                <w:sz w:val="24"/>
                <w:szCs w:val="24"/>
                <w:highlight w:val="none"/>
                <w:lang w:val="en-US" w:eastAsia="zh-CN" w:bidi="ar-SA"/>
              </w:rPr>
              <w:t>.008m；</w:t>
            </w:r>
          </w:p>
          <w:p w14:paraId="4D197AC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径流</w:t>
            </w:r>
            <w:r>
              <w:rPr>
                <w:rFonts w:hint="eastAsia" w:cs="Times New Roman"/>
                <w:color w:val="auto"/>
                <w:kern w:val="2"/>
                <w:sz w:val="24"/>
                <w:szCs w:val="24"/>
                <w:highlight w:val="none"/>
                <w:lang w:val="en-US" w:eastAsia="zh-CN" w:bidi="ar-SA"/>
              </w:rPr>
              <w:t>系数</w:t>
            </w:r>
            <w:r>
              <w:rPr>
                <w:rFonts w:hint="eastAsia" w:ascii="Times New Roman" w:hAnsi="Times New Roman" w:eastAsia="宋体" w:cs="Times New Roman"/>
                <w:color w:val="auto"/>
                <w:kern w:val="2"/>
                <w:sz w:val="24"/>
                <w:szCs w:val="24"/>
                <w:highlight w:val="none"/>
                <w:lang w:val="en-US" w:eastAsia="zh-CN" w:bidi="ar-SA"/>
              </w:rPr>
              <w:t>（φ）</w:t>
            </w:r>
            <w:r>
              <w:rPr>
                <w:rFonts w:hint="eastAsia" w:cs="Times New Roman"/>
                <w:color w:val="auto"/>
                <w:kern w:val="2"/>
                <w:sz w:val="24"/>
                <w:szCs w:val="24"/>
                <w:highlight w:val="none"/>
                <w:lang w:val="en-US" w:eastAsia="zh-CN" w:bidi="ar-SA"/>
              </w:rPr>
              <w:t>：对于</w:t>
            </w:r>
            <w:r>
              <w:rPr>
                <w:rFonts w:hint="eastAsia" w:ascii="Times New Roman" w:hAnsi="Times New Roman" w:eastAsia="宋体" w:cs="Times New Roman"/>
                <w:color w:val="auto"/>
                <w:kern w:val="2"/>
                <w:sz w:val="24"/>
                <w:szCs w:val="24"/>
                <w:highlight w:val="none"/>
                <w:lang w:val="en-US" w:eastAsia="zh-CN" w:bidi="ar-SA"/>
              </w:rPr>
              <w:t>完全硬化的地面，取0.9。</w:t>
            </w:r>
          </w:p>
          <w:p w14:paraId="18530C88">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经核算后，本项目新增初期雨水量为163.2m³，建议将初期雨水收集池的有效容积设计为200m³，保留</w:t>
            </w:r>
            <w:r>
              <w:rPr>
                <w:rFonts w:hint="eastAsia" w:cs="Times New Roman"/>
                <w:color w:val="auto"/>
                <w:kern w:val="2"/>
                <w:sz w:val="24"/>
                <w:szCs w:val="24"/>
                <w:highlight w:val="none"/>
                <w:lang w:val="en-US" w:eastAsia="zh-CN" w:bidi="ar-SA"/>
              </w:rPr>
              <w:t>余量</w:t>
            </w:r>
            <w:r>
              <w:rPr>
                <w:rFonts w:hint="eastAsia" w:ascii="Times New Roman" w:hAnsi="Times New Roman" w:eastAsia="宋体" w:cs="Times New Roman"/>
                <w:color w:val="auto"/>
                <w:kern w:val="2"/>
                <w:sz w:val="24"/>
                <w:szCs w:val="24"/>
                <w:highlight w:val="none"/>
                <w:lang w:val="en-US" w:eastAsia="zh-CN" w:bidi="ar-SA"/>
              </w:rPr>
              <w:t>。</w:t>
            </w:r>
          </w:p>
          <w:p w14:paraId="49D2707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本项目的初期雨水经沉淀后可用作厂区内道路洒水抑尘及洗车用水。</w:t>
            </w:r>
          </w:p>
          <w:p w14:paraId="76E3408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项目运营后的用水及废水产生情况见表2-</w:t>
            </w:r>
            <w:r>
              <w:rPr>
                <w:rFonts w:hint="eastAsia" w:cs="Times New Roman"/>
                <w:color w:val="auto"/>
                <w:sz w:val="24"/>
                <w:lang w:val="en-US" w:eastAsia="zh-CN"/>
              </w:rPr>
              <w:t>4</w:t>
            </w:r>
            <w:r>
              <w:rPr>
                <w:rFonts w:hint="default" w:ascii="Times New Roman" w:hAnsi="Times New Roman" w:cs="Times New Roman"/>
                <w:color w:val="auto"/>
                <w:sz w:val="24"/>
              </w:rPr>
              <w:t>。</w:t>
            </w:r>
          </w:p>
          <w:p w14:paraId="461B252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项目用水及污水排放情况一览表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81"/>
              <w:gridCol w:w="1320"/>
              <w:gridCol w:w="1205"/>
              <w:gridCol w:w="1053"/>
              <w:gridCol w:w="1055"/>
              <w:gridCol w:w="1005"/>
              <w:gridCol w:w="1005"/>
            </w:tblGrid>
            <w:tr w14:paraId="0A09C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vMerge w:val="restart"/>
                  <w:noWrap w:val="0"/>
                  <w:vAlign w:val="center"/>
                </w:tcPr>
                <w:p w14:paraId="2B23516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用水项目</w:t>
                  </w:r>
                </w:p>
              </w:tc>
              <w:tc>
                <w:tcPr>
                  <w:tcW w:w="783" w:type="pct"/>
                  <w:vMerge w:val="restart"/>
                  <w:noWrap w:val="0"/>
                  <w:vAlign w:val="center"/>
                </w:tcPr>
                <w:p w14:paraId="411B52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用水量标准</w:t>
                  </w:r>
                </w:p>
              </w:tc>
              <w:tc>
                <w:tcPr>
                  <w:tcW w:w="715" w:type="pct"/>
                  <w:vMerge w:val="restart"/>
                  <w:noWrap w:val="0"/>
                  <w:vAlign w:val="center"/>
                </w:tcPr>
                <w:p w14:paraId="40F4A54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规模</w:t>
                  </w:r>
                </w:p>
              </w:tc>
              <w:tc>
                <w:tcPr>
                  <w:tcW w:w="1251" w:type="pct"/>
                  <w:gridSpan w:val="2"/>
                  <w:noWrap w:val="0"/>
                  <w:vAlign w:val="center"/>
                </w:tcPr>
                <w:p w14:paraId="73623B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用水量</w:t>
                  </w:r>
                </w:p>
              </w:tc>
              <w:tc>
                <w:tcPr>
                  <w:tcW w:w="1192" w:type="pct"/>
                  <w:gridSpan w:val="2"/>
                  <w:noWrap w:val="0"/>
                  <w:vAlign w:val="center"/>
                </w:tcPr>
                <w:p w14:paraId="28F7A43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排放量</w:t>
                  </w:r>
                </w:p>
              </w:tc>
            </w:tr>
            <w:tr w14:paraId="1A0D4E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vMerge w:val="continue"/>
                  <w:noWrap w:val="0"/>
                  <w:vAlign w:val="center"/>
                </w:tcPr>
                <w:p w14:paraId="3A242D6A">
                  <w:pPr>
                    <w:adjustRightInd w:val="0"/>
                    <w:snapToGrid w:val="0"/>
                    <w:jc w:val="center"/>
                    <w:rPr>
                      <w:rFonts w:hint="default" w:ascii="Times New Roman" w:hAnsi="Times New Roman" w:cs="Times New Roman"/>
                      <w:color w:val="auto"/>
                      <w:szCs w:val="21"/>
                    </w:rPr>
                  </w:pPr>
                </w:p>
              </w:tc>
              <w:tc>
                <w:tcPr>
                  <w:tcW w:w="783" w:type="pct"/>
                  <w:vMerge w:val="continue"/>
                  <w:noWrap w:val="0"/>
                  <w:vAlign w:val="center"/>
                </w:tcPr>
                <w:p w14:paraId="5D14E355">
                  <w:pPr>
                    <w:adjustRightInd w:val="0"/>
                    <w:snapToGrid w:val="0"/>
                    <w:jc w:val="center"/>
                    <w:rPr>
                      <w:rFonts w:hint="default" w:ascii="Times New Roman" w:hAnsi="Times New Roman" w:cs="Times New Roman"/>
                      <w:color w:val="auto"/>
                      <w:szCs w:val="21"/>
                    </w:rPr>
                  </w:pPr>
                </w:p>
              </w:tc>
              <w:tc>
                <w:tcPr>
                  <w:tcW w:w="715" w:type="pct"/>
                  <w:vMerge w:val="continue"/>
                  <w:noWrap w:val="0"/>
                  <w:vAlign w:val="center"/>
                </w:tcPr>
                <w:p w14:paraId="400AFC4F">
                  <w:pPr>
                    <w:adjustRightInd w:val="0"/>
                    <w:snapToGrid w:val="0"/>
                    <w:jc w:val="center"/>
                    <w:rPr>
                      <w:rFonts w:hint="default" w:ascii="Times New Roman" w:hAnsi="Times New Roman" w:cs="Times New Roman"/>
                      <w:color w:val="auto"/>
                      <w:szCs w:val="21"/>
                    </w:rPr>
                  </w:pPr>
                </w:p>
              </w:tc>
              <w:tc>
                <w:tcPr>
                  <w:tcW w:w="625" w:type="pct"/>
                  <w:noWrap w:val="0"/>
                  <w:vAlign w:val="center"/>
                </w:tcPr>
                <w:p w14:paraId="11CD367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626" w:type="pct"/>
                  <w:noWrap w:val="0"/>
                  <w:vAlign w:val="center"/>
                </w:tcPr>
                <w:p w14:paraId="0F64B9B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c>
                <w:tcPr>
                  <w:tcW w:w="596" w:type="pct"/>
                  <w:noWrap w:val="0"/>
                  <w:vAlign w:val="center"/>
                </w:tcPr>
                <w:p w14:paraId="3774DEF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/d</w:t>
                  </w:r>
                </w:p>
              </w:tc>
              <w:tc>
                <w:tcPr>
                  <w:tcW w:w="596" w:type="pct"/>
                  <w:noWrap w:val="0"/>
                  <w:vAlign w:val="center"/>
                </w:tcPr>
                <w:p w14:paraId="3643C2B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r>
                    <w:rPr>
                      <w:rFonts w:hint="default" w:ascii="Times New Roman" w:hAnsi="Times New Roman" w:cs="Times New Roman"/>
                      <w:color w:val="auto"/>
                      <w:szCs w:val="21"/>
                    </w:rPr>
                    <w:t>/a</w:t>
                  </w:r>
                </w:p>
              </w:tc>
            </w:tr>
            <w:tr w14:paraId="2BD74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466FA9A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喷淋</w:t>
                  </w:r>
                  <w:r>
                    <w:rPr>
                      <w:rFonts w:hint="eastAsia" w:ascii="Times New Roman" w:hAnsi="Times New Roman" w:cs="Times New Roman"/>
                      <w:color w:val="auto"/>
                      <w:szCs w:val="21"/>
                      <w:lang w:val="en-US" w:eastAsia="zh-CN"/>
                    </w:rPr>
                    <w:t>用水</w:t>
                  </w:r>
                </w:p>
              </w:tc>
              <w:tc>
                <w:tcPr>
                  <w:tcW w:w="783" w:type="pct"/>
                  <w:noWrap w:val="0"/>
                  <w:vAlign w:val="center"/>
                </w:tcPr>
                <w:p w14:paraId="2B63FA2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15" w:type="pct"/>
                  <w:noWrap w:val="0"/>
                  <w:vAlign w:val="center"/>
                </w:tcPr>
                <w:p w14:paraId="3AFFD153">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625" w:type="pct"/>
                  <w:noWrap w:val="0"/>
                  <w:vAlign w:val="center"/>
                </w:tcPr>
                <w:p w14:paraId="3B1151C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585</w:t>
                  </w:r>
                </w:p>
              </w:tc>
              <w:tc>
                <w:tcPr>
                  <w:tcW w:w="626" w:type="pct"/>
                  <w:noWrap w:val="0"/>
                  <w:vAlign w:val="center"/>
                </w:tcPr>
                <w:p w14:paraId="4A03CB9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17550</w:t>
                  </w:r>
                </w:p>
              </w:tc>
              <w:tc>
                <w:tcPr>
                  <w:tcW w:w="596" w:type="pct"/>
                  <w:noWrap w:val="0"/>
                  <w:vAlign w:val="center"/>
                </w:tcPr>
                <w:p w14:paraId="616751A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96" w:type="pct"/>
                  <w:noWrap w:val="0"/>
                  <w:vAlign w:val="center"/>
                </w:tcPr>
                <w:p w14:paraId="710E68B7">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r w14:paraId="4CE4C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6800CEFC">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洗车用水</w:t>
                  </w:r>
                </w:p>
              </w:tc>
              <w:tc>
                <w:tcPr>
                  <w:tcW w:w="783" w:type="pct"/>
                  <w:noWrap w:val="0"/>
                  <w:vAlign w:val="center"/>
                </w:tcPr>
                <w:p w14:paraId="450D9F11">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60L</w:t>
                  </w:r>
                  <w:r>
                    <w:rPr>
                      <w:rFonts w:hint="default" w:ascii="Times New Roman" w:hAnsi="Times New Roman" w:eastAsia="宋体" w:cs="Times New Roman"/>
                      <w:color w:val="auto"/>
                      <w:sz w:val="21"/>
                      <w:szCs w:val="21"/>
                      <w:lang w:val="en-US" w:eastAsia="zh-CN"/>
                    </w:rPr>
                    <w:t>/辆•次</w:t>
                  </w:r>
                </w:p>
              </w:tc>
              <w:tc>
                <w:tcPr>
                  <w:tcW w:w="715" w:type="pct"/>
                  <w:noWrap w:val="0"/>
                  <w:vAlign w:val="center"/>
                </w:tcPr>
                <w:p w14:paraId="41965A8D">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25" w:type="pct"/>
                  <w:noWrap w:val="0"/>
                  <w:vAlign w:val="center"/>
                </w:tcPr>
                <w:p w14:paraId="14F26EFC">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2.5</w:t>
                  </w:r>
                </w:p>
              </w:tc>
              <w:tc>
                <w:tcPr>
                  <w:tcW w:w="626" w:type="pct"/>
                  <w:noWrap w:val="0"/>
                  <w:vAlign w:val="center"/>
                </w:tcPr>
                <w:p w14:paraId="35FD9992">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750</w:t>
                  </w:r>
                </w:p>
              </w:tc>
              <w:tc>
                <w:tcPr>
                  <w:tcW w:w="596" w:type="pct"/>
                  <w:noWrap w:val="0"/>
                  <w:vAlign w:val="center"/>
                </w:tcPr>
                <w:p w14:paraId="4371345A">
                  <w:pPr>
                    <w:adjustRightInd w:val="0"/>
                    <w:snapToGrid w:val="0"/>
                    <w:jc w:val="center"/>
                    <w:rPr>
                      <w:rFonts w:hint="eastAsia" w:ascii="Times New Roman" w:hAnsi="Times New Roman" w:cs="Times New Roman"/>
                      <w:color w:val="auto"/>
                      <w:szCs w:val="21"/>
                      <w:lang w:val="en-US" w:eastAsia="zh-CN"/>
                    </w:rPr>
                  </w:pPr>
                </w:p>
              </w:tc>
              <w:tc>
                <w:tcPr>
                  <w:tcW w:w="596" w:type="pct"/>
                  <w:noWrap w:val="0"/>
                  <w:vAlign w:val="center"/>
                </w:tcPr>
                <w:p w14:paraId="7E79BBC9">
                  <w:pPr>
                    <w:adjustRightInd w:val="0"/>
                    <w:snapToGrid w:val="0"/>
                    <w:jc w:val="center"/>
                    <w:rPr>
                      <w:rFonts w:hint="eastAsia" w:ascii="Times New Roman" w:hAnsi="Times New Roman" w:eastAsia="宋体" w:cs="Times New Roman"/>
                      <w:color w:val="auto"/>
                      <w:szCs w:val="21"/>
                      <w:lang w:val="en-US" w:eastAsia="zh-CN"/>
                    </w:rPr>
                  </w:pPr>
                </w:p>
              </w:tc>
            </w:tr>
            <w:tr w14:paraId="3035D2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4504233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道路抑尘用水</w:t>
                  </w:r>
                </w:p>
              </w:tc>
              <w:tc>
                <w:tcPr>
                  <w:tcW w:w="783" w:type="pct"/>
                  <w:noWrap w:val="0"/>
                  <w:vAlign w:val="center"/>
                </w:tcPr>
                <w:p w14:paraId="77E5892E">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2.0L/（㎡·d）</w:t>
                  </w:r>
                </w:p>
              </w:tc>
              <w:tc>
                <w:tcPr>
                  <w:tcW w:w="715" w:type="pct"/>
                  <w:noWrap w:val="0"/>
                  <w:vAlign w:val="center"/>
                </w:tcPr>
                <w:p w14:paraId="023BB37F">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625" w:type="pct"/>
                  <w:noWrap w:val="0"/>
                  <w:vAlign w:val="center"/>
                </w:tcPr>
                <w:p w14:paraId="6420E434">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4.13</w:t>
                  </w:r>
                </w:p>
              </w:tc>
              <w:tc>
                <w:tcPr>
                  <w:tcW w:w="626" w:type="pct"/>
                  <w:noWrap w:val="0"/>
                  <w:vAlign w:val="center"/>
                </w:tcPr>
                <w:p w14:paraId="0BF56B41">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1239</w:t>
                  </w:r>
                </w:p>
              </w:tc>
              <w:tc>
                <w:tcPr>
                  <w:tcW w:w="596" w:type="pct"/>
                  <w:noWrap w:val="0"/>
                  <w:vAlign w:val="center"/>
                </w:tcPr>
                <w:p w14:paraId="7DC348A4">
                  <w:pPr>
                    <w:adjustRightInd w:val="0"/>
                    <w:snapToGrid w:val="0"/>
                    <w:jc w:val="center"/>
                    <w:rPr>
                      <w:rFonts w:hint="eastAsia" w:ascii="Times New Roman" w:hAnsi="Times New Roman" w:cs="Times New Roman"/>
                      <w:color w:val="auto"/>
                      <w:szCs w:val="21"/>
                      <w:lang w:val="en-US" w:eastAsia="zh-CN"/>
                    </w:rPr>
                  </w:pPr>
                </w:p>
              </w:tc>
              <w:tc>
                <w:tcPr>
                  <w:tcW w:w="596" w:type="pct"/>
                  <w:noWrap w:val="0"/>
                  <w:vAlign w:val="center"/>
                </w:tcPr>
                <w:p w14:paraId="24620E6B">
                  <w:pPr>
                    <w:adjustRightInd w:val="0"/>
                    <w:snapToGrid w:val="0"/>
                    <w:jc w:val="center"/>
                    <w:rPr>
                      <w:rFonts w:hint="eastAsia" w:ascii="Times New Roman" w:hAnsi="Times New Roman" w:eastAsia="宋体" w:cs="Times New Roman"/>
                      <w:color w:val="auto"/>
                      <w:szCs w:val="21"/>
                      <w:lang w:val="en-US" w:eastAsia="zh-CN"/>
                    </w:rPr>
                  </w:pPr>
                </w:p>
              </w:tc>
            </w:tr>
            <w:tr w14:paraId="76EB8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57" w:type="pct"/>
                  <w:noWrap w:val="0"/>
                  <w:vAlign w:val="center"/>
                </w:tcPr>
                <w:p w14:paraId="710AE2E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783" w:type="pct"/>
                  <w:noWrap w:val="0"/>
                  <w:vAlign w:val="center"/>
                </w:tcPr>
                <w:p w14:paraId="2100A70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715" w:type="pct"/>
                  <w:noWrap w:val="0"/>
                  <w:vAlign w:val="center"/>
                </w:tcPr>
                <w:p w14:paraId="0D8468E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625" w:type="pct"/>
                  <w:noWrap w:val="0"/>
                  <w:vAlign w:val="center"/>
                </w:tcPr>
                <w:p w14:paraId="077BCBA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591.63</w:t>
                  </w:r>
                </w:p>
              </w:tc>
              <w:tc>
                <w:tcPr>
                  <w:tcW w:w="626" w:type="pct"/>
                  <w:noWrap w:val="0"/>
                  <w:vAlign w:val="center"/>
                </w:tcPr>
                <w:p w14:paraId="1F0FBCE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19539</w:t>
                  </w:r>
                </w:p>
              </w:tc>
              <w:tc>
                <w:tcPr>
                  <w:tcW w:w="596" w:type="pct"/>
                  <w:noWrap w:val="0"/>
                  <w:vAlign w:val="center"/>
                </w:tcPr>
                <w:p w14:paraId="430C4021">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596" w:type="pct"/>
                  <w:noWrap w:val="0"/>
                  <w:vAlign w:val="center"/>
                </w:tcPr>
                <w:p w14:paraId="5C709A9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r>
          </w:tbl>
          <w:p w14:paraId="6FE9264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（2）排水</w:t>
            </w:r>
          </w:p>
          <w:p w14:paraId="2706883C">
            <w:pPr>
              <w:spacing w:line="360" w:lineRule="auto"/>
              <w:ind w:firstLine="470" w:firstLineChars="196"/>
              <w:rPr>
                <w:rFonts w:hint="default" w:ascii="Times New Roman" w:hAnsi="Times New Roman" w:cs="Times New Roman"/>
                <w:color w:val="auto"/>
                <w:sz w:val="24"/>
                <w:lang w:val="zh-CN"/>
              </w:rPr>
            </w:pPr>
            <w:r>
              <w:rPr>
                <w:rFonts w:hint="eastAsia" w:cs="Times New Roman"/>
                <w:color w:val="auto"/>
                <w:sz w:val="24"/>
                <w:lang w:val="en-US" w:eastAsia="zh-CN"/>
              </w:rPr>
              <w:t>本项目喷淋、道路抑尘用水均在使用过程中蒸发损耗，无外排废水。洗车废水经沉淀池沉淀处理后重复使用，不外排。</w:t>
            </w:r>
          </w:p>
          <w:p w14:paraId="5A5D351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8</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供电</w:t>
            </w:r>
          </w:p>
          <w:p w14:paraId="648F0051">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项目用电由供电系统供给，能满足项目生产、生活的要求。</w:t>
            </w:r>
          </w:p>
          <w:p w14:paraId="5ACB2ED4">
            <w:pPr>
              <w:widowControl/>
              <w:autoSpaceDE w:val="0"/>
              <w:adjustRightInd w:val="0"/>
              <w:snapToGrid w:val="0"/>
              <w:spacing w:line="360" w:lineRule="auto"/>
              <w:ind w:firstLine="482" w:firstLineChars="200"/>
              <w:jc w:val="left"/>
              <w:rPr>
                <w:rFonts w:hint="default" w:ascii="Times New Roman" w:hAnsi="Times New Roman" w:cs="Times New Roman"/>
                <w:color w:val="auto"/>
                <w:sz w:val="24"/>
              </w:rPr>
            </w:pPr>
            <w:r>
              <w:rPr>
                <w:rFonts w:hint="eastAsia" w:cs="Times New Roman"/>
                <w:b/>
                <w:bCs/>
                <w:color w:val="auto"/>
                <w:sz w:val="24"/>
                <w:lang w:val="en-US" w:eastAsia="zh-CN"/>
              </w:rPr>
              <w:t>9</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平面布置合理性</w:t>
            </w:r>
          </w:p>
          <w:p w14:paraId="47F96EFC">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总平面布置原则：结合场地现状条件，合理布置建、构筑物，使工艺流程合理，管线短捷，人货流畅，符合防火、安全、卫生等有关规范的要求。</w:t>
            </w:r>
          </w:p>
          <w:p w14:paraId="48799FA5">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本项目位于现有项目西北侧，东南侧为冯家山库路，远离东南侧居民，可有效降低运输噪声对周边居民环境的影响。</w:t>
            </w:r>
            <w:r>
              <w:rPr>
                <w:rFonts w:hint="default" w:ascii="Times New Roman" w:hAnsi="Times New Roman" w:cs="Times New Roman"/>
                <w:color w:val="auto"/>
                <w:sz w:val="24"/>
              </w:rPr>
              <w:t>项目区域内供水、供电</w:t>
            </w:r>
            <w:r>
              <w:rPr>
                <w:rFonts w:hint="eastAsia" w:ascii="Times New Roman" w:hAnsi="Times New Roman" w:cs="Times New Roman"/>
                <w:color w:val="auto"/>
                <w:sz w:val="24"/>
                <w:lang w:val="en-US" w:eastAsia="zh-CN"/>
              </w:rPr>
              <w:t>等</w:t>
            </w:r>
            <w:r>
              <w:rPr>
                <w:rFonts w:hint="default" w:ascii="Times New Roman" w:hAnsi="Times New Roman" w:cs="Times New Roman"/>
                <w:color w:val="auto"/>
                <w:sz w:val="24"/>
              </w:rPr>
              <w:t>基础设施配套齐全，建筑结构基本完善，功能分区明确，各区域相对独立。考虑到了噪声、安全等要求。总平面布置基本合理。</w:t>
            </w:r>
          </w:p>
          <w:p w14:paraId="1A5AC6BE">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eastAsia" w:cs="Times New Roman"/>
                <w:b/>
                <w:bCs/>
                <w:color w:val="auto"/>
                <w:sz w:val="24"/>
                <w:lang w:val="en-US" w:eastAsia="zh-CN"/>
              </w:rPr>
              <w:t>10.</w:t>
            </w:r>
            <w:r>
              <w:rPr>
                <w:rFonts w:hint="default" w:ascii="Times New Roman" w:hAnsi="Times New Roman" w:eastAsia="宋体" w:cs="Times New Roman"/>
                <w:b/>
                <w:bCs/>
                <w:color w:val="auto"/>
                <w:sz w:val="24"/>
                <w:lang w:val="en-US" w:eastAsia="zh-CN"/>
              </w:rPr>
              <w:t>劳动定员及工作制度</w:t>
            </w:r>
          </w:p>
          <w:p w14:paraId="20D5942F">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劳动定员：</w:t>
            </w:r>
            <w:r>
              <w:rPr>
                <w:rFonts w:hint="eastAsia" w:ascii="Times New Roman" w:hAnsi="Times New Roman" w:cs="Times New Roman"/>
                <w:color w:val="auto"/>
                <w:sz w:val="24"/>
                <w:lang w:eastAsia="zh-CN"/>
              </w:rPr>
              <w:t>原有项目劳动定员</w:t>
            </w:r>
            <w:r>
              <w:rPr>
                <w:rFonts w:hint="eastAsia" w:cs="Times New Roman"/>
                <w:color w:val="auto"/>
                <w:sz w:val="24"/>
                <w:lang w:val="en-US" w:eastAsia="zh-CN"/>
              </w:rPr>
              <w:t>25</w:t>
            </w:r>
            <w:r>
              <w:rPr>
                <w:rFonts w:hint="eastAsia" w:ascii="Times New Roman" w:hAnsi="Times New Roman" w:cs="Times New Roman"/>
                <w:color w:val="auto"/>
                <w:sz w:val="24"/>
                <w:lang w:val="en-US" w:eastAsia="zh-CN"/>
              </w:rPr>
              <w:t>人，</w:t>
            </w:r>
            <w:r>
              <w:rPr>
                <w:rFonts w:hint="eastAsia" w:cs="Times New Roman"/>
                <w:color w:val="auto"/>
                <w:sz w:val="24"/>
                <w:lang w:val="en-US" w:eastAsia="zh-CN"/>
              </w:rPr>
              <w:t>本次不新增</w:t>
            </w:r>
            <w:r>
              <w:rPr>
                <w:rFonts w:hint="default" w:ascii="Times New Roman" w:hAnsi="Times New Roman" w:cs="Times New Roman"/>
                <w:color w:val="auto"/>
                <w:sz w:val="24"/>
                <w:lang w:val="en-US" w:eastAsia="zh-CN"/>
              </w:rPr>
              <w:t>劳动定员</w:t>
            </w:r>
            <w:r>
              <w:rPr>
                <w:rFonts w:hint="default" w:ascii="Times New Roman" w:hAnsi="Times New Roman" w:cs="Times New Roman"/>
                <w:color w:val="auto"/>
                <w:sz w:val="24"/>
              </w:rPr>
              <w:t>。</w:t>
            </w:r>
          </w:p>
          <w:p w14:paraId="6D52BC3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工作制度：本项目年工作300天，工作制度采用</w:t>
            </w:r>
            <w:r>
              <w:rPr>
                <w:rFonts w:hint="eastAsia" w:cs="Times New Roman"/>
                <w:color w:val="auto"/>
                <w:sz w:val="24"/>
                <w:lang w:val="en-US" w:eastAsia="zh-CN"/>
              </w:rPr>
              <w:t>三</w:t>
            </w:r>
            <w:r>
              <w:rPr>
                <w:rFonts w:hint="default" w:ascii="Times New Roman" w:hAnsi="Times New Roman" w:cs="Times New Roman"/>
                <w:color w:val="auto"/>
                <w:sz w:val="24"/>
              </w:rPr>
              <w:t>班制，工作</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小时。</w:t>
            </w:r>
          </w:p>
        </w:tc>
      </w:tr>
      <w:tr w14:paraId="17ABDD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2" w:hRule="atLeast"/>
          <w:jc w:val="center"/>
        </w:trPr>
        <w:tc>
          <w:tcPr>
            <w:tcW w:w="426" w:type="dxa"/>
            <w:noWrap w:val="0"/>
            <w:vAlign w:val="center"/>
          </w:tcPr>
          <w:p w14:paraId="6440C17B">
            <w:pPr>
              <w:pStyle w:val="2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670" w:type="dxa"/>
            <w:noWrap w:val="0"/>
            <w:vAlign w:val="top"/>
          </w:tcPr>
          <w:p w14:paraId="054DE7B7">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lang w:val="en-US" w:eastAsia="zh-CN"/>
              </w:rPr>
              <w:t>生产工艺及产污环节流程图</w:t>
            </w:r>
          </w:p>
          <w:p w14:paraId="6FA5CFA3">
            <w:pPr>
              <w:keepNext/>
              <w:keepLines/>
              <w:pageBreakBefore w:val="0"/>
              <w:widowControl/>
              <w:numPr>
                <w:ilvl w:val="0"/>
                <w:numId w:val="0"/>
              </w:numPr>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黑体" w:cs="Times New Roman"/>
                <w:bCs/>
                <w:color w:val="auto"/>
                <w:kern w:val="44"/>
                <w:sz w:val="24"/>
                <w:szCs w:val="28"/>
              </w:rPr>
            </w:pPr>
            <w:r>
              <w:rPr>
                <w:rFonts w:hint="default" w:ascii="Times New Roman" w:hAnsi="Times New Roman" w:eastAsia="黑体" w:cs="Times New Roman"/>
                <w:bCs/>
                <w:color w:val="auto"/>
                <w:kern w:val="44"/>
                <w:sz w:val="24"/>
                <w:szCs w:val="28"/>
              </w:rPr>
              <w:object>
                <v:shape id="_x0000_i1025" o:spt="75" type="#_x0000_t75" style="height:289.5pt;width:327pt;" o:ole="t" filled="f" o:preferrelative="t" stroked="f" coordsize="21600,21600">
                  <v:path/>
                  <v:fill on="f" focussize="0,0"/>
                  <v:stroke on="f"/>
                  <v:imagedata r:id="rId10" o:title=""/>
                  <o:lock v:ext="edit" aspectratio="f"/>
                  <w10:wrap type="none"/>
                  <w10:anchorlock/>
                </v:shape>
                <o:OLEObject Type="Embed" ProgID="Visio.Drawing.11" ShapeID="_x0000_i1025" DrawAspect="Content" ObjectID="_1468075725" r:id="rId9">
                  <o:LockedField>false</o:LockedField>
                </o:OLEObject>
              </w:object>
            </w:r>
          </w:p>
          <w:p w14:paraId="31C5E416">
            <w:pPr>
              <w:keepNext/>
              <w:keepLines/>
              <w:widowControl/>
              <w:adjustRightInd w:val="0"/>
              <w:snapToGrid w:val="0"/>
              <w:spacing w:line="360" w:lineRule="auto"/>
              <w:jc w:val="center"/>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图2-1   工艺流程及产污环节示意图</w:t>
            </w:r>
          </w:p>
          <w:p w14:paraId="09CA98B6">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工艺流程及产污环节简述</w:t>
            </w:r>
          </w:p>
          <w:p w14:paraId="1D7563C3">
            <w:pPr>
              <w:tabs>
                <w:tab w:val="left" w:pos="7980"/>
              </w:tabs>
              <w:spacing w:line="360" w:lineRule="auto"/>
              <w:ind w:firstLine="480" w:firstLineChars="200"/>
              <w:jc w:val="left"/>
              <w:rPr>
                <w:rFonts w:hint="default" w:ascii="Times New Roman" w:hAnsi="Times New Roman" w:cs="Times New Roman"/>
                <w:bCs/>
                <w:color w:val="auto"/>
                <w:sz w:val="24"/>
                <w:lang w:val="en-US" w:eastAsia="zh-CN"/>
              </w:rPr>
            </w:pP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1</w:t>
            </w:r>
            <w:r>
              <w:rPr>
                <w:rFonts w:hint="default" w:ascii="Times New Roman" w:hAnsi="Times New Roman" w:cs="Times New Roman"/>
                <w:bCs/>
                <w:color w:val="auto"/>
                <w:sz w:val="24"/>
              </w:rPr>
              <w:t>）</w:t>
            </w:r>
            <w:r>
              <w:rPr>
                <w:rFonts w:hint="eastAsia" w:cs="Times New Roman"/>
                <w:bCs/>
                <w:color w:val="auto"/>
                <w:sz w:val="24"/>
                <w:lang w:val="en-US" w:eastAsia="zh-CN"/>
              </w:rPr>
              <w:t>汽车运输、卸车</w:t>
            </w:r>
            <w:r>
              <w:rPr>
                <w:rFonts w:hint="default" w:ascii="Times New Roman" w:hAnsi="Times New Roman" w:cs="Times New Roman"/>
                <w:bCs/>
                <w:color w:val="auto"/>
                <w:sz w:val="24"/>
              </w:rPr>
              <w:t>：</w:t>
            </w:r>
            <w:r>
              <w:rPr>
                <w:rFonts w:hint="eastAsia" w:cs="Times New Roman"/>
                <w:bCs/>
                <w:color w:val="auto"/>
                <w:sz w:val="24"/>
                <w:lang w:val="en-US" w:eastAsia="zh-CN"/>
              </w:rPr>
              <w:t>煤炭采用自卸卡车进行运输。自卸卡车由场地入口驶入，直接将煤卸载至密闭仓储棚内堆放，该工序产生的污染物主要为转运、输送及卸车过程产生的煤尘与车辆噪声。</w:t>
            </w:r>
          </w:p>
          <w:p w14:paraId="5D1F2686">
            <w:pPr>
              <w:spacing w:line="360" w:lineRule="auto"/>
              <w:ind w:firstLine="480" w:firstLineChars="200"/>
              <w:jc w:val="left"/>
              <w:rPr>
                <w:rFonts w:hint="default" w:ascii="Times New Roman" w:hAnsi="Times New Roman" w:cs="Times New Roman"/>
                <w:bCs/>
                <w:color w:val="auto"/>
                <w:sz w:val="24"/>
                <w:lang w:eastAsia="zh-CN"/>
              </w:rPr>
            </w:pPr>
            <w:r>
              <w:rPr>
                <w:rFonts w:hint="default" w:ascii="Times New Roman" w:hAnsi="Times New Roman" w:cs="Times New Roman"/>
                <w:bCs/>
                <w:color w:val="auto"/>
                <w:sz w:val="24"/>
              </w:rPr>
              <w:t>（</w:t>
            </w:r>
            <w:r>
              <w:rPr>
                <w:rFonts w:hint="eastAsia" w:cs="Times New Roman"/>
                <w:bCs/>
                <w:color w:val="auto"/>
                <w:sz w:val="24"/>
                <w:lang w:val="en-US" w:eastAsia="zh-CN"/>
              </w:rPr>
              <w:t>2</w:t>
            </w:r>
            <w:r>
              <w:rPr>
                <w:rFonts w:hint="default" w:ascii="Times New Roman" w:hAnsi="Times New Roman" w:cs="Times New Roman"/>
                <w:bCs/>
                <w:color w:val="auto"/>
                <w:sz w:val="24"/>
              </w:rPr>
              <w:t>）</w:t>
            </w:r>
            <w:r>
              <w:rPr>
                <w:rFonts w:hint="eastAsia" w:cs="Times New Roman"/>
                <w:bCs/>
                <w:color w:val="auto"/>
                <w:sz w:val="24"/>
                <w:lang w:val="en-US" w:eastAsia="zh-CN"/>
              </w:rPr>
              <w:t>输送、装车</w:t>
            </w:r>
            <w:r>
              <w:rPr>
                <w:rFonts w:hint="default" w:ascii="Times New Roman" w:hAnsi="Times New Roman" w:cs="Times New Roman"/>
                <w:bCs/>
                <w:color w:val="auto"/>
                <w:sz w:val="24"/>
                <w:lang w:eastAsia="zh-CN"/>
              </w:rPr>
              <w:t>：</w:t>
            </w:r>
            <w:r>
              <w:rPr>
                <w:rFonts w:hint="eastAsia" w:cs="Times New Roman"/>
                <w:bCs/>
                <w:color w:val="auto"/>
                <w:sz w:val="24"/>
                <w:lang w:val="en-US" w:eastAsia="zh-CN"/>
              </w:rPr>
              <w:t>煤炭转运主要由装载机将仓储棚内的煤炭转运至火车上进行外运。该工序产生的污染物主要为转运、装车过程中产生的煤尘与装载机运行噪声</w:t>
            </w:r>
            <w:r>
              <w:rPr>
                <w:rFonts w:hint="default" w:ascii="Times New Roman" w:hAnsi="Times New Roman" w:cs="Times New Roman"/>
                <w:bCs/>
                <w:color w:val="auto"/>
                <w:sz w:val="24"/>
                <w:lang w:eastAsia="zh-CN"/>
              </w:rPr>
              <w:t>。</w:t>
            </w:r>
          </w:p>
          <w:p w14:paraId="611852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eastAsia="zh-CN"/>
              </w:rPr>
              <w:t>运行</w:t>
            </w:r>
            <w:r>
              <w:rPr>
                <w:rFonts w:hint="default" w:ascii="Times New Roman" w:hAnsi="Times New Roman" w:cs="Times New Roman"/>
                <w:color w:val="auto"/>
                <w:kern w:val="0"/>
                <w:sz w:val="24"/>
              </w:rPr>
              <w:t>过程中会产生</w:t>
            </w:r>
            <w:r>
              <w:rPr>
                <w:rFonts w:hint="default" w:ascii="Times New Roman" w:hAnsi="Times New Roman" w:cs="Times New Roman"/>
                <w:bCs/>
                <w:color w:val="auto"/>
                <w:sz w:val="24"/>
              </w:rPr>
              <w:t>一般固废</w:t>
            </w:r>
            <w:r>
              <w:rPr>
                <w:rFonts w:hint="eastAsia" w:cs="Times New Roman"/>
                <w:bCs/>
                <w:color w:val="auto"/>
                <w:sz w:val="24"/>
                <w:lang w:val="en-US" w:eastAsia="zh-CN"/>
              </w:rPr>
              <w:t>为沉淀池沉淀物，定期清理倒入煤场回用；装载机和车辆均委托第三方进行定期维护，本项目区内无危险废物产生</w:t>
            </w:r>
            <w:r>
              <w:rPr>
                <w:rFonts w:hint="default" w:ascii="Times New Roman" w:hAnsi="Times New Roman" w:cs="Times New Roman"/>
                <w:color w:val="auto"/>
                <w:kern w:val="0"/>
                <w:sz w:val="24"/>
              </w:rPr>
              <w:t>。</w:t>
            </w:r>
          </w:p>
          <w:p w14:paraId="7432E9D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cs="Times New Roman"/>
                <w:color w:val="auto"/>
                <w:kern w:val="0"/>
                <w:sz w:val="24"/>
                <w:lang w:val="en-US" w:eastAsia="zh-CN"/>
              </w:rPr>
              <w:t>本项目</w:t>
            </w:r>
            <w:r>
              <w:rPr>
                <w:rFonts w:hint="eastAsia" w:cs="Times New Roman"/>
                <w:color w:val="auto"/>
                <w:kern w:val="0"/>
                <w:sz w:val="24"/>
                <w:lang w:val="en-US" w:eastAsia="zh-CN"/>
              </w:rPr>
              <w:t>废水主要为车辆冲洗过程产生的冲洗废水，经沉淀后重复使用，不外排</w:t>
            </w:r>
            <w:r>
              <w:rPr>
                <w:rFonts w:hint="eastAsia" w:ascii="Times New Roman" w:hAnsi="Times New Roman" w:cs="Times New Roman"/>
                <w:color w:val="auto"/>
                <w:kern w:val="0"/>
                <w:sz w:val="24"/>
                <w:lang w:val="en-US" w:eastAsia="zh-CN"/>
              </w:rPr>
              <w:t>。</w:t>
            </w:r>
            <w:r>
              <w:rPr>
                <w:rFonts w:hint="eastAsia" w:cs="Times New Roman"/>
                <w:color w:val="auto"/>
                <w:kern w:val="0"/>
                <w:sz w:val="24"/>
                <w:lang w:val="en-US" w:eastAsia="zh-CN"/>
              </w:rPr>
              <w:t>初期雨水收集废水可用于车辆冲洗及道路洒水抑尘。</w:t>
            </w:r>
          </w:p>
          <w:p w14:paraId="3BBF263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各污染物来源途径见表2-</w:t>
            </w:r>
            <w:r>
              <w:rPr>
                <w:rFonts w:hint="eastAsia" w:cs="Times New Roman"/>
                <w:bCs/>
                <w:color w:val="auto"/>
                <w:sz w:val="24"/>
                <w:lang w:val="en-US" w:eastAsia="zh-CN"/>
              </w:rPr>
              <w:t>5</w:t>
            </w:r>
            <w:r>
              <w:rPr>
                <w:rFonts w:hint="default" w:ascii="Times New Roman" w:hAnsi="Times New Roman" w:cs="Times New Roman"/>
                <w:bCs/>
                <w:color w:val="auto"/>
                <w:sz w:val="24"/>
              </w:rPr>
              <w:t>。</w:t>
            </w:r>
          </w:p>
          <w:p w14:paraId="7000A117">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表2-</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主要污染物一览表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517"/>
              <w:gridCol w:w="1086"/>
              <w:gridCol w:w="2014"/>
              <w:gridCol w:w="2378"/>
              <w:gridCol w:w="1234"/>
              <w:gridCol w:w="1195"/>
            </w:tblGrid>
            <w:tr w14:paraId="452293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25C9CEFD">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lang w:eastAsia="zh-CN"/>
                    </w:rPr>
                    <w:t>污染</w:t>
                  </w:r>
                  <w:r>
                    <w:rPr>
                      <w:rFonts w:hint="default" w:ascii="Times New Roman" w:hAnsi="Times New Roman" w:cs="Times New Roman"/>
                      <w:b/>
                      <w:bCs/>
                      <w:color w:val="auto"/>
                      <w:sz w:val="21"/>
                      <w:szCs w:val="21"/>
                    </w:rPr>
                    <w:t>类型</w:t>
                  </w:r>
                </w:p>
              </w:tc>
              <w:tc>
                <w:tcPr>
                  <w:tcW w:w="2005" w:type="dxa"/>
                  <w:noWrap w:val="0"/>
                  <w:vAlign w:val="center"/>
                </w:tcPr>
                <w:p w14:paraId="4B4B4085">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产生工序</w:t>
                  </w:r>
                </w:p>
              </w:tc>
              <w:tc>
                <w:tcPr>
                  <w:tcW w:w="2368" w:type="dxa"/>
                  <w:noWrap w:val="0"/>
                  <w:vAlign w:val="center"/>
                </w:tcPr>
                <w:p w14:paraId="75BA23EB">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主要污染物</w:t>
                  </w:r>
                </w:p>
              </w:tc>
              <w:tc>
                <w:tcPr>
                  <w:tcW w:w="1229" w:type="dxa"/>
                  <w:noWrap w:val="0"/>
                  <w:vAlign w:val="center"/>
                </w:tcPr>
                <w:p w14:paraId="6959E550">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产生位置</w:t>
                  </w:r>
                </w:p>
              </w:tc>
              <w:tc>
                <w:tcPr>
                  <w:tcW w:w="1190" w:type="dxa"/>
                  <w:noWrap w:val="0"/>
                  <w:vAlign w:val="center"/>
                </w:tcPr>
                <w:p w14:paraId="648E6EF9">
                  <w:pPr>
                    <w:pStyle w:val="126"/>
                    <w:kinsoku w:val="0"/>
                    <w:overflowPunct w:val="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排放方式</w:t>
                  </w:r>
                </w:p>
              </w:tc>
            </w:tr>
            <w:tr w14:paraId="35F8DF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restart"/>
                  <w:noWrap w:val="0"/>
                  <w:vAlign w:val="center"/>
                </w:tcPr>
                <w:p w14:paraId="4D5BAA5E">
                  <w:pPr>
                    <w:pStyle w:val="126"/>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废气</w:t>
                  </w:r>
                </w:p>
              </w:tc>
              <w:tc>
                <w:tcPr>
                  <w:tcW w:w="1081" w:type="dxa"/>
                  <w:vMerge w:val="restart"/>
                  <w:noWrap w:val="0"/>
                  <w:vAlign w:val="center"/>
                </w:tcPr>
                <w:p w14:paraId="5EBD00FD">
                  <w:pPr>
                    <w:pStyle w:val="126"/>
                    <w:kinsoku w:val="0"/>
                    <w:overflowPunct w:val="0"/>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生产废气</w:t>
                  </w:r>
                </w:p>
              </w:tc>
              <w:tc>
                <w:tcPr>
                  <w:tcW w:w="2005" w:type="dxa"/>
                  <w:noWrap w:val="0"/>
                  <w:vAlign w:val="center"/>
                </w:tcPr>
                <w:p w14:paraId="5D4DC9DB">
                  <w:pPr>
                    <w:pStyle w:val="126"/>
                    <w:kinsoku w:val="0"/>
                    <w:overflowPunct w:val="0"/>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储存、装卸、输送</w:t>
                  </w:r>
                </w:p>
              </w:tc>
              <w:tc>
                <w:tcPr>
                  <w:tcW w:w="2368" w:type="dxa"/>
                  <w:noWrap w:val="0"/>
                  <w:vAlign w:val="center"/>
                </w:tcPr>
                <w:p w14:paraId="36F2CC32">
                  <w:pPr>
                    <w:pStyle w:val="126"/>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颗粒物</w:t>
                  </w:r>
                </w:p>
              </w:tc>
              <w:tc>
                <w:tcPr>
                  <w:tcW w:w="1229" w:type="dxa"/>
                  <w:noWrap w:val="0"/>
                  <w:vAlign w:val="center"/>
                </w:tcPr>
                <w:p w14:paraId="507180DE">
                  <w:pPr>
                    <w:pStyle w:val="126"/>
                    <w:kinsoku w:val="0"/>
                    <w:overflowPunct w:val="0"/>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生产车间</w:t>
                  </w:r>
                </w:p>
              </w:tc>
              <w:tc>
                <w:tcPr>
                  <w:tcW w:w="1190" w:type="dxa"/>
                  <w:noWrap w:val="0"/>
                  <w:vAlign w:val="center"/>
                </w:tcPr>
                <w:p w14:paraId="5B0422CC">
                  <w:pPr>
                    <w:pStyle w:val="126"/>
                    <w:kinsoku w:val="0"/>
                    <w:overflowPunct w:val="0"/>
                    <w:rPr>
                      <w:rFonts w:hint="default"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val="en-US" w:eastAsia="zh-CN"/>
                    </w:rPr>
                    <w:t>无组织，</w:t>
                  </w:r>
                  <w:r>
                    <w:rPr>
                      <w:rFonts w:hint="default" w:ascii="Times New Roman" w:hAnsi="Times New Roman" w:cs="Times New Roman"/>
                      <w:b w:val="0"/>
                      <w:bCs w:val="0"/>
                      <w:color w:val="auto"/>
                      <w:sz w:val="21"/>
                      <w:szCs w:val="21"/>
                      <w:lang w:eastAsia="zh-CN"/>
                    </w:rPr>
                    <w:t>间歇</w:t>
                  </w:r>
                </w:p>
              </w:tc>
            </w:tr>
            <w:tr w14:paraId="39A8E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vMerge w:val="continue"/>
                  <w:noWrap w:val="0"/>
                  <w:vAlign w:val="center"/>
                </w:tcPr>
                <w:p w14:paraId="179B6BCD">
                  <w:pPr>
                    <w:pStyle w:val="126"/>
                    <w:kinsoku w:val="0"/>
                    <w:overflowPunct w:val="0"/>
                    <w:rPr>
                      <w:rFonts w:hint="default" w:ascii="Times New Roman" w:hAnsi="Times New Roman" w:cs="Times New Roman"/>
                      <w:b w:val="0"/>
                      <w:bCs w:val="0"/>
                      <w:color w:val="auto"/>
                      <w:sz w:val="21"/>
                      <w:szCs w:val="21"/>
                      <w:lang w:eastAsia="zh-CN"/>
                    </w:rPr>
                  </w:pPr>
                </w:p>
              </w:tc>
              <w:tc>
                <w:tcPr>
                  <w:tcW w:w="1081" w:type="dxa"/>
                  <w:vMerge w:val="continue"/>
                  <w:noWrap w:val="0"/>
                  <w:vAlign w:val="center"/>
                </w:tcPr>
                <w:p w14:paraId="470A4519">
                  <w:pPr>
                    <w:pStyle w:val="126"/>
                    <w:kinsoku w:val="0"/>
                    <w:overflowPunct w:val="0"/>
                    <w:rPr>
                      <w:rFonts w:hint="default" w:ascii="Times New Roman" w:hAnsi="Times New Roman" w:cs="Times New Roman"/>
                      <w:b w:val="0"/>
                      <w:bCs w:val="0"/>
                      <w:color w:val="auto"/>
                      <w:sz w:val="21"/>
                      <w:szCs w:val="21"/>
                      <w:lang w:eastAsia="zh-CN"/>
                    </w:rPr>
                  </w:pPr>
                </w:p>
              </w:tc>
              <w:tc>
                <w:tcPr>
                  <w:tcW w:w="2005" w:type="dxa"/>
                  <w:noWrap w:val="0"/>
                  <w:vAlign w:val="center"/>
                </w:tcPr>
                <w:p w14:paraId="04AFC73D">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运输扬尘</w:t>
                  </w:r>
                </w:p>
              </w:tc>
              <w:tc>
                <w:tcPr>
                  <w:tcW w:w="2368" w:type="dxa"/>
                  <w:noWrap w:val="0"/>
                  <w:vAlign w:val="center"/>
                </w:tcPr>
                <w:p w14:paraId="240BD045">
                  <w:pPr>
                    <w:pStyle w:val="126"/>
                    <w:kinsoku w:val="0"/>
                    <w:overflowPunct w:val="0"/>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颗粒物</w:t>
                  </w:r>
                </w:p>
              </w:tc>
              <w:tc>
                <w:tcPr>
                  <w:tcW w:w="1229" w:type="dxa"/>
                  <w:shd w:val="clear" w:color="auto" w:fill="auto"/>
                  <w:noWrap w:val="0"/>
                  <w:vAlign w:val="center"/>
                </w:tcPr>
                <w:p w14:paraId="24F6391F">
                  <w:pPr>
                    <w:pStyle w:val="126"/>
                    <w:kinsoku w:val="0"/>
                    <w:overflowPunct w:val="0"/>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cs="Times New Roman"/>
                      <w:b w:val="0"/>
                      <w:bCs w:val="0"/>
                      <w:color w:val="auto"/>
                      <w:sz w:val="21"/>
                      <w:szCs w:val="21"/>
                      <w:lang w:eastAsia="zh-CN"/>
                    </w:rPr>
                    <w:t>生产车间</w:t>
                  </w:r>
                </w:p>
              </w:tc>
              <w:tc>
                <w:tcPr>
                  <w:tcW w:w="1190" w:type="dxa"/>
                  <w:shd w:val="clear" w:color="auto" w:fill="auto"/>
                  <w:noWrap w:val="0"/>
                  <w:vAlign w:val="center"/>
                </w:tcPr>
                <w:p w14:paraId="7EC6D7A6">
                  <w:pPr>
                    <w:pStyle w:val="126"/>
                    <w:kinsoku w:val="0"/>
                    <w:overflowPunct w:val="0"/>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 w:val="21"/>
                      <w:szCs w:val="21"/>
                      <w:lang w:val="en-US" w:eastAsia="zh-CN"/>
                    </w:rPr>
                    <w:t>无组织，</w:t>
                  </w:r>
                  <w:r>
                    <w:rPr>
                      <w:rFonts w:hint="default" w:ascii="Times New Roman" w:hAnsi="Times New Roman" w:cs="Times New Roman"/>
                      <w:b w:val="0"/>
                      <w:bCs w:val="0"/>
                      <w:color w:val="auto"/>
                      <w:sz w:val="21"/>
                      <w:szCs w:val="21"/>
                      <w:lang w:eastAsia="zh-CN"/>
                    </w:rPr>
                    <w:t>间歇</w:t>
                  </w:r>
                </w:p>
              </w:tc>
            </w:tr>
            <w:tr w14:paraId="30112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5" w:type="dxa"/>
                  <w:noWrap w:val="0"/>
                  <w:vAlign w:val="center"/>
                </w:tcPr>
                <w:p w14:paraId="46E31A57">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1081" w:type="dxa"/>
                  <w:noWrap w:val="0"/>
                  <w:vAlign w:val="center"/>
                </w:tcPr>
                <w:p w14:paraId="1B25C5C9">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一般工业</w:t>
                  </w:r>
                </w:p>
                <w:p w14:paraId="25A353E2">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固废</w:t>
                  </w:r>
                </w:p>
              </w:tc>
              <w:tc>
                <w:tcPr>
                  <w:tcW w:w="2005" w:type="dxa"/>
                  <w:noWrap w:val="0"/>
                  <w:vAlign w:val="center"/>
                </w:tcPr>
                <w:p w14:paraId="43A01504">
                  <w:pPr>
                    <w:jc w:val="center"/>
                    <w:rPr>
                      <w:rFonts w:hint="default" w:cs="Times New Roman"/>
                      <w:color w:val="auto"/>
                      <w:szCs w:val="21"/>
                      <w:lang w:val="en-US" w:eastAsia="zh-CN"/>
                    </w:rPr>
                  </w:pPr>
                  <w:r>
                    <w:rPr>
                      <w:rFonts w:hint="eastAsia" w:cs="Times New Roman"/>
                      <w:color w:val="auto"/>
                      <w:szCs w:val="21"/>
                      <w:lang w:val="en-US" w:eastAsia="zh-CN"/>
                    </w:rPr>
                    <w:t>沉淀池、初期雨水池</w:t>
                  </w:r>
                </w:p>
                <w:p w14:paraId="691A445C">
                  <w:pPr>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沉淀物</w:t>
                  </w:r>
                </w:p>
              </w:tc>
              <w:tc>
                <w:tcPr>
                  <w:tcW w:w="2368" w:type="dxa"/>
                  <w:noWrap w:val="0"/>
                  <w:vAlign w:val="center"/>
                </w:tcPr>
                <w:p w14:paraId="5779F10D">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煤泥</w:t>
                  </w:r>
                </w:p>
              </w:tc>
              <w:tc>
                <w:tcPr>
                  <w:tcW w:w="1229" w:type="dxa"/>
                  <w:noWrap w:val="0"/>
                  <w:vAlign w:val="center"/>
                </w:tcPr>
                <w:p w14:paraId="232E06E7">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生产车间</w:t>
                  </w:r>
                </w:p>
              </w:tc>
              <w:tc>
                <w:tcPr>
                  <w:tcW w:w="1190" w:type="dxa"/>
                  <w:noWrap w:val="0"/>
                  <w:vAlign w:val="center"/>
                </w:tcPr>
                <w:p w14:paraId="6AB36EA3">
                  <w:pPr>
                    <w:pStyle w:val="126"/>
                    <w:kinsoku w:val="0"/>
                    <w:overflowPunct w:val="0"/>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室内，间歇</w:t>
                  </w:r>
                </w:p>
              </w:tc>
            </w:tr>
            <w:tr w14:paraId="18455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670FF351">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2005" w:type="dxa"/>
                  <w:noWrap w:val="0"/>
                  <w:vAlign w:val="center"/>
                </w:tcPr>
                <w:p w14:paraId="1A9500BA">
                  <w:pPr>
                    <w:pStyle w:val="126"/>
                    <w:kinsoku w:val="0"/>
                    <w:overflowPunct w:val="0"/>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车辆运输</w:t>
                  </w:r>
                </w:p>
              </w:tc>
              <w:tc>
                <w:tcPr>
                  <w:tcW w:w="2368" w:type="dxa"/>
                  <w:noWrap w:val="0"/>
                  <w:vAlign w:val="center"/>
                </w:tcPr>
                <w:p w14:paraId="1D60C850">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设备噪声</w:t>
                  </w:r>
                </w:p>
              </w:tc>
              <w:tc>
                <w:tcPr>
                  <w:tcW w:w="1229" w:type="dxa"/>
                  <w:noWrap w:val="0"/>
                  <w:vAlign w:val="center"/>
                </w:tcPr>
                <w:p w14:paraId="3210E0D0">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生产车间</w:t>
                  </w:r>
                </w:p>
              </w:tc>
              <w:tc>
                <w:tcPr>
                  <w:tcW w:w="1190" w:type="dxa"/>
                  <w:noWrap w:val="0"/>
                  <w:vAlign w:val="center"/>
                </w:tcPr>
                <w:p w14:paraId="0296A3B5">
                  <w:pPr>
                    <w:pStyle w:val="126"/>
                    <w:kinsoku w:val="0"/>
                    <w:overflowPunct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室内、</w:t>
                  </w:r>
                  <w:r>
                    <w:rPr>
                      <w:rFonts w:hint="default" w:ascii="Times New Roman" w:hAnsi="Times New Roman" w:cs="Times New Roman"/>
                      <w:color w:val="auto"/>
                      <w:sz w:val="21"/>
                      <w:szCs w:val="21"/>
                    </w:rPr>
                    <w:t>间歇</w:t>
                  </w:r>
                </w:p>
              </w:tc>
            </w:tr>
            <w:tr w14:paraId="297DA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96" w:type="dxa"/>
                  <w:gridSpan w:val="2"/>
                  <w:noWrap w:val="0"/>
                  <w:vAlign w:val="center"/>
                </w:tcPr>
                <w:p w14:paraId="7F563BD7">
                  <w:pPr>
                    <w:pStyle w:val="126"/>
                    <w:kinsoku w:val="0"/>
                    <w:overflowPunct w:val="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废水</w:t>
                  </w:r>
                </w:p>
              </w:tc>
              <w:tc>
                <w:tcPr>
                  <w:tcW w:w="2005" w:type="dxa"/>
                  <w:noWrap w:val="0"/>
                  <w:vAlign w:val="center"/>
                </w:tcPr>
                <w:p w14:paraId="1BE71541">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车辆冲洗</w:t>
                  </w:r>
                </w:p>
              </w:tc>
              <w:tc>
                <w:tcPr>
                  <w:tcW w:w="2368" w:type="dxa"/>
                  <w:noWrap w:val="0"/>
                  <w:vAlign w:val="center"/>
                </w:tcPr>
                <w:p w14:paraId="568F5562">
                  <w:pPr>
                    <w:pStyle w:val="126"/>
                    <w:kinsoku w:val="0"/>
                    <w:overflowPunct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SS、COD、油类物质、LAS</w:t>
                  </w:r>
                </w:p>
              </w:tc>
              <w:tc>
                <w:tcPr>
                  <w:tcW w:w="1229" w:type="dxa"/>
                  <w:noWrap w:val="0"/>
                  <w:vAlign w:val="center"/>
                </w:tcPr>
                <w:p w14:paraId="445719E3">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生产车间</w:t>
                  </w:r>
                </w:p>
              </w:tc>
              <w:tc>
                <w:tcPr>
                  <w:tcW w:w="1190" w:type="dxa"/>
                  <w:noWrap w:val="0"/>
                  <w:vAlign w:val="center"/>
                </w:tcPr>
                <w:p w14:paraId="386FCCE6">
                  <w:pPr>
                    <w:pStyle w:val="126"/>
                    <w:kinsoku w:val="0"/>
                    <w:overflowPunct w:val="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重复使用，不外排</w:t>
                  </w:r>
                </w:p>
              </w:tc>
            </w:tr>
          </w:tbl>
          <w:p w14:paraId="7565CEF6">
            <w:pPr>
              <w:adjustRightInd w:val="0"/>
              <w:snapToGrid w:val="0"/>
              <w:rPr>
                <w:rFonts w:hint="default" w:ascii="Times New Roman" w:hAnsi="Times New Roman" w:cs="Times New Roman"/>
                <w:bCs/>
                <w:color w:val="auto"/>
                <w:szCs w:val="21"/>
              </w:rPr>
            </w:pPr>
          </w:p>
        </w:tc>
      </w:tr>
      <w:tr w14:paraId="4824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17" w:hRule="atLeast"/>
          <w:jc w:val="center"/>
        </w:trPr>
        <w:tc>
          <w:tcPr>
            <w:tcW w:w="426" w:type="dxa"/>
            <w:noWrap w:val="0"/>
            <w:vAlign w:val="center"/>
          </w:tcPr>
          <w:p w14:paraId="1798AB60">
            <w:pPr>
              <w:pStyle w:val="2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670" w:type="dxa"/>
            <w:tcBorders>
              <w:bottom w:val="single" w:color="auto" w:sz="4" w:space="0"/>
            </w:tcBorders>
            <w:noWrap w:val="0"/>
            <w:vAlign w:val="center"/>
          </w:tcPr>
          <w:p w14:paraId="06C68FFC">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原有项目环评及验收情况</w:t>
            </w:r>
          </w:p>
          <w:p w14:paraId="4545E8B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原有项目</w:t>
            </w:r>
            <w:r>
              <w:rPr>
                <w:rFonts w:hint="eastAsia" w:cs="Times New Roman"/>
                <w:color w:val="auto"/>
                <w:sz w:val="24"/>
                <w:lang w:val="en-US" w:eastAsia="zh-CN"/>
              </w:rPr>
              <w:t>于</w:t>
            </w:r>
            <w:r>
              <w:rPr>
                <w:rFonts w:hint="default" w:ascii="Times New Roman" w:hAnsi="Times New Roman" w:cs="Times New Roman"/>
                <w:color w:val="auto"/>
                <w:sz w:val="24"/>
                <w:lang w:val="en-US" w:eastAsia="zh-CN"/>
              </w:rPr>
              <w:t>20</w:t>
            </w:r>
            <w:r>
              <w:rPr>
                <w:rFonts w:hint="eastAsia" w:cs="Times New Roman"/>
                <w:color w:val="auto"/>
                <w:sz w:val="24"/>
                <w:lang w:val="en-US" w:eastAsia="zh-CN"/>
              </w:rPr>
              <w:t>19</w:t>
            </w:r>
            <w:r>
              <w:rPr>
                <w:rFonts w:hint="default" w:ascii="Times New Roman" w:hAnsi="Times New Roman" w:cs="Times New Roman"/>
                <w:color w:val="auto"/>
                <w:sz w:val="24"/>
                <w:lang w:val="en-US" w:eastAsia="zh-CN"/>
              </w:rPr>
              <w:t>年</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月</w:t>
            </w:r>
            <w:r>
              <w:rPr>
                <w:rFonts w:hint="eastAsia" w:cs="Times New Roman"/>
                <w:color w:val="auto"/>
                <w:sz w:val="24"/>
                <w:lang w:val="en-US" w:eastAsia="zh-CN"/>
              </w:rPr>
              <w:t>编制完成《中铁二十局集团千河清洁煤炭铁路储运站环保改造工程环境影响报告》，并于于2019年7月12日取得宝鸡市环境保护局高新分局对该项目环境影响评价报告表的批复（高新环函〔2019〕382号）。主要对原有项目的环保工程进行升级改造。于2022年9月21日进行了该项目的环境保护验收。</w:t>
            </w:r>
          </w:p>
          <w:p w14:paraId="34877AE0">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原有工程污染物实际排放总量</w:t>
            </w:r>
          </w:p>
          <w:p w14:paraId="710BBC35">
            <w:pPr>
              <w:pStyle w:val="30"/>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（1）废气：</w:t>
            </w:r>
            <w:r>
              <w:rPr>
                <w:rFonts w:hint="eastAsia" w:cs="Times New Roman"/>
                <w:color w:val="auto"/>
                <w:kern w:val="2"/>
                <w:sz w:val="24"/>
                <w:szCs w:val="24"/>
                <w:lang w:val="en-US" w:eastAsia="zh-CN" w:bidi="ar-SA"/>
              </w:rPr>
              <w:t>原有项目废气均无组织排放，故不作定量分析</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根据2025年5月12日委托陕西中研华亿环境检测有限公司对该项目厂区无组织废气的监测数据可知，无组织废气排放浓度范围为0.216mg/m³~0.286mg/m³，低于标准限值1.0mg/m³，故原有项目厂区无组织废气可达标排放。</w:t>
            </w:r>
          </w:p>
          <w:p w14:paraId="08F203FF">
            <w:pPr>
              <w:spacing w:line="360" w:lineRule="auto"/>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lang w:eastAsia="zh-CN"/>
              </w:rPr>
              <w:t>）废水：</w:t>
            </w:r>
            <w:r>
              <w:rPr>
                <w:rFonts w:hint="default" w:ascii="Times New Roman" w:hAnsi="Times New Roman" w:eastAsia="宋体" w:cs="Times New Roman"/>
                <w:bCs/>
                <w:color w:val="auto"/>
                <w:sz w:val="24"/>
                <w:szCs w:val="24"/>
              </w:rPr>
              <w:t>生活污水</w:t>
            </w:r>
            <w:r>
              <w:rPr>
                <w:rFonts w:hint="default" w:ascii="Times New Roman" w:hAnsi="Times New Roman" w:eastAsia="宋体" w:cs="Times New Roman"/>
                <w:bCs/>
                <w:color w:val="auto"/>
                <w:sz w:val="24"/>
                <w:szCs w:val="24"/>
                <w:lang w:eastAsia="zh-CN"/>
              </w:rPr>
              <w:t>经厂区化粪池</w:t>
            </w:r>
            <w:r>
              <w:rPr>
                <w:rFonts w:hint="eastAsia" w:ascii="Times New Roman" w:hAnsi="Times New Roman" w:eastAsia="宋体" w:cs="Times New Roman"/>
                <w:bCs/>
                <w:color w:val="auto"/>
                <w:sz w:val="24"/>
                <w:szCs w:val="24"/>
                <w:lang w:val="en-US" w:eastAsia="zh-CN"/>
              </w:rPr>
              <w:t>拉运</w:t>
            </w:r>
            <w:r>
              <w:rPr>
                <w:rFonts w:hint="eastAsia" w:cs="Times New Roman"/>
                <w:bCs/>
                <w:color w:val="auto"/>
                <w:sz w:val="24"/>
                <w:szCs w:val="24"/>
                <w:lang w:val="en-US" w:eastAsia="zh-CN"/>
              </w:rPr>
              <w:t>至农田用于土壤改良</w:t>
            </w:r>
            <w:r>
              <w:rPr>
                <w:rFonts w:hint="default" w:ascii="Times New Roman" w:hAnsi="Times New Roman" w:eastAsia="宋体" w:cs="Times New Roman"/>
                <w:bCs/>
                <w:color w:val="auto"/>
                <w:sz w:val="24"/>
                <w:szCs w:val="24"/>
                <w:lang w:eastAsia="zh-CN"/>
              </w:rPr>
              <w:t>。</w:t>
            </w:r>
            <w:r>
              <w:rPr>
                <w:rFonts w:hint="eastAsia" w:cs="Times New Roman"/>
                <w:bCs/>
                <w:color w:val="auto"/>
                <w:sz w:val="24"/>
                <w:szCs w:val="24"/>
                <w:lang w:val="en-US" w:eastAsia="zh-CN"/>
              </w:rPr>
              <w:t>车辆冲洗废水经二级沉淀池沉淀后重复使用，无外排废水。其他喷淋、抑尘等用水均蒸发损耗。</w:t>
            </w:r>
          </w:p>
          <w:p w14:paraId="55291E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3</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lang w:val="en-US" w:eastAsia="zh-CN"/>
              </w:rPr>
              <w:t>噪声</w:t>
            </w:r>
          </w:p>
          <w:p w14:paraId="03D0FB54">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原有项目运营过程中产生的噪声主要来源于</w:t>
            </w:r>
            <w:r>
              <w:rPr>
                <w:rFonts w:hint="eastAsia" w:cs="Times New Roman"/>
                <w:color w:val="auto"/>
                <w:sz w:val="24"/>
                <w:szCs w:val="24"/>
                <w:lang w:val="en-US" w:eastAsia="zh-CN"/>
              </w:rPr>
              <w:t>车辆</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均为瞬时噪声</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经</w:t>
            </w:r>
            <w:r>
              <w:rPr>
                <w:rFonts w:hint="eastAsia" w:cs="Times New Roman"/>
                <w:color w:val="auto"/>
                <w:kern w:val="2"/>
                <w:sz w:val="24"/>
                <w:szCs w:val="24"/>
                <w:lang w:val="en-US" w:eastAsia="zh-CN" w:bidi="ar-SA"/>
              </w:rPr>
              <w:t>2025年5月12日委托陕西中研华亿环境检测有限公司对该项目厂区厂界噪声监测数据可知，原有项目厂界东侧、南侧、北侧昼间噪声分别为51dB（A）、51dB（A）、57dB（A），均</w:t>
            </w:r>
            <w:r>
              <w:rPr>
                <w:rFonts w:hint="eastAsia" w:ascii="Times New Roman" w:hAnsi="Times New Roman" w:eastAsia="宋体" w:cs="Times New Roman"/>
                <w:color w:val="auto"/>
                <w:sz w:val="24"/>
                <w:szCs w:val="24"/>
                <w:lang w:val="en-US" w:eastAsia="zh-CN"/>
              </w:rPr>
              <w:t>符合</w:t>
            </w:r>
            <w:r>
              <w:rPr>
                <w:rFonts w:hint="default" w:ascii="Times New Roman" w:hAnsi="Times New Roman" w:eastAsia="宋体" w:cs="Times New Roman"/>
                <w:color w:val="auto"/>
                <w:sz w:val="24"/>
                <w:szCs w:val="24"/>
                <w:lang w:val="en-US" w:eastAsia="zh-CN"/>
              </w:rPr>
              <w:t>《工业企业厂界环境噪声排放标准》GB12348-2008中</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w:t>
            </w:r>
            <w:r>
              <w:rPr>
                <w:rFonts w:hint="eastAsia" w:cs="Times New Roman"/>
                <w:color w:val="auto"/>
                <w:sz w:val="24"/>
                <w:szCs w:val="24"/>
                <w:lang w:val="en-US" w:eastAsia="zh-CN"/>
              </w:rPr>
              <w:t>限值要求</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西</w:t>
            </w:r>
            <w:r>
              <w:rPr>
                <w:rFonts w:hint="eastAsia" w:ascii="Times New Roman" w:hAnsi="Times New Roman" w:eastAsia="宋体" w:cs="Times New Roman"/>
                <w:color w:val="auto"/>
                <w:sz w:val="24"/>
                <w:szCs w:val="24"/>
                <w:lang w:val="en-US" w:eastAsia="zh-CN"/>
              </w:rPr>
              <w:t>侧</w:t>
            </w:r>
            <w:r>
              <w:rPr>
                <w:rFonts w:hint="eastAsia" w:cs="Times New Roman"/>
                <w:color w:val="auto"/>
                <w:sz w:val="24"/>
                <w:szCs w:val="24"/>
                <w:lang w:val="en-US" w:eastAsia="zh-CN"/>
              </w:rPr>
              <w:t>噪声值为62</w:t>
            </w:r>
            <w:r>
              <w:rPr>
                <w:rFonts w:hint="eastAsia" w:cs="Times New Roman"/>
                <w:color w:val="auto"/>
                <w:kern w:val="2"/>
                <w:sz w:val="24"/>
                <w:szCs w:val="24"/>
                <w:lang w:val="en-US" w:eastAsia="zh-CN" w:bidi="ar-SA"/>
              </w:rPr>
              <w:t>dB（A）</w:t>
            </w:r>
            <w:r>
              <w:rPr>
                <w:rFonts w:hint="eastAsia" w:cs="Times New Roman"/>
                <w:color w:val="auto"/>
                <w:sz w:val="24"/>
                <w:szCs w:val="24"/>
                <w:lang w:val="en-US" w:eastAsia="zh-CN"/>
              </w:rPr>
              <w:t>，符合</w:t>
            </w:r>
            <w:r>
              <w:rPr>
                <w:rFonts w:hint="default" w:ascii="Times New Roman" w:hAnsi="Times New Roman" w:eastAsia="宋体" w:cs="Times New Roman"/>
                <w:color w:val="auto"/>
                <w:sz w:val="24"/>
                <w:szCs w:val="24"/>
                <w:lang w:val="en-US" w:eastAsia="zh-CN"/>
              </w:rPr>
              <w:t>《工业企业厂界环境噪声排放标准》GB12348-2008中</w:t>
            </w:r>
            <w:r>
              <w:rPr>
                <w:rFonts w:hint="eastAsia" w:ascii="Times New Roman" w:hAnsi="Times New Roman" w:eastAsia="宋体" w:cs="Times New Roman"/>
                <w:color w:val="auto"/>
                <w:sz w:val="24"/>
                <w:szCs w:val="24"/>
                <w:lang w:val="en-US" w:eastAsia="zh-CN"/>
              </w:rPr>
              <w:t>4类</w:t>
            </w:r>
            <w:r>
              <w:rPr>
                <w:rFonts w:hint="eastAsia" w:cs="Times New Roman"/>
                <w:color w:val="auto"/>
                <w:sz w:val="24"/>
                <w:szCs w:val="24"/>
                <w:lang w:val="en-US" w:eastAsia="zh-CN"/>
              </w:rPr>
              <w:t>限值要求</w:t>
            </w:r>
            <w:r>
              <w:rPr>
                <w:rFonts w:hint="default" w:ascii="Times New Roman" w:hAnsi="Times New Roman" w:eastAsia="宋体" w:cs="Times New Roman"/>
                <w:color w:val="auto"/>
                <w:sz w:val="24"/>
                <w:szCs w:val="24"/>
                <w:lang w:eastAsia="zh-CN"/>
              </w:rPr>
              <w:t>。</w:t>
            </w:r>
          </w:p>
          <w:p w14:paraId="3BBB2248">
            <w:p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）固废</w:t>
            </w:r>
          </w:p>
          <w:p w14:paraId="2B7DD6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原有</w:t>
            </w:r>
            <w:r>
              <w:rPr>
                <w:rFonts w:hint="default" w:ascii="Times New Roman" w:hAnsi="Times New Roman" w:eastAsia="宋体" w:cs="Times New Roman"/>
                <w:color w:val="auto"/>
                <w:sz w:val="24"/>
                <w:szCs w:val="24"/>
              </w:rPr>
              <w:t>项目</w:t>
            </w:r>
            <w:r>
              <w:rPr>
                <w:rFonts w:hint="eastAsia" w:cs="Times New Roman"/>
                <w:color w:val="auto"/>
                <w:sz w:val="24"/>
                <w:szCs w:val="24"/>
                <w:lang w:val="en-US" w:eastAsia="zh-CN"/>
              </w:rPr>
              <w:t>一般固废主要为沉淀池沉淀物，主要成分为煤炭，产生量约为3t/a，定期清理后倒入煤场回用；生活垃圾收集于厂区内垃圾桶中由环卫部门清运处置。委托第三方进行车辆维护，产生的废油、抹布、手套、废油桶等均由第三方处理，故原有项目厂区内无危废产生及暂存。</w:t>
            </w:r>
          </w:p>
          <w:p w14:paraId="5F4CC46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2" w:firstLineChars="200"/>
              <w:textAlignment w:val="auto"/>
              <w:rPr>
                <w:rFonts w:hint="eastAsia" w:ascii="Times New Roman" w:hAnsi="Times New Roman" w:cs="Times New Roman"/>
                <w:color w:val="auto"/>
                <w:szCs w:val="21"/>
                <w:highlight w:val="yellow"/>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存在的环境问题及“以新带老”措施</w:t>
            </w:r>
          </w:p>
          <w:p w14:paraId="701E3BC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r>
              <w:rPr>
                <w:rFonts w:hint="eastAsia" w:cs="Times New Roman"/>
                <w:bCs/>
                <w:color w:val="auto"/>
                <w:sz w:val="24"/>
                <w:lang w:val="en-US" w:eastAsia="zh-CN"/>
              </w:rPr>
              <w:t>①现有项目</w:t>
            </w:r>
          </w:p>
          <w:p w14:paraId="6B74BD2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cs="Times New Roman"/>
                <w:bCs/>
                <w:color w:val="auto"/>
                <w:sz w:val="24"/>
                <w:lang w:val="en-US" w:eastAsia="zh-CN"/>
              </w:rPr>
            </w:pPr>
            <w:r>
              <w:rPr>
                <w:rFonts w:hint="eastAsia" w:cs="Times New Roman"/>
                <w:bCs/>
                <w:color w:val="auto"/>
                <w:sz w:val="24"/>
                <w:lang w:val="en-US" w:eastAsia="zh-CN"/>
              </w:rPr>
              <w:t>存在环境问题：原有项目设置的初期雨水收集池容积较小。</w:t>
            </w:r>
          </w:p>
          <w:p w14:paraId="0E765854">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r>
              <w:rPr>
                <w:rFonts w:hint="eastAsia" w:cs="Times New Roman"/>
                <w:bCs/>
                <w:color w:val="auto"/>
                <w:sz w:val="24"/>
                <w:lang w:val="en-US" w:eastAsia="zh-CN"/>
              </w:rPr>
              <w:t>“以新带老”措施：建议将雨水收集池容积扩大至不低于400m³，以保证可同时容纳扩建后整个厂区的初期雨水。</w:t>
            </w:r>
          </w:p>
          <w:p w14:paraId="27D998D6">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eastAsia" w:cs="Times New Roman"/>
                <w:bCs/>
                <w:color w:val="auto"/>
                <w:sz w:val="24"/>
                <w:lang w:val="en-US" w:eastAsia="zh-CN"/>
              </w:rPr>
            </w:pPr>
            <w:r>
              <w:rPr>
                <w:rFonts w:hint="eastAsia" w:cs="Times New Roman"/>
                <w:bCs/>
                <w:color w:val="auto"/>
                <w:sz w:val="24"/>
                <w:lang w:val="en-US" w:eastAsia="zh-CN"/>
              </w:rPr>
              <w:t>②本项目</w:t>
            </w:r>
          </w:p>
          <w:p w14:paraId="6E1EBF8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r>
              <w:rPr>
                <w:rFonts w:hint="eastAsia" w:cs="Times New Roman"/>
                <w:bCs/>
                <w:color w:val="auto"/>
                <w:sz w:val="24"/>
                <w:lang w:val="en-US" w:eastAsia="zh-CN"/>
              </w:rPr>
              <w:t>本项目选址为空地，无与</w:t>
            </w:r>
            <w:r>
              <w:rPr>
                <w:rFonts w:hint="default" w:cs="Times New Roman"/>
                <w:bCs/>
                <w:color w:val="auto"/>
                <w:sz w:val="24"/>
                <w:lang w:val="en-US" w:eastAsia="zh-CN"/>
              </w:rPr>
              <w:t>项目有关的原有环境污染问题</w:t>
            </w:r>
            <w:r>
              <w:rPr>
                <w:rFonts w:hint="eastAsia" w:cs="Times New Roman"/>
                <w:bCs/>
                <w:color w:val="auto"/>
                <w:sz w:val="24"/>
                <w:lang w:val="en-US" w:eastAsia="zh-CN"/>
              </w:rPr>
              <w:t>。</w:t>
            </w:r>
          </w:p>
          <w:p w14:paraId="6666A21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5BF7A37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5975A158">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45A20BA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6480F1E7">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2313AE90">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1380CBC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0A24504B">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4EB3564E">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523903C2">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0B9807B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6990C8BA">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cs="Times New Roman"/>
                <w:bCs/>
                <w:color w:val="auto"/>
                <w:sz w:val="24"/>
                <w:lang w:val="en-US" w:eastAsia="zh-CN"/>
              </w:rPr>
            </w:pPr>
          </w:p>
          <w:p w14:paraId="6B8D1553">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0" w:firstLineChars="0"/>
              <w:textAlignment w:val="auto"/>
              <w:rPr>
                <w:rFonts w:hint="default" w:ascii="Times New Roman" w:hAnsi="Times New Roman" w:eastAsia="宋体" w:cs="Times New Roman"/>
                <w:bCs/>
                <w:color w:val="auto"/>
                <w:sz w:val="24"/>
                <w:lang w:val="en-US" w:eastAsia="zh-CN"/>
              </w:rPr>
            </w:pPr>
          </w:p>
        </w:tc>
      </w:tr>
    </w:tbl>
    <w:p w14:paraId="08399689">
      <w:pPr>
        <w:pStyle w:val="26"/>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A9C2ABF">
      <w:pPr>
        <w:pStyle w:val="26"/>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471D1221">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635"/>
      </w:tblGrid>
      <w:tr w14:paraId="50683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0886A2D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1616876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D6C2B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2B99375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190" w:type="dxa"/>
            <w:noWrap w:val="0"/>
            <w:vAlign w:val="center"/>
          </w:tcPr>
          <w:p w14:paraId="133E61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一、区域环境质量现状</w:t>
            </w:r>
          </w:p>
          <w:p w14:paraId="601B882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环境空气质量现状</w:t>
            </w:r>
          </w:p>
          <w:p w14:paraId="03A7473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①</w:t>
            </w:r>
            <w:r>
              <w:rPr>
                <w:rFonts w:hint="default" w:ascii="Times New Roman" w:hAnsi="Times New Roman" w:cs="Times New Roman"/>
                <w:color w:val="auto"/>
                <w:sz w:val="24"/>
                <w:szCs w:val="24"/>
                <w:lang w:eastAsia="zh-CN"/>
              </w:rPr>
              <w:t>常规污染物</w:t>
            </w:r>
          </w:p>
          <w:p w14:paraId="1E199A89">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环境影响评价技术导则 大气环境</w:t>
            </w:r>
            <w:r>
              <w:rPr>
                <w:rFonts w:hint="default" w:ascii="Times New Roman" w:hAnsi="Times New Roman" w:eastAsia="宋体" w:cs="Times New Roman"/>
                <w:color w:val="auto"/>
                <w:sz w:val="24"/>
                <w:szCs w:val="24"/>
              </w:rPr>
              <w:t>》（HJ2.2-2018）6.2.1.2“采用评价范围内国家或地方环境空气质量监测网中评价基准年连续1年的监测数据，或采用生态环境主管部门公开发布的环境空气质量现状数据”。项目所在区域</w:t>
            </w:r>
            <w:r>
              <w:rPr>
                <w:rFonts w:hint="eastAsia" w:cs="Times New Roman"/>
                <w:color w:val="auto"/>
                <w:sz w:val="24"/>
                <w:szCs w:val="24"/>
                <w:lang w:eastAsia="zh-CN"/>
              </w:rPr>
              <w:t>属于</w:t>
            </w:r>
            <w:r>
              <w:rPr>
                <w:rFonts w:hint="default" w:ascii="Times New Roman" w:hAnsi="Times New Roman" w:eastAsia="宋体" w:cs="Times New Roman"/>
                <w:color w:val="auto"/>
                <w:sz w:val="24"/>
                <w:szCs w:val="24"/>
              </w:rPr>
              <w:t>环境空气质量二类功能区，执行《环境空气质量标准》（GB3095-2012）及其2018年修改单中的二级标准。</w:t>
            </w:r>
          </w:p>
          <w:p w14:paraId="4C6E5530">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为查明项目所在地大气环境质量，本次评价</w:t>
            </w:r>
            <w:r>
              <w:rPr>
                <w:rFonts w:hint="eastAsia" w:ascii="Times New Roman" w:hAnsi="Times New Roman" w:cs="Times New Roman"/>
                <w:color w:val="auto"/>
                <w:sz w:val="24"/>
                <w:szCs w:val="24"/>
                <w:lang w:val="en-US" w:eastAsia="zh-CN"/>
              </w:rPr>
              <w:t>引</w:t>
            </w:r>
            <w:r>
              <w:rPr>
                <w:rFonts w:hint="default" w:ascii="Times New Roman" w:hAnsi="Times New Roman" w:cs="Times New Roman"/>
                <w:color w:val="auto"/>
                <w:sz w:val="24"/>
                <w:szCs w:val="24"/>
              </w:rPr>
              <w:t>用《宝鸡市生态环境质量报告书》（2024年）中陈仓区的环境空气质量数据，来分析项目所在地的大气环境质量现状，监测结果整理后见下表。</w:t>
            </w:r>
          </w:p>
          <w:p w14:paraId="6D14A73E">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表3-1  区域空气质量现状评价表</w:t>
            </w:r>
          </w:p>
          <w:tbl>
            <w:tblPr>
              <w:tblStyle w:val="31"/>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74"/>
              <w:gridCol w:w="726"/>
              <w:gridCol w:w="1409"/>
              <w:gridCol w:w="1139"/>
              <w:gridCol w:w="1139"/>
              <w:gridCol w:w="887"/>
              <w:gridCol w:w="777"/>
              <w:gridCol w:w="1838"/>
            </w:tblGrid>
            <w:tr w14:paraId="0B5E5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restart"/>
                  <w:noWrap w:val="0"/>
                  <w:vAlign w:val="center"/>
                </w:tcPr>
                <w:p w14:paraId="68478B6C">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所在区域</w:t>
                  </w:r>
                </w:p>
              </w:tc>
              <w:tc>
                <w:tcPr>
                  <w:tcW w:w="489" w:type="pct"/>
                  <w:vMerge w:val="restart"/>
                  <w:noWrap w:val="0"/>
                  <w:vAlign w:val="center"/>
                </w:tcPr>
                <w:p w14:paraId="4555D1F2">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896" w:type="pct"/>
                  <w:vMerge w:val="restart"/>
                  <w:noWrap w:val="0"/>
                  <w:vAlign w:val="center"/>
                </w:tcPr>
                <w:p w14:paraId="6CF55076">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年评价指标</w:t>
                  </w:r>
                </w:p>
              </w:tc>
              <w:tc>
                <w:tcPr>
                  <w:tcW w:w="708" w:type="pct"/>
                  <w:vMerge w:val="restart"/>
                  <w:noWrap w:val="0"/>
                  <w:vAlign w:val="center"/>
                </w:tcPr>
                <w:p w14:paraId="5B28204A">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现状浓度</w:t>
                  </w:r>
                </w:p>
                <w:p w14:paraId="0A45C636">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（μg/m³）</w:t>
                  </w:r>
                </w:p>
              </w:tc>
              <w:tc>
                <w:tcPr>
                  <w:tcW w:w="716" w:type="pct"/>
                  <w:vMerge w:val="restart"/>
                  <w:noWrap w:val="0"/>
                  <w:vAlign w:val="center"/>
                </w:tcPr>
                <w:p w14:paraId="650134DD">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w:t>
                  </w:r>
                </w:p>
                <w:p w14:paraId="61F58809">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（μg/m³）</w:t>
                  </w:r>
                </w:p>
              </w:tc>
              <w:tc>
                <w:tcPr>
                  <w:tcW w:w="629" w:type="pct"/>
                  <w:vMerge w:val="restart"/>
                  <w:noWrap w:val="0"/>
                  <w:vAlign w:val="center"/>
                </w:tcPr>
                <w:p w14:paraId="0D367D9A">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占标率（%）</w:t>
                  </w:r>
                </w:p>
              </w:tc>
              <w:tc>
                <w:tcPr>
                  <w:tcW w:w="519" w:type="pct"/>
                  <w:vMerge w:val="restart"/>
                  <w:noWrap w:val="0"/>
                  <w:vAlign w:val="center"/>
                </w:tcPr>
                <w:p w14:paraId="131424A1">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p w14:paraId="4FA3DBD8">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情况</w:t>
                  </w:r>
                </w:p>
              </w:tc>
              <w:tc>
                <w:tcPr>
                  <w:tcW w:w="701" w:type="pct"/>
                  <w:vMerge w:val="restart"/>
                  <w:noWrap w:val="0"/>
                  <w:vAlign w:val="center"/>
                </w:tcPr>
                <w:p w14:paraId="3191F064">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标准来源</w:t>
                  </w:r>
                </w:p>
              </w:tc>
            </w:tr>
            <w:tr w14:paraId="61D29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178DD901">
                  <w:pPr>
                    <w:widowControl/>
                    <w:adjustRightInd w:val="0"/>
                    <w:snapToGrid w:val="0"/>
                    <w:jc w:val="center"/>
                    <w:rPr>
                      <w:rFonts w:hint="default" w:ascii="Times New Roman" w:hAnsi="Times New Roman" w:cs="Times New Roman"/>
                      <w:color w:val="auto"/>
                      <w:sz w:val="21"/>
                      <w:szCs w:val="21"/>
                    </w:rPr>
                  </w:pPr>
                </w:p>
              </w:tc>
              <w:tc>
                <w:tcPr>
                  <w:tcW w:w="489" w:type="pct"/>
                  <w:vMerge w:val="continue"/>
                  <w:noWrap w:val="0"/>
                  <w:vAlign w:val="center"/>
                </w:tcPr>
                <w:p w14:paraId="39E593BC">
                  <w:pPr>
                    <w:widowControl/>
                    <w:adjustRightInd w:val="0"/>
                    <w:snapToGrid w:val="0"/>
                    <w:jc w:val="center"/>
                    <w:rPr>
                      <w:rFonts w:hint="default" w:ascii="Times New Roman" w:hAnsi="Times New Roman" w:cs="Times New Roman"/>
                      <w:color w:val="auto"/>
                      <w:sz w:val="21"/>
                      <w:szCs w:val="21"/>
                    </w:rPr>
                  </w:pPr>
                </w:p>
              </w:tc>
              <w:tc>
                <w:tcPr>
                  <w:tcW w:w="896" w:type="pct"/>
                  <w:vMerge w:val="continue"/>
                  <w:noWrap w:val="0"/>
                  <w:vAlign w:val="center"/>
                </w:tcPr>
                <w:p w14:paraId="7E57B908">
                  <w:pPr>
                    <w:widowControl/>
                    <w:adjustRightInd w:val="0"/>
                    <w:snapToGrid w:val="0"/>
                    <w:jc w:val="center"/>
                    <w:rPr>
                      <w:rFonts w:hint="default" w:ascii="Times New Roman" w:hAnsi="Times New Roman" w:cs="Times New Roman"/>
                      <w:color w:val="auto"/>
                      <w:sz w:val="21"/>
                      <w:szCs w:val="21"/>
                    </w:rPr>
                  </w:pPr>
                </w:p>
              </w:tc>
              <w:tc>
                <w:tcPr>
                  <w:tcW w:w="708" w:type="pct"/>
                  <w:vMerge w:val="continue"/>
                  <w:noWrap w:val="0"/>
                  <w:vAlign w:val="center"/>
                </w:tcPr>
                <w:p w14:paraId="5AF6BF52">
                  <w:pPr>
                    <w:widowControl/>
                    <w:adjustRightInd w:val="0"/>
                    <w:snapToGrid w:val="0"/>
                    <w:jc w:val="center"/>
                    <w:rPr>
                      <w:rFonts w:hint="default" w:ascii="Times New Roman" w:hAnsi="Times New Roman" w:cs="Times New Roman"/>
                      <w:color w:val="auto"/>
                      <w:sz w:val="21"/>
                      <w:szCs w:val="21"/>
                    </w:rPr>
                  </w:pPr>
                </w:p>
              </w:tc>
              <w:tc>
                <w:tcPr>
                  <w:tcW w:w="716" w:type="pct"/>
                  <w:vMerge w:val="continue"/>
                  <w:noWrap w:val="0"/>
                  <w:vAlign w:val="center"/>
                </w:tcPr>
                <w:p w14:paraId="30732501">
                  <w:pPr>
                    <w:widowControl/>
                    <w:adjustRightInd w:val="0"/>
                    <w:snapToGrid w:val="0"/>
                    <w:jc w:val="center"/>
                    <w:rPr>
                      <w:rFonts w:hint="default" w:ascii="Times New Roman" w:hAnsi="Times New Roman" w:cs="Times New Roman"/>
                      <w:color w:val="auto"/>
                      <w:sz w:val="21"/>
                      <w:szCs w:val="21"/>
                    </w:rPr>
                  </w:pPr>
                </w:p>
              </w:tc>
              <w:tc>
                <w:tcPr>
                  <w:tcW w:w="629" w:type="pct"/>
                  <w:vMerge w:val="continue"/>
                  <w:noWrap w:val="0"/>
                  <w:vAlign w:val="center"/>
                </w:tcPr>
                <w:p w14:paraId="33006B39">
                  <w:pPr>
                    <w:widowControl/>
                    <w:adjustRightInd w:val="0"/>
                    <w:snapToGrid w:val="0"/>
                    <w:jc w:val="center"/>
                    <w:rPr>
                      <w:rFonts w:hint="default" w:ascii="Times New Roman" w:hAnsi="Times New Roman" w:cs="Times New Roman"/>
                      <w:color w:val="auto"/>
                      <w:sz w:val="21"/>
                      <w:szCs w:val="21"/>
                    </w:rPr>
                  </w:pPr>
                </w:p>
              </w:tc>
              <w:tc>
                <w:tcPr>
                  <w:tcW w:w="519" w:type="pct"/>
                  <w:vMerge w:val="continue"/>
                  <w:noWrap w:val="0"/>
                  <w:vAlign w:val="center"/>
                </w:tcPr>
                <w:p w14:paraId="1344AD90">
                  <w:pPr>
                    <w:widowControl/>
                    <w:adjustRightInd w:val="0"/>
                    <w:snapToGrid w:val="0"/>
                    <w:jc w:val="center"/>
                    <w:rPr>
                      <w:rFonts w:hint="default" w:ascii="Times New Roman" w:hAnsi="Times New Roman" w:cs="Times New Roman"/>
                      <w:color w:val="auto"/>
                      <w:sz w:val="21"/>
                      <w:szCs w:val="21"/>
                    </w:rPr>
                  </w:pPr>
                </w:p>
              </w:tc>
              <w:tc>
                <w:tcPr>
                  <w:tcW w:w="701" w:type="pct"/>
                  <w:vMerge w:val="continue"/>
                  <w:noWrap w:val="0"/>
                  <w:vAlign w:val="center"/>
                </w:tcPr>
                <w:p w14:paraId="46A15755">
                  <w:pPr>
                    <w:widowControl/>
                    <w:adjustRightInd w:val="0"/>
                    <w:snapToGrid w:val="0"/>
                    <w:jc w:val="center"/>
                    <w:rPr>
                      <w:rFonts w:hint="default" w:ascii="Times New Roman" w:hAnsi="Times New Roman" w:cs="Times New Roman"/>
                      <w:color w:val="auto"/>
                      <w:sz w:val="21"/>
                      <w:szCs w:val="21"/>
                    </w:rPr>
                  </w:pPr>
                </w:p>
              </w:tc>
            </w:tr>
            <w:tr w14:paraId="22CE3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restart"/>
                  <w:noWrap w:val="0"/>
                  <w:vAlign w:val="center"/>
                </w:tcPr>
                <w:p w14:paraId="7A3FE2CB">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宝鸡市</w:t>
                  </w:r>
                </w:p>
                <w:p w14:paraId="0E2425E1">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陈仓区</w:t>
                  </w:r>
                </w:p>
              </w:tc>
              <w:tc>
                <w:tcPr>
                  <w:tcW w:w="489" w:type="pct"/>
                  <w:noWrap w:val="0"/>
                  <w:vAlign w:val="center"/>
                </w:tcPr>
                <w:p w14:paraId="42C12A26">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896" w:type="pct"/>
                  <w:noWrap w:val="0"/>
                  <w:vAlign w:val="center"/>
                </w:tcPr>
                <w:p w14:paraId="35701645">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2F123811">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16" w:type="pct"/>
                  <w:noWrap w:val="0"/>
                  <w:vAlign w:val="center"/>
                </w:tcPr>
                <w:p w14:paraId="4C97ACA4">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629" w:type="pct"/>
                  <w:noWrap w:val="0"/>
                  <w:vAlign w:val="center"/>
                </w:tcPr>
                <w:p w14:paraId="65A4A709">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w:t>
                  </w:r>
                </w:p>
              </w:tc>
              <w:tc>
                <w:tcPr>
                  <w:tcW w:w="519" w:type="pct"/>
                  <w:noWrap w:val="0"/>
                  <w:vAlign w:val="center"/>
                </w:tcPr>
                <w:p w14:paraId="5DC5C89B">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restart"/>
                  <w:noWrap w:val="0"/>
                  <w:vAlign w:val="center"/>
                </w:tcPr>
                <w:p w14:paraId="3EA6A631">
                  <w:pPr>
                    <w:widowControl/>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《环境空气质量标准》（GB3095-2012）及其修改单</w:t>
                  </w:r>
                </w:p>
              </w:tc>
            </w:tr>
            <w:tr w14:paraId="21BC6F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2908FAEA">
                  <w:pPr>
                    <w:pStyle w:val="95"/>
                    <w:rPr>
                      <w:rFonts w:hint="default" w:ascii="Times New Roman" w:hAnsi="Times New Roman" w:cs="Times New Roman"/>
                      <w:color w:val="auto"/>
                      <w:sz w:val="21"/>
                      <w:szCs w:val="21"/>
                    </w:rPr>
                  </w:pPr>
                </w:p>
              </w:tc>
              <w:tc>
                <w:tcPr>
                  <w:tcW w:w="489" w:type="pct"/>
                  <w:noWrap w:val="0"/>
                  <w:vAlign w:val="center"/>
                </w:tcPr>
                <w:p w14:paraId="19407D4A">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896" w:type="pct"/>
                  <w:noWrap w:val="0"/>
                  <w:vAlign w:val="center"/>
                </w:tcPr>
                <w:p w14:paraId="4A4B4754">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272849B8">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29</w:t>
                  </w:r>
                </w:p>
              </w:tc>
              <w:tc>
                <w:tcPr>
                  <w:tcW w:w="716" w:type="pct"/>
                  <w:noWrap w:val="0"/>
                  <w:vAlign w:val="center"/>
                </w:tcPr>
                <w:p w14:paraId="5F29E159">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629" w:type="pct"/>
                  <w:noWrap w:val="0"/>
                  <w:vAlign w:val="center"/>
                </w:tcPr>
                <w:p w14:paraId="2C76A733">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c>
                <w:tcPr>
                  <w:tcW w:w="519" w:type="pct"/>
                  <w:noWrap w:val="0"/>
                  <w:vAlign w:val="center"/>
                </w:tcPr>
                <w:p w14:paraId="37DA7B3B">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0173D980">
                  <w:pPr>
                    <w:widowControl/>
                    <w:adjustRightInd w:val="0"/>
                    <w:snapToGrid w:val="0"/>
                    <w:jc w:val="center"/>
                    <w:rPr>
                      <w:rFonts w:hint="default" w:ascii="Times New Roman" w:hAnsi="Times New Roman" w:cs="Times New Roman"/>
                      <w:color w:val="auto"/>
                      <w:sz w:val="21"/>
                      <w:szCs w:val="21"/>
                    </w:rPr>
                  </w:pPr>
                </w:p>
              </w:tc>
            </w:tr>
            <w:tr w14:paraId="3F4865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7CEBD435">
                  <w:pPr>
                    <w:pStyle w:val="95"/>
                    <w:rPr>
                      <w:rFonts w:hint="default" w:ascii="Times New Roman" w:hAnsi="Times New Roman" w:cs="Times New Roman"/>
                      <w:color w:val="auto"/>
                      <w:sz w:val="21"/>
                      <w:szCs w:val="21"/>
                    </w:rPr>
                  </w:pPr>
                </w:p>
              </w:tc>
              <w:tc>
                <w:tcPr>
                  <w:tcW w:w="489" w:type="pct"/>
                  <w:noWrap w:val="0"/>
                  <w:vAlign w:val="center"/>
                </w:tcPr>
                <w:p w14:paraId="1F54E9B4">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896" w:type="pct"/>
                  <w:noWrap w:val="0"/>
                  <w:vAlign w:val="center"/>
                </w:tcPr>
                <w:p w14:paraId="768A6393">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3C8E93FA">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w:t>
                  </w:r>
                </w:p>
              </w:tc>
              <w:tc>
                <w:tcPr>
                  <w:tcW w:w="716" w:type="pct"/>
                  <w:noWrap w:val="0"/>
                  <w:vAlign w:val="center"/>
                </w:tcPr>
                <w:p w14:paraId="42D9DEA2">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629" w:type="pct"/>
                  <w:noWrap w:val="0"/>
                  <w:vAlign w:val="center"/>
                </w:tcPr>
                <w:p w14:paraId="2599312B">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w:t>
                  </w:r>
                </w:p>
              </w:tc>
              <w:tc>
                <w:tcPr>
                  <w:tcW w:w="519" w:type="pct"/>
                  <w:noWrap w:val="0"/>
                  <w:vAlign w:val="center"/>
                </w:tcPr>
                <w:p w14:paraId="7BCA2FAA">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2BC8E9A5">
                  <w:pPr>
                    <w:widowControl/>
                    <w:adjustRightInd w:val="0"/>
                    <w:snapToGrid w:val="0"/>
                    <w:jc w:val="center"/>
                    <w:rPr>
                      <w:rFonts w:hint="default" w:ascii="Times New Roman" w:hAnsi="Times New Roman" w:cs="Times New Roman"/>
                      <w:color w:val="auto"/>
                      <w:sz w:val="21"/>
                      <w:szCs w:val="21"/>
                    </w:rPr>
                  </w:pPr>
                </w:p>
              </w:tc>
            </w:tr>
            <w:tr w14:paraId="4E1C3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41CCF6B7">
                  <w:pPr>
                    <w:pStyle w:val="95"/>
                    <w:rPr>
                      <w:rFonts w:hint="default" w:ascii="Times New Roman" w:hAnsi="Times New Roman" w:cs="Times New Roman"/>
                      <w:color w:val="auto"/>
                      <w:sz w:val="21"/>
                      <w:szCs w:val="21"/>
                    </w:rPr>
                  </w:pPr>
                </w:p>
              </w:tc>
              <w:tc>
                <w:tcPr>
                  <w:tcW w:w="489" w:type="pct"/>
                  <w:noWrap w:val="0"/>
                  <w:vAlign w:val="center"/>
                </w:tcPr>
                <w:p w14:paraId="3663AE31">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896" w:type="pct"/>
                  <w:noWrap w:val="0"/>
                  <w:vAlign w:val="center"/>
                </w:tcPr>
                <w:p w14:paraId="25FB590B">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年平均质量浓度</w:t>
                  </w:r>
                </w:p>
              </w:tc>
              <w:tc>
                <w:tcPr>
                  <w:tcW w:w="708" w:type="pct"/>
                  <w:noWrap w:val="0"/>
                  <w:vAlign w:val="center"/>
                </w:tcPr>
                <w:p w14:paraId="09B40714">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43</w:t>
                  </w:r>
                </w:p>
              </w:tc>
              <w:tc>
                <w:tcPr>
                  <w:tcW w:w="716" w:type="pct"/>
                  <w:noWrap w:val="0"/>
                  <w:vAlign w:val="center"/>
                </w:tcPr>
                <w:p w14:paraId="3BE9DFE5">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629" w:type="pct"/>
                  <w:noWrap w:val="0"/>
                  <w:vAlign w:val="center"/>
                </w:tcPr>
                <w:p w14:paraId="5EA5B16C">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123</w:t>
                  </w:r>
                </w:p>
              </w:tc>
              <w:tc>
                <w:tcPr>
                  <w:tcW w:w="519" w:type="pct"/>
                  <w:noWrap w:val="0"/>
                  <w:vAlign w:val="center"/>
                </w:tcPr>
                <w:p w14:paraId="6F3D014F">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超标</w:t>
                  </w:r>
                </w:p>
              </w:tc>
              <w:tc>
                <w:tcPr>
                  <w:tcW w:w="701" w:type="pct"/>
                  <w:vMerge w:val="continue"/>
                  <w:noWrap w:val="0"/>
                  <w:vAlign w:val="center"/>
                </w:tcPr>
                <w:p w14:paraId="5ECA6AF3">
                  <w:pPr>
                    <w:widowControl/>
                    <w:adjustRightInd w:val="0"/>
                    <w:snapToGrid w:val="0"/>
                    <w:jc w:val="center"/>
                    <w:rPr>
                      <w:rFonts w:hint="default" w:ascii="Times New Roman" w:hAnsi="Times New Roman" w:cs="Times New Roman"/>
                      <w:color w:val="auto"/>
                      <w:sz w:val="21"/>
                      <w:szCs w:val="21"/>
                    </w:rPr>
                  </w:pPr>
                </w:p>
              </w:tc>
            </w:tr>
            <w:tr w14:paraId="05376A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64758B53">
                  <w:pPr>
                    <w:pStyle w:val="95"/>
                    <w:rPr>
                      <w:rFonts w:hint="default" w:ascii="Times New Roman" w:hAnsi="Times New Roman" w:cs="Times New Roman"/>
                      <w:color w:val="auto"/>
                      <w:sz w:val="21"/>
                      <w:szCs w:val="21"/>
                    </w:rPr>
                  </w:pPr>
                </w:p>
              </w:tc>
              <w:tc>
                <w:tcPr>
                  <w:tcW w:w="489" w:type="pct"/>
                  <w:noWrap w:val="0"/>
                  <w:vAlign w:val="center"/>
                </w:tcPr>
                <w:p w14:paraId="237FCFA8">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896" w:type="pct"/>
                  <w:noWrap w:val="0"/>
                  <w:vAlign w:val="center"/>
                </w:tcPr>
                <w:p w14:paraId="1529C20D">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95百分位数日平均质量浓度</w:t>
                  </w:r>
                </w:p>
              </w:tc>
              <w:tc>
                <w:tcPr>
                  <w:tcW w:w="708" w:type="pct"/>
                  <w:noWrap w:val="0"/>
                  <w:vAlign w:val="center"/>
                </w:tcPr>
                <w:p w14:paraId="5287E002">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00</w:t>
                  </w:r>
                </w:p>
              </w:tc>
              <w:tc>
                <w:tcPr>
                  <w:tcW w:w="716" w:type="pct"/>
                  <w:noWrap w:val="0"/>
                  <w:vAlign w:val="center"/>
                </w:tcPr>
                <w:p w14:paraId="40BFB553">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4000</w:t>
                  </w:r>
                </w:p>
              </w:tc>
              <w:tc>
                <w:tcPr>
                  <w:tcW w:w="629" w:type="pct"/>
                  <w:noWrap w:val="0"/>
                  <w:vAlign w:val="center"/>
                </w:tcPr>
                <w:p w14:paraId="411AABD1">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519" w:type="pct"/>
                  <w:noWrap w:val="0"/>
                  <w:vAlign w:val="center"/>
                </w:tcPr>
                <w:p w14:paraId="16F70E6E">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6D1C54E5">
                  <w:pPr>
                    <w:widowControl/>
                    <w:adjustRightInd w:val="0"/>
                    <w:snapToGrid w:val="0"/>
                    <w:jc w:val="center"/>
                    <w:rPr>
                      <w:rFonts w:hint="default" w:ascii="Times New Roman" w:hAnsi="Times New Roman" w:cs="Times New Roman"/>
                      <w:color w:val="auto"/>
                      <w:sz w:val="21"/>
                      <w:szCs w:val="21"/>
                    </w:rPr>
                  </w:pPr>
                </w:p>
              </w:tc>
            </w:tr>
            <w:tr w14:paraId="37B11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39" w:type="pct"/>
                  <w:vMerge w:val="continue"/>
                  <w:noWrap w:val="0"/>
                  <w:vAlign w:val="center"/>
                </w:tcPr>
                <w:p w14:paraId="1243117C">
                  <w:pPr>
                    <w:pStyle w:val="95"/>
                    <w:rPr>
                      <w:rFonts w:hint="default" w:ascii="Times New Roman" w:hAnsi="Times New Roman" w:cs="Times New Roman"/>
                      <w:color w:val="auto"/>
                      <w:sz w:val="21"/>
                      <w:szCs w:val="21"/>
                    </w:rPr>
                  </w:pPr>
                </w:p>
              </w:tc>
              <w:tc>
                <w:tcPr>
                  <w:tcW w:w="489" w:type="pct"/>
                  <w:noWrap w:val="0"/>
                  <w:vAlign w:val="center"/>
                </w:tcPr>
                <w:p w14:paraId="02AC2C4E">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896" w:type="pct"/>
                  <w:noWrap w:val="0"/>
                  <w:vAlign w:val="center"/>
                </w:tcPr>
                <w:p w14:paraId="42D8F7A4">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90百分位数</w:t>
                  </w:r>
                </w:p>
                <w:p w14:paraId="4562C681">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最大8小时平均质量浓度</w:t>
                  </w:r>
                </w:p>
              </w:tc>
              <w:tc>
                <w:tcPr>
                  <w:tcW w:w="708" w:type="pct"/>
                  <w:noWrap w:val="0"/>
                  <w:vAlign w:val="center"/>
                </w:tcPr>
                <w:p w14:paraId="36D6C16A">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156</w:t>
                  </w:r>
                </w:p>
              </w:tc>
              <w:tc>
                <w:tcPr>
                  <w:tcW w:w="716" w:type="pct"/>
                  <w:noWrap w:val="0"/>
                  <w:vAlign w:val="center"/>
                </w:tcPr>
                <w:p w14:paraId="77776D2A">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629" w:type="pct"/>
                  <w:noWrap w:val="0"/>
                  <w:vAlign w:val="center"/>
                </w:tcPr>
                <w:p w14:paraId="0CBDFF20">
                  <w:pPr>
                    <w:pStyle w:val="95"/>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98</w:t>
                  </w:r>
                </w:p>
              </w:tc>
              <w:tc>
                <w:tcPr>
                  <w:tcW w:w="519" w:type="pct"/>
                  <w:noWrap w:val="0"/>
                  <w:vAlign w:val="center"/>
                </w:tcPr>
                <w:p w14:paraId="31F9A4FB">
                  <w:pPr>
                    <w:pStyle w:val="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c>
                <w:tcPr>
                  <w:tcW w:w="701" w:type="pct"/>
                  <w:vMerge w:val="continue"/>
                  <w:noWrap w:val="0"/>
                  <w:vAlign w:val="center"/>
                </w:tcPr>
                <w:p w14:paraId="3AB98A9F">
                  <w:pPr>
                    <w:widowControl/>
                    <w:adjustRightInd w:val="0"/>
                    <w:snapToGrid w:val="0"/>
                    <w:jc w:val="center"/>
                    <w:rPr>
                      <w:rFonts w:hint="default" w:ascii="Times New Roman" w:hAnsi="Times New Roman" w:cs="Times New Roman"/>
                      <w:color w:val="auto"/>
                      <w:sz w:val="21"/>
                      <w:szCs w:val="21"/>
                    </w:rPr>
                  </w:pPr>
                </w:p>
              </w:tc>
            </w:tr>
          </w:tbl>
          <w:p w14:paraId="159BFF16">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由上述统计结果可知，2024年陈仓区环境空气六项基本污染物中除PM2.5超标外，其他污染物均满足《环境空气质量标准》（GB3095-2012）二级标准，因此项目所在区为环境空气质量不达标区。</w:t>
            </w:r>
          </w:p>
          <w:p w14:paraId="3AB01695">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②特征污染物：</w:t>
            </w:r>
          </w:p>
          <w:p w14:paraId="6A15BF30">
            <w:pPr>
              <w:widowControl/>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为了解项目所在地区环境空气中特征因子TSP现状，本次环评</w:t>
            </w:r>
            <w:r>
              <w:rPr>
                <w:rFonts w:hint="eastAsia" w:ascii="Times New Roman" w:hAnsi="Times New Roman" w:cs="Times New Roman"/>
                <w:color w:val="auto"/>
                <w:sz w:val="24"/>
                <w:szCs w:val="24"/>
                <w:lang w:val="en-US" w:eastAsia="zh-CN"/>
              </w:rPr>
              <w:t>中</w:t>
            </w:r>
            <w:r>
              <w:rPr>
                <w:rFonts w:hint="default" w:ascii="Times New Roman" w:hAnsi="Times New Roman" w:cs="Times New Roman"/>
                <w:color w:val="auto"/>
                <w:sz w:val="24"/>
                <w:szCs w:val="24"/>
                <w:lang w:eastAsia="zh-CN"/>
              </w:rPr>
              <w:t>TSP</w:t>
            </w:r>
            <w:r>
              <w:rPr>
                <w:rFonts w:ascii="Times New Roman" w:hAnsi="Times New Roman"/>
                <w:color w:val="auto"/>
                <w:sz w:val="24"/>
                <w:szCs w:val="32"/>
              </w:rPr>
              <w:t>引用距离本项目</w:t>
            </w:r>
            <w:r>
              <w:rPr>
                <w:rFonts w:hint="eastAsia" w:ascii="Times New Roman" w:hAnsi="Times New Roman"/>
                <w:color w:val="auto"/>
                <w:sz w:val="24"/>
                <w:szCs w:val="32"/>
                <w:lang w:val="en-US" w:eastAsia="zh-CN"/>
              </w:rPr>
              <w:t>1907</w:t>
            </w:r>
            <w:r>
              <w:rPr>
                <w:rFonts w:ascii="Times New Roman" w:hAnsi="Times New Roman"/>
                <w:color w:val="auto"/>
                <w:sz w:val="24"/>
                <w:szCs w:val="32"/>
              </w:rPr>
              <w:t>km</w:t>
            </w:r>
            <w:r>
              <w:rPr>
                <w:rFonts w:hint="eastAsia" w:ascii="Times New Roman" w:hAnsi="Times New Roman"/>
                <w:color w:val="auto"/>
                <w:sz w:val="24"/>
                <w:szCs w:val="32"/>
              </w:rPr>
              <w:t>处的</w:t>
            </w:r>
            <w:r>
              <w:rPr>
                <w:rFonts w:hint="eastAsia" w:ascii="Times New Roman" w:hAnsi="Times New Roman"/>
                <w:color w:val="auto"/>
                <w:sz w:val="24"/>
                <w:szCs w:val="32"/>
                <w:lang w:val="en-US" w:eastAsia="zh-CN"/>
              </w:rPr>
              <w:t>宝鸡森煜达实业有限公司</w:t>
            </w:r>
            <w:r>
              <w:rPr>
                <w:rFonts w:hint="eastAsia" w:ascii="Times New Roman" w:hAnsi="Times New Roman"/>
                <w:color w:val="auto"/>
                <w:sz w:val="24"/>
                <w:szCs w:val="32"/>
              </w:rPr>
              <w:t>（数据摘自《</w:t>
            </w:r>
            <w:r>
              <w:rPr>
                <w:rFonts w:hint="eastAsia" w:ascii="Times New Roman" w:hAnsi="Times New Roman"/>
                <w:color w:val="auto"/>
                <w:sz w:val="24"/>
                <w:szCs w:val="32"/>
                <w:lang w:val="en-US" w:eastAsia="zh-CN"/>
              </w:rPr>
              <w:t>东达混凝土搅拌站建设项目</w:t>
            </w:r>
            <w:r>
              <w:rPr>
                <w:rFonts w:hint="eastAsia" w:ascii="Times New Roman" w:hAnsi="Times New Roman"/>
                <w:color w:val="auto"/>
                <w:sz w:val="24"/>
                <w:szCs w:val="32"/>
              </w:rPr>
              <w:t>环境影</w:t>
            </w:r>
            <w:r>
              <w:rPr>
                <w:rFonts w:ascii="Times New Roman" w:hAnsi="Times New Roman"/>
                <w:color w:val="auto"/>
                <w:sz w:val="24"/>
                <w:szCs w:val="32"/>
              </w:rPr>
              <w:t>响报告表》中的环境现状监测数据），数据由</w:t>
            </w:r>
            <w:r>
              <w:rPr>
                <w:rFonts w:hint="eastAsia" w:ascii="Times New Roman" w:hAnsi="Times New Roman"/>
                <w:color w:val="auto"/>
                <w:sz w:val="24"/>
                <w:szCs w:val="32"/>
                <w:lang w:val="en-US" w:eastAsia="zh-CN"/>
              </w:rPr>
              <w:t>宝鸡市文理检测技术有限公司</w:t>
            </w:r>
            <w:r>
              <w:rPr>
                <w:rFonts w:ascii="Times New Roman" w:hAnsi="Times New Roman" w:eastAsia="宋体"/>
                <w:color w:val="auto"/>
                <w:sz w:val="24"/>
                <w:szCs w:val="32"/>
              </w:rPr>
              <w:t>于</w:t>
            </w:r>
            <w:r>
              <w:rPr>
                <w:rFonts w:ascii="Times New Roman" w:hAnsi="Times New Roman"/>
                <w:color w:val="auto"/>
                <w:sz w:val="24"/>
                <w:szCs w:val="32"/>
              </w:rPr>
              <w:t>202</w:t>
            </w:r>
            <w:r>
              <w:rPr>
                <w:rFonts w:hint="eastAsia" w:ascii="Times New Roman" w:hAnsi="Times New Roman"/>
                <w:color w:val="auto"/>
                <w:sz w:val="24"/>
                <w:szCs w:val="32"/>
                <w:lang w:val="en-US" w:eastAsia="zh-CN"/>
              </w:rPr>
              <w:t>3</w:t>
            </w:r>
            <w:r>
              <w:rPr>
                <w:rFonts w:ascii="Times New Roman" w:hAnsi="Times New Roman"/>
                <w:color w:val="auto"/>
                <w:sz w:val="24"/>
                <w:szCs w:val="32"/>
              </w:rPr>
              <w:t>年</w:t>
            </w:r>
            <w:r>
              <w:rPr>
                <w:rFonts w:hint="eastAsia" w:ascii="Times New Roman" w:hAnsi="Times New Roman"/>
                <w:color w:val="auto"/>
                <w:sz w:val="24"/>
                <w:szCs w:val="32"/>
                <w:lang w:val="en-US" w:eastAsia="zh-CN"/>
              </w:rPr>
              <w:t>6</w:t>
            </w:r>
            <w:r>
              <w:rPr>
                <w:rFonts w:ascii="Times New Roman" w:hAnsi="Times New Roman"/>
                <w:color w:val="auto"/>
                <w:sz w:val="24"/>
                <w:szCs w:val="32"/>
              </w:rPr>
              <w:t>月</w:t>
            </w:r>
            <w:r>
              <w:rPr>
                <w:rFonts w:hint="eastAsia" w:ascii="Times New Roman" w:hAnsi="Times New Roman"/>
                <w:color w:val="auto"/>
                <w:sz w:val="24"/>
                <w:szCs w:val="32"/>
                <w:lang w:val="en-US" w:eastAsia="zh-CN"/>
              </w:rPr>
              <w:t>14</w:t>
            </w:r>
            <w:r>
              <w:rPr>
                <w:rFonts w:ascii="Times New Roman" w:hAnsi="Times New Roman"/>
                <w:color w:val="auto"/>
                <w:sz w:val="24"/>
                <w:szCs w:val="32"/>
              </w:rPr>
              <w:t>日</w:t>
            </w:r>
            <w:r>
              <w:rPr>
                <w:rFonts w:hint="eastAsia"/>
                <w:color w:val="auto"/>
                <w:sz w:val="24"/>
                <w:szCs w:val="32"/>
                <w:lang w:eastAsia="zh-CN"/>
              </w:rPr>
              <w:t>—</w:t>
            </w:r>
            <w:r>
              <w:rPr>
                <w:rFonts w:ascii="Times New Roman" w:hAnsi="Times New Roman"/>
                <w:color w:val="auto"/>
                <w:sz w:val="24"/>
                <w:szCs w:val="32"/>
              </w:rPr>
              <w:t>202</w:t>
            </w:r>
            <w:r>
              <w:rPr>
                <w:rFonts w:hint="eastAsia" w:ascii="Times New Roman" w:hAnsi="Times New Roman"/>
                <w:color w:val="auto"/>
                <w:sz w:val="24"/>
                <w:szCs w:val="32"/>
                <w:lang w:val="en-US" w:eastAsia="zh-CN"/>
              </w:rPr>
              <w:t>3</w:t>
            </w:r>
            <w:r>
              <w:rPr>
                <w:rFonts w:ascii="Times New Roman" w:hAnsi="Times New Roman"/>
                <w:color w:val="auto"/>
                <w:sz w:val="24"/>
                <w:szCs w:val="32"/>
              </w:rPr>
              <w:t>年</w:t>
            </w:r>
            <w:r>
              <w:rPr>
                <w:rFonts w:hint="eastAsia" w:ascii="Times New Roman" w:hAnsi="Times New Roman"/>
                <w:color w:val="auto"/>
                <w:sz w:val="24"/>
                <w:szCs w:val="32"/>
                <w:lang w:val="en-US" w:eastAsia="zh-CN"/>
              </w:rPr>
              <w:t>6</w:t>
            </w:r>
            <w:r>
              <w:rPr>
                <w:rFonts w:ascii="Times New Roman" w:hAnsi="Times New Roman"/>
                <w:color w:val="auto"/>
                <w:sz w:val="24"/>
                <w:szCs w:val="32"/>
              </w:rPr>
              <w:t>月</w:t>
            </w:r>
            <w:r>
              <w:rPr>
                <w:rFonts w:hint="eastAsia" w:ascii="Times New Roman" w:hAnsi="Times New Roman"/>
                <w:color w:val="auto"/>
                <w:sz w:val="24"/>
                <w:szCs w:val="32"/>
                <w:lang w:val="en-US" w:eastAsia="zh-CN"/>
              </w:rPr>
              <w:t>1</w:t>
            </w:r>
            <w:r>
              <w:rPr>
                <w:rFonts w:ascii="Times New Roman" w:hAnsi="Times New Roman"/>
                <w:color w:val="auto"/>
                <w:sz w:val="24"/>
                <w:szCs w:val="32"/>
              </w:rPr>
              <w:t>6日</w:t>
            </w:r>
            <w:r>
              <w:rPr>
                <w:rFonts w:ascii="Times New Roman" w:hAnsi="Times New Roman" w:eastAsia="宋体"/>
                <w:color w:val="auto"/>
                <w:sz w:val="24"/>
                <w:szCs w:val="32"/>
              </w:rPr>
              <w:t>完成。</w:t>
            </w:r>
            <w:r>
              <w:rPr>
                <w:rFonts w:hint="eastAsia" w:ascii="Times New Roman" w:hAnsi="Times New Roman" w:eastAsia="宋体"/>
                <w:color w:val="auto"/>
                <w:sz w:val="24"/>
                <w:szCs w:val="32"/>
                <w:lang w:val="en-US" w:eastAsia="zh-CN"/>
              </w:rPr>
              <w:t>为本</w:t>
            </w:r>
            <w:r>
              <w:rPr>
                <w:rFonts w:hint="default" w:ascii="Times New Roman" w:hAnsi="Times New Roman" w:cs="Times New Roman"/>
                <w:color w:val="auto"/>
                <w:sz w:val="24"/>
                <w:szCs w:val="24"/>
                <w:lang w:eastAsia="zh-CN"/>
              </w:rPr>
              <w:t>项目周边</w:t>
            </w:r>
            <w:r>
              <w:rPr>
                <w:rFonts w:hint="default" w:ascii="Times New Roman" w:hAnsi="Times New Roman" w:cs="Times New Roman"/>
                <w:color w:val="auto"/>
                <w:sz w:val="24"/>
                <w:szCs w:val="24"/>
                <w:lang w:val="en-US" w:eastAsia="zh-CN"/>
              </w:rPr>
              <w:t>5km范围内近3年的现有检测数据，符合要求。</w:t>
            </w:r>
            <w:r>
              <w:rPr>
                <w:rFonts w:hint="default" w:ascii="Times New Roman" w:hAnsi="Times New Roman" w:cs="Times New Roman"/>
                <w:color w:val="auto"/>
                <w:sz w:val="24"/>
                <w:szCs w:val="24"/>
                <w:lang w:eastAsia="zh-CN"/>
              </w:rPr>
              <w:t>监测结果见下表3-2</w:t>
            </w:r>
            <w:r>
              <w:rPr>
                <w:rFonts w:hint="eastAsia" w:cs="Times New Roman"/>
                <w:color w:val="auto"/>
                <w:sz w:val="24"/>
                <w:szCs w:val="24"/>
                <w:lang w:eastAsia="zh-CN"/>
              </w:rPr>
              <w:t>：</w:t>
            </w:r>
          </w:p>
          <w:p w14:paraId="7ECA91FD">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 xml:space="preserve">表3-2  </w:t>
            </w:r>
            <w:r>
              <w:rPr>
                <w:rFonts w:hint="eastAsia" w:ascii="Times New Roman" w:hAnsi="Times New Roman" w:eastAsia="宋体" w:cs="Times New Roman"/>
                <w:b/>
                <w:bCs/>
                <w:color w:val="auto"/>
                <w:sz w:val="21"/>
                <w:szCs w:val="21"/>
                <w:lang w:val="en-US" w:eastAsia="zh-CN"/>
              </w:rPr>
              <w:t>环境空气质量</w:t>
            </w:r>
            <w:r>
              <w:rPr>
                <w:rFonts w:hint="default" w:ascii="Times New Roman" w:hAnsi="Times New Roman" w:eastAsia="宋体" w:cs="Times New Roman"/>
                <w:b/>
                <w:bCs/>
                <w:color w:val="auto"/>
                <w:sz w:val="21"/>
                <w:szCs w:val="21"/>
                <w:lang w:val="en-US" w:eastAsia="zh-CN"/>
              </w:rPr>
              <w:t>现状监测结果     单位：mg/m³</w:t>
            </w:r>
          </w:p>
          <w:tbl>
            <w:tblPr>
              <w:tblStyle w:val="31"/>
              <w:tblW w:w="4992"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42"/>
              <w:gridCol w:w="1633"/>
              <w:gridCol w:w="1013"/>
              <w:gridCol w:w="1422"/>
              <w:gridCol w:w="1092"/>
              <w:gridCol w:w="1874"/>
            </w:tblGrid>
            <w:tr w14:paraId="77B156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801" w:type="pct"/>
                  <w:tcBorders>
                    <w:tl2br w:val="nil"/>
                    <w:tr2bl w:val="nil"/>
                  </w:tcBorders>
                  <w:noWrap w:val="0"/>
                  <w:vAlign w:val="center"/>
                </w:tcPr>
                <w:p w14:paraId="6F74C14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监测日期</w:t>
                  </w:r>
                </w:p>
              </w:tc>
              <w:tc>
                <w:tcPr>
                  <w:tcW w:w="975" w:type="pct"/>
                  <w:tcBorders>
                    <w:tl2br w:val="nil"/>
                    <w:tr2bl w:val="nil"/>
                  </w:tcBorders>
                  <w:noWrap w:val="0"/>
                  <w:vAlign w:val="center"/>
                </w:tcPr>
                <w:p w14:paraId="45562751">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监测时间</w:t>
                  </w:r>
                </w:p>
              </w:tc>
              <w:tc>
                <w:tcPr>
                  <w:tcW w:w="605" w:type="pct"/>
                  <w:tcBorders>
                    <w:tl2br w:val="nil"/>
                    <w:tr2bl w:val="nil"/>
                  </w:tcBorders>
                  <w:noWrap w:val="0"/>
                  <w:vAlign w:val="center"/>
                </w:tcPr>
                <w:p w14:paraId="6EE5964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监测点位</w:t>
                  </w:r>
                </w:p>
              </w:tc>
              <w:tc>
                <w:tcPr>
                  <w:tcW w:w="849" w:type="pct"/>
                  <w:tcBorders>
                    <w:tl2br w:val="nil"/>
                    <w:tr2bl w:val="nil"/>
                  </w:tcBorders>
                  <w:noWrap w:val="0"/>
                  <w:vAlign w:val="center"/>
                </w:tcPr>
                <w:p w14:paraId="25B62D64">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监测结果</w:t>
                  </w:r>
                </w:p>
              </w:tc>
              <w:tc>
                <w:tcPr>
                  <w:tcW w:w="652" w:type="pct"/>
                  <w:tcBorders>
                    <w:tl2br w:val="nil"/>
                    <w:tr2bl w:val="nil"/>
                  </w:tcBorders>
                  <w:noWrap w:val="0"/>
                  <w:vAlign w:val="center"/>
                </w:tcPr>
                <w:p w14:paraId="6F07CB3E">
                  <w:pPr>
                    <w:pStyle w:val="126"/>
                    <w:keepNext w:val="0"/>
                    <w:keepLines w:val="0"/>
                    <w:pageBreakBefore w:val="0"/>
                    <w:widowControl w:val="0"/>
                    <w:kinsoku/>
                    <w:wordWrap/>
                    <w:overflowPunct/>
                    <w:topLinePunct w:val="0"/>
                    <w:autoSpaceDE/>
                    <w:autoSpaceDN/>
                    <w:bidi w:val="0"/>
                    <w:adjustRightInd/>
                    <w:snapToGrid/>
                    <w:ind w:left="0" w:right="0"/>
                    <w:jc w:val="both"/>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标准限值</w:t>
                  </w:r>
                </w:p>
              </w:tc>
              <w:tc>
                <w:tcPr>
                  <w:tcW w:w="1114" w:type="pct"/>
                  <w:tcBorders>
                    <w:tl2br w:val="nil"/>
                    <w:tr2bl w:val="nil"/>
                  </w:tcBorders>
                  <w:noWrap w:val="0"/>
                  <w:vAlign w:val="center"/>
                </w:tcPr>
                <w:p w14:paraId="19366215">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占标率</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eastAsia="zh-CN"/>
                    </w:rPr>
                    <w:t>）</w:t>
                  </w:r>
                </w:p>
              </w:tc>
            </w:tr>
            <w:tr w14:paraId="439B56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000" w:type="pct"/>
                  <w:gridSpan w:val="6"/>
                  <w:tcBorders>
                    <w:tl2br w:val="nil"/>
                    <w:tr2bl w:val="nil"/>
                  </w:tcBorders>
                  <w:noWrap w:val="0"/>
                  <w:vAlign w:val="center"/>
                </w:tcPr>
                <w:p w14:paraId="18DF76C2">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TSP </w:t>
                  </w:r>
                </w:p>
              </w:tc>
            </w:tr>
            <w:tr w14:paraId="5C173A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1" w:type="pct"/>
                  <w:tcBorders>
                    <w:tl2br w:val="nil"/>
                    <w:tr2bl w:val="nil"/>
                  </w:tcBorders>
                  <w:noWrap w:val="0"/>
                  <w:vAlign w:val="center"/>
                </w:tcPr>
                <w:p w14:paraId="1860B75A">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w:t>
                  </w:r>
                  <w:r>
                    <w:rPr>
                      <w:rFonts w:hint="eastAsia" w:ascii="Times New Roman" w:hAnsi="Times New Roman" w:cs="Times New Roman"/>
                      <w:color w:val="auto"/>
                      <w:sz w:val="21"/>
                      <w:szCs w:val="21"/>
                      <w:lang w:val="en-US" w:eastAsia="zh-CN"/>
                    </w:rPr>
                    <w:t>23.6.13</w:t>
                  </w:r>
                </w:p>
              </w:tc>
              <w:tc>
                <w:tcPr>
                  <w:tcW w:w="975" w:type="pct"/>
                  <w:tcBorders>
                    <w:tl2br w:val="nil"/>
                    <w:tr2bl w:val="nil"/>
                  </w:tcBorders>
                  <w:noWrap w:val="0"/>
                  <w:vAlign w:val="center"/>
                </w:tcPr>
                <w:p w14:paraId="3C99F295">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8:55－次日8:55</w:t>
                  </w:r>
                </w:p>
              </w:tc>
              <w:tc>
                <w:tcPr>
                  <w:tcW w:w="605" w:type="pct"/>
                  <w:vMerge w:val="restart"/>
                  <w:tcBorders>
                    <w:tl2br w:val="nil"/>
                    <w:tr2bl w:val="nil"/>
                  </w:tcBorders>
                  <w:noWrap w:val="0"/>
                  <w:vAlign w:val="center"/>
                </w:tcPr>
                <w:p w14:paraId="23C055B0">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下风向</w:t>
                  </w:r>
                </w:p>
              </w:tc>
              <w:tc>
                <w:tcPr>
                  <w:tcW w:w="849" w:type="pct"/>
                  <w:tcBorders>
                    <w:tl2br w:val="nil"/>
                    <w:tr2bl w:val="nil"/>
                  </w:tcBorders>
                  <w:noWrap w:val="0"/>
                  <w:vAlign w:val="center"/>
                </w:tcPr>
                <w:p w14:paraId="2E7D81C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0.101</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2" w:type="pct"/>
                  <w:vMerge w:val="restart"/>
                  <w:tcBorders>
                    <w:tl2br w:val="nil"/>
                    <w:tr2bl w:val="nil"/>
                  </w:tcBorders>
                  <w:noWrap w:val="0"/>
                  <w:vAlign w:val="center"/>
                </w:tcPr>
                <w:p w14:paraId="756DB52B">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0.3mg/m³</w:t>
                  </w:r>
                </w:p>
              </w:tc>
              <w:tc>
                <w:tcPr>
                  <w:tcW w:w="1114" w:type="pct"/>
                  <w:vMerge w:val="restart"/>
                  <w:tcBorders>
                    <w:tl2br w:val="nil"/>
                    <w:tr2bl w:val="nil"/>
                  </w:tcBorders>
                  <w:noWrap w:val="0"/>
                  <w:vAlign w:val="center"/>
                </w:tcPr>
                <w:p w14:paraId="2D1882C8">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28%～33%</w:t>
                  </w:r>
                </w:p>
              </w:tc>
            </w:tr>
            <w:tr w14:paraId="27A06C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1" w:type="pct"/>
                  <w:tcBorders>
                    <w:tl2br w:val="nil"/>
                    <w:tr2bl w:val="nil"/>
                  </w:tcBorders>
                  <w:noWrap w:val="0"/>
                  <w:vAlign w:val="center"/>
                </w:tcPr>
                <w:p w14:paraId="71F79816">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3.6.14</w:t>
                  </w:r>
                </w:p>
              </w:tc>
              <w:tc>
                <w:tcPr>
                  <w:tcW w:w="975" w:type="pct"/>
                  <w:tcBorders>
                    <w:tl2br w:val="nil"/>
                    <w:tr2bl w:val="nil"/>
                  </w:tcBorders>
                  <w:noWrap w:val="0"/>
                  <w:vAlign w:val="center"/>
                </w:tcPr>
                <w:p w14:paraId="33772F00">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9:00－次日9:00</w:t>
                  </w:r>
                </w:p>
              </w:tc>
              <w:tc>
                <w:tcPr>
                  <w:tcW w:w="605" w:type="pct"/>
                  <w:vMerge w:val="continue"/>
                  <w:tcBorders>
                    <w:tl2br w:val="nil"/>
                    <w:tr2bl w:val="nil"/>
                  </w:tcBorders>
                  <w:noWrap w:val="0"/>
                  <w:vAlign w:val="center"/>
                </w:tcPr>
                <w:p w14:paraId="5C41BA83">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rPr>
                  </w:pPr>
                </w:p>
              </w:tc>
              <w:tc>
                <w:tcPr>
                  <w:tcW w:w="849" w:type="pct"/>
                  <w:tcBorders>
                    <w:tl2br w:val="nil"/>
                    <w:tr2bl w:val="nil"/>
                  </w:tcBorders>
                  <w:noWrap w:val="0"/>
                  <w:vAlign w:val="center"/>
                </w:tcPr>
                <w:p w14:paraId="3DAFA923">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0.097</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2" w:type="pct"/>
                  <w:vMerge w:val="continue"/>
                  <w:tcBorders>
                    <w:tl2br w:val="nil"/>
                    <w:tr2bl w:val="nil"/>
                  </w:tcBorders>
                  <w:noWrap w:val="0"/>
                  <w:vAlign w:val="center"/>
                </w:tcPr>
                <w:p w14:paraId="404F8A9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14" w:type="pct"/>
                  <w:vMerge w:val="continue"/>
                  <w:tcBorders>
                    <w:tl2br w:val="nil"/>
                    <w:tr2bl w:val="nil"/>
                  </w:tcBorders>
                  <w:noWrap w:val="0"/>
                  <w:vAlign w:val="center"/>
                </w:tcPr>
                <w:p w14:paraId="089D5966">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r w14:paraId="74C3FD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1" w:type="pct"/>
                  <w:tcBorders>
                    <w:tl2br w:val="nil"/>
                    <w:tr2bl w:val="nil"/>
                  </w:tcBorders>
                  <w:noWrap w:val="0"/>
                  <w:vAlign w:val="center"/>
                </w:tcPr>
                <w:p w14:paraId="60766157">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202</w:t>
                  </w:r>
                  <w:r>
                    <w:rPr>
                      <w:rFonts w:hint="eastAsia" w:ascii="Times New Roman" w:hAnsi="Times New Roman" w:cs="Times New Roman"/>
                      <w:color w:val="auto"/>
                      <w:sz w:val="21"/>
                      <w:szCs w:val="21"/>
                      <w:lang w:val="en-US" w:eastAsia="zh-CN"/>
                    </w:rPr>
                    <w:t>3.6.15</w:t>
                  </w:r>
                </w:p>
              </w:tc>
              <w:tc>
                <w:tcPr>
                  <w:tcW w:w="975" w:type="pct"/>
                  <w:tcBorders>
                    <w:tl2br w:val="nil"/>
                    <w:tr2bl w:val="nil"/>
                  </w:tcBorders>
                  <w:noWrap w:val="0"/>
                  <w:vAlign w:val="center"/>
                </w:tcPr>
                <w:p w14:paraId="7F4A10C3">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9:10－次日9:10</w:t>
                  </w:r>
                </w:p>
              </w:tc>
              <w:tc>
                <w:tcPr>
                  <w:tcW w:w="605" w:type="pct"/>
                  <w:vMerge w:val="continue"/>
                  <w:tcBorders>
                    <w:tl2br w:val="nil"/>
                    <w:tr2bl w:val="nil"/>
                  </w:tcBorders>
                  <w:noWrap w:val="0"/>
                  <w:vAlign w:val="center"/>
                </w:tcPr>
                <w:p w14:paraId="33998EF9">
                  <w:pPr>
                    <w:pStyle w:val="126"/>
                    <w:keepNext w:val="0"/>
                    <w:keepLines w:val="0"/>
                    <w:pageBreakBefore w:val="0"/>
                    <w:widowControl w:val="0"/>
                    <w:kinsoku/>
                    <w:wordWrap/>
                    <w:overflowPunct/>
                    <w:topLinePunct w:val="0"/>
                    <w:autoSpaceDE/>
                    <w:autoSpaceDN/>
                    <w:bidi w:val="0"/>
                    <w:adjustRightInd/>
                    <w:snapToGrid/>
                    <w:ind w:left="0" w:right="0" w:rightChars="0"/>
                    <w:jc w:val="center"/>
                    <w:textAlignment w:val="auto"/>
                    <w:rPr>
                      <w:rFonts w:hint="default" w:ascii="Times New Roman" w:hAnsi="Times New Roman" w:cs="Times New Roman"/>
                      <w:color w:val="auto"/>
                      <w:sz w:val="21"/>
                      <w:szCs w:val="21"/>
                    </w:rPr>
                  </w:pPr>
                </w:p>
              </w:tc>
              <w:tc>
                <w:tcPr>
                  <w:tcW w:w="849" w:type="pct"/>
                  <w:tcBorders>
                    <w:tl2br w:val="nil"/>
                    <w:tr2bl w:val="nil"/>
                  </w:tcBorders>
                  <w:noWrap w:val="0"/>
                  <w:vAlign w:val="center"/>
                </w:tcPr>
                <w:p w14:paraId="4FC014E2">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0.085</w:t>
                  </w:r>
                  <w:r>
                    <w:rPr>
                      <w:rFonts w:hint="default" w:ascii="Times New Roman" w:hAnsi="Times New Roman" w:eastAsia="宋体" w:cs="Times New Roman"/>
                      <w:b w:val="0"/>
                      <w:bCs w:val="0"/>
                      <w:color w:val="auto"/>
                      <w:kern w:val="2"/>
                      <w:sz w:val="21"/>
                      <w:szCs w:val="21"/>
                      <w:lang w:val="en-US" w:eastAsia="zh-CN" w:bidi="ar-SA"/>
                    </w:rPr>
                    <w:t>m</w:t>
                  </w:r>
                  <w:r>
                    <w:rPr>
                      <w:rFonts w:hint="default" w:ascii="Times New Roman" w:hAnsi="Times New Roman" w:cs="Times New Roman"/>
                      <w:b w:val="0"/>
                      <w:bCs w:val="0"/>
                      <w:color w:val="auto"/>
                      <w:sz w:val="21"/>
                      <w:szCs w:val="21"/>
                    </w:rPr>
                    <w:t>g/m³</w:t>
                  </w:r>
                </w:p>
              </w:tc>
              <w:tc>
                <w:tcPr>
                  <w:tcW w:w="652" w:type="pct"/>
                  <w:vMerge w:val="continue"/>
                  <w:tcBorders>
                    <w:tl2br w:val="nil"/>
                    <w:tr2bl w:val="nil"/>
                  </w:tcBorders>
                  <w:noWrap w:val="0"/>
                  <w:vAlign w:val="center"/>
                </w:tcPr>
                <w:p w14:paraId="2145DE85">
                  <w:pPr>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cs="Times New Roman"/>
                      <w:color w:val="auto"/>
                      <w:sz w:val="21"/>
                      <w:szCs w:val="21"/>
                    </w:rPr>
                  </w:pPr>
                </w:p>
              </w:tc>
              <w:tc>
                <w:tcPr>
                  <w:tcW w:w="1114" w:type="pct"/>
                  <w:vMerge w:val="continue"/>
                  <w:tcBorders>
                    <w:tl2br w:val="nil"/>
                    <w:tr2bl w:val="nil"/>
                  </w:tcBorders>
                  <w:noWrap w:val="0"/>
                  <w:vAlign w:val="center"/>
                </w:tcPr>
                <w:p w14:paraId="00378508">
                  <w:pPr>
                    <w:pStyle w:val="126"/>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color w:val="auto"/>
                      <w:sz w:val="21"/>
                      <w:szCs w:val="21"/>
                      <w:lang w:val="en-US" w:eastAsia="zh-CN"/>
                    </w:rPr>
                  </w:pPr>
                </w:p>
              </w:tc>
            </w:tr>
          </w:tbl>
          <w:p w14:paraId="701B11E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cs="Times New Roman"/>
                <w:color w:val="auto"/>
                <w:sz w:val="24"/>
                <w:szCs w:val="24"/>
                <w:lang w:val="en-US" w:eastAsia="zh-CN"/>
              </w:rPr>
              <w:t>由现状监测报告可知，监测区域内TSP浓度</w:t>
            </w:r>
            <w:r>
              <w:rPr>
                <w:rFonts w:hint="eastAsia" w:ascii="Times New Roman" w:hAnsi="Times New Roman" w:cs="Times New Roman"/>
                <w:color w:val="auto"/>
                <w:sz w:val="24"/>
                <w:szCs w:val="24"/>
                <w:lang w:val="en-US" w:eastAsia="zh-CN"/>
              </w:rPr>
              <w:t>范围在</w:t>
            </w:r>
            <w:r>
              <w:rPr>
                <w:rFonts w:hint="eastAsia" w:ascii="Times New Roman" w:hAnsi="Times New Roman" w:cs="Times New Roman"/>
                <w:color w:val="0000FF"/>
                <w:sz w:val="24"/>
                <w:szCs w:val="24"/>
                <w:lang w:val="en-US" w:eastAsia="zh-CN"/>
              </w:rPr>
              <w:t>0.</w:t>
            </w:r>
            <w:r>
              <w:rPr>
                <w:rFonts w:hint="eastAsia" w:cs="Times New Roman"/>
                <w:color w:val="0000FF"/>
                <w:sz w:val="24"/>
                <w:szCs w:val="24"/>
                <w:lang w:val="en-US" w:eastAsia="zh-CN"/>
              </w:rPr>
              <w:t>085</w:t>
            </w:r>
            <w:r>
              <w:rPr>
                <w:rFonts w:hint="eastAsia" w:ascii="Times New Roman" w:hAnsi="Times New Roman" w:cs="Times New Roman"/>
                <w:color w:val="0000FF"/>
                <w:sz w:val="24"/>
                <w:szCs w:val="24"/>
                <w:lang w:val="en-US" w:eastAsia="zh-CN"/>
              </w:rPr>
              <w:t>-0.1</w:t>
            </w:r>
            <w:r>
              <w:rPr>
                <w:rFonts w:hint="eastAsia" w:cs="Times New Roman"/>
                <w:color w:val="0000FF"/>
                <w:sz w:val="24"/>
                <w:szCs w:val="24"/>
                <w:lang w:val="en-US" w:eastAsia="zh-CN"/>
              </w:rPr>
              <w:t>01</w:t>
            </w:r>
            <w:r>
              <w:rPr>
                <w:rFonts w:hint="default" w:ascii="Times New Roman" w:hAnsi="Times New Roman" w:cs="Times New Roman"/>
                <w:color w:val="0000FF"/>
              </w:rPr>
              <w:t xml:space="preserve"> </w:t>
            </w:r>
            <w:r>
              <w:rPr>
                <w:rFonts w:hint="default" w:ascii="Times New Roman" w:hAnsi="Times New Roman" w:cs="Times New Roman"/>
                <w:color w:val="0000FF"/>
                <w:sz w:val="24"/>
                <w:szCs w:val="24"/>
              </w:rPr>
              <w:t>mg/</w:t>
            </w:r>
            <w:r>
              <w:rPr>
                <w:rFonts w:hint="default" w:ascii="Times New Roman" w:hAnsi="Times New Roman" w:cs="Times New Roman"/>
                <w:color w:val="auto"/>
                <w:sz w:val="24"/>
                <w:szCs w:val="24"/>
              </w:rPr>
              <w:t>m³</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val="en-US" w:eastAsia="zh-CN"/>
              </w:rPr>
              <w:t>监测值满足《环境空气质量标准》（GB3095-2012）中的二级标</w:t>
            </w:r>
            <w:r>
              <w:rPr>
                <w:rFonts w:hint="default" w:ascii="Times New Roman" w:hAnsi="Times New Roman" w:eastAsia="宋体" w:cs="Times New Roman"/>
                <w:bCs/>
                <w:color w:val="auto"/>
                <w:sz w:val="24"/>
                <w:szCs w:val="28"/>
                <w:lang w:val="en-US" w:eastAsia="zh-CN"/>
              </w:rPr>
              <w:t>准要求。</w:t>
            </w:r>
          </w:p>
          <w:p w14:paraId="3A255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2"/>
                <w:sz w:val="24"/>
                <w:szCs w:val="24"/>
                <w:lang w:val="en-US" w:eastAsia="zh-CN" w:bidi="ar-SA"/>
              </w:rPr>
            </w:pPr>
            <w:r>
              <w:drawing>
                <wp:inline distT="0" distB="0" distL="114300" distR="114300">
                  <wp:extent cx="5337810" cy="3602355"/>
                  <wp:effectExtent l="0" t="0" r="15240"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5337810" cy="3602355"/>
                          </a:xfrm>
                          <a:prstGeom prst="rect">
                            <a:avLst/>
                          </a:prstGeom>
                          <a:noFill/>
                          <a:ln>
                            <a:noFill/>
                          </a:ln>
                        </pic:spPr>
                      </pic:pic>
                    </a:graphicData>
                  </a:graphic>
                </wp:inline>
              </w:drawing>
            </w:r>
          </w:p>
          <w:p w14:paraId="511BB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1"/>
                <w:szCs w:val="21"/>
                <w:lang w:val="en-US" w:eastAsia="zh-CN" w:bidi="ar-SA"/>
              </w:rPr>
              <w:t>图3-1  现状监测数据引用位置图</w:t>
            </w:r>
          </w:p>
          <w:p w14:paraId="63623B83">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声环境质量现状</w:t>
            </w:r>
          </w:p>
          <w:p w14:paraId="1DA00067">
            <w:pPr>
              <w:keepNext/>
              <w:keepLines/>
              <w:spacing w:line="360" w:lineRule="auto"/>
              <w:ind w:firstLine="480" w:firstLineChars="200"/>
              <w:jc w:val="left"/>
              <w:outlineLvl w:val="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为了解项目周围环境质量现状，陕西秦景蓝环境检测有限公司对项目周边50米范围内声环境敏感点进行取样监测，监测结果见下表：</w:t>
            </w:r>
          </w:p>
          <w:p w14:paraId="24D0427F">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 xml:space="preserve">表3-3 </w:t>
            </w:r>
            <w:r>
              <w:rPr>
                <w:rFonts w:hint="default" w:ascii="Times New Roman" w:hAnsi="Times New Roman" w:eastAsia="宋体" w:cs="Times New Roman"/>
                <w:b/>
                <w:bCs/>
                <w:color w:val="auto"/>
                <w:sz w:val="21"/>
                <w:szCs w:val="21"/>
                <w:lang w:val="en-US" w:eastAsia="zh-CN"/>
              </w:rPr>
              <w:t>建设项目环境噪声监测结果</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96"/>
              <w:gridCol w:w="2096"/>
              <w:gridCol w:w="2097"/>
              <w:gridCol w:w="2097"/>
            </w:tblGrid>
            <w:tr w14:paraId="7A7D2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restart"/>
                  <w:tcBorders>
                    <w:tl2br w:val="nil"/>
                    <w:tr2bl w:val="nil"/>
                  </w:tcBorders>
                  <w:noWrap w:val="0"/>
                  <w:vAlign w:val="center"/>
                </w:tcPr>
                <w:p w14:paraId="00F41D5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监测时间</w:t>
                  </w:r>
                </w:p>
              </w:tc>
              <w:tc>
                <w:tcPr>
                  <w:tcW w:w="1249" w:type="pct"/>
                  <w:vMerge w:val="restart"/>
                  <w:tcBorders>
                    <w:tl2br w:val="nil"/>
                    <w:tr2bl w:val="nil"/>
                  </w:tcBorders>
                  <w:noWrap w:val="0"/>
                  <w:vAlign w:val="center"/>
                </w:tcPr>
                <w:p w14:paraId="5DC3BC7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监测点位</w:t>
                  </w:r>
                </w:p>
              </w:tc>
              <w:tc>
                <w:tcPr>
                  <w:tcW w:w="1250" w:type="pct"/>
                  <w:vMerge w:val="restart"/>
                  <w:tcBorders>
                    <w:tl2br w:val="nil"/>
                    <w:tr2bl w:val="nil"/>
                  </w:tcBorders>
                  <w:noWrap w:val="0"/>
                  <w:vAlign w:val="center"/>
                </w:tcPr>
                <w:p w14:paraId="7F75260E">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单位</w:t>
                  </w:r>
                </w:p>
              </w:tc>
              <w:tc>
                <w:tcPr>
                  <w:tcW w:w="1250" w:type="pct"/>
                  <w:tcBorders>
                    <w:tl2br w:val="nil"/>
                    <w:tr2bl w:val="nil"/>
                  </w:tcBorders>
                  <w:noWrap w:val="0"/>
                  <w:vAlign w:val="center"/>
                </w:tcPr>
                <w:p w14:paraId="1D2066C0">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检测结果</w:t>
                  </w:r>
                </w:p>
              </w:tc>
            </w:tr>
            <w:tr w14:paraId="37EA1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vMerge w:val="continue"/>
                  <w:tcBorders>
                    <w:tl2br w:val="nil"/>
                    <w:tr2bl w:val="nil"/>
                  </w:tcBorders>
                  <w:noWrap w:val="0"/>
                  <w:vAlign w:val="center"/>
                </w:tcPr>
                <w:p w14:paraId="36F3782F">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249" w:type="pct"/>
                  <w:vMerge w:val="continue"/>
                  <w:tcBorders>
                    <w:tl2br w:val="nil"/>
                    <w:tr2bl w:val="nil"/>
                  </w:tcBorders>
                  <w:noWrap w:val="0"/>
                  <w:vAlign w:val="center"/>
                </w:tcPr>
                <w:p w14:paraId="107CE087">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250" w:type="pct"/>
                  <w:vMerge w:val="continue"/>
                  <w:tcBorders>
                    <w:tl2br w:val="nil"/>
                    <w:tr2bl w:val="nil"/>
                  </w:tcBorders>
                  <w:noWrap w:val="0"/>
                  <w:vAlign w:val="center"/>
                </w:tcPr>
                <w:p w14:paraId="7EDA8F48">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p>
              </w:tc>
              <w:tc>
                <w:tcPr>
                  <w:tcW w:w="1250" w:type="pct"/>
                  <w:tcBorders>
                    <w:tl2br w:val="nil"/>
                    <w:tr2bl w:val="nil"/>
                  </w:tcBorders>
                  <w:noWrap w:val="0"/>
                  <w:vAlign w:val="center"/>
                </w:tcPr>
                <w:p w14:paraId="0918446C">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昼间</w:t>
                  </w:r>
                </w:p>
              </w:tc>
            </w:tr>
            <w:tr w14:paraId="505D9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14:paraId="530E97BA">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202</w:t>
                  </w:r>
                  <w:r>
                    <w:rPr>
                      <w:rFonts w:hint="eastAsia" w:eastAsia="黑体" w:cs="Times New Roman"/>
                      <w:bCs/>
                      <w:color w:val="auto"/>
                      <w:kern w:val="2"/>
                      <w:sz w:val="21"/>
                      <w:szCs w:val="21"/>
                      <w:vertAlign w:val="baseline"/>
                      <w:lang w:val="en-US" w:eastAsia="zh-CN" w:bidi="ar-SA"/>
                    </w:rPr>
                    <w:t>6</w:t>
                  </w:r>
                  <w:r>
                    <w:rPr>
                      <w:rFonts w:hint="eastAsia" w:ascii="Times New Roman" w:hAnsi="Times New Roman" w:eastAsia="黑体" w:cs="Times New Roman"/>
                      <w:bCs/>
                      <w:color w:val="auto"/>
                      <w:kern w:val="2"/>
                      <w:sz w:val="21"/>
                      <w:szCs w:val="21"/>
                      <w:vertAlign w:val="baseline"/>
                      <w:lang w:val="en-US" w:eastAsia="zh-CN" w:bidi="ar-SA"/>
                    </w:rPr>
                    <w:t>.</w:t>
                  </w:r>
                  <w:r>
                    <w:rPr>
                      <w:rFonts w:hint="eastAsia" w:eastAsia="黑体" w:cs="Times New Roman"/>
                      <w:bCs/>
                      <w:color w:val="auto"/>
                      <w:kern w:val="2"/>
                      <w:sz w:val="21"/>
                      <w:szCs w:val="21"/>
                      <w:vertAlign w:val="baseline"/>
                      <w:lang w:val="en-US" w:eastAsia="zh-CN" w:bidi="ar-SA"/>
                    </w:rPr>
                    <w:t>3</w:t>
                  </w:r>
                  <w:r>
                    <w:rPr>
                      <w:rFonts w:hint="eastAsia" w:ascii="Times New Roman" w:hAnsi="Times New Roman" w:eastAsia="黑体" w:cs="Times New Roman"/>
                      <w:bCs/>
                      <w:color w:val="auto"/>
                      <w:kern w:val="2"/>
                      <w:sz w:val="21"/>
                      <w:szCs w:val="21"/>
                      <w:vertAlign w:val="baseline"/>
                      <w:lang w:val="en-US" w:eastAsia="zh-CN" w:bidi="ar-SA"/>
                    </w:rPr>
                    <w:t>.</w:t>
                  </w:r>
                  <w:r>
                    <w:rPr>
                      <w:rFonts w:hint="eastAsia" w:eastAsia="黑体" w:cs="Times New Roman"/>
                      <w:bCs/>
                      <w:color w:val="auto"/>
                      <w:kern w:val="2"/>
                      <w:sz w:val="21"/>
                      <w:szCs w:val="21"/>
                      <w:vertAlign w:val="baseline"/>
                      <w:lang w:val="en-US" w:eastAsia="zh-CN" w:bidi="ar-SA"/>
                    </w:rPr>
                    <w:t>11</w:t>
                  </w:r>
                </w:p>
              </w:tc>
              <w:tc>
                <w:tcPr>
                  <w:tcW w:w="1249" w:type="pct"/>
                  <w:tcBorders>
                    <w:tl2br w:val="nil"/>
                    <w:tr2bl w:val="nil"/>
                  </w:tcBorders>
                  <w:noWrap w:val="0"/>
                  <w:vAlign w:val="center"/>
                </w:tcPr>
                <w:p w14:paraId="55AF8151">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cs="Times New Roman"/>
                      <w:color w:val="auto"/>
                      <w:kern w:val="0"/>
                      <w:sz w:val="21"/>
                      <w:szCs w:val="21"/>
                      <w:lang w:val="en-US" w:eastAsia="zh-CN" w:bidi="ar-SA"/>
                    </w:rPr>
                    <w:t>张家崖村66组</w:t>
                  </w:r>
                </w:p>
              </w:tc>
              <w:tc>
                <w:tcPr>
                  <w:tcW w:w="1250" w:type="pct"/>
                  <w:tcBorders>
                    <w:tl2br w:val="nil"/>
                    <w:tr2bl w:val="nil"/>
                  </w:tcBorders>
                  <w:noWrap w:val="0"/>
                  <w:vAlign w:val="center"/>
                </w:tcPr>
                <w:p w14:paraId="5CF1D1B0">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ascii="Times New Roman" w:hAnsi="Times New Roman" w:eastAsia="黑体" w:cs="Times New Roman"/>
                      <w:bCs/>
                      <w:color w:val="auto"/>
                      <w:kern w:val="2"/>
                      <w:sz w:val="21"/>
                      <w:szCs w:val="21"/>
                      <w:vertAlign w:val="baseline"/>
                      <w:lang w:val="en-US" w:eastAsia="zh-CN" w:bidi="ar-SA"/>
                    </w:rPr>
                    <w:t>dB</w:t>
                  </w:r>
                  <w:r>
                    <w:rPr>
                      <w:rFonts w:hint="eastAsia" w:eastAsia="黑体" w:cs="Times New Roman"/>
                      <w:bCs/>
                      <w:color w:val="auto"/>
                      <w:kern w:val="2"/>
                      <w:sz w:val="21"/>
                      <w:szCs w:val="21"/>
                      <w:vertAlign w:val="baseline"/>
                      <w:lang w:val="en-US" w:eastAsia="zh-CN" w:bidi="ar-SA"/>
                    </w:rPr>
                    <w:t>（</w:t>
                  </w:r>
                  <w:r>
                    <w:rPr>
                      <w:rFonts w:hint="eastAsia" w:ascii="Times New Roman" w:hAnsi="Times New Roman" w:eastAsia="黑体" w:cs="Times New Roman"/>
                      <w:bCs/>
                      <w:color w:val="auto"/>
                      <w:kern w:val="2"/>
                      <w:sz w:val="21"/>
                      <w:szCs w:val="21"/>
                      <w:vertAlign w:val="baseline"/>
                      <w:lang w:val="en-US" w:eastAsia="zh-CN" w:bidi="ar-SA"/>
                    </w:rPr>
                    <w:t>A</w:t>
                  </w:r>
                  <w:r>
                    <w:rPr>
                      <w:rFonts w:hint="eastAsia" w:eastAsia="黑体" w:cs="Times New Roman"/>
                      <w:bCs/>
                      <w:color w:val="auto"/>
                      <w:kern w:val="2"/>
                      <w:sz w:val="21"/>
                      <w:szCs w:val="21"/>
                      <w:vertAlign w:val="baseline"/>
                      <w:lang w:val="en-US" w:eastAsia="zh-CN" w:bidi="ar-SA"/>
                    </w:rPr>
                    <w:t>）</w:t>
                  </w:r>
                </w:p>
              </w:tc>
              <w:tc>
                <w:tcPr>
                  <w:tcW w:w="1250" w:type="pct"/>
                  <w:tcBorders>
                    <w:tl2br w:val="nil"/>
                    <w:tr2bl w:val="nil"/>
                  </w:tcBorders>
                  <w:noWrap w:val="0"/>
                  <w:vAlign w:val="center"/>
                </w:tcPr>
                <w:p w14:paraId="3BB3C6C3">
                  <w:pPr>
                    <w:pStyle w:val="12"/>
                    <w:keepNext w:val="0"/>
                    <w:keepLines w:val="0"/>
                    <w:pageBreakBefore w:val="0"/>
                    <w:widowControl w:val="0"/>
                    <w:numPr>
                      <w:ilvl w:val="0"/>
                      <w:numId w:val="0"/>
                    </w:numPr>
                    <w:kinsoku/>
                    <w:wordWrap/>
                    <w:overflowPunct/>
                    <w:topLinePunct w:val="0"/>
                    <w:autoSpaceDE/>
                    <w:autoSpaceDN/>
                    <w:bidi w:val="0"/>
                    <w:adjustRightInd/>
                    <w:snapToGrid/>
                    <w:spacing w:before="0" w:after="0" w:afterLines="0" w:line="240" w:lineRule="auto"/>
                    <w:ind w:right="0" w:rightChars="0"/>
                    <w:jc w:val="center"/>
                    <w:textAlignment w:val="auto"/>
                    <w:rPr>
                      <w:rFonts w:hint="default" w:ascii="Times New Roman" w:hAnsi="Times New Roman" w:eastAsia="黑体" w:cs="Times New Roman"/>
                      <w:bCs/>
                      <w:color w:val="auto"/>
                      <w:kern w:val="2"/>
                      <w:sz w:val="21"/>
                      <w:szCs w:val="21"/>
                      <w:vertAlign w:val="baseline"/>
                      <w:lang w:val="en-US" w:eastAsia="zh-CN" w:bidi="ar-SA"/>
                    </w:rPr>
                  </w:pPr>
                  <w:r>
                    <w:rPr>
                      <w:rFonts w:hint="eastAsia" w:eastAsia="黑体" w:cs="Times New Roman"/>
                      <w:bCs/>
                      <w:color w:val="0000FF"/>
                      <w:kern w:val="2"/>
                      <w:sz w:val="21"/>
                      <w:szCs w:val="21"/>
                      <w:vertAlign w:val="baseline"/>
                      <w:lang w:val="en-US" w:eastAsia="zh-CN" w:bidi="ar-SA"/>
                    </w:rPr>
                    <w:t>47</w:t>
                  </w:r>
                </w:p>
              </w:tc>
            </w:tr>
          </w:tbl>
          <w:p w14:paraId="687FBD68">
            <w:pPr>
              <w:adjustRightInd w:val="0"/>
              <w:snapToGrid w:val="0"/>
              <w:spacing w:line="360" w:lineRule="auto"/>
              <w:ind w:firstLine="482" w:firstLineChars="200"/>
              <w:jc w:val="left"/>
              <w:rPr>
                <w:rFonts w:hint="default" w:ascii="Times New Roman" w:hAnsi="Times New Roman" w:cs="Times New Roman"/>
                <w:b/>
                <w:bCs w:val="0"/>
                <w:color w:val="auto"/>
                <w:sz w:val="24"/>
                <w:szCs w:val="24"/>
                <w:highlight w:val="none"/>
              </w:rPr>
            </w:pPr>
            <w:r>
              <w:rPr>
                <w:rFonts w:hint="default" w:ascii="Times New Roman" w:hAnsi="Times New Roman" w:eastAsia="宋体" w:cs="Times New Roman"/>
                <w:b/>
                <w:bCs w:val="0"/>
                <w:color w:val="auto"/>
                <w:sz w:val="24"/>
                <w:szCs w:val="28"/>
                <w:lang w:val="en-US" w:eastAsia="zh-CN"/>
              </w:rPr>
              <w:t>3</w:t>
            </w:r>
            <w:r>
              <w:rPr>
                <w:rFonts w:hint="eastAsia" w:ascii="Times New Roman" w:hAnsi="Times New Roman" w:eastAsia="宋体" w:cs="Times New Roman"/>
                <w:b/>
                <w:bCs w:val="0"/>
                <w:color w:val="auto"/>
                <w:sz w:val="24"/>
                <w:szCs w:val="28"/>
                <w:lang w:val="en-US" w:eastAsia="zh-CN"/>
              </w:rPr>
              <w:t>.</w:t>
            </w:r>
            <w:r>
              <w:rPr>
                <w:rFonts w:hint="default" w:ascii="Times New Roman" w:hAnsi="Times New Roman" w:cs="Times New Roman"/>
                <w:b/>
                <w:bCs w:val="0"/>
                <w:color w:val="auto"/>
                <w:sz w:val="24"/>
                <w:szCs w:val="24"/>
                <w:highlight w:val="none"/>
              </w:rPr>
              <w:t>地表水环境</w:t>
            </w:r>
          </w:p>
          <w:p w14:paraId="33894887">
            <w:pPr>
              <w:pStyle w:val="2"/>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hAnsi="Times New Roman" w:eastAsia="宋体" w:cs="Times New Roman"/>
                <w:color w:val="auto"/>
                <w:kern w:val="2"/>
                <w:sz w:val="24"/>
                <w:szCs w:val="24"/>
                <w:highlight w:val="none"/>
                <w:lang w:val="en-US" w:eastAsia="zh-CN" w:bidi="ar-SA"/>
              </w:rPr>
              <w:t>不</w:t>
            </w:r>
            <w:r>
              <w:rPr>
                <w:rFonts w:hint="default" w:ascii="Times New Roman" w:hAnsi="Times New Roman" w:eastAsia="宋体" w:cs="Times New Roman"/>
                <w:color w:val="auto"/>
                <w:kern w:val="2"/>
                <w:sz w:val="24"/>
                <w:szCs w:val="24"/>
                <w:highlight w:val="none"/>
                <w:lang w:val="en-US" w:eastAsia="zh-CN" w:bidi="ar-SA"/>
              </w:rPr>
              <w:t>新增废水排放，故不进行地表水环境现状评价。</w:t>
            </w:r>
          </w:p>
          <w:p w14:paraId="2560E02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44"/>
                <w:sz w:val="24"/>
                <w:lang w:val="en-US" w:eastAsia="zh-CN"/>
              </w:rPr>
            </w:pPr>
            <w:r>
              <w:rPr>
                <w:rFonts w:hint="default" w:ascii="Times New Roman" w:hAnsi="Times New Roman" w:eastAsia="宋体" w:cs="Times New Roman"/>
                <w:b/>
                <w:bCs w:val="0"/>
                <w:color w:val="auto"/>
                <w:sz w:val="24"/>
                <w:szCs w:val="28"/>
                <w:lang w:val="en-US" w:eastAsia="zh-CN"/>
              </w:rPr>
              <w:t>4</w:t>
            </w:r>
            <w:r>
              <w:rPr>
                <w:rFonts w:hint="eastAsia" w:ascii="Times New Roman" w:hAnsi="Times New Roman" w:eastAsia="宋体" w:cs="Times New Roman"/>
                <w:b/>
                <w:bCs w:val="0"/>
                <w:color w:val="auto"/>
                <w:sz w:val="24"/>
                <w:szCs w:val="28"/>
                <w:lang w:val="en-US" w:eastAsia="zh-CN"/>
              </w:rPr>
              <w:t>.</w:t>
            </w:r>
            <w:r>
              <w:rPr>
                <w:rFonts w:hint="default" w:ascii="Times New Roman" w:hAnsi="Times New Roman" w:eastAsia="宋体" w:cs="Times New Roman"/>
                <w:b/>
                <w:bCs w:val="0"/>
                <w:color w:val="auto"/>
                <w:sz w:val="24"/>
                <w:szCs w:val="28"/>
                <w:lang w:val="en-US" w:eastAsia="zh-CN"/>
              </w:rPr>
              <w:t>土壤、地下水质量现状</w:t>
            </w:r>
          </w:p>
          <w:p w14:paraId="71CB6079">
            <w:pPr>
              <w:keepNext/>
              <w:keepLines/>
              <w:spacing w:line="360" w:lineRule="auto"/>
              <w:ind w:firstLine="480" w:firstLineChars="200"/>
              <w:jc w:val="left"/>
              <w:outlineLvl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44"/>
                <w:sz w:val="24"/>
                <w:lang w:val="en-US" w:eastAsia="zh-CN"/>
              </w:rPr>
              <w:t>根据项目生产工艺特点，</w:t>
            </w:r>
            <w:r>
              <w:rPr>
                <w:rFonts w:hint="eastAsia" w:ascii="Times New Roman" w:hAnsi="Times New Roman" w:eastAsia="宋体" w:cs="Times New Roman"/>
                <w:color w:val="auto"/>
                <w:kern w:val="44"/>
                <w:sz w:val="24"/>
                <w:lang w:val="en-US" w:eastAsia="zh-CN"/>
              </w:rPr>
              <w:t>主要物料为煤炭且本项目</w:t>
            </w:r>
            <w:r>
              <w:rPr>
                <w:rFonts w:hint="default" w:ascii="Times New Roman" w:hAnsi="Times New Roman" w:eastAsia="宋体" w:cs="Times New Roman"/>
                <w:color w:val="auto"/>
                <w:kern w:val="44"/>
                <w:sz w:val="24"/>
                <w:lang w:val="en-US" w:eastAsia="zh-CN"/>
              </w:rPr>
              <w:t>厂区</w:t>
            </w:r>
            <w:r>
              <w:rPr>
                <w:rFonts w:hint="eastAsia" w:ascii="Times New Roman" w:hAnsi="Times New Roman" w:eastAsia="宋体" w:cs="Times New Roman"/>
                <w:color w:val="auto"/>
                <w:kern w:val="44"/>
                <w:sz w:val="24"/>
                <w:lang w:val="en-US" w:eastAsia="zh-CN"/>
              </w:rPr>
              <w:t>会</w:t>
            </w:r>
            <w:r>
              <w:rPr>
                <w:rFonts w:hint="default" w:ascii="Times New Roman" w:hAnsi="Times New Roman" w:eastAsia="宋体" w:cs="Times New Roman"/>
                <w:color w:val="auto"/>
                <w:kern w:val="44"/>
                <w:sz w:val="24"/>
                <w:lang w:val="en-US" w:eastAsia="zh-CN"/>
              </w:rPr>
              <w:t>全部硬化，不存在污染途径，故不进行土壤和地下水质量现状评价。</w:t>
            </w:r>
          </w:p>
        </w:tc>
      </w:tr>
      <w:tr w14:paraId="59C21A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14:paraId="781C315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7CC4F09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15FA5E3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noWrap w:val="0"/>
            <w:vAlign w:val="center"/>
          </w:tcPr>
          <w:p w14:paraId="4306AA6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主要环境保护目标（列出名单及保护级别）</w:t>
            </w:r>
          </w:p>
          <w:p w14:paraId="2A9A240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1.</w:t>
            </w:r>
            <w:r>
              <w:rPr>
                <w:rFonts w:hint="default" w:ascii="Times New Roman" w:hAnsi="Times New Roman" w:eastAsia="宋体" w:cs="Times New Roman"/>
                <w:color w:val="auto"/>
                <w:sz w:val="24"/>
                <w:szCs w:val="24"/>
              </w:rPr>
              <w:t>大气环境：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厂界外500米范围内存在居住区</w:t>
            </w:r>
            <w:r>
              <w:rPr>
                <w:rFonts w:hint="default" w:ascii="Times New Roman" w:hAnsi="Times New Roman" w:eastAsia="宋体" w:cs="Times New Roman"/>
                <w:color w:val="auto"/>
                <w:sz w:val="24"/>
                <w:szCs w:val="24"/>
                <w:lang w:eastAsia="zh-CN"/>
              </w:rPr>
              <w:t>、学校</w:t>
            </w:r>
            <w:r>
              <w:rPr>
                <w:rFonts w:hint="default" w:ascii="Times New Roman" w:hAnsi="Times New Roman" w:eastAsia="宋体" w:cs="Times New Roman"/>
                <w:color w:val="auto"/>
                <w:sz w:val="24"/>
                <w:szCs w:val="24"/>
              </w:rPr>
              <w:t>等保护目标。</w:t>
            </w:r>
          </w:p>
          <w:p w14:paraId="6C2F20F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2.</w:t>
            </w:r>
            <w:r>
              <w:rPr>
                <w:rFonts w:hint="default" w:ascii="Times New Roman" w:hAnsi="Times New Roman" w:eastAsia="宋体" w:cs="Times New Roman"/>
                <w:color w:val="auto"/>
                <w:sz w:val="24"/>
                <w:szCs w:val="24"/>
              </w:rPr>
              <w:t>声环境：</w:t>
            </w: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rPr>
              <w:t>厂界外50m范围内</w:t>
            </w:r>
            <w:r>
              <w:rPr>
                <w:rFonts w:hint="eastAsia" w:cs="Times New Roman"/>
                <w:color w:val="auto"/>
                <w:sz w:val="24"/>
                <w:szCs w:val="24"/>
                <w:lang w:val="en-US" w:eastAsia="zh-CN"/>
              </w:rPr>
              <w:t>无</w:t>
            </w:r>
            <w:r>
              <w:rPr>
                <w:rFonts w:hint="default" w:ascii="Times New Roman" w:hAnsi="Times New Roman" w:eastAsia="宋体" w:cs="Times New Roman"/>
                <w:color w:val="auto"/>
                <w:sz w:val="24"/>
                <w:szCs w:val="24"/>
              </w:rPr>
              <w:t>声环境保护目标。</w:t>
            </w:r>
          </w:p>
          <w:p w14:paraId="2C394E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3.</w:t>
            </w:r>
            <w:r>
              <w:rPr>
                <w:rFonts w:hint="default" w:ascii="Times New Roman" w:hAnsi="Times New Roman" w:eastAsia="宋体" w:cs="Times New Roman"/>
                <w:color w:val="auto"/>
                <w:sz w:val="24"/>
                <w:szCs w:val="24"/>
                <w:lang w:val="en-US" w:eastAsia="zh-CN"/>
              </w:rPr>
              <w:t>电磁辐射：本项目不属于新建或扩建广播电台、差转台、电视塔台、卫星地球上行站、雷达等电磁辐射类项目，无需对电磁辐射现状开展监测与评价。</w:t>
            </w:r>
          </w:p>
          <w:p w14:paraId="4393E0B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eastAsia="zh-CN"/>
              </w:rPr>
            </w:pPr>
            <w:r>
              <w:rPr>
                <w:rFonts w:hint="eastAsia" w:cs="Times New Roman"/>
                <w:color w:val="auto"/>
                <w:sz w:val="24"/>
                <w:szCs w:val="24"/>
                <w:lang w:val="en-US" w:eastAsia="zh-CN"/>
              </w:rPr>
              <w:t>4.</w:t>
            </w:r>
            <w:r>
              <w:rPr>
                <w:rFonts w:hint="default" w:ascii="Times New Roman" w:hAnsi="Times New Roman" w:eastAsia="宋体" w:cs="Times New Roman"/>
                <w:color w:val="auto"/>
                <w:sz w:val="24"/>
                <w:szCs w:val="24"/>
              </w:rPr>
              <w:t>地下水</w:t>
            </w:r>
            <w:r>
              <w:rPr>
                <w:rFonts w:hint="default"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本项目</w:t>
            </w:r>
            <w:r>
              <w:rPr>
                <w:rFonts w:hint="eastAsia" w:cs="Times New Roman"/>
                <w:color w:val="auto"/>
                <w:sz w:val="24"/>
                <w:szCs w:val="24"/>
                <w:lang w:val="en-US" w:eastAsia="zh-CN"/>
              </w:rPr>
              <w:t>厂区会</w:t>
            </w:r>
            <w:r>
              <w:rPr>
                <w:rFonts w:hint="default" w:ascii="Times New Roman" w:hAnsi="Times New Roman" w:eastAsia="宋体" w:cs="Times New Roman"/>
                <w:color w:val="auto"/>
                <w:sz w:val="24"/>
                <w:szCs w:val="24"/>
                <w:lang w:eastAsia="zh-CN"/>
              </w:rPr>
              <w:t>进行混凝土硬化，且周边</w:t>
            </w:r>
            <w:r>
              <w:rPr>
                <w:rFonts w:hint="default" w:ascii="Times New Roman" w:hAnsi="Times New Roman" w:eastAsia="宋体" w:cs="Times New Roman"/>
                <w:color w:val="auto"/>
                <w:sz w:val="24"/>
                <w:szCs w:val="24"/>
              </w:rPr>
              <w:t>无地下水集中式饮用水水源和热水、矿泉水、温泉等特殊地下水资源。</w:t>
            </w:r>
          </w:p>
          <w:p w14:paraId="5165C8F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rPr>
            </w:pP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生态环境：本项目</w:t>
            </w:r>
            <w:r>
              <w:rPr>
                <w:rFonts w:hint="default" w:ascii="Times New Roman" w:hAnsi="Times New Roman" w:eastAsia="宋体" w:cs="Times New Roman"/>
                <w:color w:val="auto"/>
                <w:sz w:val="24"/>
                <w:szCs w:val="24"/>
                <w:lang w:eastAsia="zh-CN"/>
              </w:rPr>
              <w:t>位于陈仓区</w:t>
            </w:r>
            <w:r>
              <w:rPr>
                <w:rFonts w:hint="eastAsia" w:cs="Times New Roman"/>
                <w:color w:val="auto"/>
                <w:sz w:val="24"/>
                <w:szCs w:val="24"/>
                <w:lang w:val="en-US" w:eastAsia="zh-CN"/>
              </w:rPr>
              <w:t>张家崖村</w:t>
            </w:r>
            <w:r>
              <w:rPr>
                <w:rFonts w:hint="default" w:ascii="Times New Roman" w:hAnsi="Times New Roman" w:eastAsia="宋体" w:cs="Times New Roman"/>
                <w:color w:val="auto"/>
                <w:sz w:val="24"/>
                <w:szCs w:val="24"/>
                <w:lang w:eastAsia="zh-CN"/>
              </w:rPr>
              <w:t>，不</w:t>
            </w:r>
            <w:r>
              <w:rPr>
                <w:rFonts w:hint="eastAsia" w:cs="Times New Roman"/>
                <w:color w:val="auto"/>
                <w:sz w:val="24"/>
                <w:szCs w:val="24"/>
                <w:lang w:eastAsia="zh-CN"/>
              </w:rPr>
              <w:t>含</w:t>
            </w:r>
            <w:r>
              <w:rPr>
                <w:rFonts w:hint="default" w:ascii="Times New Roman" w:hAnsi="Times New Roman" w:eastAsia="宋体" w:cs="Times New Roman"/>
                <w:color w:val="auto"/>
                <w:sz w:val="24"/>
                <w:szCs w:val="24"/>
              </w:rPr>
              <w:t>生态环境保护目标。</w:t>
            </w:r>
          </w:p>
          <w:p w14:paraId="5FE9B4C8">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 xml:space="preserve">  环境保护目标情况</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659"/>
              <w:gridCol w:w="1014"/>
              <w:gridCol w:w="630"/>
              <w:gridCol w:w="1930"/>
              <w:gridCol w:w="1104"/>
              <w:gridCol w:w="584"/>
              <w:gridCol w:w="890"/>
            </w:tblGrid>
            <w:tr w14:paraId="20906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noWrap w:val="0"/>
                  <w:vAlign w:val="center"/>
                </w:tcPr>
                <w:p w14:paraId="0BE9266D">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环境要素</w:t>
                  </w:r>
                </w:p>
              </w:tc>
              <w:tc>
                <w:tcPr>
                  <w:tcW w:w="1659" w:type="dxa"/>
                  <w:noWrap w:val="0"/>
                  <w:vAlign w:val="center"/>
                </w:tcPr>
                <w:p w14:paraId="007D31E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坐标（度）</w:t>
                  </w:r>
                </w:p>
              </w:tc>
              <w:tc>
                <w:tcPr>
                  <w:tcW w:w="1014" w:type="dxa"/>
                  <w:noWrap w:val="0"/>
                  <w:vAlign w:val="center"/>
                </w:tcPr>
                <w:p w14:paraId="431AC35B">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保护对象</w:t>
                  </w:r>
                </w:p>
              </w:tc>
              <w:tc>
                <w:tcPr>
                  <w:tcW w:w="630" w:type="dxa"/>
                  <w:noWrap w:val="0"/>
                  <w:vAlign w:val="center"/>
                </w:tcPr>
                <w:p w14:paraId="36C282B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保护内容</w:t>
                  </w:r>
                </w:p>
              </w:tc>
              <w:tc>
                <w:tcPr>
                  <w:tcW w:w="1930" w:type="dxa"/>
                  <w:noWrap w:val="0"/>
                  <w:vAlign w:val="center"/>
                </w:tcPr>
                <w:p w14:paraId="2161256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环境功能区</w:t>
                  </w:r>
                </w:p>
              </w:tc>
              <w:tc>
                <w:tcPr>
                  <w:tcW w:w="1104" w:type="dxa"/>
                  <w:noWrap w:val="0"/>
                  <w:vAlign w:val="center"/>
                </w:tcPr>
                <w:p w14:paraId="4D4036C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规模</w:t>
                  </w:r>
                </w:p>
              </w:tc>
              <w:tc>
                <w:tcPr>
                  <w:tcW w:w="584" w:type="dxa"/>
                  <w:noWrap w:val="0"/>
                  <w:vAlign w:val="center"/>
                </w:tcPr>
                <w:p w14:paraId="2A74EB51">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方位</w:t>
                  </w:r>
                </w:p>
              </w:tc>
              <w:tc>
                <w:tcPr>
                  <w:tcW w:w="890" w:type="dxa"/>
                  <w:noWrap w:val="0"/>
                  <w:vAlign w:val="center"/>
                </w:tcPr>
                <w:p w14:paraId="2E9C7470">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相对厂界距离（m）</w:t>
                  </w:r>
                </w:p>
              </w:tc>
            </w:tr>
            <w:tr w14:paraId="295D8C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noWrap w:val="0"/>
                  <w:vAlign w:val="center"/>
                </w:tcPr>
                <w:p w14:paraId="0684F8CB">
                  <w:pPr>
                    <w:autoSpaceDE w:val="0"/>
                    <w:autoSpaceDN w:val="0"/>
                    <w:jc w:val="center"/>
                    <w:rPr>
                      <w:rFonts w:hint="eastAsia"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声环境</w:t>
                  </w:r>
                </w:p>
              </w:tc>
              <w:tc>
                <w:tcPr>
                  <w:tcW w:w="1659" w:type="dxa"/>
                  <w:noWrap w:val="0"/>
                  <w:vAlign w:val="center"/>
                </w:tcPr>
                <w:p w14:paraId="48440312">
                  <w:pPr>
                    <w:autoSpaceDE w:val="0"/>
                    <w:autoSpaceDN w:val="0"/>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107.292438°</w:t>
                  </w:r>
                </w:p>
                <w:p w14:paraId="1500E3DD">
                  <w:pPr>
                    <w:autoSpaceDE w:val="0"/>
                    <w:autoSpaceDN w:val="0"/>
                    <w:jc w:val="center"/>
                    <w:rPr>
                      <w:rFonts w:hint="eastAsia" w:ascii="Times New Roman" w:hAnsi="Times New Roman" w:eastAsia="宋体" w:cs="Times New Roman"/>
                      <w:b w:val="0"/>
                      <w:bCs w:val="0"/>
                      <w:color w:val="auto"/>
                      <w:kern w:val="0"/>
                      <w:szCs w:val="21"/>
                      <w:lang w:eastAsia="zh-CN"/>
                    </w:rPr>
                  </w:pPr>
                  <w:r>
                    <w:rPr>
                      <w:rFonts w:hint="eastAsia" w:cs="Times New Roman"/>
                      <w:b w:val="0"/>
                      <w:bCs w:val="0"/>
                      <w:color w:val="auto"/>
                      <w:kern w:val="0"/>
                      <w:szCs w:val="21"/>
                      <w:lang w:eastAsia="zh-CN"/>
                    </w:rPr>
                    <w:t>34.403351°</w:t>
                  </w:r>
                </w:p>
              </w:tc>
              <w:tc>
                <w:tcPr>
                  <w:tcW w:w="1014" w:type="dxa"/>
                  <w:noWrap w:val="0"/>
                  <w:vAlign w:val="center"/>
                </w:tcPr>
                <w:p w14:paraId="0FC1F6F5">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张家崖6组</w:t>
                  </w:r>
                </w:p>
              </w:tc>
              <w:tc>
                <w:tcPr>
                  <w:tcW w:w="630" w:type="dxa"/>
                  <w:vMerge w:val="restart"/>
                  <w:noWrap w:val="0"/>
                  <w:vAlign w:val="center"/>
                </w:tcPr>
                <w:p w14:paraId="41D38583">
                  <w:pPr>
                    <w:pStyle w:val="165"/>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人群健康</w:t>
                  </w:r>
                </w:p>
              </w:tc>
              <w:tc>
                <w:tcPr>
                  <w:tcW w:w="1930" w:type="dxa"/>
                  <w:noWrap w:val="0"/>
                  <w:vAlign w:val="center"/>
                </w:tcPr>
                <w:p w14:paraId="342DD89B">
                  <w:pPr>
                    <w:autoSpaceDE w:val="0"/>
                    <w:autoSpaceDN w:val="0"/>
                    <w:jc w:val="center"/>
                    <w:rPr>
                      <w:rFonts w:hint="default" w:ascii="Times New Roman" w:hAnsi="Times New Roman" w:cs="Times New Roman"/>
                      <w:b w:val="0"/>
                      <w:bCs w:val="0"/>
                      <w:color w:val="auto"/>
                      <w:kern w:val="0"/>
                      <w:szCs w:val="21"/>
                    </w:rPr>
                  </w:pPr>
                  <w:r>
                    <w:rPr>
                      <w:rFonts w:hint="eastAsia" w:ascii="Times New Roman" w:hAnsi="Times New Roman" w:cs="Times New Roman"/>
                      <w:b w:val="0"/>
                      <w:bCs w:val="0"/>
                      <w:color w:val="auto"/>
                      <w:szCs w:val="21"/>
                      <w:lang w:eastAsia="zh-CN"/>
                    </w:rPr>
                    <w:t>《</w:t>
                  </w:r>
                  <w:r>
                    <w:rPr>
                      <w:rFonts w:hint="eastAsia" w:ascii="Times New Roman" w:hAnsi="Times New Roman" w:cs="Times New Roman"/>
                      <w:b w:val="0"/>
                      <w:bCs w:val="0"/>
                      <w:color w:val="auto"/>
                      <w:szCs w:val="21"/>
                      <w:lang w:val="en-US" w:eastAsia="zh-CN"/>
                    </w:rPr>
                    <w:t>声环境质量标准</w:t>
                  </w:r>
                  <w:r>
                    <w:rPr>
                      <w:rFonts w:hint="eastAsia" w:ascii="Times New Roman" w:hAnsi="Times New Roman" w:cs="Times New Roman"/>
                      <w:b w:val="0"/>
                      <w:bCs w:val="0"/>
                      <w:color w:val="auto"/>
                      <w:szCs w:val="21"/>
                      <w:lang w:eastAsia="zh-CN"/>
                    </w:rPr>
                    <w:t>》（</w:t>
                  </w:r>
                  <w:r>
                    <w:rPr>
                      <w:rFonts w:hint="eastAsia" w:ascii="Times New Roman" w:hAnsi="Times New Roman" w:cs="Times New Roman"/>
                      <w:b w:val="0"/>
                      <w:bCs w:val="0"/>
                      <w:color w:val="auto"/>
                      <w:szCs w:val="21"/>
                      <w:lang w:val="en-US" w:eastAsia="zh-CN"/>
                    </w:rPr>
                    <w:t>GB3096-2008</w:t>
                  </w:r>
                  <w:r>
                    <w:rPr>
                      <w:rFonts w:hint="eastAsia" w:ascii="Times New Roman" w:hAnsi="Times New Roman" w:cs="Times New Roman"/>
                      <w:b w:val="0"/>
                      <w:bCs w:val="0"/>
                      <w:color w:val="auto"/>
                      <w:szCs w:val="21"/>
                      <w:lang w:eastAsia="zh-CN"/>
                    </w:rPr>
                    <w:t>）</w:t>
                  </w:r>
                </w:p>
              </w:tc>
              <w:tc>
                <w:tcPr>
                  <w:tcW w:w="1104" w:type="dxa"/>
                  <w:noWrap w:val="0"/>
                  <w:vAlign w:val="center"/>
                </w:tcPr>
                <w:p w14:paraId="4384647D">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135人</w:t>
                  </w:r>
                </w:p>
              </w:tc>
              <w:tc>
                <w:tcPr>
                  <w:tcW w:w="584" w:type="dxa"/>
                  <w:noWrap w:val="0"/>
                  <w:vAlign w:val="center"/>
                </w:tcPr>
                <w:p w14:paraId="66CB697D">
                  <w:pPr>
                    <w:autoSpaceDE w:val="0"/>
                    <w:autoSpaceDN w:val="0"/>
                    <w:jc w:val="center"/>
                    <w:rPr>
                      <w:rFonts w:hint="default" w:ascii="Times New Roman" w:hAnsi="Times New Roman" w:cs="Times New Roman"/>
                      <w:b w:val="0"/>
                      <w:bCs w:val="0"/>
                      <w:color w:val="auto"/>
                      <w:kern w:val="0"/>
                      <w:szCs w:val="21"/>
                    </w:rPr>
                  </w:pPr>
                  <w:r>
                    <w:rPr>
                      <w:rFonts w:hint="eastAsia" w:ascii="Times New Roman" w:hAnsi="Times New Roman" w:cs="Times New Roman"/>
                      <w:b w:val="0"/>
                      <w:bCs w:val="0"/>
                      <w:color w:val="auto"/>
                      <w:szCs w:val="21"/>
                      <w:lang w:val="en-US" w:eastAsia="zh-CN"/>
                    </w:rPr>
                    <w:t>东北</w:t>
                  </w:r>
                </w:p>
              </w:tc>
              <w:tc>
                <w:tcPr>
                  <w:tcW w:w="890" w:type="dxa"/>
                  <w:noWrap w:val="0"/>
                  <w:vAlign w:val="center"/>
                </w:tcPr>
                <w:p w14:paraId="0B4E42FE">
                  <w:pPr>
                    <w:autoSpaceDE w:val="0"/>
                    <w:autoSpaceDN w:val="0"/>
                    <w:jc w:val="center"/>
                    <w:rPr>
                      <w:rFonts w:hint="default" w:ascii="Times New Roman" w:hAnsi="Times New Roman" w:eastAsia="宋体" w:cs="Times New Roman"/>
                      <w:b w:val="0"/>
                      <w:bCs w:val="0"/>
                      <w:color w:val="auto"/>
                      <w:kern w:val="0"/>
                      <w:szCs w:val="21"/>
                      <w:lang w:val="en-US" w:eastAsia="zh-CN"/>
                    </w:rPr>
                  </w:pPr>
                  <w:r>
                    <w:rPr>
                      <w:rFonts w:hint="eastAsia" w:cs="Times New Roman"/>
                      <w:b w:val="0"/>
                      <w:bCs w:val="0"/>
                      <w:color w:val="auto"/>
                      <w:kern w:val="0"/>
                      <w:szCs w:val="21"/>
                      <w:lang w:val="en-US" w:eastAsia="zh-CN"/>
                    </w:rPr>
                    <w:t>23</w:t>
                  </w:r>
                </w:p>
              </w:tc>
            </w:tr>
            <w:tr w14:paraId="1A7D6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restart"/>
                  <w:noWrap w:val="0"/>
                  <w:vAlign w:val="center"/>
                </w:tcPr>
                <w:p w14:paraId="6711B279">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环境空气</w:t>
                  </w:r>
                </w:p>
              </w:tc>
              <w:tc>
                <w:tcPr>
                  <w:tcW w:w="1659" w:type="dxa"/>
                  <w:noWrap w:val="0"/>
                  <w:vAlign w:val="center"/>
                </w:tcPr>
                <w:p w14:paraId="1DEDB32A">
                  <w:pPr>
                    <w:autoSpaceDE w:val="0"/>
                    <w:autoSpaceDN w:val="0"/>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107.294347°</w:t>
                  </w:r>
                </w:p>
                <w:p w14:paraId="4E573075">
                  <w:pPr>
                    <w:autoSpaceDE w:val="0"/>
                    <w:autoSpaceDN w:val="0"/>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34.404112°</w:t>
                  </w:r>
                </w:p>
              </w:tc>
              <w:tc>
                <w:tcPr>
                  <w:tcW w:w="1014" w:type="dxa"/>
                  <w:noWrap w:val="0"/>
                  <w:vAlign w:val="center"/>
                </w:tcPr>
                <w:p w14:paraId="5C9F3815">
                  <w:pPr>
                    <w:autoSpaceDE w:val="0"/>
                    <w:autoSpaceDN w:val="0"/>
                    <w:jc w:val="center"/>
                    <w:rPr>
                      <w:rFonts w:hint="default" w:ascii="Times New Roman" w:hAnsi="Times New Roman" w:cs="Times New Roman"/>
                      <w:b w:val="0"/>
                      <w:bCs w:val="0"/>
                      <w:color w:val="auto"/>
                      <w:kern w:val="0"/>
                      <w:szCs w:val="21"/>
                      <w:lang w:val="en-US" w:eastAsia="zh-CN"/>
                    </w:rPr>
                  </w:pPr>
                  <w:r>
                    <w:rPr>
                      <w:rFonts w:hint="eastAsia" w:ascii="Times New Roman" w:hAnsi="Times New Roman" w:cs="Times New Roman"/>
                      <w:b w:val="0"/>
                      <w:bCs w:val="0"/>
                      <w:color w:val="auto"/>
                      <w:kern w:val="0"/>
                      <w:szCs w:val="21"/>
                      <w:lang w:val="en-US" w:eastAsia="zh-CN"/>
                    </w:rPr>
                    <w:t>张家崖</w:t>
                  </w:r>
                </w:p>
              </w:tc>
              <w:tc>
                <w:tcPr>
                  <w:tcW w:w="630" w:type="dxa"/>
                  <w:vMerge w:val="continue"/>
                  <w:noWrap w:val="0"/>
                  <w:vAlign w:val="center"/>
                </w:tcPr>
                <w:p w14:paraId="323F1EFE">
                  <w:pPr>
                    <w:pStyle w:val="165"/>
                    <w:rPr>
                      <w:rFonts w:hint="default" w:ascii="Times New Roman" w:hAnsi="Times New Roman" w:cs="Times New Roman"/>
                      <w:b w:val="0"/>
                      <w:bCs w:val="0"/>
                      <w:color w:val="auto"/>
                      <w:szCs w:val="21"/>
                    </w:rPr>
                  </w:pPr>
                </w:p>
              </w:tc>
              <w:tc>
                <w:tcPr>
                  <w:tcW w:w="1930" w:type="dxa"/>
                  <w:noWrap w:val="0"/>
                  <w:vAlign w:val="center"/>
                </w:tcPr>
                <w:p w14:paraId="071132BA">
                  <w:pPr>
                    <w:autoSpaceDE w:val="0"/>
                    <w:autoSpaceDN w:val="0"/>
                    <w:jc w:val="center"/>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Cs w:val="21"/>
                    </w:rPr>
                    <w:t>《环境空气质量标准》（GB3095-2012）二级标准</w:t>
                  </w:r>
                </w:p>
              </w:tc>
              <w:tc>
                <w:tcPr>
                  <w:tcW w:w="1104" w:type="dxa"/>
                  <w:noWrap w:val="0"/>
                  <w:vAlign w:val="center"/>
                </w:tcPr>
                <w:p w14:paraId="59A8316A">
                  <w:pPr>
                    <w:pStyle w:val="165"/>
                    <w:rPr>
                      <w:rFonts w:hint="default" w:ascii="Times New Roman" w:hAnsi="Times New Roman" w:cs="Times New Roman"/>
                      <w:b w:val="0"/>
                      <w:bCs w:val="0"/>
                      <w:color w:val="auto"/>
                      <w:szCs w:val="21"/>
                    </w:rPr>
                  </w:pPr>
                  <w:r>
                    <w:rPr>
                      <w:rFonts w:hint="eastAsia" w:ascii="Times New Roman" w:hAnsi="Times New Roman" w:cs="Times New Roman"/>
                      <w:b w:val="0"/>
                      <w:bCs w:val="0"/>
                      <w:color w:val="auto"/>
                      <w:szCs w:val="21"/>
                      <w:lang w:val="en-US" w:eastAsia="zh-CN"/>
                    </w:rPr>
                    <w:t>1050</w:t>
                  </w:r>
                  <w:r>
                    <w:rPr>
                      <w:rFonts w:hint="default" w:ascii="Times New Roman" w:hAnsi="Times New Roman" w:cs="Times New Roman"/>
                      <w:b w:val="0"/>
                      <w:bCs w:val="0"/>
                      <w:color w:val="auto"/>
                      <w:szCs w:val="21"/>
                    </w:rPr>
                    <w:t>人</w:t>
                  </w:r>
                </w:p>
              </w:tc>
              <w:tc>
                <w:tcPr>
                  <w:tcW w:w="584" w:type="dxa"/>
                  <w:noWrap w:val="0"/>
                  <w:vAlign w:val="center"/>
                </w:tcPr>
                <w:p w14:paraId="14C7F01D">
                  <w:pPr>
                    <w:pStyle w:val="165"/>
                    <w:rPr>
                      <w:rFonts w:hint="default" w:ascii="Times New Roman" w:hAnsi="Times New Roman" w:eastAsia="宋体" w:cs="Times New Roman"/>
                      <w:b w:val="0"/>
                      <w:bCs w:val="0"/>
                      <w:color w:val="auto"/>
                      <w:szCs w:val="21"/>
                      <w:lang w:eastAsia="zh-CN"/>
                    </w:rPr>
                  </w:pPr>
                  <w:r>
                    <w:rPr>
                      <w:rFonts w:hint="eastAsia" w:ascii="Times New Roman" w:hAnsi="Times New Roman" w:cs="Times New Roman"/>
                      <w:b w:val="0"/>
                      <w:bCs w:val="0"/>
                      <w:color w:val="auto"/>
                      <w:szCs w:val="21"/>
                      <w:lang w:val="en-US" w:eastAsia="zh-CN"/>
                    </w:rPr>
                    <w:t>东北</w:t>
                  </w:r>
                </w:p>
              </w:tc>
              <w:tc>
                <w:tcPr>
                  <w:tcW w:w="890" w:type="dxa"/>
                  <w:noWrap w:val="0"/>
                  <w:vAlign w:val="center"/>
                </w:tcPr>
                <w:p w14:paraId="3DDA431D">
                  <w:pPr>
                    <w:pStyle w:val="165"/>
                    <w:rPr>
                      <w:rFonts w:hint="default" w:ascii="Times New Roman" w:hAnsi="Times New Roman" w:eastAsia="宋体" w:cs="Times New Roman"/>
                      <w:b w:val="0"/>
                      <w:bCs w:val="0"/>
                      <w:color w:val="auto"/>
                      <w:szCs w:val="21"/>
                      <w:lang w:val="en-US" w:eastAsia="zh-CN"/>
                    </w:rPr>
                  </w:pPr>
                  <w:r>
                    <w:rPr>
                      <w:rFonts w:hint="eastAsia" w:ascii="Times New Roman" w:hAnsi="Times New Roman" w:cs="Times New Roman"/>
                      <w:b w:val="0"/>
                      <w:bCs w:val="0"/>
                      <w:color w:val="auto"/>
                      <w:szCs w:val="21"/>
                      <w:lang w:val="en-US" w:eastAsia="zh-CN"/>
                    </w:rPr>
                    <w:t>138</w:t>
                  </w:r>
                </w:p>
              </w:tc>
            </w:tr>
            <w:tr w14:paraId="41F13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noWrap w:val="0"/>
                  <w:vAlign w:val="center"/>
                </w:tcPr>
                <w:p w14:paraId="324EDFB0">
                  <w:pPr>
                    <w:autoSpaceDE w:val="0"/>
                    <w:autoSpaceDN w:val="0"/>
                    <w:jc w:val="center"/>
                    <w:rPr>
                      <w:rFonts w:hint="default" w:ascii="Times New Roman" w:hAnsi="Times New Roman" w:cs="Times New Roman"/>
                      <w:color w:val="auto"/>
                      <w:szCs w:val="21"/>
                    </w:rPr>
                  </w:pPr>
                </w:p>
              </w:tc>
              <w:tc>
                <w:tcPr>
                  <w:tcW w:w="1659" w:type="dxa"/>
                  <w:shd w:val="clear" w:color="auto" w:fill="auto"/>
                  <w:noWrap w:val="0"/>
                  <w:vAlign w:val="center"/>
                </w:tcPr>
                <w:p w14:paraId="0806E36B">
                  <w:pPr>
                    <w:autoSpaceDE w:val="0"/>
                    <w:autoSpaceDN w:val="0"/>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107.292438°</w:t>
                  </w:r>
                </w:p>
                <w:p w14:paraId="49A675A7">
                  <w:pPr>
                    <w:autoSpaceDE w:val="0"/>
                    <w:autoSpaceDN w:val="0"/>
                    <w:jc w:val="center"/>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Cs w:val="21"/>
                      <w:lang w:eastAsia="zh-CN"/>
                    </w:rPr>
                    <w:t>34.403351°</w:t>
                  </w:r>
                </w:p>
              </w:tc>
              <w:tc>
                <w:tcPr>
                  <w:tcW w:w="1014" w:type="dxa"/>
                  <w:shd w:val="clear" w:color="auto" w:fill="auto"/>
                  <w:noWrap w:val="0"/>
                  <w:vAlign w:val="center"/>
                </w:tcPr>
                <w:p w14:paraId="3B9FBE40">
                  <w:pPr>
                    <w:autoSpaceDE w:val="0"/>
                    <w:autoSpaceDN w:val="0"/>
                    <w:jc w:val="center"/>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Cs w:val="21"/>
                      <w:lang w:val="en-US" w:eastAsia="zh-CN"/>
                    </w:rPr>
                    <w:t>张家崖6组</w:t>
                  </w:r>
                </w:p>
              </w:tc>
              <w:tc>
                <w:tcPr>
                  <w:tcW w:w="630" w:type="dxa"/>
                  <w:vMerge w:val="continue"/>
                  <w:noWrap w:val="0"/>
                  <w:vAlign w:val="center"/>
                </w:tcPr>
                <w:p w14:paraId="4EC0C1E1">
                  <w:pPr>
                    <w:pStyle w:val="165"/>
                    <w:rPr>
                      <w:rFonts w:hint="default" w:ascii="Times New Roman" w:hAnsi="Times New Roman" w:cs="Times New Roman"/>
                      <w:color w:val="auto"/>
                      <w:szCs w:val="21"/>
                    </w:rPr>
                  </w:pPr>
                </w:p>
              </w:tc>
              <w:tc>
                <w:tcPr>
                  <w:tcW w:w="1930" w:type="dxa"/>
                  <w:shd w:val="clear" w:color="auto" w:fill="auto"/>
                  <w:noWrap w:val="0"/>
                  <w:vAlign w:val="center"/>
                </w:tcPr>
                <w:p w14:paraId="6084953D">
                  <w:pPr>
                    <w:autoSpaceDE w:val="0"/>
                    <w:autoSpaceDN w:val="0"/>
                    <w:jc w:val="center"/>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Cs w:val="21"/>
                      <w:lang w:eastAsia="zh-CN"/>
                    </w:rPr>
                    <w:t>《</w:t>
                  </w:r>
                  <w:r>
                    <w:rPr>
                      <w:rFonts w:hint="eastAsia" w:ascii="Times New Roman" w:hAnsi="Times New Roman" w:cs="Times New Roman"/>
                      <w:b w:val="0"/>
                      <w:bCs w:val="0"/>
                      <w:color w:val="auto"/>
                      <w:szCs w:val="21"/>
                      <w:lang w:val="en-US" w:eastAsia="zh-CN"/>
                    </w:rPr>
                    <w:t>声环境质量标准</w:t>
                  </w:r>
                  <w:r>
                    <w:rPr>
                      <w:rFonts w:hint="eastAsia" w:ascii="Times New Roman" w:hAnsi="Times New Roman" w:cs="Times New Roman"/>
                      <w:b w:val="0"/>
                      <w:bCs w:val="0"/>
                      <w:color w:val="auto"/>
                      <w:szCs w:val="21"/>
                      <w:lang w:eastAsia="zh-CN"/>
                    </w:rPr>
                    <w:t>》（</w:t>
                  </w:r>
                  <w:r>
                    <w:rPr>
                      <w:rFonts w:hint="eastAsia" w:ascii="Times New Roman" w:hAnsi="Times New Roman" w:cs="Times New Roman"/>
                      <w:b w:val="0"/>
                      <w:bCs w:val="0"/>
                      <w:color w:val="auto"/>
                      <w:szCs w:val="21"/>
                      <w:lang w:val="en-US" w:eastAsia="zh-CN"/>
                    </w:rPr>
                    <w:t>GB3096-2008</w:t>
                  </w:r>
                  <w:r>
                    <w:rPr>
                      <w:rFonts w:hint="eastAsia" w:ascii="Times New Roman" w:hAnsi="Times New Roman" w:cs="Times New Roman"/>
                      <w:b w:val="0"/>
                      <w:bCs w:val="0"/>
                      <w:color w:val="auto"/>
                      <w:szCs w:val="21"/>
                      <w:lang w:eastAsia="zh-CN"/>
                    </w:rPr>
                    <w:t>）</w:t>
                  </w:r>
                </w:p>
              </w:tc>
              <w:tc>
                <w:tcPr>
                  <w:tcW w:w="1104" w:type="dxa"/>
                  <w:shd w:val="clear" w:color="auto" w:fill="auto"/>
                  <w:noWrap w:val="0"/>
                  <w:vAlign w:val="center"/>
                </w:tcPr>
                <w:p w14:paraId="0B8480D8">
                  <w:pPr>
                    <w:autoSpaceDE w:val="0"/>
                    <w:autoSpaceDN w:val="0"/>
                    <w:jc w:val="center"/>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Cs w:val="21"/>
                      <w:lang w:val="en-US" w:eastAsia="zh-CN"/>
                    </w:rPr>
                    <w:t>135人</w:t>
                  </w:r>
                </w:p>
              </w:tc>
              <w:tc>
                <w:tcPr>
                  <w:tcW w:w="584" w:type="dxa"/>
                  <w:shd w:val="clear" w:color="auto" w:fill="auto"/>
                  <w:noWrap w:val="0"/>
                  <w:vAlign w:val="center"/>
                </w:tcPr>
                <w:p w14:paraId="09C23061">
                  <w:pPr>
                    <w:autoSpaceDE w:val="0"/>
                    <w:autoSpaceDN w:val="0"/>
                    <w:jc w:val="center"/>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cs="Times New Roman"/>
                      <w:b w:val="0"/>
                      <w:bCs w:val="0"/>
                      <w:color w:val="auto"/>
                      <w:szCs w:val="21"/>
                      <w:lang w:val="en-US" w:eastAsia="zh-CN"/>
                    </w:rPr>
                    <w:t>东北</w:t>
                  </w:r>
                </w:p>
              </w:tc>
              <w:tc>
                <w:tcPr>
                  <w:tcW w:w="890" w:type="dxa"/>
                  <w:shd w:val="clear" w:color="auto" w:fill="auto"/>
                  <w:noWrap w:val="0"/>
                  <w:vAlign w:val="center"/>
                </w:tcPr>
                <w:p w14:paraId="79E4A634">
                  <w:pPr>
                    <w:autoSpaceDE w:val="0"/>
                    <w:autoSpaceDN w:val="0"/>
                    <w:jc w:val="center"/>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Cs w:val="21"/>
                      <w:lang w:val="en-US" w:eastAsia="zh-CN"/>
                    </w:rPr>
                    <w:t>23</w:t>
                  </w:r>
                </w:p>
              </w:tc>
            </w:tr>
          </w:tbl>
          <w:p w14:paraId="6CF6E6FB">
            <w:pPr>
              <w:widowControl/>
              <w:adjustRightInd w:val="0"/>
              <w:snapToGrid w:val="0"/>
              <w:spacing w:line="360" w:lineRule="auto"/>
              <w:ind w:firstLine="482"/>
              <w:rPr>
                <w:rFonts w:hint="default" w:ascii="Times New Roman" w:hAnsi="Times New Roman" w:cs="Times New Roman"/>
                <w:color w:val="auto"/>
                <w:kern w:val="0"/>
                <w:szCs w:val="21"/>
              </w:rPr>
            </w:pPr>
          </w:p>
        </w:tc>
      </w:tr>
      <w:tr w14:paraId="32DA3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60C9ED6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5054595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0AEBEF6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4C42B9C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0EDEE03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noWrap w:val="0"/>
            <w:vAlign w:val="center"/>
          </w:tcPr>
          <w:p w14:paraId="4E3A693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噪声排放标准</w:t>
            </w:r>
          </w:p>
          <w:p w14:paraId="44D2496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bookmarkStart w:id="2" w:name="_Hlk41382489"/>
            <w:r>
              <w:rPr>
                <w:rFonts w:hint="default" w:ascii="Times New Roman" w:hAnsi="Times New Roman" w:eastAsia="宋体" w:cs="Times New Roman"/>
                <w:color w:val="auto"/>
                <w:sz w:val="24"/>
                <w:lang w:val="en-US" w:eastAsia="zh-CN"/>
              </w:rPr>
              <w:t>本项目所在地</w:t>
            </w:r>
            <w:r>
              <w:rPr>
                <w:rFonts w:hint="eastAsia" w:cs="Times New Roman"/>
                <w:color w:val="auto"/>
                <w:sz w:val="24"/>
                <w:lang w:val="en-US" w:eastAsia="zh-CN"/>
              </w:rPr>
              <w:t>属于2</w:t>
            </w:r>
            <w:r>
              <w:rPr>
                <w:rFonts w:hint="default" w:ascii="Times New Roman" w:hAnsi="Times New Roman" w:eastAsia="宋体" w:cs="Times New Roman"/>
                <w:color w:val="auto"/>
                <w:sz w:val="24"/>
                <w:lang w:val="en-US" w:eastAsia="zh-CN"/>
              </w:rPr>
              <w:t>类区</w:t>
            </w:r>
            <w:r>
              <w:rPr>
                <w:rFonts w:hint="eastAsia" w:ascii="Times New Roman" w:hAnsi="Times New Roman" w:eastAsia="宋体" w:cs="Times New Roman"/>
                <w:color w:val="auto"/>
                <w:sz w:val="24"/>
                <w:lang w:val="en-US" w:eastAsia="zh-CN"/>
              </w:rPr>
              <w:t>范围</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故</w:t>
            </w:r>
            <w:r>
              <w:rPr>
                <w:rFonts w:hint="default" w:ascii="Times New Roman" w:hAnsi="Times New Roman" w:eastAsia="宋体" w:cs="Times New Roman"/>
                <w:color w:val="auto"/>
                <w:sz w:val="24"/>
                <w:lang w:val="en-US" w:eastAsia="zh-CN"/>
              </w:rPr>
              <w:t>运</w:t>
            </w:r>
            <w:r>
              <w:rPr>
                <w:rFonts w:hint="default" w:ascii="Times New Roman" w:hAnsi="Times New Roman" w:cs="Times New Roman"/>
                <w:color w:val="auto"/>
                <w:sz w:val="24"/>
              </w:rPr>
              <w:t>营期</w:t>
            </w:r>
            <w:r>
              <w:rPr>
                <w:rFonts w:hint="eastAsia" w:ascii="Times New Roman" w:hAnsi="Times New Roman" w:cs="Times New Roman"/>
                <w:color w:val="auto"/>
                <w:sz w:val="24"/>
                <w:lang w:val="en-US" w:eastAsia="zh-CN"/>
              </w:rPr>
              <w:t>厂界</w:t>
            </w:r>
            <w:r>
              <w:rPr>
                <w:rFonts w:hint="eastAsia" w:ascii="Times New Roman" w:hAnsi="Times New Roman" w:cs="Times New Roman"/>
                <w:color w:val="auto"/>
                <w:sz w:val="24"/>
                <w:lang w:eastAsia="zh-CN"/>
              </w:rPr>
              <w:t>东、</w:t>
            </w:r>
            <w:r>
              <w:rPr>
                <w:rFonts w:hint="eastAsia" w:cs="Times New Roman"/>
                <w:color w:val="auto"/>
                <w:sz w:val="24"/>
                <w:lang w:val="en-US" w:eastAsia="zh-CN"/>
              </w:rPr>
              <w:t>北、南</w:t>
            </w:r>
            <w:r>
              <w:rPr>
                <w:rFonts w:hint="eastAsia" w:ascii="Times New Roman" w:hAnsi="Times New Roman" w:cs="Times New Roman"/>
                <w:color w:val="auto"/>
                <w:sz w:val="24"/>
                <w:lang w:eastAsia="zh-CN"/>
              </w:rPr>
              <w:t>侧</w:t>
            </w:r>
            <w:r>
              <w:rPr>
                <w:rFonts w:hint="default" w:ascii="Times New Roman" w:hAnsi="Times New Roman" w:cs="Times New Roman"/>
                <w:color w:val="auto"/>
                <w:sz w:val="24"/>
              </w:rPr>
              <w:t>噪声排放限值执行《工业企业厂界环境噪声排放标准》（GB12348-2008）</w:t>
            </w:r>
            <w:r>
              <w:rPr>
                <w:rFonts w:hint="eastAsia" w:cs="Times New Roman"/>
                <w:color w:val="auto"/>
                <w:sz w:val="24"/>
                <w:lang w:val="en-US" w:eastAsia="zh-CN"/>
              </w:rPr>
              <w:t>2</w:t>
            </w:r>
            <w:r>
              <w:rPr>
                <w:rFonts w:hint="default" w:ascii="Times New Roman" w:hAnsi="Times New Roman" w:cs="Times New Roman"/>
                <w:color w:val="auto"/>
                <w:sz w:val="24"/>
              </w:rPr>
              <w:t>类标准限值</w:t>
            </w:r>
            <w:bookmarkEnd w:id="2"/>
            <w:r>
              <w:rPr>
                <w:rFonts w:hint="eastAsia" w:cs="Times New Roman"/>
                <w:color w:val="auto"/>
                <w:sz w:val="24"/>
                <w:lang w:eastAsia="zh-CN"/>
              </w:rPr>
              <w:t>；</w:t>
            </w:r>
            <w:r>
              <w:rPr>
                <w:rFonts w:hint="eastAsia" w:cs="Times New Roman"/>
                <w:color w:val="auto"/>
                <w:sz w:val="24"/>
                <w:lang w:val="en-US" w:eastAsia="zh-CN"/>
              </w:rPr>
              <w:t>由于西侧</w:t>
            </w:r>
            <w:r>
              <w:rPr>
                <w:rFonts w:hint="eastAsia" w:ascii="Times New Roman" w:hAnsi="Times New Roman" w:cs="Times New Roman"/>
                <w:color w:val="auto"/>
                <w:sz w:val="24"/>
                <w:lang w:val="en-US" w:eastAsia="zh-CN"/>
              </w:rPr>
              <w:t>紧邻</w:t>
            </w:r>
            <w:r>
              <w:rPr>
                <w:rFonts w:hint="eastAsia" w:cs="Times New Roman"/>
                <w:color w:val="auto"/>
                <w:sz w:val="24"/>
                <w:lang w:val="en-US" w:eastAsia="zh-CN"/>
              </w:rPr>
              <w:t>铁路，西</w:t>
            </w:r>
            <w:r>
              <w:rPr>
                <w:rFonts w:hint="eastAsia" w:ascii="Times New Roman" w:hAnsi="Times New Roman" w:cs="Times New Roman"/>
                <w:color w:val="auto"/>
                <w:sz w:val="24"/>
                <w:lang w:val="en-US" w:eastAsia="zh-CN"/>
              </w:rPr>
              <w:t>侧</w:t>
            </w:r>
            <w:r>
              <w:rPr>
                <w:rFonts w:hint="default" w:ascii="Times New Roman" w:hAnsi="Times New Roman" w:cs="Times New Roman"/>
                <w:color w:val="auto"/>
                <w:sz w:val="24"/>
              </w:rPr>
              <w:t>噪声排放限值执行《工业企业厂界环境噪声排放标准》（GB12348-2008）</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类标准限值</w:t>
            </w:r>
            <w:r>
              <w:rPr>
                <w:rFonts w:hint="eastAsia" w:cs="Times New Roman"/>
                <w:color w:val="auto"/>
                <w:sz w:val="24"/>
                <w:lang w:eastAsia="zh-CN"/>
              </w:rPr>
              <w:t>，详见</w:t>
            </w:r>
            <w:r>
              <w:rPr>
                <w:rFonts w:hint="default" w:ascii="Times New Roman" w:hAnsi="Times New Roman" w:cs="Times New Roman"/>
                <w:color w:val="auto"/>
                <w:sz w:val="24"/>
              </w:rPr>
              <w:t>表3-</w:t>
            </w:r>
            <w:r>
              <w:rPr>
                <w:rFonts w:hint="eastAsia" w:cs="Times New Roman"/>
                <w:color w:val="auto"/>
                <w:sz w:val="24"/>
                <w:lang w:val="en-US" w:eastAsia="zh-CN"/>
              </w:rPr>
              <w:t>5</w:t>
            </w:r>
            <w:r>
              <w:rPr>
                <w:rFonts w:hint="default" w:ascii="Times New Roman" w:hAnsi="Times New Roman" w:cs="Times New Roman"/>
                <w:color w:val="auto"/>
                <w:sz w:val="24"/>
              </w:rPr>
              <w:t>。</w:t>
            </w:r>
          </w:p>
          <w:p w14:paraId="0959A3BF">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bookmarkStart w:id="3" w:name="_Hlk41382497"/>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《工业企业厂界环境噪声排放标准》（GB12348-2008）单位dB（A）</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958"/>
              <w:gridCol w:w="2714"/>
              <w:gridCol w:w="2714"/>
            </w:tblGrid>
            <w:tr w14:paraId="46B007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3" w:type="pct"/>
                  <w:noWrap w:val="0"/>
                  <w:vAlign w:val="center"/>
                </w:tcPr>
                <w:p w14:paraId="49AA43F8">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声环境功能区类别</w:t>
                  </w:r>
                </w:p>
              </w:tc>
              <w:tc>
                <w:tcPr>
                  <w:tcW w:w="1618" w:type="pct"/>
                  <w:noWrap w:val="0"/>
                  <w:vAlign w:val="center"/>
                </w:tcPr>
                <w:p w14:paraId="09553732">
                  <w:pPr>
                    <w:widowControl/>
                    <w:autoSpaceDE w:val="0"/>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w:t>
                  </w:r>
                </w:p>
              </w:tc>
              <w:tc>
                <w:tcPr>
                  <w:tcW w:w="1618" w:type="pct"/>
                  <w:noWrap w:val="0"/>
                  <w:vAlign w:val="center"/>
                </w:tcPr>
                <w:p w14:paraId="6A2FCB62">
                  <w:pPr>
                    <w:widowControl/>
                    <w:autoSpaceDE w:val="0"/>
                    <w:adjustRightInd w:val="0"/>
                    <w:snapToGrid w:val="0"/>
                    <w:jc w:val="center"/>
                    <w:rPr>
                      <w:rFonts w:hint="default" w:ascii="Times New Roman" w:hAnsi="Times New Roman" w:eastAsia="宋体" w:cs="Times New Roman"/>
                      <w:b/>
                      <w:bCs/>
                      <w:color w:val="auto"/>
                      <w:kern w:val="0"/>
                      <w:szCs w:val="21"/>
                      <w:lang w:val="en-US" w:eastAsia="zh-CN"/>
                    </w:rPr>
                  </w:pPr>
                  <w:r>
                    <w:rPr>
                      <w:rFonts w:hint="eastAsia" w:cs="Times New Roman"/>
                      <w:b/>
                      <w:bCs/>
                      <w:color w:val="auto"/>
                      <w:kern w:val="0"/>
                      <w:szCs w:val="21"/>
                      <w:lang w:val="en-US" w:eastAsia="zh-CN"/>
                    </w:rPr>
                    <w:t>夜间</w:t>
                  </w:r>
                </w:p>
              </w:tc>
            </w:tr>
            <w:tr w14:paraId="4969D7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3" w:type="pct"/>
                  <w:noWrap w:val="0"/>
                  <w:vAlign w:val="center"/>
                </w:tcPr>
                <w:p w14:paraId="5C90150B">
                  <w:pPr>
                    <w:widowControl/>
                    <w:autoSpaceDE w:val="0"/>
                    <w:adjustRightInd w:val="0"/>
                    <w:snapToGrid w:val="0"/>
                    <w:jc w:val="center"/>
                    <w:rPr>
                      <w:rFonts w:hint="default" w:ascii="Times New Roman" w:hAnsi="Times New Roman" w:cs="Times New Roman"/>
                      <w:color w:val="auto"/>
                      <w:kern w:val="0"/>
                      <w:szCs w:val="21"/>
                    </w:rPr>
                  </w:pPr>
                  <w:r>
                    <w:rPr>
                      <w:rFonts w:hint="eastAsia" w:cs="Times New Roman"/>
                      <w:color w:val="auto"/>
                      <w:kern w:val="0"/>
                      <w:szCs w:val="21"/>
                      <w:lang w:val="en-US" w:eastAsia="zh-CN"/>
                    </w:rPr>
                    <w:t>2</w:t>
                  </w:r>
                  <w:r>
                    <w:rPr>
                      <w:rFonts w:hint="default" w:ascii="Times New Roman" w:hAnsi="Times New Roman" w:cs="Times New Roman"/>
                      <w:color w:val="auto"/>
                      <w:kern w:val="0"/>
                      <w:szCs w:val="21"/>
                    </w:rPr>
                    <w:t>类</w:t>
                  </w:r>
                </w:p>
              </w:tc>
              <w:tc>
                <w:tcPr>
                  <w:tcW w:w="1618" w:type="pct"/>
                  <w:noWrap w:val="0"/>
                  <w:vAlign w:val="center"/>
                </w:tcPr>
                <w:p w14:paraId="4CB977D4">
                  <w:pPr>
                    <w:widowControl/>
                    <w:autoSpaceDE w:val="0"/>
                    <w:adjustRightInd w:val="0"/>
                    <w:snapToGrid w:val="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60</w:t>
                  </w:r>
                </w:p>
              </w:tc>
              <w:tc>
                <w:tcPr>
                  <w:tcW w:w="1618" w:type="pct"/>
                  <w:noWrap w:val="0"/>
                  <w:vAlign w:val="center"/>
                </w:tcPr>
                <w:p w14:paraId="704775C0">
                  <w:pPr>
                    <w:widowControl/>
                    <w:autoSpaceDE w:val="0"/>
                    <w:adjustRightInd w:val="0"/>
                    <w:snapToGrid w:val="0"/>
                    <w:jc w:val="center"/>
                    <w:rPr>
                      <w:rFonts w:hint="default" w:cs="Times New Roman"/>
                      <w:color w:val="auto"/>
                      <w:kern w:val="0"/>
                      <w:szCs w:val="21"/>
                      <w:lang w:val="en-US" w:eastAsia="zh-CN"/>
                    </w:rPr>
                  </w:pPr>
                  <w:r>
                    <w:rPr>
                      <w:rFonts w:hint="eastAsia" w:cs="Times New Roman"/>
                      <w:color w:val="auto"/>
                      <w:kern w:val="0"/>
                      <w:szCs w:val="21"/>
                      <w:lang w:val="en-US" w:eastAsia="zh-CN"/>
                    </w:rPr>
                    <w:t>50</w:t>
                  </w:r>
                </w:p>
              </w:tc>
            </w:tr>
            <w:tr w14:paraId="2AF34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63" w:type="pct"/>
                  <w:noWrap w:val="0"/>
                  <w:vAlign w:val="center"/>
                </w:tcPr>
                <w:p w14:paraId="22C305FC">
                  <w:pPr>
                    <w:widowControl/>
                    <w:autoSpaceDE w:val="0"/>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4类</w:t>
                  </w:r>
                </w:p>
              </w:tc>
              <w:tc>
                <w:tcPr>
                  <w:tcW w:w="1618" w:type="pct"/>
                  <w:noWrap w:val="0"/>
                  <w:vAlign w:val="center"/>
                </w:tcPr>
                <w:p w14:paraId="3B90A58F">
                  <w:pPr>
                    <w:widowControl/>
                    <w:autoSpaceDE w:val="0"/>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70</w:t>
                  </w:r>
                </w:p>
              </w:tc>
              <w:tc>
                <w:tcPr>
                  <w:tcW w:w="1618" w:type="pct"/>
                  <w:noWrap w:val="0"/>
                  <w:vAlign w:val="center"/>
                </w:tcPr>
                <w:p w14:paraId="34331AF2">
                  <w:pPr>
                    <w:widowControl/>
                    <w:autoSpaceDE w:val="0"/>
                    <w:adjustRightInd w:val="0"/>
                    <w:snapToGrid w:val="0"/>
                    <w:jc w:val="center"/>
                    <w:rPr>
                      <w:rFonts w:hint="default" w:ascii="Times New Roman" w:hAnsi="Times New Roman" w:cs="Times New Roman"/>
                      <w:color w:val="auto"/>
                      <w:kern w:val="0"/>
                      <w:szCs w:val="21"/>
                      <w:lang w:val="en-US" w:eastAsia="zh-CN"/>
                    </w:rPr>
                  </w:pPr>
                  <w:r>
                    <w:rPr>
                      <w:rFonts w:hint="eastAsia" w:cs="Times New Roman"/>
                      <w:color w:val="auto"/>
                      <w:kern w:val="0"/>
                      <w:szCs w:val="21"/>
                      <w:lang w:val="en-US" w:eastAsia="zh-CN"/>
                    </w:rPr>
                    <w:t>55</w:t>
                  </w:r>
                </w:p>
              </w:tc>
            </w:tr>
            <w:bookmarkEnd w:id="3"/>
          </w:tbl>
          <w:p w14:paraId="1E068ACA">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大气排放标准</w:t>
            </w:r>
          </w:p>
          <w:p w14:paraId="360F8418">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lang w:val="en-US" w:eastAsia="zh-CN"/>
              </w:rPr>
              <w:t>本项目</w:t>
            </w:r>
            <w:r>
              <w:rPr>
                <w:rFonts w:hint="eastAsia" w:cs="Times New Roman"/>
                <w:color w:val="auto"/>
                <w:sz w:val="24"/>
                <w:lang w:val="en-US" w:eastAsia="zh-CN"/>
              </w:rPr>
              <w:t>无组织废气执行《煤炭工业污染物排放标准》（GB20246-2006）表5限值要求。</w:t>
            </w:r>
            <w:r>
              <w:rPr>
                <w:rFonts w:hint="eastAsia" w:ascii="Times New Roman" w:hAnsi="Times New Roman" w:eastAsia="宋体" w:cs="Times New Roman"/>
                <w:color w:val="auto"/>
                <w:sz w:val="24"/>
                <w:szCs w:val="24"/>
                <w:lang w:val="en-US" w:eastAsia="zh-CN"/>
              </w:rPr>
              <w:t>具体</w:t>
            </w:r>
            <w:r>
              <w:rPr>
                <w:rFonts w:hint="default" w:ascii="Times New Roman" w:hAnsi="Times New Roman" w:eastAsia="宋体" w:cs="Times New Roman"/>
                <w:color w:val="auto"/>
                <w:sz w:val="24"/>
                <w:szCs w:val="24"/>
                <w:lang w:val="en-US" w:eastAsia="zh-CN"/>
              </w:rPr>
              <w:t>见表3-</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w:t>
            </w:r>
          </w:p>
          <w:p w14:paraId="52EFD803">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cs="Times New Roman"/>
                <w:b/>
                <w:bCs/>
                <w:color w:val="auto"/>
                <w:sz w:val="21"/>
                <w:szCs w:val="21"/>
                <w:lang w:val="en-US" w:eastAsia="zh-CN"/>
              </w:rPr>
              <w:t>6</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 xml:space="preserve"> 无组织废气污染物执行标准</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525"/>
              <w:gridCol w:w="2178"/>
              <w:gridCol w:w="1109"/>
              <w:gridCol w:w="1190"/>
              <w:gridCol w:w="2384"/>
            </w:tblGrid>
            <w:tr w14:paraId="4C94F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tcBorders>
                    <w:tl2br w:val="nil"/>
                    <w:tr2bl w:val="nil"/>
                  </w:tcBorders>
                  <w:noWrap w:val="0"/>
                  <w:vAlign w:val="center"/>
                </w:tcPr>
                <w:p w14:paraId="44C9A064">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无组织废气</w:t>
                  </w:r>
                </w:p>
              </w:tc>
              <w:tc>
                <w:tcPr>
                  <w:tcW w:w="1298" w:type="pct"/>
                  <w:tcBorders>
                    <w:tl2br w:val="nil"/>
                    <w:tr2bl w:val="nil"/>
                  </w:tcBorders>
                  <w:noWrap w:val="0"/>
                  <w:vAlign w:val="center"/>
                </w:tcPr>
                <w:p w14:paraId="459061AF">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标准名称</w:t>
                  </w:r>
                </w:p>
              </w:tc>
              <w:tc>
                <w:tcPr>
                  <w:tcW w:w="661" w:type="pct"/>
                  <w:tcBorders>
                    <w:tl2br w:val="nil"/>
                    <w:tr2bl w:val="nil"/>
                  </w:tcBorders>
                  <w:noWrap w:val="0"/>
                  <w:vAlign w:val="center"/>
                </w:tcPr>
                <w:p w14:paraId="577B3ABE">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污染物</w:t>
                  </w:r>
                </w:p>
              </w:tc>
              <w:tc>
                <w:tcPr>
                  <w:tcW w:w="709" w:type="pct"/>
                  <w:tcBorders>
                    <w:tl2br w:val="nil"/>
                    <w:tr2bl w:val="nil"/>
                  </w:tcBorders>
                  <w:noWrap w:val="0"/>
                  <w:vAlign w:val="center"/>
                </w:tcPr>
                <w:p w14:paraId="6B7A5263">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监控点</w:t>
                  </w:r>
                </w:p>
              </w:tc>
              <w:tc>
                <w:tcPr>
                  <w:tcW w:w="1420" w:type="pct"/>
                  <w:tcBorders>
                    <w:tl2br w:val="nil"/>
                    <w:tr2bl w:val="nil"/>
                  </w:tcBorders>
                  <w:noWrap w:val="0"/>
                  <w:vAlign w:val="center"/>
                </w:tcPr>
                <w:p w14:paraId="45CF277C">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无组织排放监控浓度限值（</w:t>
                  </w:r>
                  <w:r>
                    <w:rPr>
                      <w:rFonts w:hint="default" w:ascii="Times New Roman" w:hAnsi="Times New Roman" w:eastAsia="宋体" w:cs="Times New Roman"/>
                      <w:b/>
                      <w:bCs/>
                      <w:color w:val="auto"/>
                      <w:sz w:val="18"/>
                      <w:szCs w:val="18"/>
                      <w:lang w:val="en-US" w:eastAsia="zh-CN"/>
                    </w:rPr>
                    <w:t>mg/m³</w:t>
                  </w:r>
                  <w:r>
                    <w:rPr>
                      <w:rFonts w:hint="default" w:ascii="Times New Roman" w:hAnsi="Times New Roman" w:eastAsia="宋体" w:cs="Times New Roman"/>
                      <w:b/>
                      <w:bCs/>
                      <w:color w:val="auto"/>
                      <w:lang w:val="en-US" w:eastAsia="zh-CN"/>
                    </w:rPr>
                    <w:t>）</w:t>
                  </w:r>
                </w:p>
              </w:tc>
            </w:tr>
            <w:tr w14:paraId="41548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909" w:type="pct"/>
                  <w:tcBorders>
                    <w:tl2br w:val="nil"/>
                    <w:tr2bl w:val="nil"/>
                  </w:tcBorders>
                  <w:noWrap w:val="0"/>
                  <w:vAlign w:val="center"/>
                </w:tcPr>
                <w:p w14:paraId="7A61454C">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厂界无组织</w:t>
                  </w:r>
                </w:p>
              </w:tc>
              <w:tc>
                <w:tcPr>
                  <w:tcW w:w="1298" w:type="pct"/>
                  <w:tcBorders>
                    <w:tl2br w:val="nil"/>
                    <w:tr2bl w:val="nil"/>
                  </w:tcBorders>
                  <w:noWrap w:val="0"/>
                  <w:vAlign w:val="center"/>
                </w:tcPr>
                <w:p w14:paraId="14643DD2">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《煤炭工业污染物排放标准》（GB20246-2006</w:t>
                  </w:r>
                  <w:r>
                    <w:rPr>
                      <w:rFonts w:hint="eastAsia" w:cs="Times New Roman"/>
                      <w:color w:val="auto"/>
                      <w:sz w:val="21"/>
                      <w:szCs w:val="21"/>
                      <w:lang w:eastAsia="zh-CN"/>
                    </w:rPr>
                    <w:t>）</w:t>
                  </w:r>
                </w:p>
              </w:tc>
              <w:tc>
                <w:tcPr>
                  <w:tcW w:w="661" w:type="pct"/>
                  <w:tcBorders>
                    <w:tl2br w:val="nil"/>
                    <w:tr2bl w:val="nil"/>
                  </w:tcBorders>
                  <w:noWrap w:val="0"/>
                  <w:vAlign w:val="center"/>
                </w:tcPr>
                <w:p w14:paraId="356BFFAC">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颗粒物</w:t>
                  </w:r>
                </w:p>
              </w:tc>
              <w:tc>
                <w:tcPr>
                  <w:tcW w:w="709" w:type="pct"/>
                  <w:tcBorders>
                    <w:tl2br w:val="nil"/>
                    <w:tr2bl w:val="nil"/>
                  </w:tcBorders>
                  <w:noWrap w:val="0"/>
                  <w:vAlign w:val="center"/>
                </w:tcPr>
                <w:p w14:paraId="548B2123">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周界外浓度</w:t>
                  </w:r>
                </w:p>
                <w:p w14:paraId="6845B4A8">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最高点</w:t>
                  </w:r>
                </w:p>
              </w:tc>
              <w:tc>
                <w:tcPr>
                  <w:tcW w:w="1420" w:type="pct"/>
                  <w:tcBorders>
                    <w:tl2br w:val="nil"/>
                    <w:tr2bl w:val="nil"/>
                  </w:tcBorders>
                  <w:noWrap w:val="0"/>
                  <w:vAlign w:val="center"/>
                </w:tcPr>
                <w:p w14:paraId="258B9459">
                  <w:pPr>
                    <w:pStyle w:val="172"/>
                    <w:keepNext w:val="0"/>
                    <w:keepLines w:val="0"/>
                    <w:pageBreakBefore w:val="0"/>
                    <w:widowControl w:val="0"/>
                    <w:kinsoku/>
                    <w:wordWrap/>
                    <w:overflowPunct/>
                    <w:topLinePunct w:val="0"/>
                    <w:autoSpaceDE/>
                    <w:autoSpaceDN/>
                    <w:bidi w:val="0"/>
                    <w:adjustRightInd/>
                    <w:snapToGrid w:val="0"/>
                    <w:ind w:firstLine="0" w:firstLineChars="0"/>
                    <w:jc w:val="center"/>
                    <w:textAlignment w:val="auto"/>
                    <w:rPr>
                      <w:rFonts w:hint="default" w:ascii="Times New Roman" w:hAnsi="Times New Roman" w:eastAsia="宋体" w:cs="Times New Roman"/>
                      <w:b w:val="0"/>
                      <w:color w:val="auto"/>
                      <w:kern w:val="0"/>
                      <w:sz w:val="21"/>
                      <w:szCs w:val="20"/>
                      <w:lang w:val="en-US" w:eastAsia="zh-CN" w:bidi="ar-SA"/>
                    </w:rPr>
                  </w:pPr>
                  <w:r>
                    <w:rPr>
                      <w:rFonts w:hint="default" w:ascii="Times New Roman" w:hAnsi="Times New Roman" w:eastAsia="宋体" w:cs="Times New Roman"/>
                      <w:color w:val="auto"/>
                      <w:lang w:val="en-US" w:eastAsia="zh-CN"/>
                    </w:rPr>
                    <w:t>1</w:t>
                  </w:r>
                </w:p>
              </w:tc>
            </w:tr>
          </w:tbl>
          <w:p w14:paraId="45F32138">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固体废物</w:t>
            </w:r>
          </w:p>
          <w:p w14:paraId="78C14463">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固体废物的处理、处置均应满足《中华人民共和国固体废物污染环境防治法》中的有关规定要求。采用库房、包装工具（罐、桶、包装袋等）贮存一般工业固体废物过程的污染控制，其贮存过程应满足相应防渗漏、防雨淋、防扬尘等环境保护要求。</w:t>
            </w:r>
          </w:p>
          <w:p w14:paraId="3FDBDB35">
            <w:pPr>
              <w:adjustRightInd w:val="0"/>
              <w:snapToGrid w:val="0"/>
              <w:spacing w:line="360" w:lineRule="auto"/>
              <w:jc w:val="left"/>
              <w:rPr>
                <w:rFonts w:hint="default" w:ascii="Times New Roman" w:hAnsi="Times New Roman" w:cs="Times New Roman"/>
                <w:color w:val="auto"/>
                <w:kern w:val="0"/>
                <w:szCs w:val="21"/>
              </w:rPr>
            </w:pPr>
          </w:p>
        </w:tc>
      </w:tr>
      <w:tr w14:paraId="07A3C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3" w:hRule="atLeast"/>
          <w:jc w:val="center"/>
        </w:trPr>
        <w:tc>
          <w:tcPr>
            <w:tcW w:w="800" w:type="dxa"/>
            <w:noWrap w:val="0"/>
            <w:vAlign w:val="center"/>
          </w:tcPr>
          <w:p w14:paraId="586AB41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581F391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25B897C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190" w:type="dxa"/>
            <w:noWrap w:val="0"/>
            <w:vAlign w:val="center"/>
          </w:tcPr>
          <w:p w14:paraId="211CBBB3">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根据《陕西省“十四五”生态环境保护规划》（陕政办发</w:t>
            </w:r>
            <w:r>
              <w:rPr>
                <w:rFonts w:hint="eastAsia" w:cs="Times New Roman"/>
                <w:color w:val="auto"/>
                <w:sz w:val="24"/>
                <w:lang w:eastAsia="zh-CN"/>
              </w:rPr>
              <w:t>〔2021〕25号</w:t>
            </w:r>
            <w:r>
              <w:rPr>
                <w:rFonts w:hint="default" w:ascii="Times New Roman" w:hAnsi="Times New Roman" w:cs="Times New Roman"/>
                <w:color w:val="auto"/>
                <w:sz w:val="24"/>
              </w:rPr>
              <w:t>）文件</w:t>
            </w:r>
            <w:r>
              <w:rPr>
                <w:rFonts w:hint="eastAsia" w:cs="Times New Roman"/>
                <w:color w:val="auto"/>
                <w:sz w:val="24"/>
                <w:lang w:eastAsia="zh-CN"/>
              </w:rPr>
              <w:t>中</w:t>
            </w:r>
            <w:r>
              <w:rPr>
                <w:rFonts w:hint="default" w:ascii="Times New Roman" w:hAnsi="Times New Roman" w:cs="Times New Roman"/>
                <w:color w:val="auto"/>
                <w:sz w:val="24"/>
              </w:rPr>
              <w:t>对NO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、VOC</w:t>
            </w:r>
            <w:r>
              <w:rPr>
                <w:rFonts w:hint="eastAsia" w:ascii="Times New Roman" w:hAnsi="Times New Roman" w:cs="Times New Roman"/>
                <w:color w:val="auto"/>
                <w:sz w:val="24"/>
                <w:vertAlign w:val="subscript"/>
                <w:lang w:val="en-US" w:eastAsia="zh-CN"/>
              </w:rPr>
              <w:t>S</w:t>
            </w:r>
            <w:r>
              <w:rPr>
                <w:rFonts w:hint="default" w:ascii="Times New Roman" w:hAnsi="Times New Roman" w:cs="Times New Roman"/>
                <w:color w:val="auto"/>
                <w:sz w:val="24"/>
              </w:rPr>
              <w:t>、COD和NH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-N污染物排放实行总量控制和计划管理的规定。本项目建成后涉及废气因子主要为颗粒物。</w:t>
            </w:r>
          </w:p>
          <w:p w14:paraId="4A0E35AF">
            <w:pPr>
              <w:spacing w:line="360" w:lineRule="auto"/>
              <w:ind w:firstLine="480" w:firstLineChars="200"/>
              <w:jc w:val="both"/>
              <w:rPr>
                <w:rFonts w:hint="default" w:ascii="Times New Roman" w:hAnsi="Times New Roman" w:cs="Times New Roman"/>
                <w:color w:val="auto"/>
                <w:sz w:val="24"/>
              </w:rPr>
            </w:pPr>
            <w:r>
              <w:rPr>
                <w:rFonts w:hint="default" w:ascii="Times New Roman" w:hAnsi="Times New Roman" w:cs="Times New Roman"/>
                <w:color w:val="auto"/>
                <w:sz w:val="24"/>
              </w:rPr>
              <w:t>综上，</w:t>
            </w:r>
            <w:r>
              <w:rPr>
                <w:rFonts w:hint="eastAsia" w:cs="Times New Roman"/>
                <w:color w:val="auto"/>
                <w:sz w:val="24"/>
                <w:lang w:val="en-US" w:eastAsia="zh-CN"/>
              </w:rPr>
              <w:t>不设污染物总量控制指标</w:t>
            </w:r>
            <w:r>
              <w:rPr>
                <w:rFonts w:hint="default" w:ascii="Times New Roman" w:hAnsi="Times New Roman" w:cs="Times New Roman"/>
                <w:color w:val="auto"/>
                <w:sz w:val="24"/>
              </w:rPr>
              <w:t>。</w:t>
            </w:r>
          </w:p>
        </w:tc>
      </w:tr>
    </w:tbl>
    <w:p w14:paraId="46E85670">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31"/>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8353"/>
      </w:tblGrid>
      <w:tr w14:paraId="52E478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628" w:type="dxa"/>
            <w:noWrap w:val="0"/>
            <w:tcMar>
              <w:left w:w="28" w:type="dxa"/>
              <w:right w:w="28" w:type="dxa"/>
            </w:tcMar>
            <w:vAlign w:val="center"/>
          </w:tcPr>
          <w:p w14:paraId="154DB0D1">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4EB324BD">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5C883C51">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A2B8848">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3EA47BED">
            <w:pPr>
              <w:pStyle w:val="26"/>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353" w:type="dxa"/>
            <w:noWrap w:val="0"/>
            <w:vAlign w:val="center"/>
          </w:tcPr>
          <w:p w14:paraId="355A53D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r>
              <w:rPr>
                <w:rFonts w:hint="eastAsia" w:cs="Times New Roman"/>
                <w:color w:val="auto"/>
                <w:sz w:val="24"/>
                <w:szCs w:val="24"/>
                <w:lang w:val="en-US" w:eastAsia="zh-CN"/>
              </w:rPr>
              <w:t>.</w:t>
            </w:r>
            <w:r>
              <w:rPr>
                <w:rFonts w:hint="default" w:ascii="Times New Roman" w:hAnsi="Times New Roman" w:cs="Times New Roman"/>
                <w:color w:val="auto"/>
                <w:sz w:val="24"/>
                <w:szCs w:val="24"/>
              </w:rPr>
              <w:t>施工期大气保护措施</w:t>
            </w:r>
          </w:p>
          <w:p w14:paraId="3937B2AB">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施工期主要大气污染物是施工扬尘和运输车辆尾气。</w:t>
            </w:r>
          </w:p>
          <w:p w14:paraId="294A41A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（1）施工扬尘</w:t>
            </w:r>
          </w:p>
          <w:p w14:paraId="35B4C54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根据《宝鸡市大气污染防治条例》中关于市政工程施工现场的扬尘治理要求，本次评价要求本项目施工期采取以下防治措施：</w:t>
            </w:r>
          </w:p>
          <w:p w14:paraId="35B070CE">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①对施工现场的出入口和场内道路进行硬化处理，场内设置喷水降尘设施</w:t>
            </w:r>
            <w:r>
              <w:rPr>
                <w:rFonts w:hint="eastAsia" w:cs="Times New Roman"/>
                <w:color w:val="auto"/>
                <w:sz w:val="24"/>
                <w:szCs w:val="24"/>
                <w:lang w:val="en-US" w:eastAsia="zh-CN"/>
              </w:rPr>
              <w:t>等</w:t>
            </w:r>
            <w:r>
              <w:rPr>
                <w:rFonts w:hint="default" w:ascii="Times New Roman" w:hAnsi="Times New Roman" w:cs="Times New Roman"/>
                <w:color w:val="auto"/>
                <w:sz w:val="24"/>
                <w:szCs w:val="24"/>
              </w:rPr>
              <w:t>；</w:t>
            </w:r>
          </w:p>
          <w:p w14:paraId="7F95EC6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②施工现场周边设置2.5m以上硬质围墙，采用金属材料时，板厚不小于0.7mm，颜色高度要统一，不得污染、损坏；</w:t>
            </w:r>
          </w:p>
          <w:p w14:paraId="52B9CB7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③施工现场入口处设置不小于规定面积的洗车平台，配备自动洗车设备，车辆在驶出工地前，将车轮、车身冲洗干净，不得带泥土上路；</w:t>
            </w:r>
          </w:p>
          <w:p w14:paraId="260886E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④对临时堆放土方表面压实并进行绿网覆盖，弃土、弃料、垃圾及时清运，未及时清运的进行绿网覆盖；</w:t>
            </w:r>
          </w:p>
          <w:p w14:paraId="5C54750B">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⑤出现四级以上大风天气时，禁止进行土方开挖等易产生扬尘污染的施工作业；</w:t>
            </w:r>
          </w:p>
          <w:p w14:paraId="1841ED1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⑥物料、弃土和废弃物运输采用密闭方式，不得凌空抛撒；</w:t>
            </w:r>
          </w:p>
          <w:p w14:paraId="69E5735C">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⑦施工过程中，严禁将废弃物进行燃烧处理，工程结束后做好场地清理、恢复和绿化工作。</w:t>
            </w:r>
          </w:p>
          <w:p w14:paraId="25440D36">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（2）汽车尾气</w:t>
            </w:r>
          </w:p>
          <w:p w14:paraId="5C423C6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各类燃油动力机械禁止超载、低速出入，不得使用劣质燃料。</w:t>
            </w:r>
          </w:p>
          <w:p w14:paraId="18C44CB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（3）施工机械废气</w:t>
            </w:r>
          </w:p>
          <w:p w14:paraId="7C7FD2BD">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加强施工机械、车辆的维修与保养，防止机械设备、运输车辆带病工作，严格限制机械设备、运输车辆超载、超负荷运行，控制燃油损耗及污染物排放。</w:t>
            </w:r>
          </w:p>
          <w:p w14:paraId="7FAF273E">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（4）装修废气</w:t>
            </w:r>
          </w:p>
          <w:p w14:paraId="6666317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装修期间应严格选用环保型涂料，</w:t>
            </w:r>
            <w:r>
              <w:rPr>
                <w:rFonts w:hint="eastAsia" w:cs="Times New Roman"/>
                <w:color w:val="auto"/>
                <w:sz w:val="24"/>
                <w:szCs w:val="24"/>
                <w:lang w:eastAsia="zh-CN"/>
              </w:rPr>
              <w:t>使室内空气</w:t>
            </w:r>
            <w:r>
              <w:rPr>
                <w:rFonts w:hint="default" w:ascii="Times New Roman" w:hAnsi="Times New Roman" w:cs="Times New Roman"/>
                <w:color w:val="auto"/>
                <w:sz w:val="24"/>
                <w:szCs w:val="24"/>
              </w:rPr>
              <w:t>中各项</w:t>
            </w:r>
            <w:r>
              <w:rPr>
                <w:rFonts w:hint="eastAsia" w:cs="Times New Roman"/>
                <w:color w:val="auto"/>
                <w:sz w:val="24"/>
                <w:szCs w:val="24"/>
                <w:lang w:eastAsia="zh-CN"/>
              </w:rPr>
              <w:t>污染物</w:t>
            </w:r>
            <w:r>
              <w:rPr>
                <w:rFonts w:hint="default" w:ascii="Times New Roman" w:hAnsi="Times New Roman" w:cs="Times New Roman"/>
                <w:color w:val="auto"/>
                <w:sz w:val="24"/>
                <w:szCs w:val="24"/>
              </w:rPr>
              <w:t>达到《室内空气质量标准》（GB/T8883-2002）限值要求，减轻对室内环境</w:t>
            </w:r>
            <w:r>
              <w:rPr>
                <w:rFonts w:hint="eastAsia" w:cs="Times New Roman"/>
                <w:color w:val="auto"/>
                <w:sz w:val="24"/>
                <w:szCs w:val="24"/>
                <w:lang w:eastAsia="zh-CN"/>
              </w:rPr>
              <w:t>的</w:t>
            </w:r>
            <w:r>
              <w:rPr>
                <w:rFonts w:hint="default" w:ascii="Times New Roman" w:hAnsi="Times New Roman" w:cs="Times New Roman"/>
                <w:color w:val="auto"/>
                <w:sz w:val="24"/>
                <w:szCs w:val="24"/>
              </w:rPr>
              <w:t>污染。</w:t>
            </w:r>
          </w:p>
          <w:p w14:paraId="2A07ECB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综上所述，项目施工过程中产生的大气环境污染物可进行有效控制，经济、技术可行。</w:t>
            </w:r>
          </w:p>
          <w:p w14:paraId="1E3CC8E6">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r>
              <w:rPr>
                <w:rFonts w:hint="eastAsia" w:cs="Times New Roman"/>
                <w:color w:val="auto"/>
                <w:sz w:val="24"/>
                <w:szCs w:val="24"/>
                <w:lang w:val="en-US" w:eastAsia="zh-CN"/>
              </w:rPr>
              <w:t>.</w:t>
            </w:r>
            <w:r>
              <w:rPr>
                <w:rFonts w:hint="default" w:ascii="Times New Roman" w:hAnsi="Times New Roman" w:cs="Times New Roman"/>
                <w:color w:val="auto"/>
                <w:sz w:val="24"/>
                <w:szCs w:val="24"/>
              </w:rPr>
              <w:t>施工期废水保护措施</w:t>
            </w:r>
          </w:p>
          <w:p w14:paraId="68AB64F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施工过程中产生的废水主要为施工人员生活污水和施工废水。</w:t>
            </w:r>
          </w:p>
          <w:p w14:paraId="70D45230">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施工人员生活污水可设置临时旱厕处理后拉运至农田堆肥处理。</w:t>
            </w:r>
          </w:p>
          <w:p w14:paraId="2B037552">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施工废水主要是施工现场清洗、各种施工机械冲洗、建材清洗、混凝土养护等产生的废水，含有</w:t>
            </w:r>
            <w:r>
              <w:rPr>
                <w:rFonts w:hint="eastAsia" w:cs="Times New Roman"/>
                <w:color w:val="auto"/>
                <w:sz w:val="24"/>
                <w:szCs w:val="24"/>
                <w:lang w:eastAsia="zh-CN"/>
              </w:rPr>
              <w:t>泥沙</w:t>
            </w:r>
            <w:r>
              <w:rPr>
                <w:rFonts w:hint="default" w:ascii="Times New Roman" w:hAnsi="Times New Roman" w:cs="Times New Roman"/>
                <w:color w:val="auto"/>
                <w:sz w:val="24"/>
                <w:szCs w:val="24"/>
              </w:rPr>
              <w:t>和悬浮物等，施工废水经沉淀后循环使用，不外排。</w:t>
            </w:r>
          </w:p>
          <w:p w14:paraId="668ADDE5">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综上所述，项目施工过程中水环境影响可进行控制，经济、技术可行。</w:t>
            </w:r>
          </w:p>
          <w:p w14:paraId="068F6045">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r>
              <w:rPr>
                <w:rFonts w:hint="eastAsia" w:cs="Times New Roman"/>
                <w:color w:val="auto"/>
                <w:sz w:val="24"/>
                <w:szCs w:val="24"/>
                <w:lang w:val="en-US" w:eastAsia="zh-CN"/>
              </w:rPr>
              <w:t>.</w:t>
            </w:r>
            <w:r>
              <w:rPr>
                <w:rFonts w:hint="default" w:ascii="Times New Roman" w:hAnsi="Times New Roman" w:cs="Times New Roman"/>
                <w:color w:val="auto"/>
                <w:sz w:val="24"/>
                <w:szCs w:val="24"/>
              </w:rPr>
              <w:t>施工期噪声保护措施</w:t>
            </w:r>
          </w:p>
          <w:p w14:paraId="5147FCC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施工建筑噪声多为流动性与间歇性，声源声级较高，一般为露天作业，影响程度较大，各施工阶段声源构成不同，控制过程较难。因此，针对建筑施工特点，采取的主要保护措施为：</w:t>
            </w:r>
          </w:p>
          <w:p w14:paraId="1CB89F8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①从声源上控制。使用低噪声机械设备，各种施工机械</w:t>
            </w:r>
            <w:r>
              <w:rPr>
                <w:rFonts w:hint="eastAsia" w:cs="Times New Roman"/>
                <w:color w:val="auto"/>
                <w:sz w:val="24"/>
                <w:szCs w:val="24"/>
                <w:lang w:eastAsia="zh-CN"/>
              </w:rPr>
              <w:t>必须</w:t>
            </w:r>
            <w:r>
              <w:rPr>
                <w:rFonts w:hint="default" w:ascii="Times New Roman" w:hAnsi="Times New Roman" w:cs="Times New Roman"/>
                <w:color w:val="auto"/>
                <w:sz w:val="24"/>
                <w:szCs w:val="24"/>
              </w:rPr>
              <w:t>达到国家规定的噪声标准或设计规定的噪声要求，不符合要求的机械设备不得进入施工现场，设专人对设备进行定期保养和维护，对现场工作人员进行培训，严格按操作规范使用各类机械。对动力机械设备进行定期的维修、保养。</w:t>
            </w:r>
          </w:p>
          <w:p w14:paraId="4B498CCF">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②合理安排施工时间。严格遵守相关规定，禁止在22时至次日6时之间及中午12时至</w:t>
            </w:r>
            <w:r>
              <w:rPr>
                <w:rFonts w:hint="eastAsia" w:cs="Times New Roman"/>
                <w:color w:val="auto"/>
                <w:sz w:val="24"/>
                <w:szCs w:val="24"/>
                <w:lang w:eastAsia="zh-CN"/>
              </w:rPr>
              <w:t>14时</w:t>
            </w:r>
            <w:r>
              <w:rPr>
                <w:rFonts w:hint="default" w:ascii="Times New Roman" w:hAnsi="Times New Roman" w:cs="Times New Roman"/>
                <w:color w:val="auto"/>
                <w:sz w:val="24"/>
                <w:szCs w:val="24"/>
              </w:rPr>
              <w:t>进行噪声影响大的施工作业，不同阶段的施工作业，场界噪声声级要满足《建筑施工场界环境噪声排放标准》（GB12523-2011）限值要求。</w:t>
            </w:r>
          </w:p>
          <w:p w14:paraId="68474991">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③使用商品混凝土，避免混凝土搅拌机等噪声影响。</w:t>
            </w:r>
          </w:p>
          <w:p w14:paraId="6EFF244B">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④施工场地的施工车辆出入现场时应低速、禁鸣。</w:t>
            </w:r>
          </w:p>
          <w:p w14:paraId="6EC890CD">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⑤建设管理部门应加强对施工场地的噪声管理，施工</w:t>
            </w:r>
            <w:r>
              <w:rPr>
                <w:rFonts w:hint="eastAsia" w:cs="Times New Roman"/>
                <w:color w:val="auto"/>
                <w:sz w:val="24"/>
                <w:szCs w:val="24"/>
                <w:lang w:eastAsia="zh-CN"/>
              </w:rPr>
              <w:t>企业</w:t>
            </w:r>
            <w:r>
              <w:rPr>
                <w:rFonts w:hint="default" w:ascii="Times New Roman" w:hAnsi="Times New Roman" w:cs="Times New Roman"/>
                <w:color w:val="auto"/>
                <w:sz w:val="24"/>
                <w:szCs w:val="24"/>
              </w:rPr>
              <w:t>也应对施工噪声进行自律，文明施工。</w:t>
            </w:r>
          </w:p>
          <w:p w14:paraId="0EDAB900">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⑥降低人为噪声。按规定操作机械设备。模板、支架拆卸过程中，遵守作业规定，减少碰撞声。</w:t>
            </w:r>
          </w:p>
          <w:p w14:paraId="2293E1E7">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施工期噪声影响具有阶段性、暂时性，通过采取严格管理手段，声环境影响可进行控制，经济、技术可行。</w:t>
            </w:r>
          </w:p>
          <w:p w14:paraId="7F44D86C">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w:t>
            </w:r>
            <w:r>
              <w:rPr>
                <w:rFonts w:hint="eastAsia" w:cs="Times New Roman"/>
                <w:color w:val="auto"/>
                <w:sz w:val="24"/>
                <w:szCs w:val="24"/>
                <w:lang w:val="en-US" w:eastAsia="zh-CN"/>
              </w:rPr>
              <w:t>.</w:t>
            </w:r>
            <w:r>
              <w:rPr>
                <w:rFonts w:hint="default" w:ascii="Times New Roman" w:hAnsi="Times New Roman" w:cs="Times New Roman"/>
                <w:color w:val="auto"/>
                <w:sz w:val="24"/>
                <w:szCs w:val="24"/>
              </w:rPr>
              <w:t>固体废物污染</w:t>
            </w:r>
            <w:bookmarkStart w:id="5" w:name="_GoBack"/>
            <w:bookmarkEnd w:id="5"/>
            <w:r>
              <w:rPr>
                <w:rFonts w:hint="default" w:ascii="Times New Roman" w:hAnsi="Times New Roman" w:cs="Times New Roman"/>
                <w:color w:val="auto"/>
                <w:sz w:val="24"/>
                <w:szCs w:val="24"/>
              </w:rPr>
              <w:t>防治措施</w:t>
            </w:r>
          </w:p>
          <w:p w14:paraId="0D272624">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施工期固体废物主要包括：施工人员生活垃圾，基础施工挖方弃土、残余混凝土、断砖破瓦、破残瓷片、玻璃碎片等建筑垃圾。采取的主要保护措施为：</w:t>
            </w:r>
          </w:p>
          <w:p w14:paraId="673FA1DD">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做好项目区域环境卫生，施工中产生或撒落的废弃物必须及时清运，施工现场临时设施和堆放物品不得有碍环境卫生，由施工现场驶入城市街道的车辆，车轮不得沾带泥土。工程竣工后，应及时修整场地、清运垃圾残土，保证竣工场地清洁。</w:t>
            </w:r>
          </w:p>
          <w:p w14:paraId="22C73979">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②施工过程中，产生的建筑垃圾及时送往建筑</w:t>
            </w:r>
            <w:r>
              <w:rPr>
                <w:rFonts w:hint="eastAsia" w:cs="Times New Roman"/>
                <w:color w:val="auto"/>
                <w:sz w:val="24"/>
                <w:szCs w:val="24"/>
                <w:lang w:eastAsia="zh-CN"/>
              </w:rPr>
              <w:t>垃圾</w:t>
            </w:r>
            <w:r>
              <w:rPr>
                <w:rFonts w:hint="default" w:ascii="Times New Roman" w:hAnsi="Times New Roman" w:cs="Times New Roman"/>
                <w:color w:val="auto"/>
                <w:sz w:val="24"/>
                <w:szCs w:val="24"/>
              </w:rPr>
              <w:t>填埋场，挖方及时回填，弃土运至指定的排放场排放。废弃物的运输要避开道路交通高峰时间，行驶路线要避开城市主干道，在运输过程中合理考虑车速及密闭措施，减少垃圾洒落造成的二次污染。</w:t>
            </w:r>
          </w:p>
          <w:p w14:paraId="4A0A5843">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③施工场地严格禁止生活垃圾的堆放与储存；产生的施工人员生活垃圾要采取分类收集并储存</w:t>
            </w:r>
            <w:r>
              <w:rPr>
                <w:rFonts w:hint="eastAsia" w:cs="Times New Roman"/>
                <w:color w:val="auto"/>
                <w:sz w:val="24"/>
                <w:szCs w:val="24"/>
                <w:lang w:eastAsia="zh-CN"/>
              </w:rPr>
              <w:t>的方式，</w:t>
            </w:r>
            <w:r>
              <w:rPr>
                <w:rFonts w:hint="default" w:ascii="Times New Roman" w:hAnsi="Times New Roman" w:cs="Times New Roman"/>
                <w:color w:val="auto"/>
                <w:sz w:val="24"/>
                <w:szCs w:val="24"/>
              </w:rPr>
              <w:t>交由环卫部门</w:t>
            </w:r>
            <w:r>
              <w:rPr>
                <w:rFonts w:hint="eastAsia" w:cs="Times New Roman"/>
                <w:color w:val="auto"/>
                <w:sz w:val="24"/>
                <w:szCs w:val="24"/>
                <w:lang w:eastAsia="zh-CN"/>
              </w:rPr>
              <w:t>统一处理</w:t>
            </w:r>
            <w:r>
              <w:rPr>
                <w:rFonts w:hint="default" w:ascii="Times New Roman" w:hAnsi="Times New Roman" w:cs="Times New Roman"/>
                <w:color w:val="auto"/>
                <w:sz w:val="24"/>
                <w:szCs w:val="24"/>
              </w:rPr>
              <w:t>，严禁将生活垃圾与建筑垃圾混合存放、混合清理。对现场垃圾堆放做好防渗处理。</w:t>
            </w:r>
          </w:p>
          <w:p w14:paraId="3B6ACDD6">
            <w:pPr>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szCs w:val="24"/>
              </w:rPr>
              <w:t>施工期固体废物环境影响具有阶段性、暂时性，通过采取严格管理手段，环境影响可进行控制，经济、技术可行。</w:t>
            </w:r>
          </w:p>
        </w:tc>
      </w:tr>
      <w:tr w14:paraId="0BE60F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6" w:hRule="atLeast"/>
          <w:jc w:val="center"/>
        </w:trPr>
        <w:tc>
          <w:tcPr>
            <w:tcW w:w="628" w:type="dxa"/>
            <w:noWrap w:val="0"/>
            <w:tcMar>
              <w:left w:w="28" w:type="dxa"/>
              <w:right w:w="28" w:type="dxa"/>
            </w:tcMar>
            <w:vAlign w:val="center"/>
          </w:tcPr>
          <w:p w14:paraId="4874A1B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5F88A26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36F2EA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2EC4A8B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714B37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D438957">
            <w:pPr>
              <w:pStyle w:val="2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Cs w:val="21"/>
              </w:rPr>
              <w:t>措施</w:t>
            </w:r>
          </w:p>
        </w:tc>
        <w:tc>
          <w:tcPr>
            <w:tcW w:w="8353" w:type="dxa"/>
            <w:noWrap w:val="0"/>
            <w:vAlign w:val="center"/>
          </w:tcPr>
          <w:p w14:paraId="48783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8"/>
                <w:szCs w:val="28"/>
                <w:lang w:val="en-US" w:eastAsia="zh-CN" w:bidi="ar-SA"/>
              </w:rPr>
              <w:t>一、运营期大气环境影响和保护措施</w:t>
            </w:r>
          </w:p>
          <w:p w14:paraId="7FC50E4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1.大气环境污染工序及源强分析</w:t>
            </w:r>
          </w:p>
          <w:p w14:paraId="35BA9B78">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lang w:eastAsia="zh-CN"/>
              </w:rPr>
              <w:t>）废气产排情况一览表</w:t>
            </w:r>
          </w:p>
          <w:p w14:paraId="144E0B4E">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lang w:val="en-US" w:eastAsia="zh-CN"/>
              </w:rPr>
            </w:pPr>
            <w:r>
              <w:rPr>
                <w:rFonts w:hint="eastAsia" w:cs="Times New Roman"/>
                <w:color w:val="auto"/>
                <w:kern w:val="0"/>
                <w:sz w:val="24"/>
                <w:lang w:val="en-US" w:eastAsia="zh-CN"/>
              </w:rPr>
              <w:t>本项目运营期废气主要由原料卸料、储存、输送产生的煤尘及道路运输扬尘。</w:t>
            </w:r>
          </w:p>
          <w:p w14:paraId="64049051">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项目废气产排情况一览表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7"/>
              <w:gridCol w:w="1123"/>
              <w:gridCol w:w="3212"/>
              <w:gridCol w:w="3212"/>
            </w:tblGrid>
            <w:tr w14:paraId="32A30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6967BCC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产污环节</w:t>
                  </w:r>
                </w:p>
              </w:tc>
              <w:tc>
                <w:tcPr>
                  <w:tcW w:w="1981" w:type="pct"/>
                  <w:tcBorders>
                    <w:tl2br w:val="nil"/>
                    <w:tr2bl w:val="nil"/>
                  </w:tcBorders>
                  <w:noWrap w:val="0"/>
                  <w:vAlign w:val="center"/>
                </w:tcPr>
                <w:p w14:paraId="57A4BB64">
                  <w:pPr>
                    <w:adjustRightInd w:val="0"/>
                    <w:snapToGrid w:val="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卸料、储存、输送</w:t>
                  </w:r>
                </w:p>
              </w:tc>
              <w:tc>
                <w:tcPr>
                  <w:tcW w:w="1981" w:type="pct"/>
                  <w:tcBorders>
                    <w:tl2br w:val="nil"/>
                    <w:tr2bl w:val="nil"/>
                  </w:tcBorders>
                  <w:noWrap w:val="0"/>
                  <w:vAlign w:val="center"/>
                </w:tcPr>
                <w:p w14:paraId="612E5AA4">
                  <w:pPr>
                    <w:adjustRightInd w:val="0"/>
                    <w:snapToGrid w:val="0"/>
                    <w:jc w:val="center"/>
                    <w:rPr>
                      <w:rFonts w:hint="eastAsia" w:cs="Times New Roman"/>
                      <w:b/>
                      <w:bCs/>
                      <w:color w:val="auto"/>
                      <w:szCs w:val="21"/>
                      <w:lang w:val="en-US" w:eastAsia="zh-CN"/>
                    </w:rPr>
                  </w:pPr>
                  <w:r>
                    <w:rPr>
                      <w:rFonts w:hint="eastAsia" w:cs="Times New Roman"/>
                      <w:b/>
                      <w:bCs/>
                      <w:color w:val="auto"/>
                      <w:szCs w:val="21"/>
                      <w:lang w:val="en-US" w:eastAsia="zh-CN"/>
                    </w:rPr>
                    <w:t>道路运输</w:t>
                  </w:r>
                  <w:r>
                    <w:rPr>
                      <w:rFonts w:hint="default" w:ascii="Times New Roman" w:hAnsi="Times New Roman" w:eastAsia="宋体" w:cs="Times New Roman"/>
                      <w:b/>
                      <w:bCs/>
                      <w:color w:val="auto"/>
                      <w:szCs w:val="21"/>
                      <w:lang w:val="en-US" w:eastAsia="zh-CN"/>
                    </w:rPr>
                    <w:t>工序</w:t>
                  </w:r>
                </w:p>
              </w:tc>
            </w:tr>
            <w:tr w14:paraId="1D1EB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1CC1BC7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污染物种类</w:t>
                  </w:r>
                </w:p>
              </w:tc>
              <w:tc>
                <w:tcPr>
                  <w:tcW w:w="1981" w:type="pct"/>
                  <w:tcBorders>
                    <w:tl2br w:val="nil"/>
                    <w:tr2bl w:val="nil"/>
                  </w:tcBorders>
                  <w:noWrap w:val="0"/>
                  <w:vAlign w:val="center"/>
                </w:tcPr>
                <w:p w14:paraId="7F786B2F">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颗粒物</w:t>
                  </w:r>
                </w:p>
              </w:tc>
              <w:tc>
                <w:tcPr>
                  <w:tcW w:w="1981" w:type="pct"/>
                  <w:tcBorders>
                    <w:tl2br w:val="nil"/>
                    <w:tr2bl w:val="nil"/>
                  </w:tcBorders>
                  <w:noWrap w:val="0"/>
                  <w:vAlign w:val="center"/>
                </w:tcPr>
                <w:p w14:paraId="4573533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颗粒物</w:t>
                  </w:r>
                </w:p>
              </w:tc>
            </w:tr>
            <w:tr w14:paraId="3B84E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3E7C1C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污染物产生量（t/a）</w:t>
                  </w:r>
                </w:p>
              </w:tc>
              <w:tc>
                <w:tcPr>
                  <w:tcW w:w="1981" w:type="pct"/>
                  <w:tcBorders>
                    <w:tl2br w:val="nil"/>
                    <w:tr2bl w:val="nil"/>
                  </w:tcBorders>
                  <w:noWrap w:val="0"/>
                  <w:vAlign w:val="center"/>
                </w:tcPr>
                <w:p w14:paraId="5937BEC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1981" w:type="pct"/>
                  <w:tcBorders>
                    <w:tl2br w:val="nil"/>
                    <w:tr2bl w:val="nil"/>
                  </w:tcBorders>
                  <w:noWrap w:val="0"/>
                  <w:vAlign w:val="center"/>
                </w:tcPr>
                <w:p w14:paraId="5018860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2.24</w:t>
                  </w:r>
                </w:p>
              </w:tc>
            </w:tr>
            <w:tr w14:paraId="4DFD7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5DF3F77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排放形式</w:t>
                  </w:r>
                </w:p>
              </w:tc>
              <w:tc>
                <w:tcPr>
                  <w:tcW w:w="1981" w:type="pct"/>
                  <w:tcBorders>
                    <w:tl2br w:val="nil"/>
                    <w:tr2bl w:val="nil"/>
                  </w:tcBorders>
                  <w:noWrap w:val="0"/>
                  <w:vAlign w:val="center"/>
                </w:tcPr>
                <w:p w14:paraId="31EC0635">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无组织</w:t>
                  </w:r>
                </w:p>
              </w:tc>
              <w:tc>
                <w:tcPr>
                  <w:tcW w:w="1981" w:type="pct"/>
                  <w:tcBorders>
                    <w:tl2br w:val="nil"/>
                    <w:tr2bl w:val="nil"/>
                  </w:tcBorders>
                  <w:noWrap w:val="0"/>
                  <w:vAlign w:val="center"/>
                </w:tcPr>
                <w:p w14:paraId="67A73326">
                  <w:pPr>
                    <w:adjustRightInd w:val="0"/>
                    <w:snapToGrid w:val="0"/>
                    <w:jc w:val="center"/>
                    <w:rPr>
                      <w:rFonts w:hint="eastAsia" w:cs="Times New Roman"/>
                      <w:color w:val="auto"/>
                      <w:szCs w:val="21"/>
                      <w:lang w:val="en-US" w:eastAsia="zh-CN"/>
                    </w:rPr>
                  </w:pPr>
                  <w:r>
                    <w:rPr>
                      <w:rFonts w:hint="eastAsia" w:cs="Times New Roman"/>
                      <w:color w:val="auto"/>
                      <w:szCs w:val="21"/>
                      <w:lang w:val="en-US" w:eastAsia="zh-CN"/>
                    </w:rPr>
                    <w:t>无组织</w:t>
                  </w:r>
                </w:p>
              </w:tc>
            </w:tr>
            <w:tr w14:paraId="34204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restart"/>
                  <w:tcBorders>
                    <w:tl2br w:val="nil"/>
                    <w:tr2bl w:val="nil"/>
                  </w:tcBorders>
                  <w:noWrap w:val="0"/>
                  <w:vAlign w:val="center"/>
                </w:tcPr>
                <w:p w14:paraId="4859110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治理设施</w:t>
                  </w:r>
                </w:p>
              </w:tc>
              <w:tc>
                <w:tcPr>
                  <w:tcW w:w="693" w:type="pct"/>
                  <w:tcBorders>
                    <w:tl2br w:val="nil"/>
                    <w:tr2bl w:val="nil"/>
                  </w:tcBorders>
                  <w:noWrap w:val="0"/>
                  <w:vAlign w:val="center"/>
                </w:tcPr>
                <w:p w14:paraId="2ABFA4E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处理设施</w:t>
                  </w:r>
                </w:p>
              </w:tc>
              <w:tc>
                <w:tcPr>
                  <w:tcW w:w="1981" w:type="pct"/>
                  <w:tcBorders>
                    <w:tl2br w:val="nil"/>
                    <w:tr2bl w:val="nil"/>
                  </w:tcBorders>
                  <w:noWrap w:val="0"/>
                  <w:vAlign w:val="center"/>
                </w:tcPr>
                <w:p w14:paraId="34E0D00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密闭仓储棚+喷淋+防风墙</w:t>
                  </w:r>
                </w:p>
              </w:tc>
              <w:tc>
                <w:tcPr>
                  <w:tcW w:w="1981" w:type="pct"/>
                  <w:tcBorders>
                    <w:tl2br w:val="nil"/>
                    <w:tr2bl w:val="nil"/>
                  </w:tcBorders>
                  <w:noWrap w:val="0"/>
                  <w:vAlign w:val="center"/>
                </w:tcPr>
                <w:p w14:paraId="64B5FE2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洒水</w:t>
                  </w:r>
                </w:p>
              </w:tc>
            </w:tr>
            <w:tr w14:paraId="4C5C9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08DF5CF0">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7E39C01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收集效率%</w:t>
                  </w:r>
                </w:p>
              </w:tc>
              <w:tc>
                <w:tcPr>
                  <w:tcW w:w="1981" w:type="pct"/>
                  <w:tcBorders>
                    <w:tl2br w:val="nil"/>
                    <w:tr2bl w:val="nil"/>
                  </w:tcBorders>
                  <w:noWrap w:val="0"/>
                  <w:vAlign w:val="center"/>
                </w:tcPr>
                <w:p w14:paraId="6920DFA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981" w:type="pct"/>
                  <w:tcBorders>
                    <w:tl2br w:val="nil"/>
                    <w:tr2bl w:val="nil"/>
                  </w:tcBorders>
                  <w:noWrap w:val="0"/>
                  <w:vAlign w:val="center"/>
                </w:tcPr>
                <w:p w14:paraId="757AF8D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r>
            <w:tr w14:paraId="1F591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43E64A59">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1DF5A0B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治理工艺去除率%</w:t>
                  </w:r>
                </w:p>
              </w:tc>
              <w:tc>
                <w:tcPr>
                  <w:tcW w:w="1981" w:type="pct"/>
                  <w:tcBorders>
                    <w:tl2br w:val="nil"/>
                    <w:tr2bl w:val="nil"/>
                  </w:tcBorders>
                  <w:noWrap w:val="0"/>
                  <w:vAlign w:val="center"/>
                </w:tcPr>
                <w:p w14:paraId="4C17A181">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w:t>
                  </w:r>
                </w:p>
              </w:tc>
              <w:tc>
                <w:tcPr>
                  <w:tcW w:w="1981" w:type="pct"/>
                  <w:tcBorders>
                    <w:tl2br w:val="nil"/>
                    <w:tr2bl w:val="nil"/>
                  </w:tcBorders>
                  <w:noWrap w:val="0"/>
                  <w:vAlign w:val="center"/>
                </w:tcPr>
                <w:p w14:paraId="1D3F1878">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90</w:t>
                  </w:r>
                </w:p>
              </w:tc>
            </w:tr>
            <w:tr w14:paraId="0F710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0E3722D3">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571D7F0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是否为可行技术</w:t>
                  </w:r>
                </w:p>
              </w:tc>
              <w:tc>
                <w:tcPr>
                  <w:tcW w:w="1981" w:type="pct"/>
                  <w:tcBorders>
                    <w:tl2br w:val="nil"/>
                    <w:tr2bl w:val="nil"/>
                  </w:tcBorders>
                  <w:noWrap w:val="0"/>
                  <w:vAlign w:val="center"/>
                </w:tcPr>
                <w:p w14:paraId="11BF8271">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是</w:t>
                  </w:r>
                </w:p>
              </w:tc>
              <w:tc>
                <w:tcPr>
                  <w:tcW w:w="1981" w:type="pct"/>
                  <w:tcBorders>
                    <w:tl2br w:val="nil"/>
                    <w:tr2bl w:val="nil"/>
                  </w:tcBorders>
                  <w:noWrap w:val="0"/>
                  <w:vAlign w:val="center"/>
                </w:tcPr>
                <w:p w14:paraId="5FE70A1F">
                  <w:pPr>
                    <w:adjustRightInd w:val="0"/>
                    <w:snapToGrid w:val="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是</w:t>
                  </w:r>
                </w:p>
              </w:tc>
            </w:tr>
            <w:tr w14:paraId="003CA2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4B8470D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981" w:type="pct"/>
                  <w:tcBorders>
                    <w:tl2br w:val="nil"/>
                    <w:tr2bl w:val="nil"/>
                  </w:tcBorders>
                  <w:noWrap w:val="0"/>
                  <w:vAlign w:val="center"/>
                </w:tcPr>
                <w:p w14:paraId="110277A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981" w:type="pct"/>
                  <w:tcBorders>
                    <w:tl2br w:val="nil"/>
                    <w:tr2bl w:val="nil"/>
                  </w:tcBorders>
                  <w:noWrap w:val="0"/>
                  <w:vAlign w:val="center"/>
                </w:tcPr>
                <w:p w14:paraId="04780D9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3EA9B1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0F45A36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污染物排放速率（kg/h）</w:t>
                  </w:r>
                </w:p>
              </w:tc>
              <w:tc>
                <w:tcPr>
                  <w:tcW w:w="1981" w:type="pct"/>
                  <w:tcBorders>
                    <w:tl2br w:val="nil"/>
                    <w:tr2bl w:val="nil"/>
                  </w:tcBorders>
                  <w:noWrap w:val="0"/>
                  <w:vAlign w:val="center"/>
                </w:tcPr>
                <w:p w14:paraId="7A0C7CF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0.05</w:t>
                  </w:r>
                </w:p>
              </w:tc>
              <w:tc>
                <w:tcPr>
                  <w:tcW w:w="1981" w:type="pct"/>
                  <w:tcBorders>
                    <w:tl2br w:val="nil"/>
                    <w:tr2bl w:val="nil"/>
                  </w:tcBorders>
                  <w:noWrap w:val="0"/>
                  <w:vAlign w:val="center"/>
                </w:tcPr>
                <w:p w14:paraId="3658FE7D">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r>
            <w:tr w14:paraId="7CC2F1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67AE370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污染物排放量（t/a）</w:t>
                  </w:r>
                </w:p>
              </w:tc>
              <w:tc>
                <w:tcPr>
                  <w:tcW w:w="1981" w:type="pct"/>
                  <w:tcBorders>
                    <w:tl2br w:val="nil"/>
                    <w:tr2bl w:val="nil"/>
                  </w:tcBorders>
                  <w:noWrap w:val="0"/>
                  <w:vAlign w:val="center"/>
                </w:tcPr>
                <w:p w14:paraId="3A99E8D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0.5</w:t>
                  </w:r>
                </w:p>
              </w:tc>
              <w:tc>
                <w:tcPr>
                  <w:tcW w:w="1981" w:type="pct"/>
                  <w:tcBorders>
                    <w:tl2br w:val="nil"/>
                    <w:tr2bl w:val="nil"/>
                  </w:tcBorders>
                  <w:noWrap w:val="0"/>
                  <w:vAlign w:val="center"/>
                </w:tcPr>
                <w:p w14:paraId="1712E797">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0.22</w:t>
                  </w:r>
                </w:p>
              </w:tc>
            </w:tr>
            <w:tr w14:paraId="7CF5B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restart"/>
                  <w:tcBorders>
                    <w:tl2br w:val="nil"/>
                    <w:tr2bl w:val="nil"/>
                  </w:tcBorders>
                  <w:noWrap w:val="0"/>
                  <w:vAlign w:val="center"/>
                </w:tcPr>
                <w:p w14:paraId="5EC573F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排放口基本信息</w:t>
                  </w:r>
                </w:p>
              </w:tc>
              <w:tc>
                <w:tcPr>
                  <w:tcW w:w="693" w:type="pct"/>
                  <w:tcBorders>
                    <w:tl2br w:val="nil"/>
                    <w:tr2bl w:val="nil"/>
                  </w:tcBorders>
                  <w:noWrap w:val="0"/>
                  <w:vAlign w:val="center"/>
                </w:tcPr>
                <w:p w14:paraId="1FEC140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高度（m）</w:t>
                  </w:r>
                </w:p>
              </w:tc>
              <w:tc>
                <w:tcPr>
                  <w:tcW w:w="1981" w:type="pct"/>
                  <w:tcBorders>
                    <w:tl2br w:val="nil"/>
                    <w:tr2bl w:val="nil"/>
                  </w:tcBorders>
                  <w:noWrap w:val="0"/>
                  <w:vAlign w:val="center"/>
                </w:tcPr>
                <w:p w14:paraId="62D48A0B">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981" w:type="pct"/>
                  <w:tcBorders>
                    <w:tl2br w:val="nil"/>
                    <w:tr2bl w:val="nil"/>
                  </w:tcBorders>
                  <w:noWrap w:val="0"/>
                  <w:vAlign w:val="center"/>
                </w:tcPr>
                <w:p w14:paraId="5C26E688">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38B26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51072576">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6E2CF7D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排气筒内径（m）</w:t>
                  </w:r>
                </w:p>
              </w:tc>
              <w:tc>
                <w:tcPr>
                  <w:tcW w:w="1981" w:type="pct"/>
                  <w:tcBorders>
                    <w:tl2br w:val="nil"/>
                    <w:tr2bl w:val="nil"/>
                  </w:tcBorders>
                  <w:noWrap w:val="0"/>
                  <w:vAlign w:val="center"/>
                </w:tcPr>
                <w:p w14:paraId="44B1FC0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981" w:type="pct"/>
                  <w:tcBorders>
                    <w:tl2br w:val="nil"/>
                    <w:tr2bl w:val="nil"/>
                  </w:tcBorders>
                  <w:noWrap w:val="0"/>
                  <w:vAlign w:val="center"/>
                </w:tcPr>
                <w:p w14:paraId="5C7CADE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424D8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35B92B6A">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1B9614B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温度（℃）</w:t>
                  </w:r>
                </w:p>
              </w:tc>
              <w:tc>
                <w:tcPr>
                  <w:tcW w:w="1981" w:type="pct"/>
                  <w:tcBorders>
                    <w:tl2br w:val="nil"/>
                    <w:tr2bl w:val="nil"/>
                  </w:tcBorders>
                  <w:noWrap w:val="0"/>
                  <w:vAlign w:val="center"/>
                </w:tcPr>
                <w:p w14:paraId="178E1ACE">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常温</w:t>
                  </w:r>
                </w:p>
              </w:tc>
              <w:tc>
                <w:tcPr>
                  <w:tcW w:w="1981" w:type="pct"/>
                  <w:tcBorders>
                    <w:tl2br w:val="nil"/>
                    <w:tr2bl w:val="nil"/>
                  </w:tcBorders>
                  <w:noWrap w:val="0"/>
                  <w:vAlign w:val="center"/>
                </w:tcPr>
                <w:p w14:paraId="0689241E">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48D799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22174E87">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127F6C6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编号及名称</w:t>
                  </w:r>
                </w:p>
              </w:tc>
              <w:tc>
                <w:tcPr>
                  <w:tcW w:w="1981" w:type="pct"/>
                  <w:tcBorders>
                    <w:tl2br w:val="nil"/>
                    <w:tr2bl w:val="nil"/>
                  </w:tcBorders>
                  <w:noWrap w:val="0"/>
                  <w:vAlign w:val="center"/>
                </w:tcPr>
                <w:p w14:paraId="6158403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981" w:type="pct"/>
                  <w:tcBorders>
                    <w:tl2br w:val="nil"/>
                    <w:tr2bl w:val="nil"/>
                  </w:tcBorders>
                  <w:noWrap w:val="0"/>
                  <w:vAlign w:val="center"/>
                </w:tcPr>
                <w:p w14:paraId="18811FBE">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w:t>
                  </w:r>
                </w:p>
              </w:tc>
            </w:tr>
            <w:tr w14:paraId="49907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08E87AB7">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43A25E0C">
                  <w:pPr>
                    <w:adjustRightInd w:val="0"/>
                    <w:snapToGrid w:val="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地理坐标（°）</w:t>
                  </w:r>
                </w:p>
              </w:tc>
              <w:tc>
                <w:tcPr>
                  <w:tcW w:w="1981" w:type="pct"/>
                  <w:tcBorders>
                    <w:tl2br w:val="nil"/>
                    <w:tr2bl w:val="nil"/>
                  </w:tcBorders>
                  <w:noWrap w:val="0"/>
                  <w:vAlign w:val="center"/>
                </w:tcPr>
                <w:p w14:paraId="27E17A7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981" w:type="pct"/>
                  <w:tcBorders>
                    <w:tl2br w:val="nil"/>
                    <w:tr2bl w:val="nil"/>
                  </w:tcBorders>
                  <w:noWrap w:val="0"/>
                  <w:vAlign w:val="center"/>
                </w:tcPr>
                <w:p w14:paraId="1E4ADEA5">
                  <w:pPr>
                    <w:adjustRightInd w:val="0"/>
                    <w:snapToGrid w:val="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92A2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7" w:type="pct"/>
                  <w:gridSpan w:val="2"/>
                  <w:tcBorders>
                    <w:tl2br w:val="nil"/>
                    <w:tr2bl w:val="nil"/>
                  </w:tcBorders>
                  <w:noWrap w:val="0"/>
                  <w:vAlign w:val="center"/>
                </w:tcPr>
                <w:p w14:paraId="6EACFCD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排放标准</w:t>
                  </w:r>
                </w:p>
              </w:tc>
              <w:tc>
                <w:tcPr>
                  <w:tcW w:w="3962" w:type="pct"/>
                  <w:gridSpan w:val="2"/>
                  <w:tcBorders>
                    <w:tl2br w:val="nil"/>
                    <w:tr2bl w:val="nil"/>
                  </w:tcBorders>
                  <w:noWrap w:val="0"/>
                  <w:vAlign w:val="center"/>
                </w:tcPr>
                <w:p w14:paraId="7B511967">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 w:val="21"/>
                      <w:szCs w:val="21"/>
                    </w:rPr>
                    <w:t>《煤炭工业污染物排放标准》（GB20246-2006</w:t>
                  </w:r>
                  <w:r>
                    <w:rPr>
                      <w:rFonts w:hint="eastAsia" w:ascii="Times New Roman" w:hAnsi="Times New Roman" w:eastAsia="宋体" w:cs="Times New Roman"/>
                      <w:color w:val="auto"/>
                      <w:sz w:val="21"/>
                      <w:szCs w:val="21"/>
                      <w:lang w:eastAsia="zh-CN"/>
                    </w:rPr>
                    <w:t>）</w:t>
                  </w:r>
                </w:p>
              </w:tc>
            </w:tr>
            <w:tr w14:paraId="6ECFD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4" w:type="pct"/>
                  <w:vMerge w:val="restart"/>
                  <w:tcBorders>
                    <w:tl2br w:val="nil"/>
                    <w:tr2bl w:val="nil"/>
                  </w:tcBorders>
                  <w:noWrap w:val="0"/>
                  <w:vAlign w:val="center"/>
                </w:tcPr>
                <w:p w14:paraId="0D4F7F7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4E55C5C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要求</w:t>
                  </w:r>
                </w:p>
              </w:tc>
              <w:tc>
                <w:tcPr>
                  <w:tcW w:w="693" w:type="pct"/>
                  <w:tcBorders>
                    <w:tl2br w:val="nil"/>
                    <w:tr2bl w:val="nil"/>
                  </w:tcBorders>
                  <w:noWrap w:val="0"/>
                  <w:vAlign w:val="center"/>
                </w:tcPr>
                <w:p w14:paraId="7CA341F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FD95F4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点位</w:t>
                  </w:r>
                </w:p>
              </w:tc>
              <w:tc>
                <w:tcPr>
                  <w:tcW w:w="3962" w:type="pct"/>
                  <w:gridSpan w:val="2"/>
                  <w:tcBorders>
                    <w:tl2br w:val="nil"/>
                    <w:tr2bl w:val="nil"/>
                  </w:tcBorders>
                  <w:noWrap w:val="0"/>
                  <w:vAlign w:val="center"/>
                </w:tcPr>
                <w:p w14:paraId="68843EC7">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无组织：</w:t>
                  </w:r>
                  <w:r>
                    <w:rPr>
                      <w:rFonts w:hint="default" w:ascii="Times New Roman" w:hAnsi="Times New Roman" w:eastAsia="宋体" w:cs="Times New Roman"/>
                      <w:color w:val="auto"/>
                      <w:szCs w:val="21"/>
                    </w:rPr>
                    <w:t>厂界上风向1处，下风向3处</w:t>
                  </w:r>
                </w:p>
              </w:tc>
            </w:tr>
            <w:tr w14:paraId="06B684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733A67D7">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707D335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4A4C754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因子</w:t>
                  </w:r>
                </w:p>
              </w:tc>
              <w:tc>
                <w:tcPr>
                  <w:tcW w:w="3962" w:type="pct"/>
                  <w:gridSpan w:val="2"/>
                  <w:tcBorders>
                    <w:tl2br w:val="nil"/>
                    <w:tr2bl w:val="nil"/>
                  </w:tcBorders>
                  <w:noWrap w:val="0"/>
                  <w:vAlign w:val="center"/>
                </w:tcPr>
                <w:p w14:paraId="3E015D54">
                  <w:pPr>
                    <w:adjustRightInd w:val="0"/>
                    <w:snapToGrid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颗粒物</w:t>
                  </w:r>
                </w:p>
              </w:tc>
            </w:tr>
            <w:tr w14:paraId="32B9E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4" w:type="pct"/>
                  <w:vMerge w:val="continue"/>
                  <w:tcBorders>
                    <w:tl2br w:val="nil"/>
                    <w:tr2bl w:val="nil"/>
                  </w:tcBorders>
                  <w:noWrap w:val="0"/>
                  <w:vAlign w:val="center"/>
                </w:tcPr>
                <w:p w14:paraId="5EE22AA8">
                  <w:pPr>
                    <w:adjustRightInd w:val="0"/>
                    <w:snapToGrid w:val="0"/>
                    <w:jc w:val="center"/>
                    <w:rPr>
                      <w:rFonts w:hint="default" w:ascii="Times New Roman" w:hAnsi="Times New Roman" w:eastAsia="宋体" w:cs="Times New Roman"/>
                      <w:color w:val="auto"/>
                      <w:szCs w:val="21"/>
                    </w:rPr>
                  </w:pPr>
                </w:p>
              </w:tc>
              <w:tc>
                <w:tcPr>
                  <w:tcW w:w="693" w:type="pct"/>
                  <w:tcBorders>
                    <w:tl2br w:val="nil"/>
                    <w:tr2bl w:val="nil"/>
                  </w:tcBorders>
                  <w:noWrap w:val="0"/>
                  <w:vAlign w:val="center"/>
                </w:tcPr>
                <w:p w14:paraId="561F1C8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w:t>
                  </w:r>
                </w:p>
                <w:p w14:paraId="3E31E4A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频次</w:t>
                  </w:r>
                </w:p>
              </w:tc>
              <w:tc>
                <w:tcPr>
                  <w:tcW w:w="3962" w:type="pct"/>
                  <w:gridSpan w:val="2"/>
                  <w:tcBorders>
                    <w:tl2br w:val="nil"/>
                    <w:tr2bl w:val="nil"/>
                  </w:tcBorders>
                  <w:noWrap w:val="0"/>
                  <w:vAlign w:val="center"/>
                </w:tcPr>
                <w:p w14:paraId="212FB29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r>
          </w:tbl>
          <w:p w14:paraId="4A0A567C">
            <w:pPr>
              <w:keepNext/>
              <w:keepLines/>
              <w:pageBreakBefore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eastAsia="zh-CN"/>
              </w:rPr>
              <w:t>）污染源源强核算过程</w:t>
            </w:r>
          </w:p>
          <w:p w14:paraId="7314E0BD">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①原料卸料、储存、输送的煤尘</w:t>
            </w:r>
          </w:p>
          <w:p w14:paraId="4958B5B2">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项目原料卸料在密闭仓储棚内，在装卸料过程中会产生一定量的煤尘，类比《</w:t>
            </w:r>
            <w:r>
              <w:rPr>
                <w:rFonts w:hint="eastAsia" w:cs="Times New Roman"/>
                <w:color w:val="auto"/>
                <w:kern w:val="0"/>
                <w:sz w:val="24"/>
                <w:lang w:val="en-US" w:eastAsia="zh-CN"/>
              </w:rPr>
              <w:t>工</w:t>
            </w:r>
            <w:r>
              <w:rPr>
                <w:rFonts w:hint="eastAsia" w:ascii="Times New Roman" w:hAnsi="Times New Roman" w:eastAsia="宋体" w:cs="Times New Roman"/>
                <w:color w:val="auto"/>
                <w:kern w:val="0"/>
                <w:sz w:val="24"/>
                <w:lang w:val="en-US" w:eastAsia="zh-CN"/>
              </w:rPr>
              <w:t>业煤尘控制技术》，原料储存、运输、卸料等工序中煤尘的产生系数为0.01kg/t原料，项目煤炭储存总量为50万吨/a</w:t>
            </w:r>
            <w:r>
              <w:rPr>
                <w:rFonts w:hint="eastAsia" w:cs="Times New Roman"/>
                <w:color w:val="auto"/>
                <w:kern w:val="0"/>
                <w:sz w:val="24"/>
                <w:lang w:val="en-US" w:eastAsia="zh-CN"/>
              </w:rPr>
              <w:t>，</w:t>
            </w:r>
            <w:r>
              <w:rPr>
                <w:rFonts w:hint="eastAsia" w:ascii="Times New Roman" w:hAnsi="Times New Roman" w:eastAsia="宋体" w:cs="Times New Roman"/>
                <w:color w:val="auto"/>
                <w:kern w:val="0"/>
                <w:sz w:val="24"/>
                <w:lang w:val="en-US" w:eastAsia="zh-CN"/>
              </w:rPr>
              <w:t>则无组织排放煤尘约为5t/a。项目设置抑尘喷淋系统，</w:t>
            </w:r>
            <w:r>
              <w:rPr>
                <w:rFonts w:hint="eastAsia" w:cs="Times New Roman"/>
                <w:color w:val="auto"/>
                <w:kern w:val="0"/>
                <w:sz w:val="24"/>
                <w:lang w:val="en-US" w:eastAsia="zh-CN"/>
              </w:rPr>
              <w:t>装卸</w:t>
            </w:r>
            <w:r>
              <w:rPr>
                <w:rFonts w:hint="eastAsia" w:ascii="Times New Roman" w:hAnsi="Times New Roman" w:eastAsia="宋体" w:cs="Times New Roman"/>
                <w:color w:val="auto"/>
                <w:kern w:val="0"/>
                <w:sz w:val="24"/>
                <w:lang w:val="en-US" w:eastAsia="zh-CN"/>
              </w:rPr>
              <w:t>过程采用</w:t>
            </w:r>
            <w:r>
              <w:rPr>
                <w:rFonts w:hint="eastAsia" w:cs="Times New Roman"/>
                <w:color w:val="auto"/>
                <w:kern w:val="0"/>
                <w:sz w:val="24"/>
                <w:lang w:val="en-US" w:eastAsia="zh-CN"/>
              </w:rPr>
              <w:t>喷淋</w:t>
            </w:r>
            <w:r>
              <w:rPr>
                <w:rFonts w:hint="eastAsia" w:ascii="Times New Roman" w:hAnsi="Times New Roman" w:eastAsia="宋体" w:cs="Times New Roman"/>
                <w:color w:val="auto"/>
                <w:kern w:val="0"/>
                <w:sz w:val="24"/>
                <w:lang w:val="en-US" w:eastAsia="zh-CN"/>
              </w:rPr>
              <w:t>降尘措施；平时储存过程定时</w:t>
            </w:r>
            <w:r>
              <w:rPr>
                <w:rFonts w:hint="eastAsia" w:cs="Times New Roman"/>
                <w:color w:val="auto"/>
                <w:kern w:val="0"/>
                <w:sz w:val="24"/>
                <w:lang w:val="en-US" w:eastAsia="zh-CN"/>
              </w:rPr>
              <w:t>喷淋</w:t>
            </w:r>
            <w:r>
              <w:rPr>
                <w:rFonts w:hint="eastAsia" w:ascii="Times New Roman" w:hAnsi="Times New Roman" w:eastAsia="宋体" w:cs="Times New Roman"/>
                <w:color w:val="auto"/>
                <w:kern w:val="0"/>
                <w:sz w:val="24"/>
                <w:lang w:val="en-US" w:eastAsia="zh-CN"/>
              </w:rPr>
              <w:t>，将无组织煤尘降到最低。采取上述措施后，除尘效率可达到90%，则项目原料装卸、转运过程中煤尘逸散量约为0.</w:t>
            </w:r>
            <w:r>
              <w:rPr>
                <w:rFonts w:hint="eastAsia" w:cs="Times New Roman"/>
                <w:color w:val="auto"/>
                <w:kern w:val="0"/>
                <w:sz w:val="24"/>
                <w:lang w:val="en-US" w:eastAsia="zh-CN"/>
              </w:rPr>
              <w:t>5</w:t>
            </w:r>
            <w:r>
              <w:rPr>
                <w:rFonts w:hint="eastAsia" w:ascii="Times New Roman" w:hAnsi="Times New Roman" w:eastAsia="宋体" w:cs="Times New Roman"/>
                <w:color w:val="auto"/>
                <w:kern w:val="0"/>
                <w:sz w:val="24"/>
                <w:lang w:val="en-US" w:eastAsia="zh-CN"/>
              </w:rPr>
              <w:t>t/a。</w:t>
            </w:r>
          </w:p>
          <w:p w14:paraId="1709FA22">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②道路运输扬尘</w:t>
            </w:r>
          </w:p>
          <w:p w14:paraId="25F82794">
            <w:pPr>
              <w:keepNext/>
              <w:keepLines/>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项目煤炭运入全部为汽车运输，在运输过程中会产生道路扬尘。运输量为50万t/a，需要载重为40t的汽车运输12500次。由于项目汽车运输量很大，载重车辆频繁的进出厂区引起道路扬尘量增加。道路起尘的计算公式如下：</w:t>
            </w:r>
            <w:r>
              <w:drawing>
                <wp:inline distT="0" distB="0" distL="114300" distR="114300">
                  <wp:extent cx="5153025" cy="2324100"/>
                  <wp:effectExtent l="0" t="0" r="952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2"/>
                          <a:stretch>
                            <a:fillRect/>
                          </a:stretch>
                        </pic:blipFill>
                        <pic:spPr>
                          <a:xfrm>
                            <a:off x="0" y="0"/>
                            <a:ext cx="5153025" cy="2324100"/>
                          </a:xfrm>
                          <a:prstGeom prst="rect">
                            <a:avLst/>
                          </a:prstGeom>
                          <a:noFill/>
                          <a:ln>
                            <a:noFill/>
                          </a:ln>
                        </pic:spPr>
                      </pic:pic>
                    </a:graphicData>
                  </a:graphic>
                </wp:inline>
              </w:drawing>
            </w:r>
          </w:p>
          <w:p w14:paraId="2775DCB5">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本次环评计算以不洒水时地面清洁程度P=0.2kg/㎡计，则车辆动力起尘量为1.7kg/</w:t>
            </w:r>
            <w:r>
              <w:rPr>
                <w:rFonts w:hint="eastAsia" w:cs="Times New Roman"/>
                <w:color w:val="auto"/>
                <w:kern w:val="0"/>
                <w:sz w:val="24"/>
                <w:lang w:val="en-US" w:eastAsia="zh-CN"/>
              </w:rPr>
              <w:t>(km·</w:t>
            </w:r>
            <w:r>
              <w:rPr>
                <w:rFonts w:hint="eastAsia" w:ascii="Times New Roman" w:hAnsi="Times New Roman" w:eastAsia="宋体" w:cs="Times New Roman"/>
                <w:color w:val="auto"/>
                <w:kern w:val="0"/>
                <w:sz w:val="24"/>
                <w:lang w:val="en-US" w:eastAsia="zh-CN"/>
              </w:rPr>
              <w:t>辆。车辆在厂区行驶距离约为220米，平均每天满载1辆·次。则起尘量为7.48kg/d（t/a）。本项目依托原有项目洒水车，定时对运输道路进行洒水抑尘，物料输送均采用封闭车辆，并限制车速，经采取以上降尘措施后，起尘量会减少9%左右，因此项目道路运输起尘量约为7.48kg/d（</w:t>
            </w:r>
            <w:r>
              <w:rPr>
                <w:rFonts w:hint="eastAsia" w:cs="Times New Roman"/>
                <w:color w:val="auto"/>
                <w:kern w:val="0"/>
                <w:sz w:val="24"/>
                <w:lang w:val="en-US" w:eastAsia="zh-CN"/>
              </w:rPr>
              <w:t>2.24</w:t>
            </w:r>
            <w:r>
              <w:rPr>
                <w:rFonts w:hint="eastAsia" w:ascii="Times New Roman" w:hAnsi="Times New Roman" w:eastAsia="宋体" w:cs="Times New Roman"/>
                <w:color w:val="auto"/>
                <w:kern w:val="0"/>
                <w:sz w:val="24"/>
                <w:lang w:val="en-US" w:eastAsia="zh-CN"/>
              </w:rPr>
              <w:t>t/a）。</w:t>
            </w:r>
          </w:p>
          <w:p w14:paraId="06FC1C8C">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2</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污染物达标排放情况</w:t>
            </w:r>
          </w:p>
          <w:p w14:paraId="7935326D">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本项目</w:t>
            </w:r>
            <w:r>
              <w:rPr>
                <w:rFonts w:hint="eastAsia" w:ascii="Times New Roman" w:hAnsi="Times New Roman" w:eastAsia="宋体" w:cs="Times New Roman"/>
                <w:b w:val="0"/>
                <w:bCs w:val="0"/>
                <w:color w:val="auto"/>
                <w:sz w:val="24"/>
                <w:lang w:val="en-US" w:eastAsia="zh-CN"/>
              </w:rPr>
              <w:t>废气</w:t>
            </w:r>
            <w:r>
              <w:rPr>
                <w:rFonts w:hint="eastAsia" w:cs="Times New Roman"/>
                <w:b w:val="0"/>
                <w:bCs w:val="0"/>
                <w:color w:val="auto"/>
                <w:sz w:val="24"/>
                <w:lang w:val="en-US" w:eastAsia="zh-CN"/>
              </w:rPr>
              <w:t>污染因子主要为颗粒物，企业建设密闭仓储大棚，内设喷淋</w:t>
            </w:r>
            <w:r>
              <w:rPr>
                <w:rFonts w:hint="default" w:ascii="Times New Roman" w:hAnsi="Times New Roman" w:eastAsia="宋体" w:cs="Times New Roman"/>
                <w:color w:val="auto"/>
                <w:sz w:val="24"/>
                <w:lang w:val="en-US" w:eastAsia="zh-CN"/>
              </w:rPr>
              <w:t>，并经车间厂房阻拦后，厂界颗粒物无组织排放监控点达标，排放浓度＜1.0mg/m³标准限值。对周围空气环境质量产生影响很小。满足《煤炭工业污染物排放标准》（GB20246-2006</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无组织排放限值要求。</w:t>
            </w:r>
          </w:p>
          <w:p w14:paraId="2C5F1D2F">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废气治理设施可行性分析</w:t>
            </w:r>
          </w:p>
          <w:p w14:paraId="5C3D990E">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根据《煤炭洗选工程设计规范》，考虑到项目周边500米范围分布有张家崖村居民约300户，评价要求厂区生产厂房设置为棚架式全封闭厂房，四周设置围墙及绿化，以减少煤尘产生与排放。</w:t>
            </w:r>
          </w:p>
          <w:p w14:paraId="516CB38E">
            <w:pPr>
              <w:keepNext/>
              <w:keepLines/>
              <w:pageBreakBefore w:val="0"/>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lang w:val="en-US" w:eastAsia="zh-CN"/>
              </w:rPr>
            </w:pPr>
            <w:r>
              <w:rPr>
                <w:rFonts w:hint="eastAsia" w:cs="Times New Roman"/>
                <w:color w:val="auto"/>
                <w:sz w:val="24"/>
                <w:lang w:val="en-US" w:eastAsia="zh-CN"/>
              </w:rPr>
              <w:t>根据《固体物料堆存颗粒物产排污核算系数手册》，从抑尘效果看，封闭式堆场控制效率可达90%以上。综上所述，本项目采用封闭式厂房，四周设防风墙，并设置喷淋、洒水及雾炮机等措施是可行的，可达到防尘、抑尘的目的。符合环保要求，减少了粉尘对外环境的影响。</w:t>
            </w:r>
          </w:p>
          <w:p w14:paraId="5766C735">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非正常工况废气</w:t>
            </w:r>
          </w:p>
          <w:p w14:paraId="1D2E36E9">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lang w:val="en-US" w:eastAsia="zh-CN"/>
              </w:rPr>
              <w:t>本项目非正常情况主要是</w:t>
            </w:r>
            <w:r>
              <w:rPr>
                <w:rFonts w:hint="eastAsia" w:cs="Times New Roman"/>
                <w:color w:val="auto"/>
                <w:sz w:val="24"/>
                <w:lang w:val="en-US" w:eastAsia="zh-CN"/>
              </w:rPr>
              <w:t>喷淋设施出现故障，会导致装卸、输送和储存产生的扬尘无法及时抑制</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szCs w:val="24"/>
                <w:lang w:val="en-US" w:eastAsia="zh-CN"/>
              </w:rPr>
              <w:t>对周边大气环境影响加大。为防止生产废气非正常工况排放，建设单位必须加强废气处理设施的管理，定期检修，确保</w:t>
            </w:r>
            <w:r>
              <w:rPr>
                <w:rFonts w:hint="eastAsia" w:cs="Times New Roman"/>
                <w:color w:val="auto"/>
                <w:sz w:val="24"/>
                <w:szCs w:val="24"/>
                <w:lang w:val="en-US" w:eastAsia="zh-CN"/>
              </w:rPr>
              <w:t>喷淋</w:t>
            </w:r>
            <w:r>
              <w:rPr>
                <w:rFonts w:hint="eastAsia" w:ascii="Times New Roman" w:hAnsi="Times New Roman" w:eastAsia="宋体" w:cs="Times New Roman"/>
                <w:color w:val="auto"/>
                <w:sz w:val="24"/>
                <w:szCs w:val="24"/>
                <w:lang w:val="en-US" w:eastAsia="zh-CN"/>
              </w:rPr>
              <w:t>设施正常运行，在废气处理设施出现故障或停止运行时，产生废气的各工序也必须相应停止生产，杜绝废气非正常排放。</w:t>
            </w:r>
          </w:p>
          <w:p w14:paraId="448FCBEA">
            <w:pPr>
              <w:keepNext/>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5.</w:t>
            </w:r>
            <w:r>
              <w:rPr>
                <w:rFonts w:hint="default" w:ascii="Times New Roman" w:hAnsi="Times New Roman" w:eastAsia="宋体" w:cs="Times New Roman"/>
                <w:b/>
                <w:bCs/>
                <w:color w:val="auto"/>
                <w:kern w:val="2"/>
                <w:sz w:val="24"/>
                <w:szCs w:val="24"/>
                <w:lang w:val="en-US" w:eastAsia="zh-CN" w:bidi="ar-SA"/>
              </w:rPr>
              <w:t>环境影响分析</w:t>
            </w:r>
          </w:p>
          <w:p w14:paraId="4D9C7FD6">
            <w:pPr>
              <w:keepNext/>
              <w:keepLines/>
              <w:pageBreakBefore w:val="0"/>
              <w:widowControl/>
              <w:numPr>
                <w:ilvl w:val="0"/>
                <w:numId w:val="0"/>
              </w:numPr>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黑体" w:cs="Times New Roman"/>
                <w:bCs/>
                <w:color w:val="auto"/>
                <w:sz w:val="24"/>
                <w:szCs w:val="28"/>
                <w:lang w:val="en-US" w:eastAsia="zh-CN"/>
              </w:rPr>
            </w:pPr>
            <w:r>
              <w:rPr>
                <w:rFonts w:hint="default" w:ascii="Times New Roman" w:hAnsi="Times New Roman" w:eastAsia="宋体" w:cs="Times New Roman"/>
                <w:color w:val="auto"/>
                <w:sz w:val="24"/>
                <w:szCs w:val="24"/>
                <w:lang w:val="en-US" w:eastAsia="zh-CN"/>
              </w:rPr>
              <w:t>项目所在地区域环境空气为</w:t>
            </w:r>
            <w:r>
              <w:rPr>
                <w:rFonts w:hint="eastAsia" w:ascii="Times New Roman" w:hAnsi="Times New Roman" w:eastAsia="宋体" w:cs="Times New Roman"/>
                <w:color w:val="auto"/>
                <w:sz w:val="24"/>
                <w:szCs w:val="24"/>
                <w:lang w:val="en-US" w:eastAsia="zh-CN"/>
              </w:rPr>
              <w:t>不</w:t>
            </w:r>
            <w:r>
              <w:rPr>
                <w:rFonts w:hint="default" w:ascii="Times New Roman" w:hAnsi="Times New Roman" w:eastAsia="宋体" w:cs="Times New Roman"/>
                <w:color w:val="auto"/>
                <w:sz w:val="24"/>
                <w:szCs w:val="24"/>
                <w:lang w:val="en-US" w:eastAsia="zh-CN"/>
              </w:rPr>
              <w:t>达标区。项目废气经相关污染防治措施后可以达标排放，项目的实施不会对周边大气环境产生不利影响，不会影响区域环境质量目标的实现，周边环境空气质量可维持现状。本评价要求建设单位定期对废气处理设备进行维修保养，确保废气处理设施正常运行，如发生故障立即停产检修，经调试合格后方可投入生产。</w:t>
            </w:r>
          </w:p>
          <w:p w14:paraId="0EC07FEA">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Cs/>
                <w:color w:val="auto"/>
                <w:sz w:val="24"/>
                <w:szCs w:val="24"/>
              </w:rPr>
            </w:pPr>
            <w:r>
              <w:rPr>
                <w:rFonts w:hint="eastAsia" w:ascii="Times New Roman" w:hAnsi="Times New Roman" w:eastAsia="宋体" w:cs="Times New Roman"/>
                <w:b/>
                <w:bCs/>
                <w:color w:val="auto"/>
                <w:kern w:val="2"/>
                <w:sz w:val="24"/>
                <w:szCs w:val="24"/>
                <w:lang w:val="en-US" w:eastAsia="zh-CN" w:bidi="ar-SA"/>
              </w:rPr>
              <w:t>6.</w:t>
            </w:r>
            <w:r>
              <w:rPr>
                <w:rFonts w:hint="default" w:ascii="Times New Roman" w:hAnsi="Times New Roman" w:eastAsia="宋体" w:cs="Times New Roman"/>
                <w:b/>
                <w:bCs/>
                <w:color w:val="auto"/>
                <w:kern w:val="2"/>
                <w:sz w:val="24"/>
                <w:szCs w:val="24"/>
                <w:lang w:val="en-US" w:eastAsia="zh-CN" w:bidi="ar-SA"/>
              </w:rPr>
              <w:t>监测计划</w:t>
            </w:r>
          </w:p>
          <w:p w14:paraId="3E00EC76">
            <w:pPr>
              <w:keepNext/>
              <w:keepLines/>
              <w:widowControl/>
              <w:adjustRightInd w:val="0"/>
              <w:snapToGrid w:val="0"/>
              <w:spacing w:line="360" w:lineRule="auto"/>
              <w:ind w:firstLine="480" w:firstLineChars="200"/>
              <w:jc w:val="left"/>
              <w:outlineLvl w:val="1"/>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项目运营后的环境监测工作可委托有资质</w:t>
            </w:r>
            <w:r>
              <w:rPr>
                <w:rFonts w:hint="eastAsia" w:cs="Times New Roman"/>
                <w:color w:val="auto"/>
                <w:sz w:val="24"/>
                <w:szCs w:val="24"/>
                <w:lang w:val="en-US" w:eastAsia="zh-CN"/>
              </w:rPr>
              <w:t>的监测</w:t>
            </w:r>
            <w:r>
              <w:rPr>
                <w:rFonts w:hint="default" w:ascii="Times New Roman" w:hAnsi="Times New Roman" w:eastAsia="宋体" w:cs="Times New Roman"/>
                <w:color w:val="auto"/>
                <w:sz w:val="24"/>
                <w:szCs w:val="24"/>
                <w:lang w:val="en-US" w:eastAsia="zh-CN"/>
              </w:rPr>
              <w:t>单位进行，并做好监测数据的报告和存档，</w:t>
            </w:r>
            <w:r>
              <w:rPr>
                <w:rFonts w:hint="default" w:ascii="Times New Roman" w:hAnsi="Times New Roman" w:eastAsia="宋体" w:cs="Times New Roman"/>
                <w:color w:val="auto"/>
                <w:sz w:val="24"/>
                <w:szCs w:val="24"/>
              </w:rPr>
              <w:t>根据《排污许可证申请与核发技术规范 总则》（HJ942-2018）</w:t>
            </w:r>
            <w:r>
              <w:rPr>
                <w:rFonts w:hint="eastAsia" w:cs="Times New Roman"/>
                <w:color w:val="auto"/>
                <w:sz w:val="24"/>
                <w:szCs w:val="24"/>
                <w:lang w:val="en-US" w:eastAsia="zh-CN"/>
              </w:rPr>
              <w:t>和《排污单位自行监测技术指南 总则》（HJ819-2017）</w:t>
            </w:r>
            <w:r>
              <w:rPr>
                <w:rFonts w:hint="default" w:ascii="Times New Roman" w:hAnsi="Times New Roman" w:eastAsia="宋体" w:cs="Times New Roman"/>
                <w:color w:val="auto"/>
                <w:sz w:val="24"/>
                <w:szCs w:val="24"/>
              </w:rPr>
              <w:t>，本项目运营期废气监测情况如下：</w:t>
            </w:r>
          </w:p>
          <w:p w14:paraId="1C302227">
            <w:pPr>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运营期污染源监测内容及计划</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7"/>
              <w:gridCol w:w="1374"/>
              <w:gridCol w:w="1330"/>
              <w:gridCol w:w="1182"/>
              <w:gridCol w:w="2935"/>
            </w:tblGrid>
            <w:tr w14:paraId="43E0B0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0" w:type="pct"/>
                  <w:gridSpan w:val="2"/>
                  <w:noWrap w:val="0"/>
                  <w:vAlign w:val="center"/>
                </w:tcPr>
                <w:p w14:paraId="723624D4">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监测要素</w:t>
                  </w:r>
                </w:p>
              </w:tc>
              <w:tc>
                <w:tcPr>
                  <w:tcW w:w="848" w:type="pct"/>
                  <w:noWrap w:val="0"/>
                  <w:vAlign w:val="center"/>
                </w:tcPr>
                <w:p w14:paraId="13499C81">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监测点位</w:t>
                  </w:r>
                </w:p>
              </w:tc>
              <w:tc>
                <w:tcPr>
                  <w:tcW w:w="821" w:type="pct"/>
                  <w:noWrap w:val="0"/>
                  <w:vAlign w:val="center"/>
                </w:tcPr>
                <w:p w14:paraId="6A6DC720">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729" w:type="pct"/>
                  <w:noWrap w:val="0"/>
                  <w:vAlign w:val="center"/>
                </w:tcPr>
                <w:p w14:paraId="54877E7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监测频次</w:t>
                  </w:r>
                </w:p>
              </w:tc>
              <w:tc>
                <w:tcPr>
                  <w:tcW w:w="1810" w:type="pct"/>
                  <w:noWrap w:val="0"/>
                  <w:vAlign w:val="center"/>
                </w:tcPr>
                <w:p w14:paraId="62534A00">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r>
            <w:tr w14:paraId="7CFB0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1" w:type="pct"/>
                  <w:noWrap w:val="0"/>
                  <w:vAlign w:val="center"/>
                </w:tcPr>
                <w:p w14:paraId="3141462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污染源监测</w:t>
                  </w:r>
                </w:p>
              </w:tc>
              <w:tc>
                <w:tcPr>
                  <w:tcW w:w="528" w:type="pct"/>
                  <w:noWrap w:val="0"/>
                  <w:vAlign w:val="center"/>
                </w:tcPr>
                <w:p w14:paraId="1F55CF3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无</w:t>
                  </w:r>
                  <w:r>
                    <w:rPr>
                      <w:rFonts w:hint="eastAsia" w:ascii="Times New Roman" w:hAnsi="Times New Roman" w:eastAsia="宋体" w:cs="Times New Roman"/>
                      <w:color w:val="auto"/>
                      <w:szCs w:val="21"/>
                      <w:lang w:val="en-US" w:eastAsia="zh-CN"/>
                    </w:rPr>
                    <w:t>组织</w:t>
                  </w:r>
                </w:p>
              </w:tc>
              <w:tc>
                <w:tcPr>
                  <w:tcW w:w="848" w:type="pct"/>
                  <w:noWrap w:val="0"/>
                  <w:vAlign w:val="center"/>
                </w:tcPr>
                <w:p w14:paraId="35F304B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厂界，上风向1个，下风向3个</w:t>
                  </w:r>
                </w:p>
              </w:tc>
              <w:tc>
                <w:tcPr>
                  <w:tcW w:w="821" w:type="pct"/>
                  <w:noWrap w:val="0"/>
                  <w:vAlign w:val="center"/>
                </w:tcPr>
                <w:p w14:paraId="14B59DA5">
                  <w:pPr>
                    <w:adjustRightInd w:val="0"/>
                    <w:snapToGrid w:val="0"/>
                    <w:jc w:val="center"/>
                    <w:rPr>
                      <w:rFonts w:hint="default"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颗粒物</w:t>
                  </w:r>
                </w:p>
              </w:tc>
              <w:tc>
                <w:tcPr>
                  <w:tcW w:w="729" w:type="pct"/>
                  <w:noWrap w:val="0"/>
                  <w:vAlign w:val="center"/>
                </w:tcPr>
                <w:p w14:paraId="2CB1A0E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1次/a</w:t>
                  </w:r>
                </w:p>
              </w:tc>
              <w:tc>
                <w:tcPr>
                  <w:tcW w:w="1810" w:type="pct"/>
                  <w:noWrap w:val="0"/>
                  <w:vAlign w:val="center"/>
                </w:tcPr>
                <w:p w14:paraId="36DAD05A">
                  <w:pPr>
                    <w:jc w:val="both"/>
                    <w:rPr>
                      <w:rFonts w:hint="default" w:ascii="Times New Roman" w:hAnsi="Times New Roman" w:eastAsia="宋体" w:cs="Times New Roman"/>
                      <w:color w:val="auto"/>
                      <w:szCs w:val="21"/>
                      <w:lang w:val="en-US" w:eastAsia="zh-CN"/>
                    </w:rPr>
                  </w:pPr>
                  <w:r>
                    <w:rPr>
                      <w:rFonts w:hint="eastAsia" w:cs="Times New Roman"/>
                      <w:color w:val="auto"/>
                      <w:szCs w:val="21"/>
                      <w:lang w:eastAsia="zh-CN"/>
                    </w:rPr>
                    <w:t>《</w:t>
                  </w:r>
                  <w:r>
                    <w:rPr>
                      <w:rFonts w:hint="eastAsia" w:cs="Times New Roman"/>
                      <w:color w:val="auto"/>
                      <w:szCs w:val="21"/>
                      <w:lang w:val="en-US" w:eastAsia="zh-CN"/>
                    </w:rPr>
                    <w:t>煤炭工业污染物排放标准</w:t>
                  </w:r>
                  <w:r>
                    <w:rPr>
                      <w:rFonts w:hint="eastAsia" w:cs="Times New Roman"/>
                      <w:color w:val="auto"/>
                      <w:szCs w:val="21"/>
                      <w:lang w:eastAsia="zh-CN"/>
                    </w:rPr>
                    <w:t>》（</w:t>
                  </w:r>
                  <w:r>
                    <w:rPr>
                      <w:rFonts w:hint="eastAsia" w:cs="Times New Roman"/>
                      <w:color w:val="auto"/>
                      <w:szCs w:val="21"/>
                      <w:lang w:val="en-US" w:eastAsia="zh-CN"/>
                    </w:rPr>
                    <w:t>GB20426-2006</w:t>
                  </w:r>
                  <w:r>
                    <w:rPr>
                      <w:rFonts w:hint="eastAsia" w:cs="Times New Roman"/>
                      <w:color w:val="auto"/>
                      <w:szCs w:val="21"/>
                      <w:lang w:eastAsia="zh-CN"/>
                    </w:rPr>
                    <w:t>）</w:t>
                  </w:r>
                  <w:r>
                    <w:rPr>
                      <w:rFonts w:hint="eastAsia" w:cs="Times New Roman"/>
                      <w:color w:val="auto"/>
                      <w:szCs w:val="21"/>
                      <w:lang w:val="en-US" w:eastAsia="zh-CN"/>
                    </w:rPr>
                    <w:t>表5中无组织排放监控浓度限值</w:t>
                  </w:r>
                </w:p>
              </w:tc>
            </w:tr>
          </w:tbl>
          <w:p w14:paraId="664BCF75">
            <w:pPr>
              <w:keepNext/>
              <w:keepLines/>
              <w:pageBreakBefore w:val="0"/>
              <w:widowControl/>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Cs/>
                <w:color w:val="auto"/>
                <w:sz w:val="24"/>
                <w:szCs w:val="28"/>
              </w:rPr>
            </w:pPr>
            <w:r>
              <w:rPr>
                <w:rFonts w:hint="default" w:ascii="Times New Roman" w:hAnsi="Times New Roman" w:eastAsia="宋体" w:cs="Times New Roman"/>
                <w:b/>
                <w:bCs/>
                <w:color w:val="auto"/>
                <w:kern w:val="2"/>
                <w:sz w:val="28"/>
                <w:szCs w:val="28"/>
                <w:lang w:val="en-US" w:eastAsia="zh-CN" w:bidi="ar-SA"/>
              </w:rPr>
              <w:t>二、运营期废水环境影响和保护措施</w:t>
            </w:r>
          </w:p>
          <w:p w14:paraId="44B08991">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default" w:ascii="Times New Roman" w:hAnsi="Times New Roman" w:eastAsia="宋体" w:cs="Times New Roman"/>
                <w:b/>
                <w:bCs/>
                <w:color w:val="auto"/>
                <w:kern w:val="2"/>
                <w:sz w:val="24"/>
                <w:szCs w:val="24"/>
                <w:lang w:val="en-US" w:eastAsia="zh-CN" w:bidi="ar-SA"/>
              </w:rPr>
              <w:t>地表水污染工序及源强分析</w:t>
            </w:r>
          </w:p>
          <w:p w14:paraId="0C8F3F3F">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eastAsia" w:cs="Times New Roman"/>
                <w:color w:val="auto"/>
                <w:sz w:val="24"/>
                <w:lang w:val="en-US" w:eastAsia="zh-CN"/>
              </w:rPr>
            </w:pPr>
            <w:r>
              <w:rPr>
                <w:rFonts w:hint="eastAsia" w:cs="Times New Roman"/>
                <w:color w:val="auto"/>
                <w:sz w:val="24"/>
                <w:lang w:val="en-US" w:eastAsia="zh-CN"/>
              </w:rPr>
              <w:t>本项目喷淋、道路洒水等用水均在使用过程中蒸发损耗，无外排废水；洗车废水经沉淀后重复使用，不外排。初期雨水经沉淀后用于厂区洒水抑尘，不外排。</w:t>
            </w:r>
          </w:p>
          <w:p w14:paraId="3EED3AD9">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eastAsia" w:cs="Times New Roman"/>
                <w:b/>
                <w:bCs/>
                <w:color w:val="auto"/>
                <w:kern w:val="2"/>
                <w:sz w:val="24"/>
                <w:szCs w:val="24"/>
                <w:lang w:val="en-US" w:eastAsia="zh-CN" w:bidi="ar-SA"/>
              </w:rPr>
            </w:pPr>
            <w:r>
              <w:rPr>
                <w:rFonts w:hint="eastAsia" w:cs="Times New Roman"/>
                <w:color w:val="auto"/>
                <w:sz w:val="24"/>
                <w:lang w:val="en-US" w:eastAsia="zh-CN"/>
              </w:rPr>
              <w:t>2.</w:t>
            </w:r>
            <w:r>
              <w:rPr>
                <w:rFonts w:hint="eastAsia" w:cs="Times New Roman"/>
                <w:b/>
                <w:bCs/>
                <w:color w:val="auto"/>
                <w:kern w:val="2"/>
                <w:sz w:val="24"/>
                <w:szCs w:val="24"/>
                <w:lang w:val="en-US" w:eastAsia="zh-CN" w:bidi="ar-SA"/>
              </w:rPr>
              <w:t>废水处理设施依托可行性分析</w:t>
            </w:r>
          </w:p>
          <w:p w14:paraId="720C7F07">
            <w:pPr>
              <w:keepNext/>
              <w:keepLines/>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1"/>
              <w:rPr>
                <w:rFonts w:hint="default" w:cs="Times New Roman"/>
                <w:color w:val="auto"/>
                <w:sz w:val="24"/>
                <w:lang w:val="en-US" w:eastAsia="zh-CN"/>
              </w:rPr>
            </w:pPr>
            <w:r>
              <w:rPr>
                <w:rFonts w:hint="eastAsia" w:cs="Times New Roman"/>
                <w:color w:val="auto"/>
                <w:sz w:val="24"/>
                <w:lang w:val="en-US" w:eastAsia="zh-CN"/>
              </w:rPr>
              <w:t>本项目洗车废水中污染物主要为煤灰和渣土，经二级沉淀池处理后可达到洗车用水的要求，本项目依托现有项目洗车台及沉淀池，增加清掏煤泥的频次，每天增加的废水量为2.13m³，现有项目二级沉淀池的容积为20m³，现新增2.13m³废水，远低于沉淀池最大容积，故可容纳新增废水暂存。收集的初期雨水主要为煤灰和渣土，经沉淀后可用于洗车及道路洒水抑尘，可做到有效利用。</w:t>
            </w:r>
          </w:p>
          <w:p w14:paraId="307FFDB5">
            <w:pPr>
              <w:keepNext/>
              <w:keepLines/>
              <w:pageBreakBefore w:val="0"/>
              <w:widowControl/>
              <w:kinsoku/>
              <w:wordWrap/>
              <w:overflowPunct/>
              <w:topLinePunct w:val="0"/>
              <w:autoSpaceDE/>
              <w:autoSpaceDN/>
              <w:bidi w:val="0"/>
              <w:adjustRightInd w:val="0"/>
              <w:snapToGrid w:val="0"/>
              <w:spacing w:line="360" w:lineRule="auto"/>
              <w:jc w:val="left"/>
              <w:textAlignment w:val="auto"/>
              <w:outlineLvl w:val="1"/>
              <w:rPr>
                <w:rFonts w:hint="default" w:ascii="Times New Roman" w:hAnsi="Times New Roman" w:eastAsia="宋体" w:cs="Times New Roman"/>
                <w:b/>
                <w:bCs/>
                <w:color w:val="auto"/>
                <w:kern w:val="2"/>
                <w:sz w:val="28"/>
                <w:szCs w:val="28"/>
                <w:lang w:val="en-US" w:eastAsia="zh-CN" w:bidi="ar-SA"/>
              </w:rPr>
            </w:pPr>
            <w:r>
              <w:rPr>
                <w:rFonts w:hint="default" w:ascii="Times New Roman" w:hAnsi="Times New Roman" w:eastAsia="宋体" w:cs="Times New Roman"/>
                <w:b/>
                <w:bCs/>
                <w:color w:val="auto"/>
                <w:kern w:val="2"/>
                <w:sz w:val="28"/>
                <w:szCs w:val="28"/>
                <w:lang w:val="en-US" w:eastAsia="zh-CN" w:bidi="ar-SA"/>
              </w:rPr>
              <w:t>三、运营期噪声环境影响和保护措施</w:t>
            </w:r>
          </w:p>
          <w:p w14:paraId="5F0B8F16">
            <w:pPr>
              <w:keepNext/>
              <w:keepLines/>
              <w:pageBreakBefore w:val="0"/>
              <w:widowControl/>
              <w:kinsoku/>
              <w:wordWrap/>
              <w:overflowPunct/>
              <w:topLinePunct w:val="0"/>
              <w:autoSpaceDE/>
              <w:autoSpaceDN/>
              <w:bidi w:val="0"/>
              <w:adjustRightInd w:val="0"/>
              <w:snapToGrid w:val="0"/>
              <w:spacing w:line="360" w:lineRule="auto"/>
              <w:ind w:firstLine="482" w:firstLineChars="200"/>
              <w:jc w:val="left"/>
              <w:textAlignment w:val="auto"/>
              <w:outlineLvl w:val="1"/>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1</w:t>
            </w:r>
            <w:r>
              <w:rPr>
                <w:rFonts w:hint="eastAsia"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声环境影响分析和保护措施</w:t>
            </w:r>
          </w:p>
          <w:p w14:paraId="64407B55">
            <w:pPr>
              <w:adjustRightInd w:val="0"/>
              <w:snapToGrid w:val="0"/>
              <w:spacing w:line="360" w:lineRule="auto"/>
              <w:ind w:firstLine="480" w:firstLineChars="200"/>
              <w:rPr>
                <w:rFonts w:hint="default" w:ascii="Times New Roman" w:hAnsi="Times New Roman" w:cs="Times New Roman"/>
                <w:color w:val="auto"/>
                <w:sz w:val="24"/>
                <w:szCs w:val="24"/>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运营期</w:t>
            </w:r>
            <w:r>
              <w:rPr>
                <w:color w:val="000000" w:themeColor="text1"/>
                <w:sz w:val="24"/>
                <w14:textFill>
                  <w14:solidFill>
                    <w14:schemeClr w14:val="tx1"/>
                  </w14:solidFill>
                </w14:textFill>
              </w:rPr>
              <w:t>主要噪声源</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项目</w:t>
            </w:r>
            <w:r>
              <w:rPr>
                <w:color w:val="000000" w:themeColor="text1"/>
                <w:sz w:val="24"/>
                <w14:textFill>
                  <w14:solidFill>
                    <w14:schemeClr w14:val="tx1"/>
                  </w14:solidFill>
                </w14:textFill>
              </w:rPr>
              <w:t>运行</w:t>
            </w:r>
            <w:r>
              <w:rPr>
                <w:rFonts w:hint="eastAsia"/>
                <w:color w:val="000000" w:themeColor="text1"/>
                <w:sz w:val="24"/>
                <w14:textFill>
                  <w14:solidFill>
                    <w14:schemeClr w14:val="tx1"/>
                  </w14:solidFill>
                </w14:textFill>
              </w:rPr>
              <w:t>过</w:t>
            </w:r>
            <w:r>
              <w:rPr>
                <w:rFonts w:hint="eastAsia"/>
                <w:color w:val="000000" w:themeColor="text1"/>
                <w:sz w:val="24"/>
                <w:lang w:eastAsia="zh-CN"/>
                <w14:textFill>
                  <w14:solidFill>
                    <w14:schemeClr w14:val="tx1"/>
                  </w14:solidFill>
                </w14:textFill>
              </w:rPr>
              <w:t>程中</w:t>
            </w:r>
            <w:r>
              <w:rPr>
                <w:rFonts w:hint="eastAsia"/>
                <w:color w:val="000000" w:themeColor="text1"/>
                <w:sz w:val="24"/>
                <w:lang w:val="en-US" w:eastAsia="zh-CN"/>
                <w14:textFill>
                  <w14:solidFill>
                    <w14:schemeClr w14:val="tx1"/>
                  </w14:solidFill>
                </w14:textFill>
              </w:rPr>
              <w:t>非道路移动车辆</w:t>
            </w:r>
            <w:r>
              <w:rPr>
                <w:rFonts w:hint="eastAsia"/>
                <w:color w:val="000000" w:themeColor="text1"/>
                <w:sz w:val="24"/>
                <w14:textFill>
                  <w14:solidFill>
                    <w14:schemeClr w14:val="tx1"/>
                  </w14:solidFill>
                </w14:textFill>
              </w:rPr>
              <w:t>产生的</w:t>
            </w:r>
            <w:r>
              <w:rPr>
                <w:rFonts w:hint="eastAsia"/>
                <w:color w:val="000000" w:themeColor="text1"/>
                <w:sz w:val="24"/>
                <w:lang w:val="en-US" w:eastAsia="zh-CN"/>
                <w14:textFill>
                  <w14:solidFill>
                    <w14:schemeClr w14:val="tx1"/>
                  </w14:solidFill>
                </w14:textFill>
              </w:rPr>
              <w:t>装卸</w:t>
            </w:r>
            <w:r>
              <w:rPr>
                <w:snapToGrid w:val="0"/>
                <w:color w:val="000000" w:themeColor="text1"/>
                <w:kern w:val="0"/>
                <w:sz w:val="24"/>
                <w14:textFill>
                  <w14:solidFill>
                    <w14:schemeClr w14:val="tx1"/>
                  </w14:solidFill>
                </w14:textFill>
              </w:rPr>
              <w:t>噪声</w:t>
            </w:r>
            <w:r>
              <w:rPr>
                <w:rFonts w:hint="eastAsia"/>
                <w:snapToGrid w:val="0"/>
                <w:color w:val="000000" w:themeColor="text1"/>
                <w:kern w:val="0"/>
                <w:sz w:val="24"/>
                <w14:textFill>
                  <w14:solidFill>
                    <w14:schemeClr w14:val="tx1"/>
                  </w14:solidFill>
                </w14:textFill>
              </w:rPr>
              <w:t>。</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单台</w:t>
            </w:r>
            <w:r>
              <w:rPr>
                <w:color w:val="000000" w:themeColor="text1"/>
                <w:sz w:val="24"/>
                <w14:textFill>
                  <w14:solidFill>
                    <w14:schemeClr w14:val="tx1"/>
                  </w14:solidFill>
                </w14:textFill>
              </w:rPr>
              <w:t>设备噪声源</w:t>
            </w:r>
            <w:r>
              <w:rPr>
                <w:rFonts w:hint="eastAsia"/>
                <w:color w:val="000000" w:themeColor="text1"/>
                <w:sz w:val="24"/>
                <w:lang w:val="en-US" w:eastAsia="zh-CN"/>
                <w14:textFill>
                  <w14:solidFill>
                    <w14:schemeClr w14:val="tx1"/>
                  </w14:solidFill>
                </w14:textFill>
              </w:rPr>
              <w:t>的</w:t>
            </w:r>
            <w:r>
              <w:rPr>
                <w:color w:val="000000" w:themeColor="text1"/>
                <w:sz w:val="24"/>
                <w14:textFill>
                  <w14:solidFill>
                    <w14:schemeClr w14:val="tx1"/>
                  </w14:solidFill>
                </w14:textFill>
              </w:rPr>
              <w:t>声功率级为</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5dB（A）</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90</w:t>
            </w:r>
            <w:r>
              <w:rPr>
                <w:color w:val="000000" w:themeColor="text1"/>
                <w:sz w:val="24"/>
                <w14:textFill>
                  <w14:solidFill>
                    <w14:schemeClr w14:val="tx1"/>
                  </w14:solidFill>
                </w14:textFill>
              </w:rPr>
              <w:t>dB（A）。</w:t>
            </w:r>
            <w:r>
              <w:rPr>
                <w:rFonts w:hint="eastAsia"/>
                <w:color w:val="000000" w:themeColor="text1"/>
                <w:sz w:val="24"/>
                <w:lang w:val="en-US" w:eastAsia="zh-CN"/>
                <w14:textFill>
                  <w14:solidFill>
                    <w14:schemeClr w14:val="tx1"/>
                  </w14:solidFill>
                </w14:textFill>
              </w:rPr>
              <w:t>以项目西南角为坐标原点，本项目</w:t>
            </w:r>
            <w:r>
              <w:rPr>
                <w:color w:val="000000" w:themeColor="text1"/>
                <w:sz w:val="24"/>
                <w14:textFill>
                  <w14:solidFill>
                    <w14:schemeClr w14:val="tx1"/>
                  </w14:solidFill>
                </w14:textFill>
              </w:rPr>
              <w:t>各声源声级值详见</w:t>
            </w:r>
            <w:r>
              <w:rPr>
                <w:rFonts w:hint="default" w:ascii="Times New Roman" w:hAnsi="Times New Roman" w:cs="Times New Roman"/>
                <w:color w:val="auto"/>
                <w:sz w:val="24"/>
                <w:szCs w:val="24"/>
                <w:lang w:val="en-US" w:eastAsia="zh-CN"/>
              </w:rPr>
              <w:t>下表</w:t>
            </w:r>
            <w:r>
              <w:rPr>
                <w:rFonts w:hint="default" w:ascii="Times New Roman" w:hAnsi="Times New Roman" w:cs="Times New Roman"/>
                <w:color w:val="auto"/>
                <w:sz w:val="24"/>
                <w:szCs w:val="24"/>
              </w:rPr>
              <w:t>：</w:t>
            </w:r>
          </w:p>
          <w:p w14:paraId="0D54610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 xml:space="preserve"> 工业企业噪声源强调查清单（室内声源）</w:t>
            </w:r>
          </w:p>
          <w:tbl>
            <w:tblPr>
              <w:tblStyle w:val="32"/>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900"/>
              <w:gridCol w:w="864"/>
              <w:gridCol w:w="812"/>
              <w:gridCol w:w="499"/>
              <w:gridCol w:w="531"/>
              <w:gridCol w:w="531"/>
              <w:gridCol w:w="476"/>
              <w:gridCol w:w="476"/>
              <w:gridCol w:w="864"/>
              <w:gridCol w:w="889"/>
              <w:gridCol w:w="814"/>
            </w:tblGrid>
            <w:tr w14:paraId="67C87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restart"/>
                  <w:noWrap w:val="0"/>
                  <w:vAlign w:val="center"/>
                </w:tcPr>
                <w:p w14:paraId="164F176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554" w:type="pct"/>
                  <w:vMerge w:val="restart"/>
                  <w:noWrap w:val="0"/>
                  <w:vAlign w:val="center"/>
                </w:tcPr>
                <w:p w14:paraId="2018736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声源名称</w:t>
                  </w:r>
                </w:p>
              </w:tc>
              <w:tc>
                <w:tcPr>
                  <w:tcW w:w="532" w:type="pct"/>
                  <w:vMerge w:val="restart"/>
                  <w:noWrap w:val="0"/>
                  <w:vAlign w:val="center"/>
                </w:tcPr>
                <w:p w14:paraId="71B67FDD">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声压级/距声压级距离（dB（A）/m）</w:t>
                  </w:r>
                </w:p>
              </w:tc>
              <w:tc>
                <w:tcPr>
                  <w:tcW w:w="500" w:type="pct"/>
                  <w:vMerge w:val="restart"/>
                  <w:noWrap w:val="0"/>
                  <w:vAlign w:val="center"/>
                </w:tcPr>
                <w:p w14:paraId="539CA4A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声源控制措施</w:t>
                  </w:r>
                </w:p>
                <w:p w14:paraId="7B478D5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961" w:type="pct"/>
                  <w:gridSpan w:val="3"/>
                  <w:noWrap w:val="0"/>
                  <w:vAlign w:val="center"/>
                </w:tcPr>
                <w:p w14:paraId="61EEC224">
                  <w:pPr>
                    <w:adjustRightInd w:val="0"/>
                    <w:snapToGrid w:val="0"/>
                    <w:spacing w:line="240" w:lineRule="auto"/>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空间相对位置/m</w:t>
                  </w:r>
                </w:p>
              </w:tc>
              <w:tc>
                <w:tcPr>
                  <w:tcW w:w="293" w:type="pct"/>
                  <w:vMerge w:val="restart"/>
                  <w:noWrap w:val="0"/>
                  <w:vAlign w:val="center"/>
                </w:tcPr>
                <w:p w14:paraId="40FBBE1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距室内边界距离/m</w:t>
                  </w:r>
                </w:p>
              </w:tc>
              <w:tc>
                <w:tcPr>
                  <w:tcW w:w="293" w:type="pct"/>
                  <w:vMerge w:val="restart"/>
                  <w:noWrap w:val="0"/>
                  <w:vAlign w:val="center"/>
                </w:tcPr>
                <w:p w14:paraId="47D6C43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运行时段</w:t>
                  </w:r>
                </w:p>
                <w:p w14:paraId="1EBCA90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2" w:type="pct"/>
                  <w:vMerge w:val="restart"/>
                  <w:noWrap w:val="0"/>
                  <w:vAlign w:val="center"/>
                </w:tcPr>
                <w:p w14:paraId="1464EA2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建筑物插入损失/dB（A）</w:t>
                  </w:r>
                </w:p>
              </w:tc>
              <w:tc>
                <w:tcPr>
                  <w:tcW w:w="1048" w:type="pct"/>
                  <w:gridSpan w:val="2"/>
                  <w:noWrap w:val="0"/>
                  <w:vAlign w:val="center"/>
                </w:tcPr>
                <w:p w14:paraId="340840BD">
                  <w:pPr>
                    <w:adjustRightInd w:val="0"/>
                    <w:snapToGrid w:val="0"/>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建筑物外噪声</w:t>
                  </w:r>
                </w:p>
              </w:tc>
            </w:tr>
            <w:tr w14:paraId="0C39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Merge w:val="continue"/>
                  <w:noWrap w:val="0"/>
                  <w:vAlign w:val="center"/>
                </w:tcPr>
                <w:p w14:paraId="4580324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54" w:type="pct"/>
                  <w:vMerge w:val="continue"/>
                  <w:noWrap w:val="0"/>
                  <w:vAlign w:val="center"/>
                </w:tcPr>
                <w:p w14:paraId="39284282">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2" w:type="pct"/>
                  <w:vMerge w:val="continue"/>
                  <w:noWrap w:val="0"/>
                  <w:vAlign w:val="center"/>
                </w:tcPr>
                <w:p w14:paraId="4188D1F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00" w:type="pct"/>
                  <w:vMerge w:val="continue"/>
                  <w:noWrap w:val="0"/>
                  <w:vAlign w:val="center"/>
                </w:tcPr>
                <w:p w14:paraId="5CB6165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307" w:type="pct"/>
                  <w:noWrap w:val="0"/>
                  <w:vAlign w:val="center"/>
                </w:tcPr>
                <w:p w14:paraId="68BDE8A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X</w:t>
                  </w:r>
                </w:p>
              </w:tc>
              <w:tc>
                <w:tcPr>
                  <w:tcW w:w="327" w:type="pct"/>
                  <w:noWrap w:val="0"/>
                  <w:vAlign w:val="center"/>
                </w:tcPr>
                <w:p w14:paraId="39C2316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Y</w:t>
                  </w:r>
                </w:p>
              </w:tc>
              <w:tc>
                <w:tcPr>
                  <w:tcW w:w="327" w:type="pct"/>
                  <w:noWrap w:val="0"/>
                  <w:vAlign w:val="center"/>
                </w:tcPr>
                <w:p w14:paraId="75D2B23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Z</w:t>
                  </w:r>
                </w:p>
              </w:tc>
              <w:tc>
                <w:tcPr>
                  <w:tcW w:w="293" w:type="pct"/>
                  <w:vMerge w:val="continue"/>
                  <w:noWrap w:val="0"/>
                  <w:vAlign w:val="center"/>
                </w:tcPr>
                <w:p w14:paraId="094540D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p>
              </w:tc>
              <w:tc>
                <w:tcPr>
                  <w:tcW w:w="293" w:type="pct"/>
                  <w:vMerge w:val="continue"/>
                  <w:noWrap w:val="0"/>
                  <w:vAlign w:val="center"/>
                </w:tcPr>
                <w:p w14:paraId="40978BB7">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32" w:type="pct"/>
                  <w:vMerge w:val="continue"/>
                  <w:noWrap w:val="0"/>
                  <w:vAlign w:val="center"/>
                </w:tcPr>
                <w:p w14:paraId="4D0A5863">
                  <w:pPr>
                    <w:adjustRightInd w:val="0"/>
                    <w:snapToGrid w:val="0"/>
                    <w:spacing w:line="240" w:lineRule="auto"/>
                    <w:jc w:val="center"/>
                    <w:rPr>
                      <w:rFonts w:hint="default" w:ascii="Times New Roman" w:hAnsi="Times New Roman" w:eastAsia="宋体" w:cs="Times New Roman"/>
                      <w:color w:val="auto"/>
                      <w:sz w:val="21"/>
                      <w:szCs w:val="21"/>
                      <w:vertAlign w:val="baseline"/>
                    </w:rPr>
                  </w:pPr>
                </w:p>
              </w:tc>
              <w:tc>
                <w:tcPr>
                  <w:tcW w:w="547" w:type="pct"/>
                  <w:shd w:val="clear" w:color="auto" w:fill="auto"/>
                  <w:noWrap w:val="0"/>
                  <w:vAlign w:val="center"/>
                </w:tcPr>
                <w:p w14:paraId="7B36D4C4">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ascii="Times New Roman" w:hAnsi="Times New Roman" w:eastAsia="宋体"/>
                      <w:b w:val="0"/>
                      <w:bCs w:val="0"/>
                      <w:color w:val="000000" w:themeColor="text1"/>
                      <w:szCs w:val="21"/>
                      <w14:textFill>
                        <w14:solidFill>
                          <w14:schemeClr w14:val="tx1"/>
                        </w14:solidFill>
                      </w14:textFill>
                    </w:rPr>
                    <w:t>声压级/dB(A)</w:t>
                  </w:r>
                </w:p>
              </w:tc>
              <w:tc>
                <w:tcPr>
                  <w:tcW w:w="501" w:type="pct"/>
                  <w:shd w:val="clear" w:color="auto" w:fill="auto"/>
                  <w:noWrap w:val="0"/>
                  <w:vAlign w:val="center"/>
                </w:tcPr>
                <w:p w14:paraId="423091FB">
                  <w:pPr>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ascii="Times New Roman" w:hAnsi="Times New Roman" w:eastAsia="宋体"/>
                      <w:b w:val="0"/>
                      <w:bCs w:val="0"/>
                      <w:color w:val="000000" w:themeColor="text1"/>
                      <w:szCs w:val="21"/>
                      <w14:textFill>
                        <w14:solidFill>
                          <w14:schemeClr w14:val="tx1"/>
                        </w14:solidFill>
                      </w14:textFill>
                    </w:rPr>
                    <w:t>建筑物外距离</w:t>
                  </w:r>
                </w:p>
              </w:tc>
            </w:tr>
            <w:tr w14:paraId="7070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5" w:type="pct"/>
                  <w:noWrap w:val="0"/>
                  <w:vAlign w:val="center"/>
                </w:tcPr>
                <w:p w14:paraId="6B54C1FE">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1</w:t>
                  </w:r>
                </w:p>
              </w:tc>
              <w:tc>
                <w:tcPr>
                  <w:tcW w:w="554" w:type="pct"/>
                  <w:noWrap w:val="0"/>
                  <w:vAlign w:val="center"/>
                </w:tcPr>
                <w:p w14:paraId="10B847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装载机</w:t>
                  </w:r>
                  <w:r>
                    <w:rPr>
                      <w:rFonts w:hint="eastAsia" w:ascii="Times New Roman" w:hAnsi="Times New Roman" w:cs="Times New Roman"/>
                      <w:color w:val="auto"/>
                      <w:sz w:val="21"/>
                      <w:szCs w:val="21"/>
                      <w:lang w:val="en-US" w:eastAsia="zh-CN"/>
                    </w:rPr>
                    <w:t>1</w:t>
                  </w:r>
                </w:p>
              </w:tc>
              <w:tc>
                <w:tcPr>
                  <w:tcW w:w="532" w:type="pct"/>
                  <w:noWrap w:val="0"/>
                  <w:vAlign w:val="center"/>
                </w:tcPr>
                <w:p w14:paraId="65EBEB60">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90</w:t>
                  </w:r>
                  <w:r>
                    <w:rPr>
                      <w:rFonts w:hint="default" w:ascii="Times New Roman" w:hAnsi="Times New Roman" w:cs="Times New Roman"/>
                      <w:color w:val="auto"/>
                      <w:sz w:val="21"/>
                      <w:szCs w:val="21"/>
                      <w:vertAlign w:val="baseline"/>
                      <w:lang w:val="en-US" w:eastAsia="zh-CN"/>
                    </w:rPr>
                    <w:t>/1</w:t>
                  </w:r>
                </w:p>
              </w:tc>
              <w:tc>
                <w:tcPr>
                  <w:tcW w:w="500" w:type="pct"/>
                  <w:vMerge w:val="restart"/>
                  <w:noWrap w:val="0"/>
                  <w:vAlign w:val="center"/>
                </w:tcPr>
                <w:p w14:paraId="14CC727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基础减振、厂房隔声</w:t>
                  </w:r>
                </w:p>
              </w:tc>
              <w:tc>
                <w:tcPr>
                  <w:tcW w:w="307" w:type="pct"/>
                  <w:noWrap w:val="0"/>
                  <w:vAlign w:val="center"/>
                </w:tcPr>
                <w:p w14:paraId="74EB8B94">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327" w:type="pct"/>
                  <w:noWrap w:val="0"/>
                  <w:vAlign w:val="center"/>
                </w:tcPr>
                <w:p w14:paraId="5C224FD6">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123</w:t>
                  </w:r>
                </w:p>
              </w:tc>
              <w:tc>
                <w:tcPr>
                  <w:tcW w:w="327" w:type="pct"/>
                  <w:noWrap w:val="0"/>
                  <w:vAlign w:val="center"/>
                </w:tcPr>
                <w:p w14:paraId="72C5CEDA">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3" w:type="pct"/>
                  <w:noWrap w:val="0"/>
                  <w:vAlign w:val="center"/>
                </w:tcPr>
                <w:p w14:paraId="6B4AC68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59</w:t>
                  </w:r>
                </w:p>
              </w:tc>
              <w:tc>
                <w:tcPr>
                  <w:tcW w:w="293" w:type="pct"/>
                  <w:vMerge w:val="restart"/>
                  <w:noWrap w:val="0"/>
                  <w:vAlign w:val="center"/>
                </w:tcPr>
                <w:p w14:paraId="33B3E59B">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昼</w:t>
                  </w:r>
                  <w:r>
                    <w:rPr>
                      <w:rFonts w:hint="eastAsia" w:cs="Times New Roman"/>
                      <w:color w:val="auto"/>
                      <w:sz w:val="21"/>
                      <w:szCs w:val="21"/>
                      <w:vertAlign w:val="baseline"/>
                      <w:lang w:val="en-US" w:eastAsia="zh-CN"/>
                    </w:rPr>
                    <w:t>/夜</w:t>
                  </w:r>
                </w:p>
              </w:tc>
              <w:tc>
                <w:tcPr>
                  <w:tcW w:w="532" w:type="pct"/>
                  <w:noWrap w:val="0"/>
                  <w:vAlign w:val="center"/>
                </w:tcPr>
                <w:p w14:paraId="05961904">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547" w:type="pct"/>
                  <w:shd w:val="clear" w:color="auto" w:fill="auto"/>
                  <w:noWrap w:val="0"/>
                  <w:vAlign w:val="center"/>
                </w:tcPr>
                <w:p w14:paraId="1139D91C">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54</w:t>
                  </w:r>
                </w:p>
              </w:tc>
              <w:tc>
                <w:tcPr>
                  <w:tcW w:w="501" w:type="pct"/>
                  <w:noWrap w:val="0"/>
                  <w:vAlign w:val="center"/>
                </w:tcPr>
                <w:p w14:paraId="4CF63C7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1AF4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5" w:type="pct"/>
                  <w:noWrap w:val="0"/>
                  <w:vAlign w:val="center"/>
                </w:tcPr>
                <w:p w14:paraId="60EEB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p>
              </w:tc>
              <w:tc>
                <w:tcPr>
                  <w:tcW w:w="554" w:type="pct"/>
                  <w:noWrap w:val="0"/>
                  <w:vAlign w:val="center"/>
                </w:tcPr>
                <w:p w14:paraId="6F9711C4">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装载机2</w:t>
                  </w:r>
                </w:p>
              </w:tc>
              <w:tc>
                <w:tcPr>
                  <w:tcW w:w="532" w:type="pct"/>
                  <w:noWrap w:val="0"/>
                  <w:vAlign w:val="center"/>
                </w:tcPr>
                <w:p w14:paraId="2427719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90</w:t>
                  </w:r>
                  <w:r>
                    <w:rPr>
                      <w:rFonts w:hint="default" w:ascii="Times New Roman" w:hAnsi="Times New Roman" w:cs="Times New Roman"/>
                      <w:color w:val="auto"/>
                      <w:sz w:val="21"/>
                      <w:szCs w:val="21"/>
                      <w:vertAlign w:val="baseline"/>
                      <w:lang w:val="en-US" w:eastAsia="zh-CN"/>
                    </w:rPr>
                    <w:t>/1</w:t>
                  </w:r>
                </w:p>
              </w:tc>
              <w:tc>
                <w:tcPr>
                  <w:tcW w:w="500" w:type="pct"/>
                  <w:vMerge w:val="continue"/>
                  <w:noWrap w:val="0"/>
                  <w:vAlign w:val="center"/>
                </w:tcPr>
                <w:p w14:paraId="47240C23">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7" w:type="pct"/>
                  <w:noWrap w:val="0"/>
                  <w:vAlign w:val="center"/>
                </w:tcPr>
                <w:p w14:paraId="35DC0DB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327" w:type="pct"/>
                  <w:noWrap w:val="0"/>
                  <w:vAlign w:val="center"/>
                </w:tcPr>
                <w:p w14:paraId="51677557">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118</w:t>
                  </w:r>
                </w:p>
              </w:tc>
              <w:tc>
                <w:tcPr>
                  <w:tcW w:w="327" w:type="pct"/>
                  <w:noWrap w:val="0"/>
                  <w:vAlign w:val="center"/>
                </w:tcPr>
                <w:p w14:paraId="71793D8D">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3" w:type="pct"/>
                  <w:noWrap w:val="0"/>
                  <w:vAlign w:val="center"/>
                </w:tcPr>
                <w:p w14:paraId="08E1F51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62</w:t>
                  </w:r>
                </w:p>
              </w:tc>
              <w:tc>
                <w:tcPr>
                  <w:tcW w:w="293" w:type="pct"/>
                  <w:vMerge w:val="continue"/>
                  <w:noWrap w:val="0"/>
                  <w:vAlign w:val="center"/>
                </w:tcPr>
                <w:p w14:paraId="3A86A5B9">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2" w:type="pct"/>
                  <w:noWrap w:val="0"/>
                  <w:vAlign w:val="center"/>
                </w:tcPr>
                <w:p w14:paraId="1DAF551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547" w:type="pct"/>
                  <w:shd w:val="clear" w:color="auto" w:fill="auto"/>
                  <w:noWrap w:val="0"/>
                  <w:vAlign w:val="center"/>
                </w:tcPr>
                <w:p w14:paraId="538300F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54</w:t>
                  </w:r>
                </w:p>
              </w:tc>
              <w:tc>
                <w:tcPr>
                  <w:tcW w:w="501" w:type="pct"/>
                  <w:noWrap w:val="0"/>
                  <w:vAlign w:val="center"/>
                </w:tcPr>
                <w:p w14:paraId="6109C7B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772C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285" w:type="pct"/>
                  <w:noWrap w:val="0"/>
                  <w:vAlign w:val="center"/>
                </w:tcPr>
                <w:p w14:paraId="6DFD18C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p>
              </w:tc>
              <w:tc>
                <w:tcPr>
                  <w:tcW w:w="554" w:type="pct"/>
                  <w:noWrap w:val="0"/>
                  <w:vAlign w:val="center"/>
                </w:tcPr>
                <w:p w14:paraId="6EAB7F54">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装载机3</w:t>
                  </w:r>
                </w:p>
              </w:tc>
              <w:tc>
                <w:tcPr>
                  <w:tcW w:w="532" w:type="pct"/>
                  <w:noWrap w:val="0"/>
                  <w:vAlign w:val="center"/>
                </w:tcPr>
                <w:p w14:paraId="021CE4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90</w:t>
                  </w:r>
                  <w:r>
                    <w:rPr>
                      <w:rFonts w:hint="default" w:ascii="Times New Roman" w:hAnsi="Times New Roman" w:cs="Times New Roman"/>
                      <w:color w:val="auto"/>
                      <w:sz w:val="21"/>
                      <w:szCs w:val="21"/>
                      <w:vertAlign w:val="baseline"/>
                      <w:lang w:val="en-US" w:eastAsia="zh-CN"/>
                    </w:rPr>
                    <w:t>/1</w:t>
                  </w:r>
                </w:p>
              </w:tc>
              <w:tc>
                <w:tcPr>
                  <w:tcW w:w="500" w:type="pct"/>
                  <w:vMerge w:val="continue"/>
                  <w:noWrap w:val="0"/>
                  <w:vAlign w:val="center"/>
                </w:tcPr>
                <w:p w14:paraId="6927BB89">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7" w:type="pct"/>
                  <w:noWrap w:val="0"/>
                  <w:vAlign w:val="center"/>
                </w:tcPr>
                <w:p w14:paraId="0839015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327" w:type="pct"/>
                  <w:noWrap w:val="0"/>
                  <w:vAlign w:val="center"/>
                </w:tcPr>
                <w:p w14:paraId="08DEF87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137</w:t>
                  </w:r>
                </w:p>
              </w:tc>
              <w:tc>
                <w:tcPr>
                  <w:tcW w:w="327" w:type="pct"/>
                  <w:noWrap w:val="0"/>
                  <w:vAlign w:val="center"/>
                </w:tcPr>
                <w:p w14:paraId="043F723A">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3" w:type="pct"/>
                  <w:noWrap w:val="0"/>
                  <w:vAlign w:val="center"/>
                </w:tcPr>
                <w:p w14:paraId="16454A8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57</w:t>
                  </w:r>
                </w:p>
              </w:tc>
              <w:tc>
                <w:tcPr>
                  <w:tcW w:w="293" w:type="pct"/>
                  <w:vMerge w:val="continue"/>
                  <w:noWrap w:val="0"/>
                  <w:vAlign w:val="center"/>
                </w:tcPr>
                <w:p w14:paraId="718D54A5">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2" w:type="pct"/>
                  <w:noWrap w:val="0"/>
                  <w:vAlign w:val="center"/>
                </w:tcPr>
                <w:p w14:paraId="166B503F">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547" w:type="pct"/>
                  <w:shd w:val="clear" w:color="auto" w:fill="auto"/>
                  <w:noWrap w:val="0"/>
                  <w:vAlign w:val="center"/>
                </w:tcPr>
                <w:p w14:paraId="34E1911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55</w:t>
                  </w:r>
                </w:p>
              </w:tc>
              <w:tc>
                <w:tcPr>
                  <w:tcW w:w="501" w:type="pct"/>
                  <w:noWrap w:val="0"/>
                  <w:vAlign w:val="center"/>
                </w:tcPr>
                <w:p w14:paraId="2EBFE29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r>
            <w:tr w14:paraId="2FFD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712416F0">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p>
              </w:tc>
              <w:tc>
                <w:tcPr>
                  <w:tcW w:w="554" w:type="pct"/>
                  <w:noWrap w:val="0"/>
                  <w:vAlign w:val="center"/>
                </w:tcPr>
                <w:p w14:paraId="7FE8E898">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lang w:val="en-US" w:eastAsia="zh-CN"/>
                    </w:rPr>
                    <w:t>转煤车</w:t>
                  </w:r>
                  <w:r>
                    <w:rPr>
                      <w:rFonts w:hint="default" w:ascii="Times New Roman" w:hAnsi="Times New Roman" w:cs="Times New Roman"/>
                      <w:color w:val="auto"/>
                      <w:sz w:val="21"/>
                      <w:szCs w:val="21"/>
                      <w:lang w:val="en-US" w:eastAsia="zh-CN"/>
                    </w:rPr>
                    <w:t>1</w:t>
                  </w:r>
                </w:p>
              </w:tc>
              <w:tc>
                <w:tcPr>
                  <w:tcW w:w="532" w:type="pct"/>
                  <w:noWrap w:val="0"/>
                  <w:vAlign w:val="center"/>
                </w:tcPr>
                <w:p w14:paraId="039EC6B4">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rPr>
                    <w:t>75/1</w:t>
                  </w:r>
                </w:p>
              </w:tc>
              <w:tc>
                <w:tcPr>
                  <w:tcW w:w="500" w:type="pct"/>
                  <w:vMerge w:val="continue"/>
                  <w:noWrap w:val="0"/>
                  <w:vAlign w:val="center"/>
                </w:tcPr>
                <w:p w14:paraId="6F1EAB67">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p>
              </w:tc>
              <w:tc>
                <w:tcPr>
                  <w:tcW w:w="307" w:type="pct"/>
                  <w:noWrap w:val="0"/>
                  <w:vAlign w:val="center"/>
                </w:tcPr>
                <w:p w14:paraId="32A37F31">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-10</w:t>
                  </w:r>
                </w:p>
              </w:tc>
              <w:tc>
                <w:tcPr>
                  <w:tcW w:w="327" w:type="pct"/>
                  <w:noWrap w:val="0"/>
                  <w:vAlign w:val="center"/>
                </w:tcPr>
                <w:p w14:paraId="1E02BBB2">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70</w:t>
                  </w:r>
                </w:p>
              </w:tc>
              <w:tc>
                <w:tcPr>
                  <w:tcW w:w="327" w:type="pct"/>
                  <w:noWrap w:val="0"/>
                  <w:vAlign w:val="center"/>
                </w:tcPr>
                <w:p w14:paraId="057E1F19">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kern w:val="2"/>
                      <w:sz w:val="21"/>
                      <w:szCs w:val="21"/>
                      <w:vertAlign w:val="baseline"/>
                      <w:lang w:val="en-US" w:eastAsia="zh-CN" w:bidi="ar-SA"/>
                    </w:rPr>
                    <w:t>1</w:t>
                  </w:r>
                </w:p>
              </w:tc>
              <w:tc>
                <w:tcPr>
                  <w:tcW w:w="293" w:type="pct"/>
                  <w:noWrap w:val="0"/>
                  <w:vAlign w:val="center"/>
                </w:tcPr>
                <w:p w14:paraId="6E517D70">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34</w:t>
                  </w:r>
                </w:p>
              </w:tc>
              <w:tc>
                <w:tcPr>
                  <w:tcW w:w="293" w:type="pct"/>
                  <w:vMerge w:val="continue"/>
                  <w:noWrap w:val="0"/>
                  <w:vAlign w:val="center"/>
                </w:tcPr>
                <w:p w14:paraId="18F904F7">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2" w:type="pct"/>
                  <w:noWrap w:val="0"/>
                  <w:vAlign w:val="center"/>
                </w:tcPr>
                <w:p w14:paraId="26427B06">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547" w:type="pct"/>
                  <w:shd w:val="clear" w:color="auto" w:fill="auto"/>
                  <w:noWrap w:val="0"/>
                  <w:vAlign w:val="center"/>
                </w:tcPr>
                <w:p w14:paraId="77160205">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44</w:t>
                  </w:r>
                </w:p>
              </w:tc>
              <w:tc>
                <w:tcPr>
                  <w:tcW w:w="501" w:type="pct"/>
                  <w:noWrap w:val="0"/>
                  <w:vAlign w:val="center"/>
                </w:tcPr>
                <w:p w14:paraId="78DDCF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0</w:t>
                  </w:r>
                </w:p>
              </w:tc>
            </w:tr>
            <w:tr w14:paraId="7791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38CF4F84">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5</w:t>
                  </w:r>
                </w:p>
              </w:tc>
              <w:tc>
                <w:tcPr>
                  <w:tcW w:w="554" w:type="pct"/>
                  <w:noWrap w:val="0"/>
                  <w:vAlign w:val="center"/>
                </w:tcPr>
                <w:p w14:paraId="0267A947">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转煤车2</w:t>
                  </w:r>
                </w:p>
              </w:tc>
              <w:tc>
                <w:tcPr>
                  <w:tcW w:w="532" w:type="pct"/>
                  <w:noWrap w:val="0"/>
                  <w:vAlign w:val="center"/>
                </w:tcPr>
                <w:p w14:paraId="3F887380">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r>
                    <w:rPr>
                      <w:rFonts w:hint="default" w:ascii="Times New Roman" w:hAnsi="Times New Roman" w:cs="Times New Roman"/>
                      <w:color w:val="auto"/>
                      <w:sz w:val="21"/>
                      <w:szCs w:val="21"/>
                      <w:vertAlign w:val="baseline"/>
                      <w:lang w:val="en-US" w:eastAsia="zh-CN"/>
                    </w:rPr>
                    <w:t>/1</w:t>
                  </w:r>
                </w:p>
              </w:tc>
              <w:tc>
                <w:tcPr>
                  <w:tcW w:w="500" w:type="pct"/>
                  <w:vMerge w:val="continue"/>
                  <w:noWrap w:val="0"/>
                  <w:vAlign w:val="center"/>
                </w:tcPr>
                <w:p w14:paraId="4B00BC9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7" w:type="pct"/>
                  <w:noWrap w:val="0"/>
                  <w:vAlign w:val="center"/>
                </w:tcPr>
                <w:p w14:paraId="4DD8285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w:t>
                  </w:r>
                </w:p>
              </w:tc>
              <w:tc>
                <w:tcPr>
                  <w:tcW w:w="327" w:type="pct"/>
                  <w:noWrap w:val="0"/>
                  <w:vAlign w:val="center"/>
                </w:tcPr>
                <w:p w14:paraId="269AF25F">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65</w:t>
                  </w:r>
                </w:p>
              </w:tc>
              <w:tc>
                <w:tcPr>
                  <w:tcW w:w="327" w:type="pct"/>
                  <w:noWrap w:val="0"/>
                  <w:vAlign w:val="center"/>
                </w:tcPr>
                <w:p w14:paraId="08D730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3" w:type="pct"/>
                  <w:noWrap w:val="0"/>
                  <w:vAlign w:val="center"/>
                </w:tcPr>
                <w:p w14:paraId="54FAC11F">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32</w:t>
                  </w:r>
                </w:p>
              </w:tc>
              <w:tc>
                <w:tcPr>
                  <w:tcW w:w="293" w:type="pct"/>
                  <w:vMerge w:val="continue"/>
                  <w:noWrap w:val="0"/>
                  <w:vAlign w:val="center"/>
                </w:tcPr>
                <w:p w14:paraId="35DD4942">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2" w:type="pct"/>
                  <w:noWrap w:val="0"/>
                  <w:vAlign w:val="center"/>
                </w:tcPr>
                <w:p w14:paraId="4A91593E">
                  <w:pPr>
                    <w:keepNext w:val="0"/>
                    <w:keepLines w:val="0"/>
                    <w:widowControl/>
                    <w:suppressLineNumbers w:val="0"/>
                    <w:jc w:val="center"/>
                    <w:textAlignment w:val="center"/>
                    <w:rPr>
                      <w:rFonts w:hint="default" w:ascii="Times New Roman" w:hAnsi="Times New Roman" w:cs="Times New Roman"/>
                      <w:color w:val="auto"/>
                      <w:sz w:val="21"/>
                      <w:szCs w:val="21"/>
                      <w:vertAlign w:val="baseline"/>
                      <w:lang w:val="en-US" w:eastAsia="zh-CN"/>
                    </w:rPr>
                  </w:pPr>
                  <w:r>
                    <w:rPr>
                      <w:rFonts w:hint="eastAsia" w:cs="Times New Roman"/>
                      <w:i w:val="0"/>
                      <w:iCs w:val="0"/>
                      <w:color w:val="auto"/>
                      <w:kern w:val="0"/>
                      <w:sz w:val="22"/>
                      <w:szCs w:val="22"/>
                      <w:u w:val="none"/>
                      <w:lang w:val="en-US" w:eastAsia="zh-CN" w:bidi="ar"/>
                    </w:rPr>
                    <w:t>10</w:t>
                  </w:r>
                </w:p>
              </w:tc>
              <w:tc>
                <w:tcPr>
                  <w:tcW w:w="547" w:type="pct"/>
                  <w:shd w:val="clear" w:color="auto" w:fill="auto"/>
                  <w:noWrap w:val="0"/>
                  <w:vAlign w:val="center"/>
                </w:tcPr>
                <w:p w14:paraId="5C91E436">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45</w:t>
                  </w:r>
                </w:p>
              </w:tc>
              <w:tc>
                <w:tcPr>
                  <w:tcW w:w="501" w:type="pct"/>
                  <w:noWrap w:val="0"/>
                  <w:vAlign w:val="center"/>
                </w:tcPr>
                <w:p w14:paraId="5B27B37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color w:val="auto"/>
                      <w:sz w:val="21"/>
                      <w:szCs w:val="21"/>
                      <w:vertAlign w:val="baseline"/>
                      <w:lang w:val="en-US" w:eastAsia="zh-CN"/>
                    </w:rPr>
                    <w:t>0</w:t>
                  </w:r>
                </w:p>
              </w:tc>
            </w:tr>
            <w:tr w14:paraId="7060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noWrap w:val="0"/>
                  <w:vAlign w:val="center"/>
                </w:tcPr>
                <w:p w14:paraId="59CA3E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w:t>
                  </w:r>
                </w:p>
              </w:tc>
              <w:tc>
                <w:tcPr>
                  <w:tcW w:w="554" w:type="pct"/>
                  <w:noWrap w:val="0"/>
                  <w:vAlign w:val="center"/>
                </w:tcPr>
                <w:p w14:paraId="26F93DFB">
                  <w:pPr>
                    <w:adjustRightInd w:val="0"/>
                    <w:snapToGrid w:val="0"/>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转煤车3</w:t>
                  </w:r>
                </w:p>
              </w:tc>
              <w:tc>
                <w:tcPr>
                  <w:tcW w:w="532" w:type="pct"/>
                  <w:noWrap w:val="0"/>
                  <w:vAlign w:val="center"/>
                </w:tcPr>
                <w:p w14:paraId="658FE2EE">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r>
                    <w:rPr>
                      <w:rFonts w:hint="default" w:ascii="Times New Roman" w:hAnsi="Times New Roman" w:cs="Times New Roman"/>
                      <w:color w:val="auto"/>
                      <w:sz w:val="21"/>
                      <w:szCs w:val="21"/>
                      <w:vertAlign w:val="baseline"/>
                      <w:lang w:val="en-US" w:eastAsia="zh-CN"/>
                    </w:rPr>
                    <w:t>/1</w:t>
                  </w:r>
                </w:p>
              </w:tc>
              <w:tc>
                <w:tcPr>
                  <w:tcW w:w="500" w:type="pct"/>
                  <w:vMerge w:val="continue"/>
                  <w:noWrap w:val="0"/>
                  <w:vAlign w:val="center"/>
                </w:tcPr>
                <w:p w14:paraId="7D8CF298">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p>
              </w:tc>
              <w:tc>
                <w:tcPr>
                  <w:tcW w:w="307" w:type="pct"/>
                  <w:noWrap w:val="0"/>
                  <w:vAlign w:val="center"/>
                </w:tcPr>
                <w:p w14:paraId="3AAAC605">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-12</w:t>
                  </w:r>
                </w:p>
              </w:tc>
              <w:tc>
                <w:tcPr>
                  <w:tcW w:w="327" w:type="pct"/>
                  <w:noWrap w:val="0"/>
                  <w:vAlign w:val="center"/>
                </w:tcPr>
                <w:p w14:paraId="7B008922">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58</w:t>
                  </w:r>
                </w:p>
              </w:tc>
              <w:tc>
                <w:tcPr>
                  <w:tcW w:w="327" w:type="pct"/>
                  <w:noWrap w:val="0"/>
                  <w:vAlign w:val="center"/>
                </w:tcPr>
                <w:p w14:paraId="23CCCD8C">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w:t>
                  </w:r>
                </w:p>
              </w:tc>
              <w:tc>
                <w:tcPr>
                  <w:tcW w:w="293" w:type="pct"/>
                  <w:noWrap w:val="0"/>
                  <w:vAlign w:val="center"/>
                </w:tcPr>
                <w:p w14:paraId="3D78ED56">
                  <w:pPr>
                    <w:adjustRightInd w:val="0"/>
                    <w:snapToGrid w:val="0"/>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vertAlign w:val="baseline"/>
                      <w:lang w:val="en-US" w:eastAsia="zh-CN"/>
                    </w:rPr>
                    <w:t>27</w:t>
                  </w:r>
                </w:p>
              </w:tc>
              <w:tc>
                <w:tcPr>
                  <w:tcW w:w="293" w:type="pct"/>
                  <w:vMerge w:val="continue"/>
                  <w:noWrap w:val="0"/>
                  <w:vAlign w:val="center"/>
                </w:tcPr>
                <w:p w14:paraId="00FFE4DE">
                  <w:pPr>
                    <w:adjustRightInd w:val="0"/>
                    <w:snapToGrid w:val="0"/>
                    <w:spacing w:line="240" w:lineRule="auto"/>
                    <w:jc w:val="center"/>
                    <w:rPr>
                      <w:rFonts w:hint="default" w:ascii="Times New Roman" w:hAnsi="Times New Roman" w:eastAsia="宋体" w:cs="Times New Roman"/>
                      <w:color w:val="auto"/>
                      <w:sz w:val="21"/>
                      <w:szCs w:val="21"/>
                      <w:vertAlign w:val="baseline"/>
                      <w:lang w:val="en-US" w:eastAsia="zh-CN"/>
                    </w:rPr>
                  </w:pPr>
                </w:p>
              </w:tc>
              <w:tc>
                <w:tcPr>
                  <w:tcW w:w="532" w:type="pct"/>
                  <w:noWrap w:val="0"/>
                  <w:vAlign w:val="center"/>
                </w:tcPr>
                <w:p w14:paraId="708BCBC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10</w:t>
                  </w:r>
                </w:p>
              </w:tc>
              <w:tc>
                <w:tcPr>
                  <w:tcW w:w="547" w:type="pct"/>
                  <w:shd w:val="clear" w:color="auto" w:fill="auto"/>
                  <w:noWrap w:val="0"/>
                  <w:vAlign w:val="center"/>
                </w:tcPr>
                <w:p w14:paraId="492E8AF3">
                  <w:pPr>
                    <w:adjustRightInd w:val="0"/>
                    <w:snapToGrid w:val="0"/>
                    <w:spacing w:line="240" w:lineRule="auto"/>
                    <w:jc w:val="center"/>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46</w:t>
                  </w:r>
                </w:p>
              </w:tc>
              <w:tc>
                <w:tcPr>
                  <w:tcW w:w="501" w:type="pct"/>
                  <w:noWrap w:val="0"/>
                  <w:vAlign w:val="center"/>
                </w:tcPr>
                <w:p w14:paraId="0F25D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w:t>
                  </w:r>
                </w:p>
              </w:tc>
            </w:tr>
          </w:tbl>
          <w:p w14:paraId="55EB9671">
            <w:pPr>
              <w:adjustRightInd w:val="0"/>
              <w:snapToGrid w:val="0"/>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lang w:eastAsia="zh-CN"/>
              </w:rPr>
              <w:t>2</w:t>
            </w:r>
            <w:r>
              <w:rPr>
                <w:rFonts w:hint="eastAsia" w:cs="Times New Roman"/>
                <w:b/>
                <w:bCs/>
                <w:color w:val="auto"/>
                <w:sz w:val="24"/>
                <w:szCs w:val="24"/>
                <w:lang w:val="en-US" w:eastAsia="zh-CN"/>
              </w:rPr>
              <w:t>.</w:t>
            </w:r>
            <w:r>
              <w:rPr>
                <w:rFonts w:hint="default" w:ascii="Times New Roman" w:hAnsi="Times New Roman" w:cs="Times New Roman"/>
                <w:b/>
                <w:bCs/>
                <w:color w:val="auto"/>
                <w:sz w:val="24"/>
                <w:szCs w:val="24"/>
              </w:rPr>
              <w:t>降噪治理措施</w:t>
            </w:r>
          </w:p>
          <w:p w14:paraId="644AD961">
            <w:pPr>
              <w:keepNext/>
              <w:keepLines/>
              <w:pageBreakBefore w:val="0"/>
              <w:widowControl/>
              <w:numPr>
                <w:ilvl w:val="0"/>
                <w:numId w:val="2"/>
              </w:numPr>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调整平面布局，</w:t>
            </w:r>
            <w:r>
              <w:rPr>
                <w:rFonts w:hint="eastAsia" w:ascii="Times New Roman" w:hAnsi="Times New Roman" w:eastAsia="宋体" w:cs="Times New Roman"/>
                <w:color w:val="auto"/>
                <w:kern w:val="0"/>
                <w:sz w:val="24"/>
                <w:szCs w:val="24"/>
                <w:lang w:val="en-US" w:eastAsia="zh-CN"/>
              </w:rPr>
              <w:t>远离东南侧居民</w:t>
            </w:r>
          </w:p>
          <w:p w14:paraId="703ABB9F">
            <w:pPr>
              <w:keepNext/>
              <w:keepLines/>
              <w:pageBreakBefore w:val="0"/>
              <w:widowControl/>
              <w:numPr>
                <w:ilvl w:val="0"/>
                <w:numId w:val="2"/>
              </w:numPr>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加强运输车辆管理，严禁车辆超速超载，运输车辆进出厂区</w:t>
            </w:r>
            <w:r>
              <w:rPr>
                <w:rFonts w:hint="eastAsia" w:cs="Times New Roman"/>
                <w:color w:val="auto"/>
                <w:kern w:val="0"/>
                <w:sz w:val="24"/>
                <w:szCs w:val="24"/>
                <w:lang w:val="en-US" w:eastAsia="zh-CN"/>
              </w:rPr>
              <w:t>应</w:t>
            </w:r>
            <w:r>
              <w:rPr>
                <w:rFonts w:hint="eastAsia" w:ascii="Times New Roman" w:hAnsi="Times New Roman" w:eastAsia="宋体" w:cs="Times New Roman"/>
                <w:color w:val="auto"/>
                <w:kern w:val="0"/>
                <w:sz w:val="24"/>
                <w:szCs w:val="24"/>
                <w:lang w:val="en-US" w:eastAsia="zh-CN"/>
              </w:rPr>
              <w:t>减速慢行，禁止鸣笛</w:t>
            </w:r>
            <w:r>
              <w:rPr>
                <w:rFonts w:hint="default" w:ascii="Times New Roman" w:hAnsi="Times New Roman" w:eastAsia="宋体" w:cs="Times New Roman"/>
                <w:color w:val="auto"/>
                <w:kern w:val="0"/>
                <w:sz w:val="24"/>
                <w:szCs w:val="24"/>
                <w:lang w:val="en-US" w:eastAsia="zh-CN"/>
              </w:rPr>
              <w:t>。</w:t>
            </w:r>
          </w:p>
          <w:p w14:paraId="64286DD8">
            <w:pPr>
              <w:keepNext/>
              <w:keepLines/>
              <w:pageBreakBefore w:val="0"/>
              <w:widowControl/>
              <w:numPr>
                <w:ilvl w:val="0"/>
                <w:numId w:val="2"/>
              </w:numPr>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合理安排生产时间，减少噪声对周边环境的影响。</w:t>
            </w:r>
          </w:p>
          <w:p w14:paraId="11D2F4FA">
            <w:pPr>
              <w:keepNext/>
              <w:keepLines/>
              <w:pageBreakBefore w:val="0"/>
              <w:widowControl/>
              <w:numPr>
                <w:ilvl w:val="0"/>
                <w:numId w:val="2"/>
              </w:numPr>
              <w:kinsoku/>
              <w:wordWrap/>
              <w:overflowPunct/>
              <w:topLinePunct w:val="0"/>
              <w:autoSpaceDE/>
              <w:autoSpaceDN/>
              <w:bidi w:val="0"/>
              <w:adjustRightInd/>
              <w:snapToGrid/>
              <w:spacing w:beforeAutospacing="0" w:afterAutospacing="0" w:line="360" w:lineRule="auto"/>
              <w:ind w:left="0" w:leftChars="0" w:firstLine="480" w:firstLineChars="200"/>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加强厂区的环境绿化工作，建议在厂界周围种植树木，可用于吸声降噪。</w:t>
            </w:r>
          </w:p>
          <w:p w14:paraId="10728992">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预测模式</w:t>
            </w:r>
          </w:p>
          <w:p w14:paraId="0F657E14">
            <w:pPr>
              <w:widowControl/>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（1）预测方法</w:t>
            </w:r>
          </w:p>
          <w:p w14:paraId="5F705434">
            <w:pPr>
              <w:widowControl/>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①</w:t>
            </w:r>
            <w:r>
              <w:rPr>
                <w:bCs/>
                <w:color w:val="000000" w:themeColor="text1"/>
                <w:sz w:val="24"/>
                <w14:textFill>
                  <w14:solidFill>
                    <w14:schemeClr w14:val="tx1"/>
                  </w14:solidFill>
                </w14:textFill>
              </w:rPr>
              <w:t>预测方案</w:t>
            </w:r>
          </w:p>
          <w:p w14:paraId="3C3966A5">
            <w:pPr>
              <w:widowControl/>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A.</w:t>
            </w:r>
            <w:r>
              <w:rPr>
                <w:bCs/>
                <w:color w:val="000000" w:themeColor="text1"/>
                <w:sz w:val="24"/>
                <w14:textFill>
                  <w14:solidFill>
                    <w14:schemeClr w14:val="tx1"/>
                  </w14:solidFill>
                </w14:textFill>
              </w:rPr>
              <w:t>本次评价对厂界昼间</w:t>
            </w:r>
            <w:r>
              <w:rPr>
                <w:rFonts w:hint="eastAsia"/>
                <w:bCs/>
                <w:color w:val="000000" w:themeColor="text1"/>
                <w:sz w:val="24"/>
                <w14:textFill>
                  <w14:solidFill>
                    <w14:schemeClr w14:val="tx1"/>
                  </w14:solidFill>
                </w14:textFill>
              </w:rPr>
              <w:t>噪声</w:t>
            </w:r>
            <w:r>
              <w:rPr>
                <w:bCs/>
                <w:color w:val="000000" w:themeColor="text1"/>
                <w:sz w:val="24"/>
                <w14:textFill>
                  <w14:solidFill>
                    <w14:schemeClr w14:val="tx1"/>
                  </w14:solidFill>
                </w14:textFill>
              </w:rPr>
              <w:t>达标性进行预测分析。</w:t>
            </w:r>
          </w:p>
          <w:p w14:paraId="2477DCD9">
            <w:pPr>
              <w:widowControl/>
              <w:spacing w:line="360" w:lineRule="auto"/>
              <w:ind w:firstLine="480" w:firstLineChars="200"/>
              <w:rPr>
                <w:bCs/>
                <w:color w:val="000000" w:themeColor="text1"/>
                <w:sz w:val="24"/>
                <w14:textFill>
                  <w14:solidFill>
                    <w14:schemeClr w14:val="tx1"/>
                  </w14:solidFill>
                </w14:textFill>
              </w:rPr>
            </w:pPr>
            <w:r>
              <w:rPr>
                <w:rFonts w:hint="eastAsia" w:ascii="宋体" w:hAnsi="宋体" w:cs="宋体"/>
                <w:bCs/>
                <w:color w:val="000000" w:themeColor="text1"/>
                <w:sz w:val="24"/>
                <w:lang w:val="en-US" w:eastAsia="zh-CN"/>
                <w14:textFill>
                  <w14:solidFill>
                    <w14:schemeClr w14:val="tx1"/>
                  </w14:solidFill>
                </w14:textFill>
              </w:rPr>
              <w:t>B.</w:t>
            </w:r>
            <w:r>
              <w:rPr>
                <w:bCs/>
                <w:color w:val="000000" w:themeColor="text1"/>
                <w:sz w:val="24"/>
                <w14:textFill>
                  <w14:solidFill>
                    <w14:schemeClr w14:val="tx1"/>
                  </w14:solidFill>
                </w14:textFill>
              </w:rPr>
              <w:t>厂界以工程噪声贡献值作为评价量。</w:t>
            </w:r>
          </w:p>
          <w:p w14:paraId="544D53AD">
            <w:pPr>
              <w:widowControl/>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②</w:t>
            </w:r>
            <w:r>
              <w:rPr>
                <w:bCs/>
                <w:color w:val="000000" w:themeColor="text1"/>
                <w:sz w:val="24"/>
                <w14:textFill>
                  <w14:solidFill>
                    <w14:schemeClr w14:val="tx1"/>
                  </w14:solidFill>
                </w14:textFill>
              </w:rPr>
              <w:t>预测模式</w:t>
            </w:r>
          </w:p>
          <w:p w14:paraId="07FE014D">
            <w:pPr>
              <w:widowControl/>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按照《环境影响评价技术导则 声环境》（HJ2.4—20</w:t>
            </w:r>
            <w:r>
              <w:rPr>
                <w:rFonts w:hint="eastAsia"/>
                <w:bCs/>
                <w:color w:val="000000" w:themeColor="text1"/>
                <w:sz w:val="24"/>
                <w14:textFill>
                  <w14:solidFill>
                    <w14:schemeClr w14:val="tx1"/>
                  </w14:solidFill>
                </w14:textFill>
              </w:rPr>
              <w:t>21</w:t>
            </w:r>
            <w:r>
              <w:rPr>
                <w:bCs/>
                <w:color w:val="000000" w:themeColor="text1"/>
                <w:sz w:val="24"/>
                <w14:textFill>
                  <w14:solidFill>
                    <w14:schemeClr w14:val="tx1"/>
                  </w14:solidFill>
                </w14:textFill>
              </w:rPr>
              <w:t>）中推荐的模式进行预测计算。</w:t>
            </w:r>
          </w:p>
          <w:p w14:paraId="01C01C76">
            <w:pPr>
              <w:widowControl/>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A</w:t>
            </w:r>
            <w:r>
              <w:rPr>
                <w:rFonts w:hint="eastAsia"/>
                <w:color w:val="000000" w:themeColor="text1"/>
                <w:sz w:val="24"/>
                <w:lang w:eastAsia="zh-CN"/>
                <w14:textFill>
                  <w14:solidFill>
                    <w14:schemeClr w14:val="tx1"/>
                  </w14:solidFill>
                </w14:textFill>
              </w:rPr>
              <w:t>.</w:t>
            </w:r>
            <w:r>
              <w:rPr>
                <w:rFonts w:hint="eastAsia"/>
                <w:color w:val="000000" w:themeColor="text1"/>
                <w:kern w:val="0"/>
                <w:sz w:val="24"/>
                <w14:textFill>
                  <w14:solidFill>
                    <w14:schemeClr w14:val="tx1"/>
                  </w14:solidFill>
                </w14:textFill>
              </w:rPr>
              <w:t>靠近室外围护结构处的</w:t>
            </w:r>
            <w:r>
              <w:rPr>
                <w:color w:val="000000" w:themeColor="text1"/>
                <w:kern w:val="0"/>
                <w:sz w:val="24"/>
                <w14:textFill>
                  <w14:solidFill>
                    <w14:schemeClr w14:val="tx1"/>
                  </w14:solidFill>
                </w14:textFill>
              </w:rPr>
              <w:t>噪声级的计算</w:t>
            </w:r>
          </w:p>
          <w:p w14:paraId="5D39818B">
            <w:pPr>
              <w:widowControl/>
              <w:spacing w:line="360" w:lineRule="auto"/>
              <w:jc w:val="center"/>
              <w:rPr>
                <w:rFonts w:hint="eastAsia"/>
                <w:i/>
                <w:iCs/>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rFonts w:hint="eastAsia"/>
                <w:i/>
                <w:iCs/>
                <w:color w:val="000000" w:themeColor="text1"/>
                <w:kern w:val="0"/>
                <w:sz w:val="24"/>
                <w:vertAlign w:val="subscript"/>
                <w14:textFill>
                  <w14:solidFill>
                    <w14:schemeClr w14:val="tx1"/>
                  </w14:solidFill>
                </w14:textFill>
              </w:rPr>
              <w:t>p2i</w:t>
            </w:r>
            <w:r>
              <w:rPr>
                <w:i/>
                <w:iCs/>
                <w:color w:val="000000" w:themeColor="text1"/>
                <w:kern w:val="0"/>
                <w:sz w:val="24"/>
                <w14:textFill>
                  <w14:solidFill>
                    <w14:schemeClr w14:val="tx1"/>
                  </w14:solidFill>
                </w14:textFill>
              </w:rPr>
              <w:t>（T）=L</w:t>
            </w:r>
            <w:r>
              <w:rPr>
                <w:rFonts w:hint="eastAsia"/>
                <w:i/>
                <w:iCs/>
                <w:color w:val="000000" w:themeColor="text1"/>
                <w:kern w:val="0"/>
                <w:sz w:val="24"/>
                <w:vertAlign w:val="subscript"/>
                <w14:textFill>
                  <w14:solidFill>
                    <w14:schemeClr w14:val="tx1"/>
                  </w14:solidFill>
                </w14:textFill>
              </w:rPr>
              <w:t>p1i</w:t>
            </w:r>
            <w:r>
              <w:rPr>
                <w:i/>
                <w:iCs/>
                <w:color w:val="000000" w:themeColor="text1"/>
                <w:kern w:val="0"/>
                <w:sz w:val="24"/>
                <w14:textFill>
                  <w14:solidFill>
                    <w14:schemeClr w14:val="tx1"/>
                  </w14:solidFill>
                </w14:textFill>
              </w:rPr>
              <w:t>（T）—（TL</w:t>
            </w:r>
            <w:r>
              <w:rPr>
                <w:rFonts w:hint="eastAsia"/>
                <w:i/>
                <w:iCs/>
                <w:color w:val="000000" w:themeColor="text1"/>
                <w:kern w:val="0"/>
                <w:sz w:val="24"/>
                <w:vertAlign w:val="subscript"/>
                <w14:textFill>
                  <w14:solidFill>
                    <w14:schemeClr w14:val="tx1"/>
                  </w14:solidFill>
                </w14:textFill>
              </w:rPr>
              <w:t>i</w:t>
            </w:r>
            <w:r>
              <w:rPr>
                <w:i/>
                <w:iCs/>
                <w:color w:val="000000" w:themeColor="text1"/>
                <w:kern w:val="0"/>
                <w:sz w:val="24"/>
                <w14:textFill>
                  <w14:solidFill>
                    <w14:schemeClr w14:val="tx1"/>
                  </w14:solidFill>
                </w14:textFill>
              </w:rPr>
              <w:t>+6）</w:t>
            </w:r>
            <w:r>
              <w:rPr>
                <w:rFonts w:hint="eastAsia"/>
                <w:i/>
                <w:iCs/>
                <w:color w:val="000000" w:themeColor="text1"/>
                <w:kern w:val="0"/>
                <w:sz w:val="24"/>
                <w14:textFill>
                  <w14:solidFill>
                    <w14:schemeClr w14:val="tx1"/>
                  </w14:solidFill>
                </w14:textFill>
              </w:rPr>
              <w:t xml:space="preserve">        </w:t>
            </w:r>
          </w:p>
          <w:p w14:paraId="435C671E">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w:t>
            </w:r>
          </w:p>
          <w:p w14:paraId="715DAB3C">
            <w:pPr>
              <w:widowControl/>
              <w:spacing w:line="360" w:lineRule="auto"/>
              <w:ind w:left="2158" w:leftChars="456" w:hanging="1200" w:hangingChars="500"/>
              <w:rPr>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rFonts w:hint="eastAsia"/>
                <w:i/>
                <w:iCs/>
                <w:color w:val="000000" w:themeColor="text1"/>
                <w:kern w:val="0"/>
                <w:sz w:val="24"/>
                <w:vertAlign w:val="subscript"/>
                <w14:textFill>
                  <w14:solidFill>
                    <w14:schemeClr w14:val="tx1"/>
                  </w14:solidFill>
                </w14:textFill>
              </w:rPr>
              <w:t>p2i</w:t>
            </w:r>
            <w:r>
              <w:rPr>
                <w:i/>
                <w:iCs/>
                <w:color w:val="000000" w:themeColor="text1"/>
                <w:kern w:val="0"/>
                <w:sz w:val="24"/>
                <w14:textFill>
                  <w14:solidFill>
                    <w14:schemeClr w14:val="tx1"/>
                  </w14:solidFill>
                </w14:textFill>
              </w:rPr>
              <w:t>（T）</w:t>
            </w:r>
            <w:r>
              <w:rPr>
                <w:bCs/>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靠近围护结构处室外N个声源i倍频带的叠加声压级，dB</w:t>
            </w:r>
            <w:r>
              <w:rPr>
                <w:color w:val="000000" w:themeColor="text1"/>
                <w:kern w:val="0"/>
                <w:sz w:val="24"/>
                <w14:textFill>
                  <w14:solidFill>
                    <w14:schemeClr w14:val="tx1"/>
                  </w14:solidFill>
                </w14:textFill>
              </w:rPr>
              <w:t>；</w:t>
            </w:r>
          </w:p>
          <w:p w14:paraId="325B98BD">
            <w:pPr>
              <w:widowControl/>
              <w:spacing w:line="360" w:lineRule="auto"/>
              <w:ind w:left="2398" w:leftChars="456" w:hanging="1440" w:hangingChars="600"/>
              <w:rPr>
                <w:i/>
                <w:iCs/>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rFonts w:hint="eastAsia"/>
                <w:i/>
                <w:iCs/>
                <w:color w:val="000000" w:themeColor="text1"/>
                <w:kern w:val="0"/>
                <w:sz w:val="24"/>
                <w:vertAlign w:val="subscript"/>
                <w14:textFill>
                  <w14:solidFill>
                    <w14:schemeClr w14:val="tx1"/>
                  </w14:solidFill>
                </w14:textFill>
              </w:rPr>
              <w:t>p1i</w:t>
            </w:r>
            <w:r>
              <w:rPr>
                <w:i/>
                <w:iCs/>
                <w:color w:val="000000" w:themeColor="text1"/>
                <w:kern w:val="0"/>
                <w:sz w:val="24"/>
                <w14:textFill>
                  <w14:solidFill>
                    <w14:schemeClr w14:val="tx1"/>
                  </w14:solidFill>
                </w14:textFill>
              </w:rPr>
              <w:t>（T）</w:t>
            </w:r>
            <w:r>
              <w:rPr>
                <w:bCs/>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靠近围护结构处室内N个声源i倍频带的叠加声压级，dB</w:t>
            </w:r>
            <w:r>
              <w:rPr>
                <w:color w:val="000000" w:themeColor="text1"/>
                <w:kern w:val="0"/>
                <w:sz w:val="24"/>
                <w14:textFill>
                  <w14:solidFill>
                    <w14:schemeClr w14:val="tx1"/>
                  </w14:solidFill>
                </w14:textFill>
              </w:rPr>
              <w:t>；</w:t>
            </w:r>
          </w:p>
          <w:p w14:paraId="2FA5821D">
            <w:pPr>
              <w:widowControl/>
              <w:spacing w:line="360" w:lineRule="auto"/>
              <w:ind w:firstLine="960" w:firstLineChars="400"/>
              <w:rPr>
                <w:rFonts w:hint="eastAsia" w:eastAsia="宋体"/>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t>TL</w:t>
            </w:r>
            <w:r>
              <w:rPr>
                <w:rFonts w:hint="eastAsia"/>
                <w:color w:val="000000" w:themeColor="text1"/>
                <w:kern w:val="0"/>
                <w:sz w:val="24"/>
                <w:vertAlign w:val="subscript"/>
                <w14:textFill>
                  <w14:solidFill>
                    <w14:schemeClr w14:val="tx1"/>
                  </w14:solidFill>
                </w14:textFill>
              </w:rPr>
              <w:t>i</w:t>
            </w:r>
            <w:r>
              <w:rPr>
                <w:bCs/>
                <w:color w:val="000000" w:themeColor="text1"/>
                <w:sz w:val="24"/>
                <w14:textFill>
                  <w14:solidFill>
                    <w14:schemeClr w14:val="tx1"/>
                  </w14:solidFill>
                </w14:textFill>
              </w:rPr>
              <w:t>—</w:t>
            </w:r>
            <w:r>
              <w:rPr>
                <w:rFonts w:hint="eastAsia"/>
                <w:color w:val="000000" w:themeColor="text1"/>
                <w:kern w:val="0"/>
                <w:sz w:val="24"/>
                <w14:textFill>
                  <w14:solidFill>
                    <w14:schemeClr w14:val="tx1"/>
                  </w14:solidFill>
                </w14:textFill>
              </w:rPr>
              <w:t>围护结构i倍频带的隔音量，dB</w:t>
            </w:r>
            <w:r>
              <w:rPr>
                <w:rFonts w:hint="eastAsia"/>
                <w:color w:val="000000" w:themeColor="text1"/>
                <w:kern w:val="0"/>
                <w:sz w:val="24"/>
                <w:lang w:val="en-US" w:eastAsia="zh-CN"/>
                <w14:textFill>
                  <w14:solidFill>
                    <w14:schemeClr w14:val="tx1"/>
                  </w14:solidFill>
                </w14:textFill>
              </w:rPr>
              <w:t>。</w:t>
            </w:r>
          </w:p>
          <w:p w14:paraId="37F2A92D">
            <w:pPr>
              <w:widowControl/>
              <w:spacing w:line="360" w:lineRule="auto"/>
              <w:rPr>
                <w:color w:val="000000" w:themeColor="text1"/>
                <w:sz w:val="24"/>
                <w14:textFill>
                  <w14:solidFill>
                    <w14:schemeClr w14:val="tx1"/>
                  </w14:solidFill>
                </w14:textFill>
              </w:rPr>
            </w:pPr>
            <w:r>
              <w:rPr>
                <w:color w:val="000000" w:themeColor="text1"/>
                <w:kern w:val="0"/>
                <w:sz w:val="24"/>
                <w14:textFill>
                  <w14:solidFill>
                    <w14:schemeClr w14:val="tx1"/>
                  </w14:solidFill>
                </w14:textFill>
              </w:rPr>
              <w:t>B</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室内声源等效室外声源噪声级的计算</w:t>
            </w:r>
          </w:p>
          <w:p w14:paraId="4659ECFA">
            <w:pPr>
              <w:widowControl/>
              <w:spacing w:line="360" w:lineRule="auto"/>
              <w:jc w:val="center"/>
              <w:rPr>
                <w:rFonts w:hint="eastAsia"/>
                <w:i/>
                <w:iCs/>
                <w:color w:val="000000" w:themeColor="text1"/>
                <w:kern w:val="0"/>
                <w:sz w:val="24"/>
                <w14:textFill>
                  <w14:solidFill>
                    <w14:schemeClr w14:val="tx1"/>
                  </w14:solidFill>
                </w14:textFill>
              </w:rPr>
            </w:pPr>
            <w:r>
              <w:rPr>
                <w:i/>
                <w:iCs/>
                <w:color w:val="000000" w:themeColor="text1"/>
                <w:kern w:val="0"/>
                <w:sz w:val="24"/>
                <w14:textFill>
                  <w14:solidFill>
                    <w14:schemeClr w14:val="tx1"/>
                  </w14:solidFill>
                </w14:textFill>
              </w:rPr>
              <w:t>L</w:t>
            </w:r>
            <w:r>
              <w:rPr>
                <w:rFonts w:hint="eastAsia"/>
                <w:i/>
                <w:iCs/>
                <w:color w:val="000000" w:themeColor="text1"/>
                <w:kern w:val="0"/>
                <w:sz w:val="24"/>
                <w:vertAlign w:val="subscript"/>
                <w14:textFill>
                  <w14:solidFill>
                    <w14:schemeClr w14:val="tx1"/>
                  </w14:solidFill>
                </w14:textFill>
              </w:rPr>
              <w:t>w</w:t>
            </w:r>
            <w:r>
              <w:rPr>
                <w:i/>
                <w:iCs/>
                <w:color w:val="000000" w:themeColor="text1"/>
                <w:kern w:val="0"/>
                <w:sz w:val="24"/>
                <w14:textFill>
                  <w14:solidFill>
                    <w14:schemeClr w14:val="tx1"/>
                  </w14:solidFill>
                </w14:textFill>
              </w:rPr>
              <w:t>=L</w:t>
            </w:r>
            <w:r>
              <w:rPr>
                <w:rFonts w:hint="eastAsia"/>
                <w:i/>
                <w:iCs/>
                <w:color w:val="000000" w:themeColor="text1"/>
                <w:kern w:val="0"/>
                <w:sz w:val="24"/>
                <w:vertAlign w:val="subscript"/>
                <w14:textFill>
                  <w14:solidFill>
                    <w14:schemeClr w14:val="tx1"/>
                  </w14:solidFill>
                </w14:textFill>
              </w:rPr>
              <w:t>p2</w:t>
            </w:r>
            <w:r>
              <w:rPr>
                <w:i/>
                <w:iCs/>
                <w:color w:val="000000" w:themeColor="text1"/>
                <w:kern w:val="0"/>
                <w:sz w:val="24"/>
                <w14:textFill>
                  <w14:solidFill>
                    <w14:schemeClr w14:val="tx1"/>
                  </w14:solidFill>
                </w14:textFill>
              </w:rPr>
              <w:t>（T）</w:t>
            </w:r>
            <w:r>
              <w:rPr>
                <w:rFonts w:hint="eastAsia"/>
                <w:i/>
                <w:iCs/>
                <w:color w:val="000000" w:themeColor="text1"/>
                <w:kern w:val="0"/>
                <w:sz w:val="24"/>
                <w14:textFill>
                  <w14:solidFill>
                    <w14:schemeClr w14:val="tx1"/>
                  </w14:solidFill>
                </w14:textFill>
              </w:rPr>
              <w:t xml:space="preserve">+10lgS         </w:t>
            </w:r>
          </w:p>
          <w:p w14:paraId="54AD3029">
            <w:pPr>
              <w:pStyle w:val="2"/>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eastAsia"/>
                <w:i/>
                <w:iCs/>
                <w:color w:val="000000" w:themeColor="text1"/>
                <w:kern w:val="0"/>
                <w:sz w:val="24"/>
                <w:szCs w:val="24"/>
                <w14:textFill>
                  <w14:solidFill>
                    <w14:schemeClr w14:val="tx1"/>
                  </w14:solidFill>
                </w14:textFill>
              </w:rPr>
            </w:pPr>
            <w:r>
              <w:rPr>
                <w:rFonts w:hint="eastAsia"/>
                <w:i/>
                <w:iCs/>
                <w:color w:val="000000" w:themeColor="text1"/>
                <w:kern w:val="0"/>
                <w:sz w:val="24"/>
                <w:szCs w:val="24"/>
                <w14:textFill>
                  <w14:solidFill>
                    <w14:schemeClr w14:val="tx1"/>
                  </w14:solidFill>
                </w14:textFill>
              </w:rPr>
              <w:t>式中：</w:t>
            </w:r>
          </w:p>
          <w:p w14:paraId="3E5CF460">
            <w:pPr>
              <w:pStyle w:val="2"/>
              <w:keepNext w:val="0"/>
              <w:keepLines w:val="0"/>
              <w:pageBreakBefore w:val="0"/>
              <w:kinsoku/>
              <w:wordWrap/>
              <w:overflowPunct/>
              <w:topLinePunct w:val="0"/>
              <w:autoSpaceDE/>
              <w:autoSpaceDN/>
              <w:bidi w:val="0"/>
              <w:adjustRightInd/>
              <w:snapToGrid/>
              <w:spacing w:line="360" w:lineRule="auto"/>
              <w:ind w:left="0" w:leftChars="0" w:firstLine="720" w:firstLineChars="300"/>
              <w:jc w:val="both"/>
              <w:textAlignment w:val="auto"/>
              <w:rPr>
                <w:rFonts w:hint="eastAsia"/>
                <w:bCs/>
                <w:color w:val="000000" w:themeColor="text1"/>
                <w:sz w:val="24"/>
                <w:szCs w:val="24"/>
                <w14:textFill>
                  <w14:solidFill>
                    <w14:schemeClr w14:val="tx1"/>
                  </w14:solidFill>
                </w14:textFill>
              </w:rPr>
            </w:pPr>
            <w:r>
              <w:rPr>
                <w:i/>
                <w:iCs/>
                <w:color w:val="000000" w:themeColor="text1"/>
                <w:kern w:val="0"/>
                <w:sz w:val="24"/>
                <w:szCs w:val="24"/>
                <w14:textFill>
                  <w14:solidFill>
                    <w14:schemeClr w14:val="tx1"/>
                  </w14:solidFill>
                </w14:textFill>
              </w:rPr>
              <w:t>L</w:t>
            </w:r>
            <w:r>
              <w:rPr>
                <w:rFonts w:hint="eastAsia"/>
                <w:i/>
                <w:iCs/>
                <w:color w:val="000000" w:themeColor="text1"/>
                <w:kern w:val="0"/>
                <w:sz w:val="24"/>
                <w:szCs w:val="24"/>
                <w:vertAlign w:val="subscript"/>
                <w14:textFill>
                  <w14:solidFill>
                    <w14:schemeClr w14:val="tx1"/>
                  </w14:solidFill>
                </w14:textFill>
              </w:rPr>
              <w:t>w</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中心位置位于透声面积（S）处的等效声源的倍频带声功率级，dB；</w:t>
            </w:r>
          </w:p>
          <w:p w14:paraId="07AB349A">
            <w:pPr>
              <w:pStyle w:val="2"/>
              <w:keepNext w:val="0"/>
              <w:keepLines w:val="0"/>
              <w:pageBreakBefore w:val="0"/>
              <w:kinsoku/>
              <w:wordWrap/>
              <w:overflowPunct/>
              <w:topLinePunct w:val="0"/>
              <w:autoSpaceDE/>
              <w:autoSpaceDN/>
              <w:bidi w:val="0"/>
              <w:adjustRightInd/>
              <w:snapToGrid/>
              <w:spacing w:line="360" w:lineRule="auto"/>
              <w:ind w:left="899" w:leftChars="314" w:hanging="240" w:hangingChars="100"/>
              <w:jc w:val="both"/>
              <w:textAlignment w:val="auto"/>
              <w:rPr>
                <w:color w:val="000000" w:themeColor="text1"/>
                <w:kern w:val="0"/>
                <w:sz w:val="24"/>
                <w:szCs w:val="24"/>
                <w14:textFill>
                  <w14:solidFill>
                    <w14:schemeClr w14:val="tx1"/>
                  </w14:solidFill>
                </w14:textFill>
              </w:rPr>
            </w:pPr>
            <w:r>
              <w:rPr>
                <w:i/>
                <w:iCs/>
                <w:color w:val="000000" w:themeColor="text1"/>
                <w:kern w:val="0"/>
                <w:sz w:val="24"/>
                <w:szCs w:val="24"/>
                <w14:textFill>
                  <w14:solidFill>
                    <w14:schemeClr w14:val="tx1"/>
                  </w14:solidFill>
                </w14:textFill>
              </w:rPr>
              <w:t>L</w:t>
            </w:r>
            <w:r>
              <w:rPr>
                <w:rFonts w:hint="eastAsia"/>
                <w:i/>
                <w:iCs/>
                <w:color w:val="000000" w:themeColor="text1"/>
                <w:kern w:val="0"/>
                <w:sz w:val="24"/>
                <w:szCs w:val="24"/>
                <w:vertAlign w:val="subscript"/>
                <w14:textFill>
                  <w14:solidFill>
                    <w14:schemeClr w14:val="tx1"/>
                  </w14:solidFill>
                </w14:textFill>
              </w:rPr>
              <w:t>p2</w:t>
            </w:r>
            <w:r>
              <w:rPr>
                <w:i/>
                <w:iCs/>
                <w:color w:val="000000" w:themeColor="text1"/>
                <w:kern w:val="0"/>
                <w:sz w:val="24"/>
                <w:szCs w:val="24"/>
                <w14:textFill>
                  <w14:solidFill>
                    <w14:schemeClr w14:val="tx1"/>
                  </w14:solidFill>
                </w14:textFill>
              </w:rPr>
              <w:t>（T）</w:t>
            </w:r>
            <w:r>
              <w:rPr>
                <w:bCs/>
                <w:color w:val="000000" w:themeColor="text1"/>
                <w:sz w:val="24"/>
                <w:szCs w:val="24"/>
                <w14:textFill>
                  <w14:solidFill>
                    <w14:schemeClr w14:val="tx1"/>
                  </w14:solidFill>
                </w14:textFill>
              </w:rPr>
              <w:t>—</w:t>
            </w:r>
            <w:r>
              <w:rPr>
                <w:rFonts w:hint="eastAsia"/>
                <w:color w:val="000000" w:themeColor="text1"/>
                <w:kern w:val="0"/>
                <w:sz w:val="24"/>
                <w:szCs w:val="24"/>
                <w14:textFill>
                  <w14:solidFill>
                    <w14:schemeClr w14:val="tx1"/>
                  </w14:solidFill>
                </w14:textFill>
              </w:rPr>
              <w:t>靠近围护结构处室外声源的声压级，dB</w:t>
            </w:r>
            <w:r>
              <w:rPr>
                <w:color w:val="000000" w:themeColor="text1"/>
                <w:kern w:val="0"/>
                <w:sz w:val="24"/>
                <w:szCs w:val="24"/>
                <w14:textFill>
                  <w14:solidFill>
                    <w14:schemeClr w14:val="tx1"/>
                  </w14:solidFill>
                </w14:textFill>
              </w:rPr>
              <w:t>；</w:t>
            </w:r>
          </w:p>
          <w:p w14:paraId="665000BC">
            <w:pPr>
              <w:keepNext w:val="0"/>
              <w:keepLines w:val="0"/>
              <w:pageBreakBefore w:val="0"/>
              <w:widowControl/>
              <w:kinsoku/>
              <w:wordWrap/>
              <w:overflowPunct/>
              <w:topLinePunct w:val="0"/>
              <w:autoSpaceDE/>
              <w:autoSpaceDN/>
              <w:bidi w:val="0"/>
              <w:adjustRightInd/>
              <w:snapToGrid/>
              <w:spacing w:line="360" w:lineRule="auto"/>
              <w:ind w:firstLine="720" w:firstLineChars="300"/>
              <w:jc w:val="both"/>
              <w:textAlignment w:val="auto"/>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S-透声面积，m</w:t>
            </w:r>
            <w:r>
              <w:rPr>
                <w:rFonts w:hint="eastAsia"/>
                <w:color w:val="000000" w:themeColor="text1"/>
                <w:kern w:val="0"/>
                <w:sz w:val="24"/>
                <w:szCs w:val="24"/>
                <w:vertAlign w:val="superscript"/>
                <w14:textFill>
                  <w14:solidFill>
                    <w14:schemeClr w14:val="tx1"/>
                  </w14:solidFill>
                </w14:textFill>
              </w:rPr>
              <w:t>2</w:t>
            </w:r>
            <w:r>
              <w:rPr>
                <w:rFonts w:hint="eastAsia"/>
                <w:color w:val="000000" w:themeColor="text1"/>
                <w:kern w:val="0"/>
                <w:sz w:val="24"/>
                <w:szCs w:val="24"/>
                <w14:textFill>
                  <w14:solidFill>
                    <w14:schemeClr w14:val="tx1"/>
                  </w14:solidFill>
                </w14:textFill>
              </w:rPr>
              <w:t>。</w:t>
            </w:r>
          </w:p>
          <w:p w14:paraId="3B6BB5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C</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室外点声源在预测点产生的噪声级</w:t>
            </w:r>
          </w:p>
          <w:p w14:paraId="4B76B780">
            <w:pPr>
              <w:widowControl/>
              <w:spacing w:line="360" w:lineRule="auto"/>
              <w:ind w:firstLine="960" w:firstLineChars="400"/>
              <w:rPr>
                <w:rFonts w:hint="eastAsia"/>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drawing>
                <wp:inline distT="0" distB="0" distL="114300" distR="114300">
                  <wp:extent cx="4028440" cy="270510"/>
                  <wp:effectExtent l="0" t="0" r="10160" b="15240"/>
                  <wp:docPr id="23" name="图片 67" descr="微信图片_202208091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7" descr="微信图片_20220809162056"/>
                          <pic:cNvPicPr>
                            <a:picLocks noChangeAspect="1"/>
                          </pic:cNvPicPr>
                        </pic:nvPicPr>
                        <pic:blipFill>
                          <a:blip r:embed="rId13"/>
                          <a:stretch>
                            <a:fillRect/>
                          </a:stretch>
                        </pic:blipFill>
                        <pic:spPr>
                          <a:xfrm>
                            <a:off x="0" y="0"/>
                            <a:ext cx="4028440" cy="270510"/>
                          </a:xfrm>
                          <a:prstGeom prst="rect">
                            <a:avLst/>
                          </a:prstGeom>
                          <a:noFill/>
                          <a:ln>
                            <a:noFill/>
                          </a:ln>
                        </pic:spPr>
                      </pic:pic>
                    </a:graphicData>
                  </a:graphic>
                </wp:inline>
              </w:drawing>
            </w:r>
          </w:p>
          <w:p w14:paraId="41397393">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式中：</w:t>
            </w:r>
          </w:p>
          <w:p w14:paraId="08D23363">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L</w:t>
            </w:r>
            <w:r>
              <w:rPr>
                <w:rFonts w:hint="eastAsia"/>
                <w:color w:val="000000" w:themeColor="text1"/>
                <w:kern w:val="0"/>
                <w:sz w:val="24"/>
                <w:vertAlign w:val="subscript"/>
                <w14:textFill>
                  <w14:solidFill>
                    <w14:schemeClr w14:val="tx1"/>
                  </w14:solidFill>
                </w14:textFill>
              </w:rPr>
              <w:t>p</w:t>
            </w:r>
            <w:r>
              <w:rPr>
                <w:color w:val="000000" w:themeColor="text1"/>
                <w:kern w:val="0"/>
                <w:sz w:val="24"/>
                <w14:textFill>
                  <w14:solidFill>
                    <w14:schemeClr w14:val="tx1"/>
                  </w14:solidFill>
                </w14:textFill>
              </w:rPr>
              <w:t>（r）—</w:t>
            </w:r>
            <w:r>
              <w:rPr>
                <w:rFonts w:hint="eastAsia"/>
                <w:color w:val="000000" w:themeColor="text1"/>
                <w:kern w:val="0"/>
                <w:sz w:val="24"/>
                <w14:textFill>
                  <w14:solidFill>
                    <w14:schemeClr w14:val="tx1"/>
                  </w14:solidFill>
                </w14:textFill>
              </w:rPr>
              <w:t>预测点处声压级</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dB；</w:t>
            </w:r>
          </w:p>
          <w:p w14:paraId="2C8BA58A">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L</w:t>
            </w:r>
            <w:r>
              <w:rPr>
                <w:rFonts w:hint="eastAsia"/>
                <w:color w:val="000000" w:themeColor="text1"/>
                <w:kern w:val="0"/>
                <w:sz w:val="24"/>
                <w:vertAlign w:val="subscript"/>
                <w14:textFill>
                  <w14:solidFill>
                    <w14:schemeClr w14:val="tx1"/>
                  </w14:solidFill>
                </w14:textFill>
              </w:rPr>
              <w:t>w</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由点声源产生的声功率级（A计权或倍频带）</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dB；</w:t>
            </w:r>
          </w:p>
          <w:p w14:paraId="111F044D">
            <w:pPr>
              <w:pStyle w:val="2"/>
              <w:spacing w:before="0" w:beforeAutospacing="0" w:after="0" w:afterAutospacing="0"/>
              <w:ind w:left="1678" w:leftChars="456" w:hanging="720" w:hangingChars="3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Dc</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指向性校正，它描述点声源的等效连续声压级与产生声功率级</w:t>
            </w:r>
            <w:r>
              <w:rPr>
                <w:color w:val="000000" w:themeColor="text1"/>
                <w:kern w:val="0"/>
                <w14:textFill>
                  <w14:solidFill>
                    <w14:schemeClr w14:val="tx1"/>
                  </w14:solidFill>
                </w14:textFill>
              </w:rPr>
              <w:t>L</w:t>
            </w:r>
            <w:r>
              <w:rPr>
                <w:rFonts w:hint="eastAsia"/>
                <w:color w:val="000000" w:themeColor="text1"/>
                <w:kern w:val="0"/>
                <w:vertAlign w:val="subscript"/>
                <w14:textFill>
                  <w14:solidFill>
                    <w14:schemeClr w14:val="tx1"/>
                  </w14:solidFill>
                </w14:textFill>
              </w:rPr>
              <w:t>w</w:t>
            </w:r>
            <w:r>
              <w:rPr>
                <w:rFonts w:hint="eastAsia"/>
                <w:color w:val="000000" w:themeColor="text1"/>
                <w:kern w:val="0"/>
                <w14:textFill>
                  <w14:solidFill>
                    <w14:schemeClr w14:val="tx1"/>
                  </w14:solidFill>
                </w14:textFill>
              </w:rPr>
              <w:t>的全向点声源在规定方向的声级的偏差程度</w:t>
            </w:r>
            <w:r>
              <w:rPr>
                <w:rFonts w:hint="eastAsia"/>
                <w:color w:val="000000" w:themeColor="text1"/>
                <w:kern w:val="0"/>
                <w:lang w:eastAsia="zh-CN"/>
                <w14:textFill>
                  <w14:solidFill>
                    <w14:schemeClr w14:val="tx1"/>
                  </w14:solidFill>
                </w14:textFill>
              </w:rPr>
              <w:t>；</w:t>
            </w:r>
            <w:r>
              <w:rPr>
                <w:color w:val="000000" w:themeColor="text1"/>
                <w:kern w:val="0"/>
                <w14:textFill>
                  <w14:solidFill>
                    <w14:schemeClr w14:val="tx1"/>
                  </w14:solidFill>
                </w14:textFill>
              </w:rPr>
              <w:t>dB；</w:t>
            </w:r>
          </w:p>
          <w:p w14:paraId="0DCE4C3D">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div</w:t>
            </w:r>
            <w:r>
              <w:rPr>
                <w:color w:val="000000" w:themeColor="text1"/>
                <w:kern w:val="0"/>
                <w:sz w:val="24"/>
                <w14:textFill>
                  <w14:solidFill>
                    <w14:schemeClr w14:val="tx1"/>
                  </w14:solidFill>
                </w14:textFill>
              </w:rPr>
              <w:t>—几何发散引起的衰减</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dB；</w:t>
            </w:r>
          </w:p>
          <w:p w14:paraId="762B6EFB">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atm</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大气</w:t>
            </w:r>
            <w:r>
              <w:rPr>
                <w:color w:val="000000" w:themeColor="text1"/>
                <w:kern w:val="0"/>
                <w:sz w:val="24"/>
                <w14:textFill>
                  <w14:solidFill>
                    <w14:schemeClr w14:val="tx1"/>
                  </w14:solidFill>
                </w14:textFill>
              </w:rPr>
              <w:t>吸收引起的衰减</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dB；</w:t>
            </w:r>
          </w:p>
          <w:p w14:paraId="265CB200">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rFonts w:hint="eastAsia"/>
                <w:color w:val="000000" w:themeColor="text1"/>
                <w:kern w:val="0"/>
                <w:sz w:val="24"/>
                <w:vertAlign w:val="subscript"/>
                <w14:textFill>
                  <w14:solidFill>
                    <w14:schemeClr w14:val="tx1"/>
                  </w14:solidFill>
                </w14:textFill>
              </w:rPr>
              <w:t>gr</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地面效应引起的衰减</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dB；</w:t>
            </w:r>
          </w:p>
          <w:p w14:paraId="2B6CA9BF">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bar</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障碍物屏蔽引起的衰减</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dB；</w:t>
            </w:r>
          </w:p>
          <w:p w14:paraId="103BBDC4">
            <w:pPr>
              <w:widowControl/>
              <w:spacing w:line="360" w:lineRule="auto"/>
              <w:ind w:firstLine="960" w:firstLineChars="4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A</w:t>
            </w:r>
            <w:r>
              <w:rPr>
                <w:rFonts w:hint="eastAsia"/>
                <w:color w:val="000000" w:themeColor="text1"/>
                <w:kern w:val="0"/>
                <w:sz w:val="24"/>
                <w:vertAlign w:val="subscript"/>
                <w14:textFill>
                  <w14:solidFill>
                    <w14:schemeClr w14:val="tx1"/>
                  </w14:solidFill>
                </w14:textFill>
              </w:rPr>
              <w:t>misc</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其他多方面效应引起的衰减</w:t>
            </w:r>
            <w:r>
              <w:rPr>
                <w:rFonts w:hint="eastAsia"/>
                <w:color w:val="000000" w:themeColor="text1"/>
                <w:kern w:val="0"/>
                <w:sz w:val="24"/>
                <w:lang w:eastAsia="zh-CN"/>
                <w14:textFill>
                  <w14:solidFill>
                    <w14:schemeClr w14:val="tx1"/>
                  </w14:solidFill>
                </w14:textFill>
              </w:rPr>
              <w:t>；</w:t>
            </w:r>
            <w:r>
              <w:rPr>
                <w:color w:val="000000" w:themeColor="text1"/>
                <w:kern w:val="0"/>
                <w:sz w:val="24"/>
                <w14:textFill>
                  <w14:solidFill>
                    <w14:schemeClr w14:val="tx1"/>
                  </w14:solidFill>
                </w14:textFill>
              </w:rPr>
              <w:t>dB；</w:t>
            </w:r>
          </w:p>
          <w:p w14:paraId="0A60D3E9">
            <w:pPr>
              <w:widowControl/>
              <w:spacing w:line="440" w:lineRule="exact"/>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为避免计算中增大衰减量而造成预测值偏小，计算</w:t>
            </w:r>
            <w:r>
              <w:rPr>
                <w:rFonts w:hint="eastAsia"/>
                <w:color w:val="000000" w:themeColor="text1"/>
                <w:sz w:val="24"/>
                <w:lang w:eastAsia="zh-CN"/>
                <w14:textFill>
                  <w14:solidFill>
                    <w14:schemeClr w14:val="tx1"/>
                  </w14:solidFill>
                </w14:textFill>
              </w:rPr>
              <w:t>时</w:t>
            </w:r>
            <w:r>
              <w:rPr>
                <w:color w:val="000000" w:themeColor="text1"/>
                <w:sz w:val="24"/>
                <w14:textFill>
                  <w14:solidFill>
                    <w14:schemeClr w14:val="tx1"/>
                  </w14:solidFill>
                </w14:textFill>
              </w:rPr>
              <w:t>忽略</w:t>
            </w:r>
            <w:r>
              <w:rPr>
                <w:color w:val="000000" w:themeColor="text1"/>
                <w:kern w:val="0"/>
                <w:sz w:val="24"/>
                <w14:textFill>
                  <w14:solidFill>
                    <w14:schemeClr w14:val="tx1"/>
                  </w14:solidFill>
                </w14:textFill>
              </w:rPr>
              <w:t>A</w:t>
            </w:r>
            <w:r>
              <w:rPr>
                <w:color w:val="000000" w:themeColor="text1"/>
                <w:kern w:val="0"/>
                <w:sz w:val="24"/>
                <w:vertAlign w:val="subscript"/>
                <w14:textFill>
                  <w14:solidFill>
                    <w14:schemeClr w14:val="tx1"/>
                  </w14:solidFill>
                </w14:textFill>
              </w:rPr>
              <w:t>atm</w:t>
            </w:r>
            <w:r>
              <w:rPr>
                <w:color w:val="000000" w:themeColor="text1"/>
                <w:sz w:val="24"/>
                <w14:textFill>
                  <w14:solidFill>
                    <w14:schemeClr w14:val="tx1"/>
                  </w14:solidFill>
                </w14:textFill>
              </w:rPr>
              <w:t>和</w:t>
            </w:r>
            <w:r>
              <w:rPr>
                <w:color w:val="000000" w:themeColor="text1"/>
                <w:kern w:val="0"/>
                <w:sz w:val="24"/>
                <w14:textFill>
                  <w14:solidFill>
                    <w14:schemeClr w14:val="tx1"/>
                  </w14:solidFill>
                </w14:textFill>
              </w:rPr>
              <w:t>A</w:t>
            </w:r>
            <w:r>
              <w:rPr>
                <w:rFonts w:hint="eastAsia"/>
                <w:color w:val="000000" w:themeColor="text1"/>
                <w:kern w:val="0"/>
                <w:sz w:val="24"/>
                <w:vertAlign w:val="subscript"/>
                <w14:textFill>
                  <w14:solidFill>
                    <w14:schemeClr w14:val="tx1"/>
                  </w14:solidFill>
                </w14:textFill>
              </w:rPr>
              <w:t>misc</w:t>
            </w:r>
            <w:r>
              <w:rPr>
                <w:color w:val="000000" w:themeColor="text1"/>
                <w:kern w:val="0"/>
                <w:sz w:val="24"/>
                <w14:textFill>
                  <w14:solidFill>
                    <w14:schemeClr w14:val="tx1"/>
                  </w14:solidFill>
                </w14:textFill>
              </w:rPr>
              <w:t>。</w:t>
            </w:r>
          </w:p>
          <w:p w14:paraId="2303EE74">
            <w:pPr>
              <w:keepNext w:val="0"/>
              <w:keepLines w:val="0"/>
              <w:suppressLineNumbers w:val="0"/>
              <w:spacing w:before="0" w:beforeAutospacing="0" w:after="0" w:afterAutospacing="0"/>
              <w:ind w:left="0" w:right="0" w:firstLine="422" w:firstLineChars="200"/>
              <w:jc w:val="center"/>
              <w:rPr>
                <w:rFonts w:hint="default" w:ascii="Times New Roman" w:hAnsi="Times New Roman" w:eastAsia="宋体" w:cs="Times New Roman"/>
                <w:b/>
                <w:bCs/>
                <w:color w:val="000000" w:themeColor="text1"/>
                <w:sz w:val="21"/>
                <w:szCs w:val="21"/>
                <w:lang w:val="en-GB"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GB" w:eastAsia="zh-CN"/>
                <w14:textFill>
                  <w14:solidFill>
                    <w14:schemeClr w14:val="tx1"/>
                  </w14:solidFill>
                </w14:textFill>
              </w:rPr>
              <w:t>表4-</w:t>
            </w:r>
            <w:r>
              <w:rPr>
                <w:rFonts w:hint="eastAsia"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GB" w:eastAsia="zh-CN"/>
                <w14:textFill>
                  <w14:solidFill>
                    <w14:schemeClr w14:val="tx1"/>
                  </w14:solidFill>
                </w14:textFill>
              </w:rPr>
              <w:t xml:space="preserve">   隔墙等遮挡物引起的A声级衰减一览表</w:t>
            </w:r>
          </w:p>
          <w:tbl>
            <w:tblPr>
              <w:tblStyle w:val="31"/>
              <w:tblW w:w="798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93"/>
              <w:gridCol w:w="3996"/>
            </w:tblGrid>
            <w:tr w14:paraId="457BF6B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6DD85D8">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条件</w:t>
                  </w:r>
                </w:p>
              </w:tc>
              <w:tc>
                <w:tcPr>
                  <w:tcW w:w="2501" w:type="pct"/>
                  <w:noWrap w:val="0"/>
                  <w:vAlign w:val="center"/>
                </w:tcPr>
                <w:p w14:paraId="7D63DB90">
                  <w:pPr>
                    <w:adjustRightInd w:val="0"/>
                    <w:snapToGrid w:val="0"/>
                    <w:jc w:val="center"/>
                    <w:rPr>
                      <w:b/>
                      <w:bCs/>
                      <w:color w:val="000000" w:themeColor="text1"/>
                      <w:szCs w:val="21"/>
                      <w14:textFill>
                        <w14:solidFill>
                          <w14:schemeClr w14:val="tx1"/>
                        </w14:solidFill>
                      </w14:textFill>
                    </w:rPr>
                  </w:pPr>
                  <w:r>
                    <w:rPr>
                      <w:b/>
                      <w:bCs/>
                      <w:color w:val="000000" w:themeColor="text1"/>
                      <w:kern w:val="0"/>
                      <w:szCs w:val="21"/>
                      <w14:textFill>
                        <w14:solidFill>
                          <w14:schemeClr w14:val="tx1"/>
                        </w14:solidFill>
                      </w14:textFill>
                    </w:rPr>
                    <w:t>A</w:t>
                  </w:r>
                  <w:r>
                    <w:rPr>
                      <w:b/>
                      <w:bCs/>
                      <w:color w:val="000000" w:themeColor="text1"/>
                      <w:kern w:val="0"/>
                      <w:szCs w:val="21"/>
                      <w:vertAlign w:val="subscript"/>
                      <w14:textFill>
                        <w14:solidFill>
                          <w14:schemeClr w14:val="tx1"/>
                        </w14:solidFill>
                      </w14:textFill>
                    </w:rPr>
                    <w:t>bar</w:t>
                  </w:r>
                  <w:r>
                    <w:rPr>
                      <w:b/>
                      <w:bCs/>
                      <w:color w:val="000000" w:themeColor="text1"/>
                      <w:kern w:val="0"/>
                      <w:szCs w:val="21"/>
                      <w14:textFill>
                        <w14:solidFill>
                          <w14:schemeClr w14:val="tx1"/>
                        </w14:solidFill>
                      </w14:textFill>
                    </w:rPr>
                    <w:t xml:space="preserve"> dB（A）</w:t>
                  </w:r>
                </w:p>
              </w:tc>
            </w:tr>
            <w:tr w14:paraId="63DC27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57C871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开小窗，密闭，门经隔声处理</w:t>
                  </w:r>
                </w:p>
              </w:tc>
              <w:tc>
                <w:tcPr>
                  <w:tcW w:w="2501" w:type="pct"/>
                  <w:noWrap w:val="0"/>
                  <w:vAlign w:val="center"/>
                </w:tcPr>
                <w:p w14:paraId="6D01E78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25</w:t>
                  </w:r>
                </w:p>
              </w:tc>
            </w:tr>
            <w:tr w14:paraId="2AFD862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291B91A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开大窗且不密闭，门较密闭</w:t>
                  </w:r>
                </w:p>
              </w:tc>
              <w:tc>
                <w:tcPr>
                  <w:tcW w:w="2501" w:type="pct"/>
                  <w:noWrap w:val="0"/>
                  <w:vAlign w:val="center"/>
                </w:tcPr>
                <w:p w14:paraId="2DD151B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w:t>
                  </w:r>
                </w:p>
              </w:tc>
            </w:tr>
            <w:tr w14:paraId="6526F0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06A65C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开大窗且不密闭，门不密闭</w:t>
                  </w:r>
                </w:p>
              </w:tc>
              <w:tc>
                <w:tcPr>
                  <w:tcW w:w="2501" w:type="pct"/>
                  <w:noWrap w:val="0"/>
                  <w:vAlign w:val="center"/>
                </w:tcPr>
                <w:p w14:paraId="471272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w:t>
                  </w:r>
                </w:p>
              </w:tc>
            </w:tr>
            <w:tr w14:paraId="54113D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2499" w:type="pct"/>
                  <w:noWrap w:val="0"/>
                  <w:vAlign w:val="center"/>
                </w:tcPr>
                <w:p w14:paraId="3B6D25D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门与窗全部敞开</w:t>
                  </w:r>
                </w:p>
              </w:tc>
              <w:tc>
                <w:tcPr>
                  <w:tcW w:w="2501" w:type="pct"/>
                  <w:noWrap w:val="0"/>
                  <w:vAlign w:val="center"/>
                </w:tcPr>
                <w:p w14:paraId="3EC620D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w:t>
                  </w:r>
                </w:p>
              </w:tc>
            </w:tr>
          </w:tbl>
          <w:p w14:paraId="66452FE2">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（2）预测结果：</w:t>
            </w:r>
          </w:p>
          <w:p w14:paraId="2F9B5F00">
            <w:pPr>
              <w:adjustRightInd w:val="0"/>
              <w:snapToGrid w:val="0"/>
              <w:spacing w:line="360" w:lineRule="auto"/>
              <w:ind w:firstLine="480" w:firstLineChars="200"/>
              <w:jc w:val="left"/>
              <w:rPr>
                <w:rFonts w:hint="default" w:ascii="Times New Roman" w:hAnsi="Times New Roman" w:eastAsia="宋体" w:cs="Times New Roman"/>
                <w:color w:val="auto"/>
                <w:sz w:val="24"/>
                <w:szCs w:val="24"/>
                <w:lang w:val="en-US" w:eastAsia="zh-CN"/>
              </w:rPr>
            </w:pPr>
            <w:r>
              <w:rPr>
                <w:color w:val="000000" w:themeColor="text1"/>
                <w:sz w:val="24"/>
                <w14:textFill>
                  <w14:solidFill>
                    <w14:schemeClr w14:val="tx1"/>
                  </w14:solidFill>
                </w14:textFill>
              </w:rPr>
              <w:t>由于项目</w:t>
            </w:r>
            <w:r>
              <w:rPr>
                <w:rFonts w:hint="eastAsia"/>
                <w:color w:val="000000" w:themeColor="text1"/>
                <w:sz w:val="24"/>
                <w:lang w:val="en-US" w:eastAsia="zh-CN"/>
                <w14:textFill>
                  <w14:solidFill>
                    <w14:schemeClr w14:val="tx1"/>
                  </w14:solidFill>
                </w14:textFill>
              </w:rPr>
              <w:t>到货与装货时间不固定</w:t>
            </w:r>
            <w:r>
              <w:rPr>
                <w:color w:val="000000" w:themeColor="text1"/>
                <w:sz w:val="24"/>
                <w14:textFill>
                  <w14:solidFill>
                    <w14:schemeClr w14:val="tx1"/>
                  </w14:solidFill>
                </w14:textFill>
              </w:rPr>
              <w:t>，</w:t>
            </w:r>
            <w:r>
              <w:rPr>
                <w:color w:val="000000" w:themeColor="text1"/>
                <w:kern w:val="0"/>
                <w:sz w:val="24"/>
                <w:lang w:bidi="ar"/>
                <w14:textFill>
                  <w14:solidFill>
                    <w14:schemeClr w14:val="tx1"/>
                  </w14:solidFill>
                </w14:textFill>
              </w:rPr>
              <w:t>按照最不利情况预测厂界受到的影响，预测结果</w:t>
            </w:r>
            <w:r>
              <w:rPr>
                <w:rFonts w:hint="eastAsia"/>
                <w:color w:val="000000" w:themeColor="text1"/>
                <w:kern w:val="0"/>
                <w:sz w:val="24"/>
                <w:lang w:bidi="ar"/>
                <w14:textFill>
                  <w14:solidFill>
                    <w14:schemeClr w14:val="tx1"/>
                  </w14:solidFill>
                </w14:textFill>
              </w:rPr>
              <w:t>见</w:t>
            </w:r>
            <w:r>
              <w:rPr>
                <w:color w:val="000000" w:themeColor="text1"/>
                <w:sz w:val="24"/>
                <w14:textFill>
                  <w14:solidFill>
                    <w14:schemeClr w14:val="tx1"/>
                  </w14:solidFill>
                </w14:textFill>
              </w:rPr>
              <w:t>表</w:t>
            </w:r>
            <w:r>
              <w:rPr>
                <w:rFonts w:hint="eastAsia"/>
                <w:color w:val="000000" w:themeColor="text1"/>
                <w:sz w:val="24"/>
                <w:lang w:val="en-US" w:eastAsia="zh-CN"/>
                <w14:textFill>
                  <w14:solidFill>
                    <w14:schemeClr w14:val="tx1"/>
                  </w14:solidFill>
                </w14:textFill>
              </w:rPr>
              <w:t>4-5：</w:t>
            </w:r>
          </w:p>
          <w:p w14:paraId="6F58227F">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cs="Times New Roman"/>
                <w:b/>
                <w:bCs/>
                <w:color w:val="auto"/>
                <w:sz w:val="21"/>
                <w:szCs w:val="21"/>
              </w:rPr>
              <w:t>项目主要噪声源产生及治理情况</w:t>
            </w:r>
          </w:p>
          <w:tbl>
            <w:tblPr>
              <w:tblStyle w:val="31"/>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09"/>
              <w:gridCol w:w="971"/>
              <w:gridCol w:w="618"/>
              <w:gridCol w:w="877"/>
              <w:gridCol w:w="872"/>
              <w:gridCol w:w="939"/>
              <w:gridCol w:w="863"/>
              <w:gridCol w:w="1026"/>
              <w:gridCol w:w="1529"/>
            </w:tblGrid>
            <w:tr w14:paraId="225190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16E9286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599" w:type="pct"/>
                  <w:vMerge w:val="restart"/>
                  <w:tcBorders>
                    <w:tl2br w:val="nil"/>
                    <w:tr2bl w:val="nil"/>
                  </w:tcBorders>
                  <w:noWrap w:val="0"/>
                  <w:vAlign w:val="center"/>
                </w:tcPr>
                <w:p w14:paraId="578AEB4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w:t>
                  </w:r>
                </w:p>
              </w:tc>
              <w:tc>
                <w:tcPr>
                  <w:tcW w:w="381" w:type="pct"/>
                  <w:vMerge w:val="restart"/>
                  <w:tcBorders>
                    <w:tl2br w:val="nil"/>
                    <w:tr2bl w:val="nil"/>
                  </w:tcBorders>
                  <w:noWrap w:val="0"/>
                  <w:vAlign w:val="center"/>
                </w:tcPr>
                <w:p w14:paraId="0AA86FA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降噪后</w:t>
                  </w:r>
                </w:p>
                <w:p w14:paraId="481AFF2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源强</w:t>
                  </w:r>
                </w:p>
              </w:tc>
              <w:tc>
                <w:tcPr>
                  <w:tcW w:w="2823" w:type="pct"/>
                  <w:gridSpan w:val="5"/>
                  <w:tcBorders>
                    <w:tl2br w:val="nil"/>
                    <w:tr2bl w:val="nil"/>
                  </w:tcBorders>
                  <w:noWrap w:val="0"/>
                  <w:vAlign w:val="center"/>
                </w:tcPr>
                <w:p w14:paraId="7F0567C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auto"/>
                      <w:sz w:val="21"/>
                      <w:szCs w:val="21"/>
                      <w:highlight w:val="none"/>
                      <w:lang w:eastAsia="zh-CN"/>
                    </w:rPr>
                  </w:pPr>
                  <w:r>
                    <w:rPr>
                      <w:rFonts w:hint="eastAsia" w:ascii="Times New Roman" w:hAnsi="Times New Roman" w:eastAsia="宋体" w:cs="Times New Roman"/>
                      <w:b/>
                      <w:bCs/>
                      <w:color w:val="auto"/>
                      <w:sz w:val="21"/>
                      <w:szCs w:val="21"/>
                      <w:highlight w:val="none"/>
                      <w:lang w:val="en-US" w:eastAsia="zh-CN"/>
                    </w:rPr>
                    <w:t>厂界</w:t>
                  </w:r>
                </w:p>
              </w:tc>
              <w:tc>
                <w:tcPr>
                  <w:tcW w:w="943" w:type="pct"/>
                  <w:tcBorders>
                    <w:tl2br w:val="nil"/>
                    <w:tr2bl w:val="nil"/>
                  </w:tcBorders>
                  <w:noWrap w:val="0"/>
                  <w:vAlign w:val="center"/>
                </w:tcPr>
                <w:p w14:paraId="052BF48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敏感点</w:t>
                  </w:r>
                </w:p>
              </w:tc>
            </w:tr>
            <w:tr w14:paraId="4933C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6EFDED9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599" w:type="pct"/>
                  <w:vMerge w:val="continue"/>
                  <w:tcBorders>
                    <w:tl2br w:val="nil"/>
                    <w:tr2bl w:val="nil"/>
                  </w:tcBorders>
                  <w:noWrap w:val="0"/>
                  <w:vAlign w:val="center"/>
                </w:tcPr>
                <w:p w14:paraId="5F9166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381" w:type="pct"/>
                  <w:vMerge w:val="continue"/>
                  <w:tcBorders>
                    <w:tl2br w:val="nil"/>
                    <w:tr2bl w:val="nil"/>
                  </w:tcBorders>
                  <w:noWrap w:val="0"/>
                  <w:vAlign w:val="center"/>
                </w:tcPr>
                <w:p w14:paraId="5C0BEDFE">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541" w:type="pct"/>
                  <w:tcBorders>
                    <w:tl2br w:val="nil"/>
                    <w:tr2bl w:val="nil"/>
                  </w:tcBorders>
                  <w:noWrap w:val="0"/>
                  <w:vAlign w:val="center"/>
                </w:tcPr>
                <w:p w14:paraId="005794F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538" w:type="pct"/>
                  <w:tcBorders>
                    <w:tl2br w:val="nil"/>
                    <w:tr2bl w:val="nil"/>
                  </w:tcBorders>
                  <w:noWrap w:val="0"/>
                  <w:vAlign w:val="center"/>
                </w:tcPr>
                <w:p w14:paraId="1364548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东</w:t>
                  </w:r>
                </w:p>
              </w:tc>
              <w:tc>
                <w:tcPr>
                  <w:tcW w:w="579" w:type="pct"/>
                  <w:tcBorders>
                    <w:tl2br w:val="nil"/>
                    <w:tr2bl w:val="nil"/>
                  </w:tcBorders>
                  <w:noWrap w:val="0"/>
                  <w:vAlign w:val="center"/>
                </w:tcPr>
                <w:p w14:paraId="4D3584B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w w:val="100"/>
                      <w:sz w:val="21"/>
                      <w:szCs w:val="21"/>
                      <w:highlight w:val="none"/>
                    </w:rPr>
                    <w:t>南</w:t>
                  </w:r>
                </w:p>
              </w:tc>
              <w:tc>
                <w:tcPr>
                  <w:tcW w:w="532" w:type="pct"/>
                  <w:tcBorders>
                    <w:tl2br w:val="nil"/>
                    <w:tr2bl w:val="nil"/>
                  </w:tcBorders>
                  <w:noWrap w:val="0"/>
                  <w:vAlign w:val="center"/>
                </w:tcPr>
                <w:p w14:paraId="1A08523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西</w:t>
                  </w:r>
                </w:p>
              </w:tc>
              <w:tc>
                <w:tcPr>
                  <w:tcW w:w="633" w:type="pct"/>
                  <w:tcBorders>
                    <w:tl2br w:val="nil"/>
                    <w:tr2bl w:val="nil"/>
                  </w:tcBorders>
                  <w:noWrap w:val="0"/>
                  <w:vAlign w:val="center"/>
                </w:tcPr>
                <w:p w14:paraId="6237B91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北</w:t>
                  </w:r>
                </w:p>
              </w:tc>
              <w:tc>
                <w:tcPr>
                  <w:tcW w:w="943" w:type="pct"/>
                  <w:tcBorders>
                    <w:tl2br w:val="nil"/>
                    <w:tr2bl w:val="nil"/>
                  </w:tcBorders>
                  <w:noWrap w:val="0"/>
                  <w:vAlign w:val="center"/>
                </w:tcPr>
                <w:p w14:paraId="65D697A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张家崖村六组</w:t>
                  </w:r>
                </w:p>
              </w:tc>
            </w:tr>
            <w:tr w14:paraId="0323C9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27D12C4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599" w:type="pct"/>
                  <w:vMerge w:val="restart"/>
                  <w:tcBorders>
                    <w:tl2br w:val="nil"/>
                    <w:tr2bl w:val="nil"/>
                  </w:tcBorders>
                  <w:noWrap w:val="0"/>
                  <w:vAlign w:val="center"/>
                </w:tcPr>
                <w:p w14:paraId="7F968E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sz w:val="21"/>
                      <w:szCs w:val="21"/>
                      <w:highlight w:val="none"/>
                      <w:lang w:val="en-US"/>
                    </w:rPr>
                  </w:pPr>
                  <w:r>
                    <w:rPr>
                      <w:rFonts w:hint="eastAsia" w:cs="Times New Roman"/>
                      <w:color w:val="auto"/>
                      <w:szCs w:val="21"/>
                      <w:lang w:val="en-US" w:eastAsia="zh-CN"/>
                    </w:rPr>
                    <w:t>装载机</w:t>
                  </w:r>
                  <w:r>
                    <w:rPr>
                      <w:rFonts w:hint="eastAsia" w:ascii="Times New Roman" w:hAnsi="Times New Roman" w:cs="Times New Roman"/>
                      <w:color w:val="auto"/>
                      <w:szCs w:val="21"/>
                      <w:lang w:val="en-US" w:eastAsia="zh-CN"/>
                    </w:rPr>
                    <w:t>1</w:t>
                  </w:r>
                </w:p>
              </w:tc>
              <w:tc>
                <w:tcPr>
                  <w:tcW w:w="381" w:type="pct"/>
                  <w:vMerge w:val="restart"/>
                  <w:tcBorders>
                    <w:tl2br w:val="nil"/>
                    <w:tr2bl w:val="nil"/>
                  </w:tcBorders>
                  <w:noWrap w:val="0"/>
                  <w:vAlign w:val="center"/>
                </w:tcPr>
                <w:p w14:paraId="78432C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Cs w:val="21"/>
                      <w:lang w:val="en-US" w:eastAsia="zh-CN"/>
                    </w:rPr>
                    <w:t>80</w:t>
                  </w:r>
                </w:p>
              </w:tc>
              <w:tc>
                <w:tcPr>
                  <w:tcW w:w="541" w:type="pct"/>
                  <w:tcBorders>
                    <w:tl2br w:val="nil"/>
                    <w:tr2bl w:val="nil"/>
                  </w:tcBorders>
                  <w:noWrap w:val="0"/>
                  <w:vAlign w:val="center"/>
                </w:tcPr>
                <w:p w14:paraId="1B784A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1A6EAFCE">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64</w:t>
                  </w:r>
                </w:p>
              </w:tc>
              <w:tc>
                <w:tcPr>
                  <w:tcW w:w="579" w:type="pct"/>
                  <w:tcBorders>
                    <w:tl2br w:val="nil"/>
                    <w:tr2bl w:val="nil"/>
                  </w:tcBorders>
                  <w:noWrap w:val="0"/>
                  <w:vAlign w:val="center"/>
                </w:tcPr>
                <w:p w14:paraId="0E8A2846">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118</w:t>
                  </w:r>
                </w:p>
              </w:tc>
              <w:tc>
                <w:tcPr>
                  <w:tcW w:w="532" w:type="pct"/>
                  <w:tcBorders>
                    <w:tl2br w:val="nil"/>
                    <w:tr2bl w:val="nil"/>
                  </w:tcBorders>
                  <w:noWrap w:val="0"/>
                  <w:vAlign w:val="center"/>
                </w:tcPr>
                <w:p w14:paraId="531B9205">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68</w:t>
                  </w:r>
                </w:p>
              </w:tc>
              <w:tc>
                <w:tcPr>
                  <w:tcW w:w="633" w:type="pct"/>
                  <w:tcBorders>
                    <w:tl2br w:val="nil"/>
                    <w:tr2bl w:val="nil"/>
                  </w:tcBorders>
                  <w:noWrap w:val="0"/>
                  <w:vAlign w:val="center"/>
                </w:tcPr>
                <w:p w14:paraId="7432C4E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99</w:t>
                  </w:r>
                </w:p>
              </w:tc>
              <w:tc>
                <w:tcPr>
                  <w:tcW w:w="943" w:type="pct"/>
                  <w:tcBorders>
                    <w:tl2br w:val="nil"/>
                    <w:tr2bl w:val="nil"/>
                  </w:tcBorders>
                  <w:noWrap w:val="0"/>
                  <w:vAlign w:val="center"/>
                </w:tcPr>
                <w:p w14:paraId="6BFDB510">
                  <w:pPr>
                    <w:keepNext w:val="0"/>
                    <w:keepLines w:val="0"/>
                    <w:pageBreakBefore w:val="0"/>
                    <w:suppressLineNumbers w:val="0"/>
                    <w:kinsoku/>
                    <w:wordWrap/>
                    <w:overflowPunct w:val="0"/>
                    <w:topLinePunct w:val="0"/>
                    <w:bidi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94</w:t>
                  </w:r>
                </w:p>
              </w:tc>
            </w:tr>
            <w:tr w14:paraId="0DC157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3FFFA01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4918435E">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p>
              </w:tc>
              <w:tc>
                <w:tcPr>
                  <w:tcW w:w="381" w:type="pct"/>
                  <w:vMerge w:val="continue"/>
                  <w:tcBorders>
                    <w:tl2br w:val="nil"/>
                    <w:tr2bl w:val="nil"/>
                  </w:tcBorders>
                  <w:noWrap w:val="0"/>
                  <w:vAlign w:val="center"/>
                </w:tcPr>
                <w:p w14:paraId="40C2466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1" w:type="pct"/>
                  <w:tcBorders>
                    <w:tl2br w:val="nil"/>
                    <w:tr2bl w:val="nil"/>
                  </w:tcBorders>
                  <w:noWrap w:val="0"/>
                  <w:vAlign w:val="center"/>
                </w:tcPr>
                <w:p w14:paraId="736CF4B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zh-CN"/>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0D85DC9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579" w:type="pct"/>
                  <w:tcBorders>
                    <w:tl2br w:val="nil"/>
                    <w:tr2bl w:val="nil"/>
                  </w:tcBorders>
                  <w:noWrap w:val="0"/>
                  <w:vAlign w:val="center"/>
                </w:tcPr>
                <w:p w14:paraId="0180B9D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39</w:t>
                  </w:r>
                </w:p>
              </w:tc>
              <w:tc>
                <w:tcPr>
                  <w:tcW w:w="532" w:type="pct"/>
                  <w:tcBorders>
                    <w:tl2br w:val="nil"/>
                    <w:tr2bl w:val="nil"/>
                  </w:tcBorders>
                  <w:noWrap w:val="0"/>
                  <w:vAlign w:val="center"/>
                </w:tcPr>
                <w:p w14:paraId="642DFC3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633" w:type="pct"/>
                  <w:tcBorders>
                    <w:tl2br w:val="nil"/>
                    <w:tr2bl w:val="nil"/>
                  </w:tcBorders>
                  <w:noWrap w:val="0"/>
                  <w:vAlign w:val="center"/>
                </w:tcPr>
                <w:p w14:paraId="3CD5B6C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943" w:type="pct"/>
                  <w:tcBorders>
                    <w:tl2br w:val="nil"/>
                    <w:tr2bl w:val="nil"/>
                  </w:tcBorders>
                  <w:noWrap w:val="0"/>
                  <w:vAlign w:val="center"/>
                </w:tcPr>
                <w:p w14:paraId="4465AFF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r>
            <w:tr w14:paraId="3FE8DC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5B816032">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599" w:type="pct"/>
                  <w:vMerge w:val="restart"/>
                  <w:tcBorders>
                    <w:tl2br w:val="nil"/>
                    <w:tr2bl w:val="nil"/>
                  </w:tcBorders>
                  <w:noWrap w:val="0"/>
                  <w:vAlign w:val="center"/>
                </w:tcPr>
                <w:p w14:paraId="382DD833">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装载机</w:t>
                  </w:r>
                  <w:r>
                    <w:rPr>
                      <w:rFonts w:hint="eastAsia" w:ascii="Times New Roman" w:hAnsi="Times New Roman" w:eastAsia="宋体" w:cs="Times New Roman"/>
                      <w:color w:val="auto"/>
                      <w:kern w:val="2"/>
                      <w:sz w:val="21"/>
                      <w:szCs w:val="21"/>
                      <w:lang w:val="en-US" w:eastAsia="zh-CN" w:bidi="ar-SA"/>
                    </w:rPr>
                    <w:t>2</w:t>
                  </w:r>
                </w:p>
              </w:tc>
              <w:tc>
                <w:tcPr>
                  <w:tcW w:w="381" w:type="pct"/>
                  <w:vMerge w:val="restart"/>
                  <w:tcBorders>
                    <w:tl2br w:val="nil"/>
                    <w:tr2bl w:val="nil"/>
                  </w:tcBorders>
                  <w:noWrap w:val="0"/>
                  <w:vAlign w:val="center"/>
                </w:tcPr>
                <w:p w14:paraId="42380931">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color w:val="auto"/>
                      <w:lang w:val="en-US" w:eastAsia="zh-CN"/>
                    </w:rPr>
                  </w:pPr>
                  <w:r>
                    <w:rPr>
                      <w:rFonts w:hint="eastAsia" w:cs="Times New Roman"/>
                      <w:color w:val="auto"/>
                      <w:lang w:val="en-US" w:eastAsia="zh-CN"/>
                    </w:rPr>
                    <w:t>80</w:t>
                  </w:r>
                </w:p>
              </w:tc>
              <w:tc>
                <w:tcPr>
                  <w:tcW w:w="541" w:type="pct"/>
                  <w:tcBorders>
                    <w:tl2br w:val="nil"/>
                    <w:tr2bl w:val="nil"/>
                  </w:tcBorders>
                  <w:noWrap w:val="0"/>
                  <w:vAlign w:val="center"/>
                </w:tcPr>
                <w:p w14:paraId="481C374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2F6CD36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64</w:t>
                  </w:r>
                </w:p>
              </w:tc>
              <w:tc>
                <w:tcPr>
                  <w:tcW w:w="579" w:type="pct"/>
                  <w:tcBorders>
                    <w:tl2br w:val="nil"/>
                    <w:tr2bl w:val="nil"/>
                  </w:tcBorders>
                  <w:noWrap w:val="0"/>
                  <w:vAlign w:val="center"/>
                </w:tcPr>
                <w:p w14:paraId="573DF0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123</w:t>
                  </w:r>
                </w:p>
              </w:tc>
              <w:tc>
                <w:tcPr>
                  <w:tcW w:w="532" w:type="pct"/>
                  <w:tcBorders>
                    <w:tl2br w:val="nil"/>
                    <w:tr2bl w:val="nil"/>
                  </w:tcBorders>
                  <w:noWrap w:val="0"/>
                  <w:vAlign w:val="center"/>
                </w:tcPr>
                <w:p w14:paraId="634F933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71</w:t>
                  </w:r>
                </w:p>
              </w:tc>
              <w:tc>
                <w:tcPr>
                  <w:tcW w:w="633" w:type="pct"/>
                  <w:tcBorders>
                    <w:tl2br w:val="nil"/>
                    <w:tr2bl w:val="nil"/>
                  </w:tcBorders>
                  <w:noWrap w:val="0"/>
                  <w:vAlign w:val="center"/>
                </w:tcPr>
                <w:p w14:paraId="10C5EC2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97</w:t>
                  </w:r>
                </w:p>
              </w:tc>
              <w:tc>
                <w:tcPr>
                  <w:tcW w:w="943" w:type="pct"/>
                  <w:tcBorders>
                    <w:tl2br w:val="nil"/>
                    <w:tr2bl w:val="nil"/>
                  </w:tcBorders>
                  <w:noWrap w:val="0"/>
                  <w:vAlign w:val="center"/>
                </w:tcPr>
                <w:p w14:paraId="6C1833B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91</w:t>
                  </w:r>
                </w:p>
              </w:tc>
            </w:tr>
            <w:tr w14:paraId="4AE28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10C4284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16AB46E0">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5031FEA9">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1" w:type="pct"/>
                  <w:tcBorders>
                    <w:tl2br w:val="nil"/>
                    <w:tr2bl w:val="nil"/>
                  </w:tcBorders>
                  <w:noWrap w:val="0"/>
                  <w:vAlign w:val="center"/>
                </w:tcPr>
                <w:p w14:paraId="13B624A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0DB0788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579" w:type="pct"/>
                  <w:tcBorders>
                    <w:tl2br w:val="nil"/>
                    <w:tr2bl w:val="nil"/>
                  </w:tcBorders>
                  <w:noWrap w:val="0"/>
                  <w:vAlign w:val="center"/>
                </w:tcPr>
                <w:p w14:paraId="5A4FC5B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38</w:t>
                  </w:r>
                </w:p>
              </w:tc>
              <w:tc>
                <w:tcPr>
                  <w:tcW w:w="532" w:type="pct"/>
                  <w:tcBorders>
                    <w:tl2br w:val="nil"/>
                    <w:tr2bl w:val="nil"/>
                  </w:tcBorders>
                  <w:noWrap w:val="0"/>
                  <w:vAlign w:val="center"/>
                </w:tcPr>
                <w:p w14:paraId="639711B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43</w:t>
                  </w:r>
                </w:p>
              </w:tc>
              <w:tc>
                <w:tcPr>
                  <w:tcW w:w="633" w:type="pct"/>
                  <w:tcBorders>
                    <w:tl2br w:val="nil"/>
                    <w:tr2bl w:val="nil"/>
                  </w:tcBorders>
                  <w:noWrap w:val="0"/>
                  <w:vAlign w:val="center"/>
                </w:tcPr>
                <w:p w14:paraId="4C9F049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943" w:type="pct"/>
                  <w:tcBorders>
                    <w:tl2br w:val="nil"/>
                    <w:tr2bl w:val="nil"/>
                  </w:tcBorders>
                  <w:noWrap w:val="0"/>
                  <w:vAlign w:val="center"/>
                </w:tcPr>
                <w:p w14:paraId="62AC6D1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r>
            <w:tr w14:paraId="7FF70A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74C9C91F">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599" w:type="pct"/>
                  <w:vMerge w:val="restart"/>
                  <w:tcBorders>
                    <w:tl2br w:val="nil"/>
                    <w:tr2bl w:val="nil"/>
                  </w:tcBorders>
                  <w:noWrap w:val="0"/>
                  <w:vAlign w:val="center"/>
                </w:tcPr>
                <w:p w14:paraId="207E6EAC">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装载机</w:t>
                  </w:r>
                  <w:r>
                    <w:rPr>
                      <w:rFonts w:hint="default" w:ascii="Times New Roman" w:hAnsi="Times New Roman" w:cs="Times New Roman"/>
                      <w:color w:val="auto"/>
                      <w:szCs w:val="21"/>
                      <w:lang w:val="en-US" w:eastAsia="zh-CN"/>
                    </w:rPr>
                    <w:t>3</w:t>
                  </w:r>
                </w:p>
              </w:tc>
              <w:tc>
                <w:tcPr>
                  <w:tcW w:w="381" w:type="pct"/>
                  <w:vMerge w:val="restart"/>
                  <w:tcBorders>
                    <w:tl2br w:val="nil"/>
                    <w:tr2bl w:val="nil"/>
                  </w:tcBorders>
                  <w:noWrap w:val="0"/>
                  <w:vAlign w:val="center"/>
                </w:tcPr>
                <w:p w14:paraId="6B063BD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color w:val="auto"/>
                      <w:lang w:val="en-US" w:eastAsia="zh-CN"/>
                    </w:rPr>
                  </w:pPr>
                  <w:r>
                    <w:rPr>
                      <w:rFonts w:hint="eastAsia" w:cs="Times New Roman"/>
                      <w:color w:val="auto"/>
                      <w:lang w:val="en-US" w:eastAsia="zh-CN"/>
                    </w:rPr>
                    <w:t>80</w:t>
                  </w:r>
                </w:p>
              </w:tc>
              <w:tc>
                <w:tcPr>
                  <w:tcW w:w="541" w:type="pct"/>
                  <w:tcBorders>
                    <w:tl2br w:val="nil"/>
                    <w:tr2bl w:val="nil"/>
                  </w:tcBorders>
                  <w:noWrap w:val="0"/>
                  <w:vAlign w:val="center"/>
                </w:tcPr>
                <w:p w14:paraId="4421357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39D5B84C">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lang w:val="en-US" w:eastAsia="zh-CN" w:bidi="ar-SA"/>
                    </w:rPr>
                    <w:t>51</w:t>
                  </w:r>
                </w:p>
              </w:tc>
              <w:tc>
                <w:tcPr>
                  <w:tcW w:w="579" w:type="pct"/>
                  <w:tcBorders>
                    <w:tl2br w:val="nil"/>
                    <w:tr2bl w:val="nil"/>
                  </w:tcBorders>
                  <w:noWrap w:val="0"/>
                  <w:vAlign w:val="center"/>
                </w:tcPr>
                <w:p w14:paraId="33B32F0E">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lang w:val="en-US" w:eastAsia="zh-CN" w:bidi="ar-SA"/>
                    </w:rPr>
                    <w:t>142</w:t>
                  </w:r>
                </w:p>
              </w:tc>
              <w:tc>
                <w:tcPr>
                  <w:tcW w:w="532" w:type="pct"/>
                  <w:tcBorders>
                    <w:tl2br w:val="nil"/>
                    <w:tr2bl w:val="nil"/>
                  </w:tcBorders>
                  <w:noWrap w:val="0"/>
                  <w:vAlign w:val="center"/>
                </w:tcPr>
                <w:p w14:paraId="374DDC27">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lang w:val="en-US" w:eastAsia="zh-CN" w:bidi="ar-SA"/>
                    </w:rPr>
                    <w:t>79</w:t>
                  </w:r>
                </w:p>
              </w:tc>
              <w:tc>
                <w:tcPr>
                  <w:tcW w:w="633" w:type="pct"/>
                  <w:tcBorders>
                    <w:tl2br w:val="nil"/>
                    <w:tr2bl w:val="nil"/>
                  </w:tcBorders>
                  <w:noWrap w:val="0"/>
                  <w:vAlign w:val="center"/>
                </w:tcPr>
                <w:p w14:paraId="4ECD38A9">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lang w:val="en-US" w:eastAsia="zh-CN" w:bidi="ar-SA"/>
                    </w:rPr>
                    <w:t>82</w:t>
                  </w:r>
                </w:p>
              </w:tc>
              <w:tc>
                <w:tcPr>
                  <w:tcW w:w="943" w:type="pct"/>
                  <w:tcBorders>
                    <w:tl2br w:val="nil"/>
                    <w:tr2bl w:val="nil"/>
                  </w:tcBorders>
                  <w:noWrap w:val="0"/>
                  <w:vAlign w:val="center"/>
                </w:tcPr>
                <w:p w14:paraId="768256B9">
                  <w:pPr>
                    <w:keepNext w:val="0"/>
                    <w:keepLines w:val="0"/>
                    <w:pageBreakBefore w:val="0"/>
                    <w:suppressLineNumbers w:val="0"/>
                    <w:kinsoku/>
                    <w:wordWrap/>
                    <w:overflowPunct w:val="0"/>
                    <w:topLinePunct w:val="0"/>
                    <w:bidi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2"/>
                      <w:sz w:val="21"/>
                      <w:szCs w:val="21"/>
                      <w:lang w:val="en-US" w:eastAsia="zh-CN" w:bidi="ar-SA"/>
                    </w:rPr>
                    <w:t>76</w:t>
                  </w:r>
                </w:p>
              </w:tc>
            </w:tr>
            <w:tr w14:paraId="01C000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52A9BC2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51B57652">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024F6D4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1" w:type="pct"/>
                  <w:tcBorders>
                    <w:tl2br w:val="nil"/>
                    <w:tr2bl w:val="nil"/>
                  </w:tcBorders>
                  <w:noWrap w:val="0"/>
                  <w:vAlign w:val="center"/>
                </w:tcPr>
                <w:p w14:paraId="5BA7C34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6496A985">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46</w:t>
                  </w:r>
                </w:p>
              </w:tc>
              <w:tc>
                <w:tcPr>
                  <w:tcW w:w="579" w:type="pct"/>
                  <w:tcBorders>
                    <w:tl2br w:val="nil"/>
                    <w:tr2bl w:val="nil"/>
                  </w:tcBorders>
                  <w:noWrap w:val="0"/>
                  <w:vAlign w:val="center"/>
                </w:tcPr>
                <w:p w14:paraId="00F2739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532" w:type="pct"/>
                  <w:tcBorders>
                    <w:tl2br w:val="nil"/>
                    <w:tr2bl w:val="nil"/>
                  </w:tcBorders>
                  <w:noWrap w:val="0"/>
                  <w:vAlign w:val="center"/>
                </w:tcPr>
                <w:p w14:paraId="5AC067E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c>
                <w:tcPr>
                  <w:tcW w:w="633" w:type="pct"/>
                  <w:tcBorders>
                    <w:tl2br w:val="nil"/>
                    <w:tr2bl w:val="nil"/>
                  </w:tcBorders>
                  <w:noWrap w:val="0"/>
                  <w:vAlign w:val="center"/>
                </w:tcPr>
                <w:p w14:paraId="4BE9705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41</w:t>
                  </w:r>
                </w:p>
              </w:tc>
              <w:tc>
                <w:tcPr>
                  <w:tcW w:w="943" w:type="pct"/>
                  <w:tcBorders>
                    <w:tl2br w:val="nil"/>
                    <w:tr2bl w:val="nil"/>
                  </w:tcBorders>
                  <w:noWrap w:val="0"/>
                  <w:vAlign w:val="center"/>
                </w:tcPr>
                <w:p w14:paraId="60F6775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42</w:t>
                  </w:r>
                </w:p>
              </w:tc>
            </w:tr>
            <w:tr w14:paraId="182768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675853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599" w:type="pct"/>
                  <w:vMerge w:val="restart"/>
                  <w:tcBorders>
                    <w:tl2br w:val="nil"/>
                    <w:tr2bl w:val="nil"/>
                  </w:tcBorders>
                  <w:noWrap w:val="0"/>
                  <w:vAlign w:val="center"/>
                </w:tcPr>
                <w:p w14:paraId="40043BD0">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转煤车</w:t>
                  </w:r>
                  <w:r>
                    <w:rPr>
                      <w:rFonts w:hint="eastAsia" w:ascii="Times New Roman" w:hAnsi="Times New Roman" w:cs="Times New Roman"/>
                      <w:color w:val="auto"/>
                      <w:szCs w:val="21"/>
                      <w:lang w:val="en-US" w:eastAsia="zh-CN"/>
                    </w:rPr>
                    <w:t>1</w:t>
                  </w:r>
                </w:p>
              </w:tc>
              <w:tc>
                <w:tcPr>
                  <w:tcW w:w="381" w:type="pct"/>
                  <w:vMerge w:val="restart"/>
                  <w:tcBorders>
                    <w:tl2br w:val="nil"/>
                    <w:tr2bl w:val="nil"/>
                  </w:tcBorders>
                  <w:noWrap w:val="0"/>
                  <w:vAlign w:val="center"/>
                </w:tcPr>
                <w:p w14:paraId="131BEEF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r>
                    <w:rPr>
                      <w:rFonts w:hint="eastAsia" w:ascii="Times New Roman" w:hAnsi="Times New Roman" w:eastAsia="宋体" w:cs="Times New Roman"/>
                      <w:color w:val="auto"/>
                      <w:kern w:val="2"/>
                      <w:sz w:val="21"/>
                      <w:szCs w:val="21"/>
                      <w:lang w:val="en-US" w:eastAsia="zh-CN" w:bidi="ar-SA"/>
                    </w:rPr>
                    <w:t>5</w:t>
                  </w:r>
                </w:p>
              </w:tc>
              <w:tc>
                <w:tcPr>
                  <w:tcW w:w="541" w:type="pct"/>
                  <w:tcBorders>
                    <w:tl2br w:val="nil"/>
                    <w:tr2bl w:val="nil"/>
                  </w:tcBorders>
                  <w:noWrap w:val="0"/>
                  <w:vAlign w:val="center"/>
                </w:tcPr>
                <w:p w14:paraId="7CFBD15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177456E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97</w:t>
                  </w:r>
                </w:p>
              </w:tc>
              <w:tc>
                <w:tcPr>
                  <w:tcW w:w="579" w:type="pct"/>
                  <w:tcBorders>
                    <w:tl2br w:val="nil"/>
                    <w:tr2bl w:val="nil"/>
                  </w:tcBorders>
                  <w:noWrap w:val="0"/>
                  <w:vAlign w:val="center"/>
                </w:tcPr>
                <w:p w14:paraId="5902E0A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p>
              </w:tc>
              <w:tc>
                <w:tcPr>
                  <w:tcW w:w="532" w:type="pct"/>
                  <w:tcBorders>
                    <w:tl2br w:val="nil"/>
                    <w:tr2bl w:val="nil"/>
                  </w:tcBorders>
                  <w:noWrap w:val="0"/>
                  <w:vAlign w:val="center"/>
                </w:tcPr>
                <w:p w14:paraId="7BC8754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w:t>
                  </w:r>
                </w:p>
              </w:tc>
              <w:tc>
                <w:tcPr>
                  <w:tcW w:w="633" w:type="pct"/>
                  <w:tcBorders>
                    <w:tl2br w:val="nil"/>
                    <w:tr2bl w:val="nil"/>
                  </w:tcBorders>
                  <w:noWrap w:val="0"/>
                  <w:vAlign w:val="center"/>
                </w:tcPr>
                <w:p w14:paraId="0B2AF2A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155</w:t>
                  </w:r>
                </w:p>
              </w:tc>
              <w:tc>
                <w:tcPr>
                  <w:tcW w:w="943" w:type="pct"/>
                  <w:tcBorders>
                    <w:tl2br w:val="nil"/>
                    <w:tr2bl w:val="nil"/>
                  </w:tcBorders>
                  <w:noWrap w:val="0"/>
                  <w:vAlign w:val="center"/>
                </w:tcPr>
                <w:p w14:paraId="5325A14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138</w:t>
                  </w:r>
                </w:p>
              </w:tc>
            </w:tr>
            <w:tr w14:paraId="69777C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261A411A">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CEC291C">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0D1C26E4">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1" w:type="pct"/>
                  <w:tcBorders>
                    <w:tl2br w:val="nil"/>
                    <w:tr2bl w:val="nil"/>
                  </w:tcBorders>
                  <w:noWrap w:val="0"/>
                  <w:vAlign w:val="center"/>
                </w:tcPr>
                <w:p w14:paraId="01BFCE6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6EF5B63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79" w:type="pct"/>
                  <w:tcBorders>
                    <w:tl2br w:val="nil"/>
                    <w:tr2bl w:val="nil"/>
                  </w:tcBorders>
                  <w:noWrap w:val="0"/>
                  <w:vAlign w:val="center"/>
                </w:tcPr>
                <w:p w14:paraId="7A2A7DD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28</w:t>
                  </w:r>
                </w:p>
              </w:tc>
              <w:tc>
                <w:tcPr>
                  <w:tcW w:w="532" w:type="pct"/>
                  <w:tcBorders>
                    <w:tl2br w:val="nil"/>
                    <w:tr2bl w:val="nil"/>
                  </w:tcBorders>
                  <w:noWrap w:val="0"/>
                  <w:vAlign w:val="center"/>
                </w:tcPr>
                <w:p w14:paraId="11B017D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633" w:type="pct"/>
                  <w:tcBorders>
                    <w:tl2br w:val="nil"/>
                    <w:tr2bl w:val="nil"/>
                  </w:tcBorders>
                  <w:noWrap w:val="0"/>
                  <w:vAlign w:val="center"/>
                </w:tcPr>
                <w:p w14:paraId="53E943A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c>
                <w:tcPr>
                  <w:tcW w:w="943" w:type="pct"/>
                  <w:tcBorders>
                    <w:tl2br w:val="nil"/>
                    <w:tr2bl w:val="nil"/>
                  </w:tcBorders>
                  <w:noWrap w:val="0"/>
                  <w:vAlign w:val="center"/>
                </w:tcPr>
                <w:p w14:paraId="103C09A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r>
            <w:tr w14:paraId="290DF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24BEB5F7">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599" w:type="pct"/>
                  <w:vMerge w:val="restart"/>
                  <w:tcBorders>
                    <w:tl2br w:val="nil"/>
                    <w:tr2bl w:val="nil"/>
                  </w:tcBorders>
                  <w:noWrap w:val="0"/>
                  <w:vAlign w:val="center"/>
                </w:tcPr>
                <w:p w14:paraId="7434D03F">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转煤车2</w:t>
                  </w:r>
                </w:p>
              </w:tc>
              <w:tc>
                <w:tcPr>
                  <w:tcW w:w="381" w:type="pct"/>
                  <w:vMerge w:val="restart"/>
                  <w:tcBorders>
                    <w:tl2br w:val="nil"/>
                    <w:tr2bl w:val="nil"/>
                  </w:tcBorders>
                  <w:noWrap w:val="0"/>
                  <w:vAlign w:val="center"/>
                </w:tcPr>
                <w:p w14:paraId="57ADC4B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65</w:t>
                  </w:r>
                </w:p>
              </w:tc>
              <w:tc>
                <w:tcPr>
                  <w:tcW w:w="541" w:type="pct"/>
                  <w:tcBorders>
                    <w:tl2br w:val="nil"/>
                    <w:tr2bl w:val="nil"/>
                  </w:tcBorders>
                  <w:noWrap w:val="0"/>
                  <w:vAlign w:val="center"/>
                </w:tcPr>
                <w:p w14:paraId="515FDDE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4C65C16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99</w:t>
                  </w:r>
                </w:p>
              </w:tc>
              <w:tc>
                <w:tcPr>
                  <w:tcW w:w="579" w:type="pct"/>
                  <w:tcBorders>
                    <w:tl2br w:val="nil"/>
                    <w:tr2bl w:val="nil"/>
                  </w:tcBorders>
                  <w:noWrap w:val="0"/>
                  <w:vAlign w:val="center"/>
                </w:tcPr>
                <w:p w14:paraId="4D4D81E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65</w:t>
                  </w:r>
                </w:p>
              </w:tc>
              <w:tc>
                <w:tcPr>
                  <w:tcW w:w="532" w:type="pct"/>
                  <w:tcBorders>
                    <w:tl2br w:val="nil"/>
                    <w:tr2bl w:val="nil"/>
                  </w:tcBorders>
                  <w:noWrap w:val="0"/>
                  <w:vAlign w:val="center"/>
                </w:tcPr>
                <w:p w14:paraId="47B387E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37</w:t>
                  </w:r>
                </w:p>
              </w:tc>
              <w:tc>
                <w:tcPr>
                  <w:tcW w:w="633" w:type="pct"/>
                  <w:tcBorders>
                    <w:tl2br w:val="nil"/>
                    <w:tr2bl w:val="nil"/>
                  </w:tcBorders>
                  <w:noWrap w:val="0"/>
                  <w:vAlign w:val="center"/>
                </w:tcPr>
                <w:p w14:paraId="62A6BAD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158</w:t>
                  </w:r>
                </w:p>
              </w:tc>
              <w:tc>
                <w:tcPr>
                  <w:tcW w:w="943" w:type="pct"/>
                  <w:tcBorders>
                    <w:tl2br w:val="nil"/>
                    <w:tr2bl w:val="nil"/>
                  </w:tcBorders>
                  <w:noWrap w:val="0"/>
                  <w:vAlign w:val="center"/>
                </w:tcPr>
                <w:p w14:paraId="19A6829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0"/>
                      <w:sz w:val="21"/>
                      <w:szCs w:val="21"/>
                      <w:highlight w:val="none"/>
                      <w:lang w:val="en-US" w:eastAsia="zh-CN" w:bidi="ar-SA"/>
                    </w:rPr>
                    <w:t>142</w:t>
                  </w:r>
                </w:p>
              </w:tc>
            </w:tr>
            <w:tr w14:paraId="120D1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7E680FE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7C2B7408">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106F342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1" w:type="pct"/>
                  <w:tcBorders>
                    <w:tl2br w:val="nil"/>
                    <w:tr2bl w:val="nil"/>
                  </w:tcBorders>
                  <w:noWrap w:val="0"/>
                  <w:vAlign w:val="center"/>
                </w:tcPr>
                <w:p w14:paraId="786FDB11">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06F0CB5B">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79" w:type="pct"/>
                  <w:tcBorders>
                    <w:tl2br w:val="nil"/>
                    <w:tr2bl w:val="nil"/>
                  </w:tcBorders>
                  <w:noWrap w:val="0"/>
                  <w:vAlign w:val="center"/>
                </w:tcPr>
                <w:p w14:paraId="65B1775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29</w:t>
                  </w:r>
                </w:p>
              </w:tc>
              <w:tc>
                <w:tcPr>
                  <w:tcW w:w="532" w:type="pct"/>
                  <w:tcBorders>
                    <w:tl2br w:val="nil"/>
                    <w:tr2bl w:val="nil"/>
                  </w:tcBorders>
                  <w:noWrap w:val="0"/>
                  <w:vAlign w:val="center"/>
                </w:tcPr>
                <w:p w14:paraId="0160B80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33</w:t>
                  </w:r>
                </w:p>
              </w:tc>
              <w:tc>
                <w:tcPr>
                  <w:tcW w:w="633" w:type="pct"/>
                  <w:tcBorders>
                    <w:tl2br w:val="nil"/>
                    <w:tr2bl w:val="nil"/>
                  </w:tcBorders>
                  <w:noWrap w:val="0"/>
                  <w:vAlign w:val="center"/>
                </w:tcPr>
                <w:p w14:paraId="77BCC5AF">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c>
                <w:tcPr>
                  <w:tcW w:w="943" w:type="pct"/>
                  <w:tcBorders>
                    <w:tl2br w:val="nil"/>
                    <w:tr2bl w:val="nil"/>
                  </w:tcBorders>
                  <w:noWrap w:val="0"/>
                  <w:vAlign w:val="center"/>
                </w:tcPr>
                <w:p w14:paraId="37E2E12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22</w:t>
                  </w:r>
                </w:p>
              </w:tc>
            </w:tr>
            <w:tr w14:paraId="4D58FB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restart"/>
                  <w:tcBorders>
                    <w:tl2br w:val="nil"/>
                    <w:tr2bl w:val="nil"/>
                  </w:tcBorders>
                  <w:noWrap w:val="0"/>
                  <w:vAlign w:val="center"/>
                </w:tcPr>
                <w:p w14:paraId="4172D8F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w:t>
                  </w:r>
                </w:p>
              </w:tc>
              <w:tc>
                <w:tcPr>
                  <w:tcW w:w="599" w:type="pct"/>
                  <w:vMerge w:val="restart"/>
                  <w:tcBorders>
                    <w:tl2br w:val="nil"/>
                    <w:tr2bl w:val="nil"/>
                  </w:tcBorders>
                  <w:noWrap w:val="0"/>
                  <w:vAlign w:val="center"/>
                </w:tcPr>
                <w:p w14:paraId="5673FF07">
                  <w:pPr>
                    <w:pageBreakBefore w:val="0"/>
                    <w:kinsoku/>
                    <w:wordWrap/>
                    <w:overflowPunct w:val="0"/>
                    <w:topLinePunct w:val="0"/>
                    <w:bidi w:val="0"/>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转煤车3</w:t>
                  </w:r>
                </w:p>
              </w:tc>
              <w:tc>
                <w:tcPr>
                  <w:tcW w:w="381" w:type="pct"/>
                  <w:vMerge w:val="restart"/>
                  <w:tcBorders>
                    <w:tl2br w:val="nil"/>
                    <w:tr2bl w:val="nil"/>
                  </w:tcBorders>
                  <w:noWrap w:val="0"/>
                  <w:vAlign w:val="center"/>
                </w:tcPr>
                <w:p w14:paraId="5640ABD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lang w:val="en-US" w:eastAsia="zh-CN"/>
                    </w:rPr>
                  </w:pPr>
                  <w:r>
                    <w:rPr>
                      <w:rFonts w:hint="eastAsia" w:cs="Times New Roman"/>
                      <w:color w:val="auto"/>
                      <w:kern w:val="2"/>
                      <w:sz w:val="21"/>
                      <w:szCs w:val="21"/>
                      <w:lang w:val="en-US" w:eastAsia="zh-CN" w:bidi="ar-SA"/>
                    </w:rPr>
                    <w:t>65</w:t>
                  </w:r>
                </w:p>
              </w:tc>
              <w:tc>
                <w:tcPr>
                  <w:tcW w:w="541" w:type="pct"/>
                  <w:tcBorders>
                    <w:tl2br w:val="nil"/>
                    <w:tr2bl w:val="nil"/>
                  </w:tcBorders>
                  <w:noWrap w:val="0"/>
                  <w:vAlign w:val="center"/>
                </w:tcPr>
                <w:p w14:paraId="4FBB811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w:t>
                  </w:r>
                </w:p>
              </w:tc>
              <w:tc>
                <w:tcPr>
                  <w:tcW w:w="538" w:type="pct"/>
                  <w:tcBorders>
                    <w:tl2br w:val="nil"/>
                    <w:tr2bl w:val="nil"/>
                  </w:tcBorders>
                  <w:noWrap w:val="0"/>
                  <w:vAlign w:val="center"/>
                </w:tcPr>
                <w:p w14:paraId="70BCFE71">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85</w:t>
                  </w:r>
                </w:p>
              </w:tc>
              <w:tc>
                <w:tcPr>
                  <w:tcW w:w="579" w:type="pct"/>
                  <w:tcBorders>
                    <w:tl2br w:val="nil"/>
                    <w:tr2bl w:val="nil"/>
                  </w:tcBorders>
                  <w:noWrap w:val="0"/>
                  <w:vAlign w:val="center"/>
                </w:tcPr>
                <w:p w14:paraId="01A27F6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58</w:t>
                  </w:r>
                </w:p>
              </w:tc>
              <w:tc>
                <w:tcPr>
                  <w:tcW w:w="532" w:type="pct"/>
                  <w:tcBorders>
                    <w:tl2br w:val="nil"/>
                    <w:tr2bl w:val="nil"/>
                  </w:tcBorders>
                  <w:noWrap w:val="0"/>
                  <w:vAlign w:val="center"/>
                </w:tcPr>
                <w:p w14:paraId="02FCEF6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w:t>
                  </w:r>
                </w:p>
              </w:tc>
              <w:tc>
                <w:tcPr>
                  <w:tcW w:w="633" w:type="pct"/>
                  <w:tcBorders>
                    <w:tl2br w:val="nil"/>
                    <w:tr2bl w:val="nil"/>
                  </w:tcBorders>
                  <w:noWrap w:val="0"/>
                  <w:vAlign w:val="center"/>
                </w:tcPr>
                <w:p w14:paraId="481B047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155</w:t>
                  </w:r>
                </w:p>
              </w:tc>
              <w:tc>
                <w:tcPr>
                  <w:tcW w:w="943" w:type="pct"/>
                  <w:tcBorders>
                    <w:tl2br w:val="nil"/>
                    <w:tr2bl w:val="nil"/>
                  </w:tcBorders>
                  <w:noWrap w:val="0"/>
                  <w:vAlign w:val="center"/>
                </w:tcPr>
                <w:p w14:paraId="3BFD462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149</w:t>
                  </w:r>
                </w:p>
              </w:tc>
            </w:tr>
            <w:tr w14:paraId="1EB438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52" w:type="pct"/>
                  <w:vMerge w:val="continue"/>
                  <w:tcBorders>
                    <w:tl2br w:val="nil"/>
                    <w:tr2bl w:val="nil"/>
                  </w:tcBorders>
                  <w:noWrap w:val="0"/>
                  <w:vAlign w:val="center"/>
                </w:tcPr>
                <w:p w14:paraId="18C8D7B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rPr>
                  </w:pPr>
                </w:p>
              </w:tc>
              <w:tc>
                <w:tcPr>
                  <w:tcW w:w="599" w:type="pct"/>
                  <w:vMerge w:val="continue"/>
                  <w:tcBorders>
                    <w:tl2br w:val="nil"/>
                    <w:tr2bl w:val="nil"/>
                  </w:tcBorders>
                  <w:noWrap w:val="0"/>
                  <w:vAlign w:val="center"/>
                </w:tcPr>
                <w:p w14:paraId="2A5D0A87">
                  <w:pPr>
                    <w:pageBreakBefore w:val="0"/>
                    <w:kinsoku/>
                    <w:wordWrap/>
                    <w:overflowPunct w:val="0"/>
                    <w:topLinePunct w:val="0"/>
                    <w:bidi w:val="0"/>
                    <w:adjustRightInd w:val="0"/>
                    <w:snapToGrid w:val="0"/>
                    <w:jc w:val="center"/>
                    <w:rPr>
                      <w:rFonts w:hint="default" w:ascii="Times New Roman" w:hAnsi="Times New Roman" w:cs="Times New Roman"/>
                      <w:color w:val="auto"/>
                      <w:szCs w:val="21"/>
                      <w:lang w:val="en-US" w:eastAsia="zh-CN"/>
                    </w:rPr>
                  </w:pPr>
                </w:p>
              </w:tc>
              <w:tc>
                <w:tcPr>
                  <w:tcW w:w="381" w:type="pct"/>
                  <w:vMerge w:val="continue"/>
                  <w:tcBorders>
                    <w:tl2br w:val="nil"/>
                    <w:tr2bl w:val="nil"/>
                  </w:tcBorders>
                  <w:noWrap w:val="0"/>
                  <w:vAlign w:val="center"/>
                </w:tcPr>
                <w:p w14:paraId="7A6FAE7C">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541" w:type="pct"/>
                  <w:tcBorders>
                    <w:tl2br w:val="nil"/>
                    <w:tr2bl w:val="nil"/>
                  </w:tcBorders>
                  <w:noWrap w:val="0"/>
                  <w:vAlign w:val="center"/>
                </w:tcPr>
                <w:p w14:paraId="670248A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16FA5729">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26</w:t>
                  </w:r>
                </w:p>
              </w:tc>
              <w:tc>
                <w:tcPr>
                  <w:tcW w:w="579" w:type="pct"/>
                  <w:tcBorders>
                    <w:tl2br w:val="nil"/>
                    <w:tr2bl w:val="nil"/>
                  </w:tcBorders>
                  <w:noWrap w:val="0"/>
                  <w:vAlign w:val="center"/>
                </w:tcPr>
                <w:p w14:paraId="548B0572">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w:t>
                  </w:r>
                </w:p>
              </w:tc>
              <w:tc>
                <w:tcPr>
                  <w:tcW w:w="532" w:type="pct"/>
                  <w:tcBorders>
                    <w:tl2br w:val="nil"/>
                    <w:tr2bl w:val="nil"/>
                  </w:tcBorders>
                  <w:noWrap w:val="0"/>
                  <w:vAlign w:val="center"/>
                </w:tcPr>
                <w:p w14:paraId="3C58849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w:t>
                  </w:r>
                </w:p>
              </w:tc>
              <w:tc>
                <w:tcPr>
                  <w:tcW w:w="633" w:type="pct"/>
                  <w:tcBorders>
                    <w:tl2br w:val="nil"/>
                    <w:tr2bl w:val="nil"/>
                  </w:tcBorders>
                  <w:noWrap w:val="0"/>
                  <w:vAlign w:val="center"/>
                </w:tcPr>
                <w:p w14:paraId="6C8C214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c>
                <w:tcPr>
                  <w:tcW w:w="943" w:type="pct"/>
                  <w:tcBorders>
                    <w:tl2br w:val="nil"/>
                    <w:tr2bl w:val="nil"/>
                  </w:tcBorders>
                  <w:noWrap w:val="0"/>
                  <w:vAlign w:val="center"/>
                </w:tcPr>
                <w:p w14:paraId="092387C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21</w:t>
                  </w:r>
                </w:p>
              </w:tc>
            </w:tr>
            <w:tr w14:paraId="1FA934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6F3278A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叠加</w:t>
                  </w:r>
                  <w:r>
                    <w:rPr>
                      <w:rFonts w:hint="default" w:ascii="Times New Roman" w:hAnsi="Times New Roman" w:eastAsia="宋体" w:cs="Times New Roman"/>
                      <w:color w:val="auto"/>
                      <w:sz w:val="21"/>
                      <w:szCs w:val="21"/>
                      <w:highlight w:val="none"/>
                    </w:rPr>
                    <w:t>贡献值</w:t>
                  </w:r>
                </w:p>
              </w:tc>
              <w:tc>
                <w:tcPr>
                  <w:tcW w:w="538" w:type="pct"/>
                  <w:tcBorders>
                    <w:tl2br w:val="nil"/>
                    <w:tr2bl w:val="nil"/>
                  </w:tcBorders>
                  <w:noWrap w:val="0"/>
                  <w:vAlign w:val="center"/>
                </w:tcPr>
                <w:p w14:paraId="12C79696">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51</w:t>
                  </w:r>
                </w:p>
              </w:tc>
              <w:tc>
                <w:tcPr>
                  <w:tcW w:w="579" w:type="pct"/>
                  <w:tcBorders>
                    <w:tl2br w:val="nil"/>
                    <w:tr2bl w:val="nil"/>
                  </w:tcBorders>
                  <w:noWrap w:val="0"/>
                  <w:vAlign w:val="center"/>
                </w:tcPr>
                <w:p w14:paraId="4F782BB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w:t>
                  </w:r>
                </w:p>
              </w:tc>
              <w:tc>
                <w:tcPr>
                  <w:tcW w:w="532" w:type="pct"/>
                  <w:tcBorders>
                    <w:tl2br w:val="nil"/>
                    <w:tr2bl w:val="nil"/>
                  </w:tcBorders>
                  <w:noWrap w:val="0"/>
                  <w:vAlign w:val="center"/>
                </w:tcPr>
                <w:p w14:paraId="6823E15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633" w:type="pct"/>
                  <w:tcBorders>
                    <w:tl2br w:val="nil"/>
                    <w:tr2bl w:val="nil"/>
                  </w:tcBorders>
                  <w:noWrap w:val="0"/>
                  <w:vAlign w:val="center"/>
                </w:tcPr>
                <w:p w14:paraId="300585F0">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45</w:t>
                  </w:r>
                </w:p>
              </w:tc>
              <w:tc>
                <w:tcPr>
                  <w:tcW w:w="943" w:type="pct"/>
                  <w:tcBorders>
                    <w:tl2br w:val="nil"/>
                    <w:tr2bl w:val="nil"/>
                  </w:tcBorders>
                  <w:noWrap w:val="0"/>
                  <w:vAlign w:val="center"/>
                </w:tcPr>
                <w:p w14:paraId="7F810E3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48</w:t>
                  </w:r>
                </w:p>
              </w:tc>
            </w:tr>
            <w:tr w14:paraId="76458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4EC8CF9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背景值</w:t>
                  </w:r>
                </w:p>
              </w:tc>
              <w:tc>
                <w:tcPr>
                  <w:tcW w:w="538" w:type="pct"/>
                  <w:tcBorders>
                    <w:tl2br w:val="nil"/>
                    <w:tr2bl w:val="nil"/>
                  </w:tcBorders>
                  <w:noWrap w:val="0"/>
                  <w:vAlign w:val="center"/>
                </w:tcPr>
                <w:p w14:paraId="33007AD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579" w:type="pct"/>
                  <w:tcBorders>
                    <w:tl2br w:val="nil"/>
                    <w:tr2bl w:val="nil"/>
                  </w:tcBorders>
                  <w:noWrap w:val="0"/>
                  <w:vAlign w:val="center"/>
                </w:tcPr>
                <w:p w14:paraId="4C407EFE">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532" w:type="pct"/>
                  <w:tcBorders>
                    <w:tl2br w:val="nil"/>
                    <w:tr2bl w:val="nil"/>
                  </w:tcBorders>
                  <w:noWrap w:val="0"/>
                  <w:vAlign w:val="center"/>
                </w:tcPr>
                <w:p w14:paraId="0730A07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33" w:type="pct"/>
                  <w:tcBorders>
                    <w:tl2br w:val="nil"/>
                    <w:tr2bl w:val="nil"/>
                  </w:tcBorders>
                  <w:noWrap w:val="0"/>
                  <w:vAlign w:val="center"/>
                </w:tcPr>
                <w:p w14:paraId="4A1E05C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943" w:type="pct"/>
                  <w:tcBorders>
                    <w:tl2br w:val="nil"/>
                    <w:tr2bl w:val="nil"/>
                  </w:tcBorders>
                  <w:noWrap w:val="0"/>
                  <w:vAlign w:val="center"/>
                </w:tcPr>
                <w:p w14:paraId="3126C4A4">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62FCE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69AD6939">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总贡献值</w:t>
                  </w:r>
                </w:p>
              </w:tc>
              <w:tc>
                <w:tcPr>
                  <w:tcW w:w="872" w:type="dxa"/>
                  <w:tcBorders>
                    <w:tl2br w:val="nil"/>
                    <w:tr2bl w:val="nil"/>
                  </w:tcBorders>
                  <w:noWrap w:val="0"/>
                  <w:vAlign w:val="center"/>
                </w:tcPr>
                <w:p w14:paraId="03F77163">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51</w:t>
                  </w:r>
                </w:p>
              </w:tc>
              <w:tc>
                <w:tcPr>
                  <w:tcW w:w="939" w:type="dxa"/>
                  <w:tcBorders>
                    <w:tl2br w:val="nil"/>
                    <w:tr2bl w:val="nil"/>
                  </w:tcBorders>
                  <w:noWrap w:val="0"/>
                  <w:vAlign w:val="center"/>
                </w:tcPr>
                <w:p w14:paraId="114B01B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44</w:t>
                  </w:r>
                </w:p>
              </w:tc>
              <w:tc>
                <w:tcPr>
                  <w:tcW w:w="863" w:type="dxa"/>
                  <w:tcBorders>
                    <w:tl2br w:val="nil"/>
                    <w:tr2bl w:val="nil"/>
                  </w:tcBorders>
                  <w:noWrap w:val="0"/>
                  <w:vAlign w:val="center"/>
                </w:tcPr>
                <w:p w14:paraId="36D824F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sz w:val="21"/>
                      <w:szCs w:val="21"/>
                      <w:highlight w:val="none"/>
                      <w:lang w:val="en-US" w:eastAsia="zh-CN"/>
                    </w:rPr>
                    <w:t>49</w:t>
                  </w:r>
                </w:p>
              </w:tc>
              <w:tc>
                <w:tcPr>
                  <w:tcW w:w="1026" w:type="dxa"/>
                  <w:tcBorders>
                    <w:tl2br w:val="nil"/>
                    <w:tr2bl w:val="nil"/>
                  </w:tcBorders>
                  <w:noWrap w:val="0"/>
                  <w:vAlign w:val="center"/>
                </w:tcPr>
                <w:p w14:paraId="57A5B6B6">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cs="Times New Roman"/>
                      <w:color w:val="auto"/>
                      <w:sz w:val="21"/>
                      <w:szCs w:val="21"/>
                      <w:highlight w:val="none"/>
                      <w:lang w:val="en-US" w:eastAsia="zh-CN"/>
                    </w:rPr>
                    <w:t>45</w:t>
                  </w:r>
                </w:p>
              </w:tc>
              <w:tc>
                <w:tcPr>
                  <w:tcW w:w="943" w:type="pct"/>
                  <w:tcBorders>
                    <w:tl2br w:val="nil"/>
                    <w:tr2bl w:val="nil"/>
                  </w:tcBorders>
                  <w:noWrap w:val="0"/>
                  <w:vAlign w:val="center"/>
                </w:tcPr>
                <w:p w14:paraId="4563C2E3">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r>
            <w:tr w14:paraId="3F117F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1F0A0428">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预测值</w:t>
                  </w:r>
                </w:p>
              </w:tc>
              <w:tc>
                <w:tcPr>
                  <w:tcW w:w="538" w:type="pct"/>
                  <w:tcBorders>
                    <w:tl2br w:val="nil"/>
                    <w:tr2bl w:val="nil"/>
                  </w:tcBorders>
                  <w:noWrap w:val="0"/>
                  <w:vAlign w:val="center"/>
                </w:tcPr>
                <w:p w14:paraId="42035B27">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579" w:type="pct"/>
                  <w:tcBorders>
                    <w:tl2br w:val="nil"/>
                    <w:tr2bl w:val="nil"/>
                  </w:tcBorders>
                  <w:noWrap w:val="0"/>
                  <w:vAlign w:val="center"/>
                </w:tcPr>
                <w:p w14:paraId="54316DEB">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532" w:type="pct"/>
                  <w:tcBorders>
                    <w:tl2br w:val="nil"/>
                    <w:tr2bl w:val="nil"/>
                  </w:tcBorders>
                  <w:noWrap w:val="0"/>
                  <w:vAlign w:val="center"/>
                </w:tcPr>
                <w:p w14:paraId="39C9EC9C">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633" w:type="pct"/>
                  <w:tcBorders>
                    <w:tl2br w:val="nil"/>
                    <w:tr2bl w:val="nil"/>
                  </w:tcBorders>
                  <w:noWrap w:val="0"/>
                  <w:vAlign w:val="center"/>
                </w:tcPr>
                <w:p w14:paraId="1B9604CA">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zh-CN"/>
                    </w:rPr>
                  </w:pPr>
                  <w:r>
                    <w:rPr>
                      <w:rFonts w:hint="eastAsia" w:ascii="Times New Roman" w:hAnsi="Times New Roman" w:eastAsia="宋体" w:cs="Times New Roman"/>
                      <w:color w:val="auto"/>
                      <w:kern w:val="2"/>
                      <w:sz w:val="21"/>
                      <w:szCs w:val="21"/>
                      <w:highlight w:val="none"/>
                      <w:lang w:val="en-US" w:eastAsia="zh-CN" w:bidi="zh-CN"/>
                    </w:rPr>
                    <w:t>/</w:t>
                  </w:r>
                </w:p>
              </w:tc>
              <w:tc>
                <w:tcPr>
                  <w:tcW w:w="943" w:type="pct"/>
                  <w:tcBorders>
                    <w:tl2br w:val="nil"/>
                    <w:tr2bl w:val="nil"/>
                  </w:tcBorders>
                  <w:noWrap w:val="0"/>
                  <w:vAlign w:val="center"/>
                </w:tcPr>
                <w:p w14:paraId="1018C837">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highlight w:val="none"/>
                      <w:lang w:val="en-US" w:eastAsia="zh-CN" w:bidi="zh-CN"/>
                    </w:rPr>
                  </w:pPr>
                  <w:r>
                    <w:rPr>
                      <w:rFonts w:hint="eastAsia" w:ascii="Times New Roman" w:hAnsi="Times New Roman" w:cs="Times New Roman"/>
                      <w:color w:val="auto"/>
                      <w:kern w:val="2"/>
                      <w:sz w:val="21"/>
                      <w:szCs w:val="21"/>
                      <w:highlight w:val="none"/>
                      <w:lang w:val="en-US" w:eastAsia="zh-CN" w:bidi="zh-CN"/>
                    </w:rPr>
                    <w:t>48</w:t>
                  </w:r>
                </w:p>
              </w:tc>
            </w:tr>
            <w:tr w14:paraId="578FC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2737BAED">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标准限值（昼间）</w:t>
                  </w:r>
                </w:p>
              </w:tc>
              <w:tc>
                <w:tcPr>
                  <w:tcW w:w="538" w:type="pct"/>
                  <w:tcBorders>
                    <w:tl2br w:val="nil"/>
                    <w:tr2bl w:val="nil"/>
                  </w:tcBorders>
                  <w:noWrap w:val="0"/>
                  <w:vAlign w:val="center"/>
                </w:tcPr>
                <w:p w14:paraId="5ED81D2A">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w:t>
                  </w:r>
                  <w:r>
                    <w:rPr>
                      <w:rFonts w:hint="eastAsia" w:cs="Times New Roman"/>
                      <w:color w:val="auto"/>
                      <w:kern w:val="2"/>
                      <w:sz w:val="21"/>
                      <w:szCs w:val="21"/>
                      <w:lang w:val="en-US" w:eastAsia="zh-CN" w:bidi="ar-SA"/>
                    </w:rPr>
                    <w:t>0</w:t>
                  </w:r>
                </w:p>
              </w:tc>
              <w:tc>
                <w:tcPr>
                  <w:tcW w:w="579" w:type="pct"/>
                  <w:tcBorders>
                    <w:tl2br w:val="nil"/>
                    <w:tr2bl w:val="nil"/>
                  </w:tcBorders>
                  <w:noWrap w:val="0"/>
                  <w:vAlign w:val="center"/>
                </w:tcPr>
                <w:p w14:paraId="12BD4E1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6</w:t>
                  </w:r>
                  <w:r>
                    <w:rPr>
                      <w:rFonts w:hint="eastAsia" w:cs="Times New Roman"/>
                      <w:color w:val="auto"/>
                      <w:kern w:val="2"/>
                      <w:sz w:val="21"/>
                      <w:szCs w:val="21"/>
                      <w:lang w:val="en-US" w:eastAsia="zh-CN" w:bidi="ar-SA"/>
                    </w:rPr>
                    <w:t>0</w:t>
                  </w:r>
                </w:p>
              </w:tc>
              <w:tc>
                <w:tcPr>
                  <w:tcW w:w="532" w:type="pct"/>
                  <w:tcBorders>
                    <w:tl2br w:val="nil"/>
                    <w:tr2bl w:val="nil"/>
                  </w:tcBorders>
                  <w:noWrap w:val="0"/>
                  <w:vAlign w:val="center"/>
                </w:tcPr>
                <w:p w14:paraId="5C111D0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633" w:type="pct"/>
                  <w:tcBorders>
                    <w:tl2br w:val="nil"/>
                    <w:tr2bl w:val="nil"/>
                  </w:tcBorders>
                  <w:noWrap w:val="0"/>
                  <w:vAlign w:val="center"/>
                </w:tcPr>
                <w:p w14:paraId="31124EE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60</w:t>
                  </w:r>
                </w:p>
              </w:tc>
              <w:tc>
                <w:tcPr>
                  <w:tcW w:w="943" w:type="pct"/>
                  <w:tcBorders>
                    <w:tl2br w:val="nil"/>
                    <w:tr2bl w:val="nil"/>
                  </w:tcBorders>
                  <w:noWrap w:val="0"/>
                  <w:vAlign w:val="center"/>
                </w:tcPr>
                <w:p w14:paraId="547CD5B8">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60</w:t>
                  </w:r>
                </w:p>
              </w:tc>
            </w:tr>
            <w:tr w14:paraId="53A6F3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773" w:type="pct"/>
                  <w:gridSpan w:val="4"/>
                  <w:tcBorders>
                    <w:tl2br w:val="nil"/>
                    <w:tr2bl w:val="nil"/>
                  </w:tcBorders>
                  <w:noWrap w:val="0"/>
                  <w:vAlign w:val="center"/>
                </w:tcPr>
                <w:p w14:paraId="6AAF59D5">
                  <w:pPr>
                    <w:pStyle w:val="126"/>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标准限值（</w:t>
                  </w:r>
                  <w:r>
                    <w:rPr>
                      <w:rFonts w:hint="eastAsia" w:ascii="Times New Roman" w:hAnsi="Times New Roman" w:cs="Times New Roman"/>
                      <w:color w:val="auto"/>
                      <w:sz w:val="21"/>
                      <w:szCs w:val="21"/>
                      <w:highlight w:val="none"/>
                      <w:lang w:val="en-US" w:eastAsia="zh-CN"/>
                    </w:rPr>
                    <w:t>夜</w:t>
                  </w:r>
                  <w:r>
                    <w:rPr>
                      <w:rFonts w:hint="default" w:ascii="Times New Roman" w:hAnsi="Times New Roman" w:eastAsia="宋体" w:cs="Times New Roman"/>
                      <w:color w:val="auto"/>
                      <w:sz w:val="21"/>
                      <w:szCs w:val="21"/>
                      <w:highlight w:val="none"/>
                      <w:lang w:val="en-US" w:eastAsia="zh-CN"/>
                    </w:rPr>
                    <w:t>间）</w:t>
                  </w:r>
                </w:p>
              </w:tc>
              <w:tc>
                <w:tcPr>
                  <w:tcW w:w="538" w:type="pct"/>
                  <w:tcBorders>
                    <w:tl2br w:val="nil"/>
                    <w:tr2bl w:val="nil"/>
                  </w:tcBorders>
                  <w:noWrap w:val="0"/>
                  <w:vAlign w:val="center"/>
                </w:tcPr>
                <w:p w14:paraId="1B99E388">
                  <w:pPr>
                    <w:keepNext w:val="0"/>
                    <w:keepLines w:val="0"/>
                    <w:pageBreakBefore w:val="0"/>
                    <w:suppressLineNumbers w:val="0"/>
                    <w:kinsoku/>
                    <w:wordWrap/>
                    <w:overflowPunct w:val="0"/>
                    <w:topLinePunct w:val="0"/>
                    <w:bidi w:val="0"/>
                    <w:adjustRightInd w:val="0"/>
                    <w:snapToGrid w:val="0"/>
                    <w:spacing w:before="0" w:beforeAutospacing="0" w:after="0" w:afterAutospacing="0" w:line="240" w:lineRule="auto"/>
                    <w:ind w:left="0" w:leftChars="0" w:right="0" w:rightChars="0"/>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579" w:type="pct"/>
                  <w:tcBorders>
                    <w:tl2br w:val="nil"/>
                    <w:tr2bl w:val="nil"/>
                  </w:tcBorders>
                  <w:noWrap w:val="0"/>
                  <w:vAlign w:val="center"/>
                </w:tcPr>
                <w:p w14:paraId="6A87F744">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532" w:type="pct"/>
                  <w:tcBorders>
                    <w:tl2br w:val="nil"/>
                    <w:tr2bl w:val="nil"/>
                  </w:tcBorders>
                  <w:noWrap w:val="0"/>
                  <w:vAlign w:val="center"/>
                </w:tcPr>
                <w:p w14:paraId="6BD3E2BC">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55</w:t>
                  </w:r>
                </w:p>
              </w:tc>
              <w:tc>
                <w:tcPr>
                  <w:tcW w:w="633" w:type="pct"/>
                  <w:tcBorders>
                    <w:tl2br w:val="nil"/>
                    <w:tr2bl w:val="nil"/>
                  </w:tcBorders>
                  <w:noWrap w:val="0"/>
                  <w:vAlign w:val="center"/>
                </w:tcPr>
                <w:p w14:paraId="2DEBC400">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943" w:type="pct"/>
                  <w:tcBorders>
                    <w:tl2br w:val="nil"/>
                    <w:tr2bl w:val="nil"/>
                  </w:tcBorders>
                  <w:noWrap w:val="0"/>
                  <w:vAlign w:val="center"/>
                </w:tcPr>
                <w:p w14:paraId="2E1446BD">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r>
          </w:tbl>
          <w:p w14:paraId="21BE2AA3">
            <w:pPr>
              <w:adjustRightInd w:val="0"/>
              <w:snapToGrid w:val="0"/>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auto"/>
                <w:sz w:val="24"/>
                <w:szCs w:val="24"/>
              </w:rPr>
              <w:t>经上文分析、预测，</w:t>
            </w:r>
            <w:r>
              <w:rPr>
                <w:rFonts w:hint="eastAsia" w:cs="Times New Roman"/>
                <w:color w:val="auto"/>
                <w:sz w:val="24"/>
                <w:szCs w:val="24"/>
                <w:lang w:val="en-US" w:eastAsia="zh-CN"/>
              </w:rPr>
              <w:t>因本项目地块未与现有项目重叠，故无需叠加噪声值，</w:t>
            </w:r>
            <w:r>
              <w:rPr>
                <w:rFonts w:hint="default" w:ascii="Times New Roman" w:hAnsi="Times New Roman" w:cs="Times New Roman"/>
                <w:color w:val="auto"/>
                <w:sz w:val="24"/>
                <w:szCs w:val="24"/>
              </w:rPr>
              <w:t>项目厂界</w:t>
            </w:r>
            <w:r>
              <w:rPr>
                <w:rFonts w:hint="eastAsia" w:ascii="Times New Roman" w:hAnsi="Times New Roman" w:cs="Times New Roman"/>
                <w:color w:val="auto"/>
                <w:sz w:val="24"/>
                <w:szCs w:val="24"/>
                <w:lang w:val="en-US" w:eastAsia="zh-CN"/>
              </w:rPr>
              <w:t>东、南、</w:t>
            </w:r>
            <w:r>
              <w:rPr>
                <w:rFonts w:hint="eastAsia" w:cs="Times New Roman"/>
                <w:color w:val="auto"/>
                <w:sz w:val="24"/>
                <w:szCs w:val="24"/>
                <w:lang w:val="en-US" w:eastAsia="zh-CN"/>
              </w:rPr>
              <w:t>北</w:t>
            </w:r>
            <w:r>
              <w:rPr>
                <w:rFonts w:hint="eastAsia" w:ascii="Times New Roman" w:hAnsi="Times New Roman" w:cs="Times New Roman"/>
                <w:color w:val="auto"/>
                <w:sz w:val="24"/>
                <w:szCs w:val="24"/>
                <w:lang w:val="en-US" w:eastAsia="zh-CN"/>
              </w:rPr>
              <w:t>侧</w:t>
            </w:r>
            <w:r>
              <w:rPr>
                <w:rFonts w:hint="default" w:ascii="Times New Roman" w:hAnsi="Times New Roman" w:cs="Times New Roman"/>
                <w:color w:val="auto"/>
                <w:sz w:val="24"/>
                <w:szCs w:val="24"/>
              </w:rPr>
              <w:t>昼间噪声贡献值均符合《工业企业厂界环境噪声排放标准》（GB12348—2008）</w:t>
            </w:r>
            <w:r>
              <w:rPr>
                <w:rFonts w:hint="eastAsia" w:cs="Times New Roman"/>
                <w:color w:val="auto"/>
                <w:sz w:val="24"/>
                <w:szCs w:val="24"/>
                <w:lang w:val="en-US" w:eastAsia="zh-CN"/>
              </w:rPr>
              <w:t>2</w:t>
            </w:r>
            <w:r>
              <w:rPr>
                <w:rFonts w:hint="default" w:ascii="Times New Roman" w:hAnsi="Times New Roman" w:cs="Times New Roman"/>
                <w:color w:val="auto"/>
                <w:sz w:val="24"/>
                <w:szCs w:val="24"/>
              </w:rPr>
              <w:t>类限值要求</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西</w:t>
            </w:r>
            <w:r>
              <w:rPr>
                <w:rFonts w:hint="eastAsia" w:ascii="Times New Roman" w:hAnsi="Times New Roman" w:cs="Times New Roman"/>
                <w:color w:val="auto"/>
                <w:sz w:val="24"/>
                <w:szCs w:val="24"/>
                <w:lang w:val="en-US" w:eastAsia="zh-CN"/>
              </w:rPr>
              <w:t>侧</w:t>
            </w:r>
            <w:r>
              <w:rPr>
                <w:rFonts w:hint="default" w:ascii="Times New Roman" w:hAnsi="Times New Roman" w:cs="Times New Roman"/>
                <w:color w:val="auto"/>
                <w:sz w:val="24"/>
                <w:szCs w:val="24"/>
              </w:rPr>
              <w:t>昼间噪声贡献值符合《工业企业厂界环境噪声排放标准》（GB12348—2008）</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类限值要求</w:t>
            </w:r>
            <w:r>
              <w:rPr>
                <w:rFonts w:hint="eastAsia" w:ascii="Times New Roman" w:hAnsi="Times New Roman" w:cs="Times New Roman"/>
                <w:color w:val="auto"/>
                <w:sz w:val="24"/>
                <w:szCs w:val="24"/>
                <w:lang w:eastAsia="zh-CN"/>
              </w:rPr>
              <w:t>，</w:t>
            </w:r>
            <w:r>
              <w:rPr>
                <w:rFonts w:hint="eastAsia" w:ascii="Times New Roman" w:hAnsi="Times New Roman" w:cs="Times New Roman"/>
                <w:color w:val="0000FF"/>
                <w:sz w:val="24"/>
                <w:szCs w:val="24"/>
                <w:lang w:val="en-US" w:eastAsia="zh-CN"/>
              </w:rPr>
              <w:t>北侧敏感点</w:t>
            </w:r>
            <w:r>
              <w:rPr>
                <w:rFonts w:hint="eastAsia" w:cs="Times New Roman"/>
                <w:color w:val="0000FF"/>
                <w:sz w:val="24"/>
                <w:szCs w:val="24"/>
                <w:lang w:val="en-US" w:eastAsia="zh-CN"/>
              </w:rPr>
              <w:t>张家崖村六组</w:t>
            </w:r>
            <w:r>
              <w:rPr>
                <w:rFonts w:hint="eastAsia" w:ascii="Times New Roman" w:hAnsi="Times New Roman" w:cs="Times New Roman"/>
                <w:color w:val="auto"/>
                <w:sz w:val="24"/>
                <w:szCs w:val="24"/>
                <w:lang w:val="en-US" w:eastAsia="zh-CN"/>
              </w:rPr>
              <w:t>预测值符合《声环境质量标准》（GB3096-2008）</w:t>
            </w:r>
            <w:r>
              <w:rPr>
                <w:rFonts w:hint="eastAsia" w:cs="Times New Roman"/>
                <w:color w:val="0000FF"/>
                <w:sz w:val="24"/>
                <w:szCs w:val="24"/>
                <w:lang w:val="en-US" w:eastAsia="zh-CN"/>
              </w:rPr>
              <w:t>2类限值要求</w:t>
            </w:r>
            <w:r>
              <w:rPr>
                <w:rFonts w:hint="default" w:ascii="Times New Roman" w:hAnsi="Times New Roman" w:cs="Times New Roman"/>
                <w:color w:val="0000FF"/>
                <w:sz w:val="24"/>
                <w:szCs w:val="24"/>
              </w:rPr>
              <w:t>。</w:t>
            </w:r>
          </w:p>
          <w:p w14:paraId="33D72603">
            <w:pPr>
              <w:keepNext/>
              <w:keepLines/>
              <w:pageBreakBefore w:val="0"/>
              <w:widowControl/>
              <w:kinsoku/>
              <w:wordWrap/>
              <w:overflowPunct/>
              <w:topLinePunct w:val="0"/>
              <w:autoSpaceDE/>
              <w:autoSpaceDN/>
              <w:bidi w:val="0"/>
              <w:adjustRightInd/>
              <w:snapToGrid/>
              <w:spacing w:beforeAutospacing="0" w:afterAutospacing="0" w:line="360" w:lineRule="auto"/>
              <w:ind w:firstLine="482" w:firstLineChars="200"/>
              <w:textAlignment w:val="auto"/>
              <w:rPr>
                <w:rFonts w:hint="default" w:ascii="Times New Roman" w:hAnsi="Times New Roman" w:eastAsia="黑体" w:cs="Times New Roman"/>
                <w:bCs/>
                <w:color w:val="auto"/>
                <w:sz w:val="24"/>
                <w:szCs w:val="24"/>
                <w:lang w:val="en-US" w:eastAsia="zh-CN"/>
              </w:rPr>
            </w:pPr>
            <w:r>
              <w:rPr>
                <w:rFonts w:hint="eastAsia" w:cs="Times New Roman"/>
                <w:b/>
                <w:bCs/>
                <w:color w:val="auto"/>
                <w:kern w:val="2"/>
                <w:sz w:val="24"/>
                <w:szCs w:val="24"/>
                <w:lang w:val="en-US" w:eastAsia="zh-CN" w:bidi="ar-SA"/>
              </w:rPr>
              <w:t>2.</w:t>
            </w:r>
            <w:r>
              <w:rPr>
                <w:rFonts w:hint="default" w:cs="Times New Roman"/>
                <w:b/>
                <w:bCs/>
                <w:color w:val="auto"/>
                <w:kern w:val="2"/>
                <w:sz w:val="24"/>
                <w:szCs w:val="24"/>
                <w:lang w:val="en-US" w:eastAsia="zh-CN" w:bidi="ar-SA"/>
              </w:rPr>
              <w:t>监测计划</w:t>
            </w:r>
          </w:p>
          <w:p w14:paraId="4CDBA615">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根据《排污单位自行监测技术指南—总则》（HJ819-2017）、《排污许可证申请与核发技术规范  总则》（HJ942-2018）</w:t>
            </w:r>
            <w:r>
              <w:rPr>
                <w:rFonts w:hint="eastAsia" w:cs="Times New Roman"/>
                <w:color w:val="auto"/>
                <w:kern w:val="0"/>
                <w:sz w:val="24"/>
                <w:szCs w:val="24"/>
                <w:lang w:val="en-US" w:eastAsia="zh-CN"/>
              </w:rPr>
              <w:t>及</w:t>
            </w:r>
            <w:r>
              <w:rPr>
                <w:rFonts w:hint="eastAsia" w:ascii="Times New Roman" w:hAnsi="Times New Roman" w:eastAsia="宋体" w:cs="Times New Roman"/>
                <w:color w:val="auto"/>
                <w:kern w:val="0"/>
                <w:sz w:val="24"/>
                <w:szCs w:val="24"/>
                <w:lang w:val="en-US" w:eastAsia="zh-CN"/>
              </w:rPr>
              <w:t>《排污许可申请与核发技术规范 工业噪声》（HJ1301-2023）等技术规范，环评建议本项目监测方案如下：</w:t>
            </w:r>
          </w:p>
          <w:p w14:paraId="10AC688D">
            <w:pPr>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auto"/>
                <w:sz w:val="24"/>
                <w:szCs w:val="24"/>
                <w:lang w:val="en-US" w:eastAsia="zh-CN"/>
              </w:rPr>
            </w:pPr>
            <w:r>
              <w:rPr>
                <w:rFonts w:hint="eastAsia"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6</w:t>
            </w:r>
            <w:r>
              <w:rPr>
                <w:rFonts w:hint="eastAsia" w:ascii="Times New Roman" w:hAnsi="Times New Roman" w:eastAsia="宋体" w:cs="Times New Roman"/>
                <w:b/>
                <w:bCs/>
                <w:color w:val="auto"/>
                <w:sz w:val="21"/>
                <w:szCs w:val="21"/>
                <w:lang w:val="en-US" w:eastAsia="zh-CN"/>
              </w:rPr>
              <w:t xml:space="preserve">  项目运营期污染源环境监测计划一览表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589"/>
              <w:gridCol w:w="1328"/>
              <w:gridCol w:w="1519"/>
              <w:gridCol w:w="2796"/>
            </w:tblGrid>
            <w:tr w14:paraId="6E8C4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538" w:type="pct"/>
                  <w:noWrap w:val="0"/>
                  <w:vAlign w:val="center"/>
                </w:tcPr>
                <w:p w14:paraId="4A699C9A">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980" w:type="pct"/>
                  <w:noWrap w:val="0"/>
                  <w:vAlign w:val="center"/>
                </w:tcPr>
                <w:p w14:paraId="66A6C11D">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监测点位</w:t>
                  </w:r>
                </w:p>
              </w:tc>
              <w:tc>
                <w:tcPr>
                  <w:tcW w:w="819" w:type="pct"/>
                  <w:noWrap w:val="0"/>
                  <w:vAlign w:val="center"/>
                </w:tcPr>
                <w:p w14:paraId="57C194B7">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监测</w:t>
                  </w:r>
                  <w:r>
                    <w:rPr>
                      <w:rFonts w:hint="eastAsia" w:ascii="Times New Roman" w:hAnsi="Times New Roman" w:eastAsia="宋体" w:cs="Times New Roman"/>
                      <w:color w:val="auto"/>
                      <w:lang w:eastAsia="zh-CN"/>
                    </w:rPr>
                    <w:t>因子</w:t>
                  </w:r>
                </w:p>
              </w:tc>
              <w:tc>
                <w:tcPr>
                  <w:tcW w:w="937" w:type="pct"/>
                  <w:noWrap w:val="0"/>
                  <w:vAlign w:val="center"/>
                </w:tcPr>
                <w:p w14:paraId="039027FD">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监测</w:t>
                  </w:r>
                  <w:r>
                    <w:rPr>
                      <w:rFonts w:hint="eastAsia" w:ascii="Times New Roman" w:hAnsi="Times New Roman" w:eastAsia="宋体" w:cs="Times New Roman"/>
                      <w:color w:val="auto"/>
                      <w:lang w:eastAsia="zh-CN"/>
                    </w:rPr>
                    <w:t>频次</w:t>
                  </w:r>
                </w:p>
              </w:tc>
              <w:tc>
                <w:tcPr>
                  <w:tcW w:w="1724" w:type="pct"/>
                  <w:noWrap w:val="0"/>
                  <w:vAlign w:val="center"/>
                </w:tcPr>
                <w:p w14:paraId="26AC3F11">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执行标准</w:t>
                  </w:r>
                </w:p>
              </w:tc>
            </w:tr>
            <w:tr w14:paraId="29C40F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38" w:type="pct"/>
                  <w:noWrap w:val="0"/>
                  <w:vAlign w:val="center"/>
                </w:tcPr>
                <w:p w14:paraId="0A1FA486">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噪声</w:t>
                  </w:r>
                </w:p>
              </w:tc>
              <w:tc>
                <w:tcPr>
                  <w:tcW w:w="980" w:type="pct"/>
                  <w:noWrap w:val="0"/>
                  <w:vAlign w:val="center"/>
                </w:tcPr>
                <w:p w14:paraId="03DB05A4">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扩建后整个厂区厂界外1米</w:t>
                  </w:r>
                </w:p>
              </w:tc>
              <w:tc>
                <w:tcPr>
                  <w:tcW w:w="819" w:type="pct"/>
                  <w:noWrap w:val="0"/>
                  <w:vAlign w:val="center"/>
                </w:tcPr>
                <w:p w14:paraId="0C3C26D6">
                  <w:pPr>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等效连续</w:t>
                  </w:r>
                </w:p>
                <w:p w14:paraId="13CB40E1">
                  <w:pPr>
                    <w:spacing w:line="240" w:lineRule="auto"/>
                    <w:ind w:firstLine="0" w:firstLine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A声级</w:t>
                  </w:r>
                </w:p>
              </w:tc>
              <w:tc>
                <w:tcPr>
                  <w:tcW w:w="937" w:type="pct"/>
                  <w:noWrap w:val="0"/>
                  <w:vAlign w:val="center"/>
                </w:tcPr>
                <w:p w14:paraId="7D11A0F1">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1次/季度，昼、夜各一次</w:t>
                  </w:r>
                </w:p>
              </w:tc>
              <w:tc>
                <w:tcPr>
                  <w:tcW w:w="1724" w:type="pct"/>
                  <w:noWrap w:val="0"/>
                  <w:vAlign w:val="center"/>
                </w:tcPr>
                <w:p w14:paraId="7C40442A">
                  <w:pPr>
                    <w:keepNext/>
                    <w:keepLines/>
                    <w:pageBreakBefore w:val="0"/>
                    <w:widowControl/>
                    <w:kinsoku/>
                    <w:wordWrap/>
                    <w:overflowPunct/>
                    <w:topLinePunct w:val="0"/>
                    <w:autoSpaceDE/>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《工业企业厂界环境噪声排放标准》（</w:t>
                  </w:r>
                  <w:r>
                    <w:rPr>
                      <w:rFonts w:hint="eastAsia" w:ascii="Times New Roman" w:hAnsi="Times New Roman" w:eastAsia="宋体" w:cs="Times New Roman"/>
                      <w:color w:val="auto"/>
                      <w:lang w:val="en-US" w:eastAsia="zh-CN"/>
                    </w:rPr>
                    <w:t>GB12348-2008</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2类、4类标准</w:t>
                  </w:r>
                </w:p>
              </w:tc>
            </w:tr>
          </w:tbl>
          <w:p w14:paraId="687CDDE1">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四、运营期固体废物环境影响和保护措施</w:t>
            </w:r>
          </w:p>
          <w:p w14:paraId="411CEEB9">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固体废物产生及处置情况</w:t>
            </w:r>
          </w:p>
          <w:p w14:paraId="5E5535D0">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cs="Times New Roman"/>
                <w:color w:val="auto"/>
                <w:sz w:val="24"/>
                <w:szCs w:val="28"/>
                <w:lang w:val="en-US" w:eastAsia="zh-CN"/>
              </w:rPr>
            </w:pPr>
            <w:r>
              <w:rPr>
                <w:rFonts w:hint="eastAsia" w:cs="Times New Roman"/>
                <w:color w:val="auto"/>
                <w:sz w:val="24"/>
                <w:szCs w:val="28"/>
                <w:lang w:val="en-US" w:eastAsia="zh-CN"/>
              </w:rPr>
              <w:t>本项目固体废物主要为沉淀池煤泥。厂内装载机等车辆定期委托第三方进行检修，产生的废油、废油桶及废油抹布等由第三方自行暂存并委托处置，不在本厂区暂存。</w:t>
            </w:r>
          </w:p>
          <w:p w14:paraId="6FC4CFA2">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2"/>
              </w:rPr>
              <w:t>（</w:t>
            </w:r>
            <w:r>
              <w:rPr>
                <w:rFonts w:hint="eastAsia" w:ascii="Times New Roman" w:hAnsi="Times New Roman" w:cs="Times New Roman"/>
                <w:color w:val="auto"/>
                <w:sz w:val="24"/>
                <w:szCs w:val="22"/>
                <w:lang w:val="en-US" w:eastAsia="zh-CN"/>
              </w:rPr>
              <w:t>1</w:t>
            </w:r>
            <w:r>
              <w:rPr>
                <w:rFonts w:hint="default" w:ascii="Times New Roman" w:hAnsi="Times New Roman" w:cs="Times New Roman"/>
                <w:color w:val="auto"/>
                <w:sz w:val="24"/>
                <w:szCs w:val="22"/>
              </w:rPr>
              <w:t>）</w:t>
            </w:r>
            <w:r>
              <w:rPr>
                <w:rFonts w:hint="eastAsia" w:cs="Times New Roman"/>
                <w:color w:val="auto"/>
                <w:sz w:val="24"/>
                <w:lang w:val="en-US" w:eastAsia="zh-CN"/>
              </w:rPr>
              <w:t>沉淀池煤泥</w:t>
            </w:r>
          </w:p>
          <w:p w14:paraId="7D61656D">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eastAsia" w:cs="Times New Roman"/>
                <w:color w:val="auto"/>
                <w:sz w:val="24"/>
                <w:szCs w:val="22"/>
                <w:lang w:val="en-US" w:eastAsia="zh-CN"/>
              </w:rPr>
              <w:t>项目车辆冲洗废水经沉淀池处理后回用于车辆冲洗，沉淀池正在运行过程中会产生沉渣，类比原有项目，沉淀池煤泥产生量约为5t/a。沉淀池沉渣主要为车辆车身及车轮清洗产生的污泥，其主要成分为煤泥，由人工定期清掏后运至成品堆场自然风干后作为原料回用于生产。</w:t>
            </w:r>
          </w:p>
          <w:p w14:paraId="5D83291C">
            <w:pPr>
              <w:keepNext/>
              <w:keepLines/>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bCs/>
                <w:color w:val="auto"/>
                <w:kern w:val="0"/>
                <w:sz w:val="24"/>
              </w:rPr>
            </w:pPr>
            <w:r>
              <w:rPr>
                <w:rFonts w:hint="default" w:ascii="Times New Roman" w:hAnsi="Times New Roman" w:cs="Times New Roman"/>
                <w:color w:val="auto"/>
                <w:sz w:val="24"/>
                <w:szCs w:val="22"/>
              </w:rPr>
              <w:t>本项目固体废物产生量与处理措施见表4-</w:t>
            </w:r>
            <w:r>
              <w:rPr>
                <w:rFonts w:hint="eastAsia" w:cs="Times New Roman"/>
                <w:color w:val="auto"/>
                <w:sz w:val="24"/>
                <w:szCs w:val="22"/>
                <w:lang w:val="en-US" w:eastAsia="zh-CN"/>
              </w:rPr>
              <w:t>7</w:t>
            </w:r>
            <w:r>
              <w:rPr>
                <w:rFonts w:hint="default" w:ascii="Times New Roman" w:hAnsi="Times New Roman" w:cs="Times New Roman"/>
                <w:color w:val="auto"/>
                <w:sz w:val="24"/>
                <w:szCs w:val="22"/>
              </w:rPr>
              <w:t>。</w:t>
            </w:r>
          </w:p>
          <w:p w14:paraId="6413FCB1">
            <w:pPr>
              <w:keepNext/>
              <w:keepLines/>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1"/>
                <w:szCs w:val="21"/>
              </w:rPr>
              <w:t>表4-</w:t>
            </w:r>
            <w:r>
              <w:rPr>
                <w:rFonts w:hint="eastAsia" w:cs="Times New Roman"/>
                <w:b/>
                <w:color w:val="auto"/>
                <w:sz w:val="21"/>
                <w:szCs w:val="21"/>
                <w:lang w:val="en-US" w:eastAsia="zh-CN"/>
              </w:rPr>
              <w:t>7</w:t>
            </w:r>
            <w:r>
              <w:rPr>
                <w:rFonts w:hint="default" w:ascii="Times New Roman" w:hAnsi="Times New Roman" w:cs="Times New Roman"/>
                <w:b/>
                <w:color w:val="auto"/>
                <w:sz w:val="21"/>
                <w:szCs w:val="21"/>
              </w:rPr>
              <w:t xml:space="preserve">  项目固体废物产生情况及处理措施一览表</w:t>
            </w:r>
          </w:p>
          <w:tbl>
            <w:tblPr>
              <w:tblStyle w:val="3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882"/>
              <w:gridCol w:w="5034"/>
            </w:tblGrid>
            <w:tr w14:paraId="77AAD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742BF61B">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名称</w:t>
                  </w:r>
                </w:p>
              </w:tc>
              <w:tc>
                <w:tcPr>
                  <w:tcW w:w="3105" w:type="pct"/>
                  <w:tcBorders>
                    <w:tl2br w:val="nil"/>
                    <w:tr2bl w:val="nil"/>
                  </w:tcBorders>
                  <w:noWrap w:val="0"/>
                  <w:vAlign w:val="center"/>
                </w:tcPr>
                <w:p w14:paraId="06D88CA1">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煤泥</w:t>
                  </w:r>
                </w:p>
              </w:tc>
            </w:tr>
            <w:tr w14:paraId="4FCB11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03CD1B8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产生环节</w:t>
                  </w:r>
                </w:p>
              </w:tc>
              <w:tc>
                <w:tcPr>
                  <w:tcW w:w="3105" w:type="pct"/>
                  <w:tcBorders>
                    <w:tl2br w:val="nil"/>
                    <w:tr2bl w:val="nil"/>
                  </w:tcBorders>
                  <w:noWrap w:val="0"/>
                  <w:vAlign w:val="center"/>
                </w:tcPr>
                <w:p w14:paraId="340BCDE9">
                  <w:pPr>
                    <w:pStyle w:val="172"/>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车辆冲洗</w:t>
                  </w:r>
                </w:p>
              </w:tc>
            </w:tr>
            <w:tr w14:paraId="0ED9D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6788550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属性</w:t>
                  </w:r>
                </w:p>
              </w:tc>
              <w:tc>
                <w:tcPr>
                  <w:tcW w:w="3105" w:type="pct"/>
                  <w:tcBorders>
                    <w:tl2br w:val="nil"/>
                    <w:tr2bl w:val="nil"/>
                  </w:tcBorders>
                  <w:noWrap w:val="0"/>
                  <w:vAlign w:val="center"/>
                </w:tcPr>
                <w:p w14:paraId="2F3D41C6">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tr w14:paraId="5462AA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278FA6D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rPr>
                    <w:t>废物</w:t>
                  </w:r>
                  <w:r>
                    <w:rPr>
                      <w:rFonts w:hint="default" w:ascii="Times New Roman" w:hAnsi="Times New Roman" w:cs="Times New Roman"/>
                      <w:bCs/>
                      <w:color w:val="auto"/>
                      <w:sz w:val="21"/>
                      <w:szCs w:val="21"/>
                      <w:lang w:val="en-US"/>
                    </w:rPr>
                    <w:t>类别及</w:t>
                  </w:r>
                  <w:r>
                    <w:rPr>
                      <w:rFonts w:hint="default" w:ascii="Times New Roman" w:hAnsi="Times New Roman" w:cs="Times New Roman"/>
                      <w:bCs/>
                      <w:color w:val="auto"/>
                      <w:sz w:val="21"/>
                      <w:szCs w:val="21"/>
                    </w:rPr>
                    <w:t>代码</w:t>
                  </w:r>
                </w:p>
              </w:tc>
              <w:tc>
                <w:tcPr>
                  <w:tcW w:w="3105" w:type="pct"/>
                  <w:tcBorders>
                    <w:tl2br w:val="nil"/>
                    <w:tr2bl w:val="nil"/>
                  </w:tcBorders>
                  <w:noWrap w:val="0"/>
                  <w:vAlign w:val="center"/>
                </w:tcPr>
                <w:p w14:paraId="1FF6A61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w:t>
                  </w:r>
                </w:p>
              </w:tc>
            </w:tr>
            <w:tr w14:paraId="30E08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4FA10A1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物理性状</w:t>
                  </w:r>
                </w:p>
              </w:tc>
              <w:tc>
                <w:tcPr>
                  <w:tcW w:w="3105" w:type="pct"/>
                  <w:tcBorders>
                    <w:tl2br w:val="nil"/>
                    <w:tr2bl w:val="nil"/>
                  </w:tcBorders>
                  <w:noWrap w:val="0"/>
                  <w:vAlign w:val="center"/>
                </w:tcPr>
                <w:p w14:paraId="6CEDF4E9">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default" w:ascii="Times New Roman" w:hAnsi="Times New Roman" w:cs="Times New Roman"/>
                      <w:b w:val="0"/>
                      <w:bCs/>
                      <w:color w:val="auto"/>
                      <w:sz w:val="21"/>
                      <w:szCs w:val="21"/>
                      <w:lang w:val="en-US" w:eastAsia="zh-CN"/>
                    </w:rPr>
                    <w:t>固态</w:t>
                  </w:r>
                </w:p>
              </w:tc>
            </w:tr>
            <w:tr w14:paraId="301AA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2270FEA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1"/>
                      <w:szCs w:val="21"/>
                      <w:lang w:val="en-US"/>
                    </w:rPr>
                  </w:pPr>
                  <w:r>
                    <w:rPr>
                      <w:rFonts w:hint="default" w:ascii="Times New Roman" w:hAnsi="Times New Roman" w:cs="Times New Roman"/>
                      <w:bCs/>
                      <w:color w:val="auto"/>
                      <w:sz w:val="21"/>
                      <w:szCs w:val="21"/>
                      <w:lang w:val="en-US"/>
                    </w:rPr>
                    <w:t>环境危险特性</w:t>
                  </w:r>
                </w:p>
              </w:tc>
              <w:tc>
                <w:tcPr>
                  <w:tcW w:w="3105" w:type="pct"/>
                  <w:tcBorders>
                    <w:tl2br w:val="nil"/>
                    <w:tr2bl w:val="nil"/>
                  </w:tcBorders>
                  <w:noWrap w:val="0"/>
                  <w:vAlign w:val="center"/>
                </w:tcPr>
                <w:p w14:paraId="50E5001E">
                  <w:pPr>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14:paraId="4FFC0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15B80DD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rPr>
                    <w:t>产生量（t/a）</w:t>
                  </w:r>
                </w:p>
              </w:tc>
              <w:tc>
                <w:tcPr>
                  <w:tcW w:w="3105" w:type="pct"/>
                  <w:tcBorders>
                    <w:tl2br w:val="nil"/>
                    <w:tr2bl w:val="nil"/>
                  </w:tcBorders>
                  <w:noWrap w:val="0"/>
                  <w:vAlign w:val="center"/>
                </w:tcPr>
                <w:p w14:paraId="0F21747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5</w:t>
                  </w:r>
                </w:p>
              </w:tc>
            </w:tr>
            <w:tr w14:paraId="1E1A3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006F8E83">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贮存方式</w:t>
                  </w:r>
                </w:p>
              </w:tc>
              <w:tc>
                <w:tcPr>
                  <w:tcW w:w="3105" w:type="pct"/>
                  <w:tcBorders>
                    <w:tl2br w:val="nil"/>
                    <w:tr2bl w:val="nil"/>
                  </w:tcBorders>
                  <w:noWrap w:val="0"/>
                  <w:vAlign w:val="center"/>
                </w:tcPr>
                <w:p w14:paraId="5888B13C">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r>
            <w:tr w14:paraId="36B7B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vMerge w:val="restart"/>
                  <w:tcBorders>
                    <w:tl2br w:val="nil"/>
                    <w:tr2bl w:val="nil"/>
                  </w:tcBorders>
                  <w:noWrap w:val="0"/>
                  <w:vAlign w:val="center"/>
                </w:tcPr>
                <w:p w14:paraId="411AB346">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利用处置方式和去向</w:t>
                  </w:r>
                  <w:r>
                    <w:rPr>
                      <w:rFonts w:hint="default" w:ascii="Times New Roman" w:hAnsi="Times New Roman" w:cs="Times New Roman"/>
                      <w:bCs/>
                      <w:color w:val="auto"/>
                      <w:sz w:val="21"/>
                      <w:szCs w:val="21"/>
                    </w:rPr>
                    <w:t>（t/a）</w:t>
                  </w:r>
                </w:p>
              </w:tc>
              <w:tc>
                <w:tcPr>
                  <w:tcW w:w="1160" w:type="pct"/>
                  <w:tcBorders>
                    <w:tl2br w:val="nil"/>
                    <w:tr2bl w:val="nil"/>
                  </w:tcBorders>
                  <w:noWrap w:val="0"/>
                  <w:vAlign w:val="center"/>
                </w:tcPr>
                <w:p w14:paraId="2256704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自行贮存量</w:t>
                  </w:r>
                </w:p>
              </w:tc>
              <w:tc>
                <w:tcPr>
                  <w:tcW w:w="3105" w:type="pct"/>
                  <w:tcBorders>
                    <w:tl2br w:val="nil"/>
                    <w:tr2bl w:val="nil"/>
                  </w:tcBorders>
                  <w:noWrap w:val="0"/>
                  <w:vAlign w:val="center"/>
                </w:tcPr>
                <w:p w14:paraId="7EF6BF19">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default" w:ascii="Times New Roman" w:hAnsi="Times New Roman" w:cs="Times New Roman"/>
                      <w:b w:val="0"/>
                      <w:bCs/>
                      <w:color w:val="auto"/>
                      <w:sz w:val="21"/>
                      <w:szCs w:val="21"/>
                      <w:lang w:val="en-US"/>
                    </w:rPr>
                    <w:t>0</w:t>
                  </w:r>
                </w:p>
              </w:tc>
            </w:tr>
            <w:tr w14:paraId="59EA1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vMerge w:val="continue"/>
                  <w:tcBorders>
                    <w:tl2br w:val="nil"/>
                    <w:tr2bl w:val="nil"/>
                  </w:tcBorders>
                  <w:noWrap w:val="0"/>
                  <w:vAlign w:val="center"/>
                </w:tcPr>
                <w:p w14:paraId="011F16C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1160" w:type="pct"/>
                  <w:tcBorders>
                    <w:tl2br w:val="nil"/>
                    <w:tr2bl w:val="nil"/>
                  </w:tcBorders>
                  <w:noWrap w:val="0"/>
                  <w:vAlign w:val="center"/>
                </w:tcPr>
                <w:p w14:paraId="6600CE5F">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自行利用量</w:t>
                  </w:r>
                </w:p>
              </w:tc>
              <w:tc>
                <w:tcPr>
                  <w:tcW w:w="3105" w:type="pct"/>
                  <w:tcBorders>
                    <w:tl2br w:val="nil"/>
                    <w:tr2bl w:val="nil"/>
                  </w:tcBorders>
                  <w:noWrap w:val="0"/>
                  <w:vAlign w:val="center"/>
                </w:tcPr>
                <w:p w14:paraId="3710342F">
                  <w:pPr>
                    <w:pStyle w:val="175"/>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5</w:t>
                  </w:r>
                </w:p>
              </w:tc>
            </w:tr>
            <w:tr w14:paraId="587327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vMerge w:val="continue"/>
                  <w:tcBorders>
                    <w:tl2br w:val="nil"/>
                    <w:tr2bl w:val="nil"/>
                  </w:tcBorders>
                  <w:noWrap w:val="0"/>
                  <w:vAlign w:val="center"/>
                </w:tcPr>
                <w:p w14:paraId="1F4F1215">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1160" w:type="pct"/>
                  <w:tcBorders>
                    <w:tl2br w:val="nil"/>
                    <w:tr2bl w:val="nil"/>
                  </w:tcBorders>
                  <w:noWrap w:val="0"/>
                  <w:vAlign w:val="center"/>
                </w:tcPr>
                <w:p w14:paraId="058ED1A2">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自行处置量</w:t>
                  </w:r>
                </w:p>
              </w:tc>
              <w:tc>
                <w:tcPr>
                  <w:tcW w:w="3105" w:type="pct"/>
                  <w:tcBorders>
                    <w:tl2br w:val="nil"/>
                    <w:tr2bl w:val="nil"/>
                  </w:tcBorders>
                  <w:noWrap w:val="0"/>
                  <w:vAlign w:val="center"/>
                </w:tcPr>
                <w:p w14:paraId="06F7516A">
                  <w:pPr>
                    <w:pStyle w:val="175"/>
                    <w:keepNext/>
                    <w:keepLines/>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auto"/>
                      <w:sz w:val="21"/>
                      <w:szCs w:val="21"/>
                      <w:lang w:val="en-US"/>
                    </w:rPr>
                  </w:pPr>
                  <w:r>
                    <w:rPr>
                      <w:rFonts w:hint="eastAsia" w:cs="Times New Roman"/>
                      <w:b w:val="0"/>
                      <w:bCs/>
                      <w:color w:val="auto"/>
                      <w:sz w:val="21"/>
                      <w:szCs w:val="21"/>
                      <w:lang w:val="en-US" w:eastAsia="zh-CN"/>
                    </w:rPr>
                    <w:t>/</w:t>
                  </w:r>
                </w:p>
              </w:tc>
            </w:tr>
            <w:tr w14:paraId="51CF4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vMerge w:val="continue"/>
                  <w:tcBorders>
                    <w:tl2br w:val="nil"/>
                    <w:tr2bl w:val="nil"/>
                  </w:tcBorders>
                  <w:noWrap w:val="0"/>
                  <w:vAlign w:val="center"/>
                </w:tcPr>
                <w:p w14:paraId="095F5A19">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1160" w:type="pct"/>
                  <w:tcBorders>
                    <w:tl2br w:val="nil"/>
                    <w:tr2bl w:val="nil"/>
                  </w:tcBorders>
                  <w:noWrap w:val="0"/>
                  <w:vAlign w:val="center"/>
                </w:tcPr>
                <w:p w14:paraId="01AC4C58">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委托利用量</w:t>
                  </w:r>
                </w:p>
              </w:tc>
              <w:tc>
                <w:tcPr>
                  <w:tcW w:w="3105" w:type="pct"/>
                  <w:tcBorders>
                    <w:tl2br w:val="nil"/>
                    <w:tr2bl w:val="nil"/>
                  </w:tcBorders>
                  <w:noWrap w:val="0"/>
                  <w:vAlign w:val="center"/>
                </w:tcPr>
                <w:p w14:paraId="1500079F">
                  <w:pPr>
                    <w:pStyle w:val="175"/>
                    <w:keepNext/>
                    <w:keepLines/>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r>
            <w:tr w14:paraId="3DD15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vMerge w:val="continue"/>
                  <w:tcBorders>
                    <w:tl2br w:val="nil"/>
                    <w:tr2bl w:val="nil"/>
                  </w:tcBorders>
                  <w:noWrap w:val="0"/>
                  <w:vAlign w:val="center"/>
                </w:tcPr>
                <w:p w14:paraId="0ECBF2C4">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1160" w:type="pct"/>
                  <w:tcBorders>
                    <w:tl2br w:val="nil"/>
                    <w:tr2bl w:val="nil"/>
                  </w:tcBorders>
                  <w:noWrap w:val="0"/>
                  <w:vAlign w:val="center"/>
                </w:tcPr>
                <w:p w14:paraId="30E6C8C0">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委托处置量</w:t>
                  </w:r>
                </w:p>
              </w:tc>
              <w:tc>
                <w:tcPr>
                  <w:tcW w:w="3105" w:type="pct"/>
                  <w:tcBorders>
                    <w:tl2br w:val="nil"/>
                    <w:tr2bl w:val="nil"/>
                  </w:tcBorders>
                  <w:noWrap w:val="0"/>
                  <w:vAlign w:val="center"/>
                </w:tcPr>
                <w:p w14:paraId="3F80E712">
                  <w:pPr>
                    <w:pStyle w:val="175"/>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w:t>
                  </w:r>
                </w:p>
              </w:tc>
            </w:tr>
            <w:tr w14:paraId="3C359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3" w:type="pct"/>
                  <w:vMerge w:val="continue"/>
                  <w:tcBorders>
                    <w:tl2br w:val="nil"/>
                    <w:tr2bl w:val="nil"/>
                  </w:tcBorders>
                  <w:noWrap w:val="0"/>
                  <w:vAlign w:val="center"/>
                </w:tcPr>
                <w:p w14:paraId="52F13B6A">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p>
              </w:tc>
              <w:tc>
                <w:tcPr>
                  <w:tcW w:w="1160" w:type="pct"/>
                  <w:tcBorders>
                    <w:tl2br w:val="nil"/>
                    <w:tr2bl w:val="nil"/>
                  </w:tcBorders>
                  <w:noWrap w:val="0"/>
                  <w:vAlign w:val="center"/>
                </w:tcPr>
                <w:p w14:paraId="1FA84D97">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排放量</w:t>
                  </w:r>
                </w:p>
              </w:tc>
              <w:tc>
                <w:tcPr>
                  <w:tcW w:w="3105" w:type="pct"/>
                  <w:tcBorders>
                    <w:tl2br w:val="nil"/>
                    <w:tr2bl w:val="nil"/>
                  </w:tcBorders>
                  <w:noWrap w:val="0"/>
                  <w:vAlign w:val="center"/>
                </w:tcPr>
                <w:p w14:paraId="76C8BF8C">
                  <w:pPr>
                    <w:pStyle w:val="175"/>
                    <w:keepNext/>
                    <w:keepLines/>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w:t>
                  </w:r>
                </w:p>
              </w:tc>
            </w:tr>
            <w:tr w14:paraId="277371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4" w:type="pct"/>
                  <w:gridSpan w:val="2"/>
                  <w:tcBorders>
                    <w:tl2br w:val="nil"/>
                    <w:tr2bl w:val="nil"/>
                  </w:tcBorders>
                  <w:noWrap w:val="0"/>
                  <w:vAlign w:val="center"/>
                </w:tcPr>
                <w:p w14:paraId="50DD8C15">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rPr>
                    <w:t>委托单位名称</w:t>
                  </w:r>
                </w:p>
              </w:tc>
              <w:tc>
                <w:tcPr>
                  <w:tcW w:w="3105" w:type="pct"/>
                  <w:tcBorders>
                    <w:tl2br w:val="nil"/>
                    <w:tr2bl w:val="nil"/>
                  </w:tcBorders>
                  <w:noWrap w:val="0"/>
                  <w:vAlign w:val="center"/>
                </w:tcPr>
                <w:p w14:paraId="6EFF352D">
                  <w:pPr>
                    <w:pStyle w:val="175"/>
                    <w:keepNext/>
                    <w:keepLines/>
                    <w:pageBreakBefore w:val="0"/>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1"/>
                      <w:szCs w:val="21"/>
                      <w:lang w:val="en-US" w:eastAsia="zh-CN"/>
                    </w:rPr>
                  </w:pPr>
                  <w:r>
                    <w:rPr>
                      <w:rFonts w:hint="eastAsia" w:cs="Times New Roman"/>
                      <w:b w:val="0"/>
                      <w:bCs/>
                      <w:color w:val="auto"/>
                      <w:sz w:val="21"/>
                      <w:szCs w:val="21"/>
                      <w:lang w:val="en-US" w:eastAsia="zh-CN"/>
                    </w:rPr>
                    <w:t>定期清理后回用于生产</w:t>
                  </w:r>
                </w:p>
              </w:tc>
            </w:tr>
          </w:tbl>
          <w:p w14:paraId="0464E31C">
            <w:pPr>
              <w:adjustRightInd w:val="0"/>
              <w:snapToGrid w:val="0"/>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固体废物环境影响分析</w:t>
            </w:r>
          </w:p>
          <w:p w14:paraId="010EA0FF">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8"/>
              </w:rPr>
            </w:pPr>
            <w:r>
              <w:rPr>
                <w:rFonts w:hint="default" w:ascii="Times New Roman" w:hAnsi="Times New Roman" w:cs="Times New Roman"/>
                <w:color w:val="auto"/>
                <w:sz w:val="24"/>
                <w:szCs w:val="28"/>
              </w:rPr>
              <w:t>项目固体废弃物主要为</w:t>
            </w:r>
            <w:r>
              <w:rPr>
                <w:rFonts w:hint="default" w:ascii="Times New Roman" w:hAnsi="Times New Roman" w:cs="Times New Roman"/>
                <w:color w:val="auto"/>
                <w:sz w:val="24"/>
                <w:szCs w:val="28"/>
                <w:lang w:eastAsia="zh-CN"/>
              </w:rPr>
              <w:t>一般固废</w:t>
            </w:r>
            <w:r>
              <w:rPr>
                <w:rFonts w:hint="eastAsia" w:cs="Times New Roman"/>
                <w:color w:val="auto"/>
                <w:sz w:val="24"/>
                <w:szCs w:val="28"/>
                <w:lang w:val="en-US" w:eastAsia="zh-CN"/>
              </w:rPr>
              <w:t>煤泥</w:t>
            </w:r>
            <w:r>
              <w:rPr>
                <w:rFonts w:hint="default" w:ascii="Times New Roman" w:hAnsi="Times New Roman" w:cs="Times New Roman"/>
                <w:color w:val="auto"/>
                <w:sz w:val="24"/>
                <w:szCs w:val="28"/>
              </w:rPr>
              <w:t>。</w:t>
            </w:r>
          </w:p>
          <w:p w14:paraId="4C85AB06">
            <w:pPr>
              <w:keepNext/>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eastAsia="zh-CN"/>
              </w:rPr>
            </w:pPr>
            <w:r>
              <w:rPr>
                <w:rFonts w:hint="eastAsia" w:cs="Times New Roman"/>
                <w:color w:val="auto"/>
                <w:sz w:val="24"/>
                <w:szCs w:val="28"/>
                <w:lang w:val="en-US" w:eastAsia="zh-CN"/>
              </w:rPr>
              <w:t>煤泥经定期清理后运回煤炭堆放区经风干后回用于生产，主要成分为煤泥，经加强管理，妥善收集和存放，充分做好固体废物的无害化处理，</w:t>
            </w:r>
            <w:r>
              <w:rPr>
                <w:rFonts w:hint="eastAsia" w:cs="Times New Roman"/>
                <w:color w:val="auto"/>
                <w:sz w:val="24"/>
                <w:lang w:val="en-US" w:eastAsia="zh-CN"/>
              </w:rPr>
              <w:t>可减少</w:t>
            </w:r>
            <w:r>
              <w:rPr>
                <w:rFonts w:hint="default" w:ascii="Times New Roman" w:hAnsi="Times New Roman" w:cs="Times New Roman"/>
                <w:color w:val="auto"/>
                <w:sz w:val="24"/>
              </w:rPr>
              <w:t>对周围环境影响。</w:t>
            </w:r>
          </w:p>
          <w:p w14:paraId="361AC98A">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五、地下水</w:t>
            </w:r>
            <w:r>
              <w:rPr>
                <w:rFonts w:hint="eastAsia" w:cs="Times New Roman"/>
                <w:b/>
                <w:bCs/>
                <w:color w:val="auto"/>
                <w:sz w:val="28"/>
                <w:szCs w:val="28"/>
                <w:lang w:val="en-US" w:eastAsia="zh-CN"/>
              </w:rPr>
              <w:t>、土壤</w:t>
            </w:r>
            <w:r>
              <w:rPr>
                <w:rFonts w:hint="default" w:ascii="Times New Roman" w:hAnsi="Times New Roman" w:eastAsia="宋体" w:cs="Times New Roman"/>
                <w:b/>
                <w:bCs/>
                <w:color w:val="auto"/>
                <w:sz w:val="28"/>
                <w:szCs w:val="28"/>
                <w:lang w:val="en-US" w:eastAsia="zh-CN"/>
              </w:rPr>
              <w:t>环境影响分析</w:t>
            </w:r>
          </w:p>
          <w:p w14:paraId="2ACF6E1F">
            <w:pPr>
              <w:spacing w:line="360" w:lineRule="auto"/>
              <w:ind w:firstLine="480" w:firstLineChars="200"/>
              <w:rPr>
                <w:rFonts w:hint="default" w:eastAsia="宋体"/>
                <w:color w:val="auto"/>
                <w:sz w:val="24"/>
                <w:lang w:val="en-US" w:eastAsia="zh-CN"/>
              </w:rPr>
            </w:pPr>
            <w:r>
              <w:rPr>
                <w:color w:val="auto"/>
                <w:sz w:val="24"/>
              </w:rPr>
              <w:t>根据工程分析，本项目无生产废水排放。</w:t>
            </w:r>
            <w:r>
              <w:rPr>
                <w:rFonts w:hint="eastAsia"/>
                <w:color w:val="auto"/>
                <w:sz w:val="24"/>
                <w:lang w:val="en-US" w:eastAsia="zh-CN"/>
              </w:rPr>
              <w:t>主要污染废物为厂区大气沉降（粉尘）、初期雨水池、沉淀池中废水渗入土壤、地下水，污染途径主要有跑冒滴漏等。为防治物料、沉淀池、雨水池中污染物对土壤及地下水造成污染，本项目设立重点防渗区和一般防渗区进行防控。重点防渗区为初期雨水池和车辆冲洗沉淀池，一般防渗区为仓储棚内。</w:t>
            </w:r>
          </w:p>
          <w:p w14:paraId="6466893E">
            <w:pPr>
              <w:spacing w:line="360" w:lineRule="auto"/>
              <w:ind w:firstLine="480" w:firstLineChars="200"/>
              <w:rPr>
                <w:color w:val="auto"/>
                <w:sz w:val="24"/>
              </w:rPr>
            </w:pPr>
            <w:r>
              <w:rPr>
                <w:rFonts w:hint="eastAsia"/>
                <w:color w:val="auto"/>
                <w:sz w:val="24"/>
                <w:lang w:val="en-US" w:eastAsia="zh-CN"/>
              </w:rPr>
              <w:t>煤炭均在密闭仓储棚内储存、装卸、转运。建设单位在加强管理、强化防渗措施的前提下，</w:t>
            </w:r>
            <w:r>
              <w:rPr>
                <w:color w:val="auto"/>
                <w:sz w:val="24"/>
              </w:rPr>
              <w:t>无</w:t>
            </w:r>
            <w:r>
              <w:rPr>
                <w:rFonts w:hint="eastAsia"/>
                <w:color w:val="auto"/>
                <w:sz w:val="24"/>
                <w:lang w:val="en-US" w:eastAsia="zh-CN"/>
              </w:rPr>
              <w:t>土壤及</w:t>
            </w:r>
            <w:r>
              <w:rPr>
                <w:color w:val="auto"/>
                <w:sz w:val="24"/>
              </w:rPr>
              <w:t>地下水污染</w:t>
            </w:r>
            <w:r>
              <w:rPr>
                <w:rFonts w:hint="eastAsia"/>
                <w:color w:val="auto"/>
                <w:sz w:val="24"/>
                <w:lang w:val="en-US" w:eastAsia="zh-CN"/>
              </w:rPr>
              <w:t>途径</w:t>
            </w:r>
            <w:r>
              <w:rPr>
                <w:color w:val="auto"/>
                <w:sz w:val="24"/>
              </w:rPr>
              <w:t>，故不进行地下水环境</w:t>
            </w:r>
            <w:r>
              <w:rPr>
                <w:rFonts w:hint="eastAsia"/>
                <w:color w:val="auto"/>
                <w:sz w:val="24"/>
                <w:lang w:eastAsia="zh-CN"/>
              </w:rPr>
              <w:t>、</w:t>
            </w:r>
            <w:r>
              <w:rPr>
                <w:rFonts w:hint="eastAsia"/>
                <w:color w:val="auto"/>
                <w:sz w:val="24"/>
                <w:lang w:val="en-US" w:eastAsia="zh-CN"/>
              </w:rPr>
              <w:t>土壤</w:t>
            </w:r>
            <w:r>
              <w:rPr>
                <w:color w:val="auto"/>
                <w:sz w:val="24"/>
              </w:rPr>
              <w:t>影响分析。</w:t>
            </w:r>
          </w:p>
          <w:p w14:paraId="29D321DD">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eastAsia" w:cs="Times New Roman"/>
                <w:b/>
                <w:bCs/>
                <w:color w:val="auto"/>
                <w:sz w:val="28"/>
                <w:szCs w:val="28"/>
                <w:lang w:val="en-US" w:eastAsia="zh-CN"/>
              </w:rPr>
              <w:t>六</w:t>
            </w:r>
            <w:r>
              <w:rPr>
                <w:rFonts w:hint="default" w:ascii="Times New Roman" w:hAnsi="Times New Roman" w:eastAsia="宋体" w:cs="Times New Roman"/>
                <w:b/>
                <w:bCs/>
                <w:color w:val="auto"/>
                <w:sz w:val="28"/>
                <w:szCs w:val="28"/>
                <w:lang w:val="en-US" w:eastAsia="zh-CN"/>
              </w:rPr>
              <w:t>、环境风险</w:t>
            </w:r>
          </w:p>
          <w:p w14:paraId="0ABE00AB">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b w:val="0"/>
                <w:bCs w:val="0"/>
                <w:color w:val="auto"/>
                <w:sz w:val="24"/>
                <w:lang w:val="en-US" w:eastAsia="zh-CN"/>
              </w:rPr>
              <w:t>（1）危险物质和风险等级评判</w:t>
            </w:r>
          </w:p>
          <w:p w14:paraId="7B97CC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lang w:val="en-US"/>
              </w:rPr>
            </w:pPr>
            <w:r>
              <w:rPr>
                <w:rFonts w:hint="default" w:ascii="Times New Roman" w:hAnsi="Times New Roman" w:eastAsia="宋体" w:cs="Times New Roman"/>
                <w:color w:val="auto"/>
                <w:sz w:val="24"/>
                <w:lang w:val="en-US" w:eastAsia="zh-CN"/>
              </w:rPr>
              <w:t>依据《建设项目环境风险评价技术导则》（HJ169-2018）要求，结合《企业突发环境事件风险分级方法</w:t>
            </w:r>
            <w:r>
              <w:rPr>
                <w:rFonts w:hint="eastAsia" w:cs="Times New Roman"/>
                <w:color w:val="auto"/>
                <w:sz w:val="24"/>
                <w:lang w:val="en-US" w:eastAsia="zh-CN"/>
              </w:rPr>
              <w:t>》（HJ941-2018）</w:t>
            </w:r>
            <w:r>
              <w:rPr>
                <w:rFonts w:hint="default" w:ascii="Times New Roman" w:hAnsi="Times New Roman" w:eastAsia="宋体" w:cs="Times New Roman"/>
                <w:color w:val="auto"/>
                <w:sz w:val="24"/>
                <w:lang w:val="en-US" w:eastAsia="zh-CN"/>
              </w:rPr>
              <w:t>附录A第四部分，本项目</w:t>
            </w:r>
            <w:r>
              <w:rPr>
                <w:rFonts w:hint="eastAsia" w:cs="Times New Roman"/>
                <w:color w:val="auto"/>
                <w:sz w:val="24"/>
                <w:lang w:val="en-US" w:eastAsia="zh-CN"/>
              </w:rPr>
              <w:t>无风险物质</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但因煤炭属于易燃物品，虽对其制定相应的防范措施，以避免火灾发生。</w:t>
            </w:r>
          </w:p>
          <w:p w14:paraId="2FE32B40">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风险事故防范措施</w:t>
            </w:r>
          </w:p>
          <w:p w14:paraId="0A45B8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主要防范措施如下：</w:t>
            </w:r>
          </w:p>
          <w:p w14:paraId="5091C1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①原煤自燃风险防范措施</w:t>
            </w:r>
          </w:p>
          <w:p w14:paraId="73F24332">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堆场工作面采取喷洒作业措施，</w:t>
            </w:r>
            <w:r>
              <w:rPr>
                <w:rFonts w:hint="eastAsia" w:cs="Times New Roman"/>
                <w:color w:val="auto"/>
                <w:sz w:val="24"/>
                <w:lang w:val="en-US" w:eastAsia="zh-CN"/>
              </w:rPr>
              <w:t>可使</w:t>
            </w:r>
            <w:r>
              <w:rPr>
                <w:rFonts w:hint="eastAsia" w:ascii="Times New Roman" w:hAnsi="Times New Roman" w:eastAsia="宋体" w:cs="Times New Roman"/>
                <w:color w:val="auto"/>
                <w:sz w:val="24"/>
                <w:lang w:val="en-US" w:eastAsia="zh-CN"/>
              </w:rPr>
              <w:t>作业时扬起</w:t>
            </w:r>
            <w:r>
              <w:rPr>
                <w:rFonts w:hint="eastAsia" w:cs="Times New Roman"/>
                <w:color w:val="auto"/>
                <w:sz w:val="24"/>
                <w:lang w:val="en-US" w:eastAsia="zh-CN"/>
              </w:rPr>
              <w:t>的煤尘</w:t>
            </w:r>
            <w:r>
              <w:rPr>
                <w:rFonts w:hint="eastAsia" w:ascii="Times New Roman" w:hAnsi="Times New Roman" w:eastAsia="宋体" w:cs="Times New Roman"/>
                <w:color w:val="auto"/>
                <w:sz w:val="24"/>
                <w:lang w:val="en-US" w:eastAsia="zh-CN"/>
              </w:rPr>
              <w:t>大幅减少，有利于防止煤堆自燃。</w:t>
            </w:r>
          </w:p>
          <w:p w14:paraId="0338AC10">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在储煤场生产区各处悬挂禁止火种带入、禁止吸烟等警示牌。</w:t>
            </w:r>
          </w:p>
          <w:p w14:paraId="0EDBC84B">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在储煤场配电室、生产调度室等处配备不同类型的灭火器具，以便在储煤场发生火灾时用于防灭火工作。</w:t>
            </w:r>
          </w:p>
          <w:p w14:paraId="1D5B7710">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加强对储煤场工作日常管理工作，对煤堆自燃发火情况组织日常安全检查，及时掌握煤堆自燃发火情况，以便采取有效的灭火措施，有效预防煤堆火灾事故的发生。</w:t>
            </w:r>
          </w:p>
          <w:p w14:paraId="5A2395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②含煤废水渗漏风险防范措施</w:t>
            </w:r>
          </w:p>
          <w:p w14:paraId="30319008">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定期对沉淀池、初期雨水沉淀池内污泥进行处理。</w:t>
            </w:r>
          </w:p>
          <w:p w14:paraId="3F19E634">
            <w:pPr>
              <w:pStyle w:val="2"/>
              <w:keepNext w:val="0"/>
              <w:keepLines w:val="0"/>
              <w:pageBreakBefore w:val="0"/>
              <w:numPr>
                <w:ilvl w:val="0"/>
                <w:numId w:val="5"/>
              </w:numPr>
              <w:kinsoku/>
              <w:wordWrap/>
              <w:overflowPunct/>
              <w:topLinePunct w:val="0"/>
              <w:autoSpaceDE/>
              <w:autoSpaceDN/>
              <w:bidi w:val="0"/>
              <w:spacing w:before="0" w:beforeAutospacing="0" w:after="0" w:afterAutospacing="0"/>
              <w:ind w:leftChars="0" w:firstLine="480" w:firstLineChars="200"/>
              <w:textAlignment w:val="auto"/>
              <w:rPr>
                <w:rFonts w:hint="default"/>
                <w:lang w:val="en-US" w:eastAsia="zh-CN"/>
              </w:rPr>
            </w:pPr>
            <w:r>
              <w:rPr>
                <w:rFonts w:hint="eastAsia" w:cs="Times New Roman"/>
                <w:color w:val="auto"/>
                <w:sz w:val="24"/>
                <w:lang w:val="en-US" w:eastAsia="zh-CN"/>
              </w:rPr>
              <w:t>企业必须备齐所需的备品、备件以及药品，以便应急之用。</w:t>
            </w:r>
          </w:p>
          <w:p w14:paraId="23AB9312">
            <w:pPr>
              <w:keepNext w:val="0"/>
              <w:keepLines w:val="0"/>
              <w:pageBreakBefore w:val="0"/>
              <w:kinsoku/>
              <w:wordWrap/>
              <w:overflowPunct/>
              <w:topLinePunct w:val="0"/>
              <w:autoSpaceDE/>
              <w:autoSpaceDN/>
              <w:bidi w:val="0"/>
              <w:adjustRightInd w:val="0"/>
              <w:snapToGrid w:val="0"/>
              <w:spacing w:beforeAutospacing="0" w:afterAutospacing="0" w:line="360" w:lineRule="auto"/>
              <w:textAlignment w:val="auto"/>
              <w:rPr>
                <w:rFonts w:hint="eastAsia" w:ascii="Times New Roman" w:hAnsi="Times New Roman" w:eastAsia="宋体" w:cs="Times New Roman"/>
                <w:b/>
                <w:bCs/>
                <w:color w:val="auto"/>
                <w:sz w:val="28"/>
                <w:szCs w:val="28"/>
                <w:lang w:val="en-US" w:eastAsia="zh-CN"/>
              </w:rPr>
            </w:pPr>
            <w:r>
              <w:rPr>
                <w:rFonts w:hint="eastAsia" w:cs="Times New Roman"/>
                <w:b/>
                <w:bCs/>
                <w:color w:val="auto"/>
                <w:sz w:val="28"/>
                <w:szCs w:val="28"/>
                <w:lang w:val="en-US" w:eastAsia="zh-CN"/>
              </w:rPr>
              <w:t>七</w:t>
            </w:r>
            <w:r>
              <w:rPr>
                <w:rFonts w:hint="default" w:ascii="Times New Roman" w:hAnsi="Times New Roman" w:eastAsia="宋体" w:cs="Times New Roman"/>
                <w:b/>
                <w:bCs/>
                <w:color w:val="auto"/>
                <w:sz w:val="28"/>
                <w:szCs w:val="28"/>
                <w:lang w:val="en-US" w:eastAsia="zh-CN"/>
              </w:rPr>
              <w:t>、</w:t>
            </w:r>
            <w:r>
              <w:rPr>
                <w:rFonts w:hint="eastAsia" w:ascii="Times New Roman" w:hAnsi="Times New Roman" w:eastAsia="宋体" w:cs="Times New Roman"/>
                <w:b/>
                <w:bCs/>
                <w:color w:val="auto"/>
                <w:sz w:val="28"/>
                <w:szCs w:val="28"/>
                <w:lang w:val="en-US" w:eastAsia="zh-CN"/>
              </w:rPr>
              <w:t>依托工程可行性分析</w:t>
            </w:r>
          </w:p>
          <w:p w14:paraId="7B17D8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val="0"/>
                <w:bCs/>
                <w:color w:val="auto"/>
                <w:kern w:val="0"/>
                <w:sz w:val="24"/>
                <w:szCs w:val="24"/>
                <w:lang w:val="en-US" w:eastAsia="zh-CN"/>
              </w:rPr>
            </w:pPr>
            <w:r>
              <w:rPr>
                <w:rFonts w:hint="eastAsia" w:ascii="Times New Roman" w:hAnsi="Times New Roman" w:eastAsia="宋体" w:cs="Times New Roman"/>
                <w:b/>
                <w:bCs w:val="0"/>
                <w:color w:val="auto"/>
                <w:kern w:val="0"/>
                <w:sz w:val="24"/>
                <w:szCs w:val="24"/>
                <w:lang w:val="en-US" w:eastAsia="zh-CN"/>
              </w:rPr>
              <w:t>1</w:t>
            </w:r>
            <w:r>
              <w:rPr>
                <w:rFonts w:hint="eastAsia" w:cs="Times New Roman"/>
                <w:b/>
                <w:bCs w:val="0"/>
                <w:color w:val="auto"/>
                <w:kern w:val="0"/>
                <w:sz w:val="24"/>
                <w:szCs w:val="24"/>
                <w:lang w:val="en-US" w:eastAsia="zh-CN"/>
              </w:rPr>
              <w:t>.洗车台及沉淀池</w:t>
            </w:r>
            <w:r>
              <w:rPr>
                <w:rFonts w:hint="eastAsia" w:ascii="Times New Roman" w:hAnsi="Times New Roman" w:eastAsia="宋体" w:cs="Times New Roman"/>
                <w:b/>
                <w:bCs w:val="0"/>
                <w:color w:val="auto"/>
                <w:kern w:val="0"/>
                <w:sz w:val="24"/>
                <w:szCs w:val="24"/>
                <w:lang w:val="en-US" w:eastAsia="zh-CN"/>
              </w:rPr>
              <w:t>：</w:t>
            </w:r>
            <w:r>
              <w:rPr>
                <w:rFonts w:hint="eastAsia" w:cs="Times New Roman"/>
                <w:b w:val="0"/>
                <w:bCs/>
                <w:color w:val="auto"/>
                <w:kern w:val="0"/>
                <w:sz w:val="24"/>
                <w:szCs w:val="24"/>
                <w:lang w:val="en-US" w:eastAsia="zh-CN"/>
              </w:rPr>
              <w:t>本项目扩建后与现有项目共用一个洗车台及沉淀池，因洗车废水经沉淀后循环使用不外排，不会有太大额外的水量增加，故企业可增加沉淀池内污泥清掏频次，保证池内容量可容纳扩建后全厂废水产生频次及产生量。</w:t>
            </w:r>
          </w:p>
          <w:p w14:paraId="1BC33773">
            <w:pPr>
              <w:adjustRightInd w:val="0"/>
              <w:snapToGrid w:val="0"/>
              <w:spacing w:line="360" w:lineRule="auto"/>
              <w:rPr>
                <w:rFonts w:hint="default" w:ascii="Times New Roman" w:hAnsi="Times New Roman" w:eastAsia="宋体" w:cs="Times New Roman"/>
                <w:b/>
                <w:bCs/>
                <w:color w:val="auto"/>
                <w:sz w:val="28"/>
                <w:szCs w:val="28"/>
                <w:lang w:val="en-US" w:eastAsia="zh-CN"/>
              </w:rPr>
            </w:pPr>
            <w:r>
              <w:rPr>
                <w:rFonts w:hint="eastAsia" w:cs="Times New Roman"/>
                <w:b/>
                <w:bCs/>
                <w:color w:val="auto"/>
                <w:sz w:val="28"/>
                <w:szCs w:val="28"/>
                <w:lang w:val="en-US" w:eastAsia="zh-CN"/>
              </w:rPr>
              <w:t>八</w:t>
            </w:r>
            <w:r>
              <w:rPr>
                <w:rFonts w:hint="eastAsia" w:ascii="Times New Roman" w:hAnsi="Times New Roman" w:eastAsia="宋体" w:cs="Times New Roman"/>
                <w:b/>
                <w:bCs/>
                <w:color w:val="auto"/>
                <w:sz w:val="28"/>
                <w:szCs w:val="28"/>
                <w:lang w:val="en-US" w:eastAsia="zh-CN"/>
              </w:rPr>
              <w:t>、</w:t>
            </w:r>
            <w:r>
              <w:rPr>
                <w:rFonts w:hint="default" w:ascii="Times New Roman" w:hAnsi="Times New Roman" w:eastAsia="宋体" w:cs="Times New Roman"/>
                <w:b/>
                <w:bCs/>
                <w:color w:val="auto"/>
                <w:sz w:val="28"/>
                <w:szCs w:val="28"/>
                <w:lang w:val="en-US" w:eastAsia="zh-CN"/>
              </w:rPr>
              <w:t>环保投资</w:t>
            </w:r>
          </w:p>
          <w:p w14:paraId="0E5FB1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rPr>
            </w:pPr>
            <w:r>
              <w:rPr>
                <w:rFonts w:hint="default" w:ascii="Times New Roman" w:hAnsi="Times New Roman" w:eastAsia="宋体" w:cs="Times New Roman"/>
                <w:b w:val="0"/>
                <w:bCs/>
                <w:color w:val="auto"/>
                <w:kern w:val="0"/>
                <w:sz w:val="24"/>
                <w:szCs w:val="24"/>
                <w:lang w:eastAsia="zh-CN"/>
              </w:rPr>
              <w:t>该项目环保投资</w:t>
            </w:r>
            <w:r>
              <w:rPr>
                <w:rFonts w:hint="eastAsia" w:cs="Times New Roman"/>
                <w:b w:val="0"/>
                <w:bCs/>
                <w:color w:val="auto"/>
                <w:kern w:val="0"/>
                <w:sz w:val="24"/>
                <w:szCs w:val="24"/>
                <w:lang w:val="en-US" w:eastAsia="zh-CN"/>
              </w:rPr>
              <w:t>130</w:t>
            </w:r>
            <w:r>
              <w:rPr>
                <w:rFonts w:hint="default" w:ascii="Times New Roman" w:hAnsi="Times New Roman" w:eastAsia="宋体" w:cs="Times New Roman"/>
                <w:b w:val="0"/>
                <w:bCs/>
                <w:color w:val="auto"/>
                <w:kern w:val="0"/>
                <w:sz w:val="24"/>
                <w:szCs w:val="24"/>
                <w:lang w:val="en-US" w:eastAsia="zh-CN"/>
              </w:rPr>
              <w:t>万元，</w:t>
            </w:r>
            <w:r>
              <w:rPr>
                <w:rFonts w:hint="eastAsia" w:ascii="Times New Roman" w:hAnsi="Times New Roman" w:eastAsia="宋体" w:cs="Times New Roman"/>
                <w:b w:val="0"/>
                <w:bCs/>
                <w:color w:val="auto"/>
                <w:kern w:val="0"/>
                <w:sz w:val="24"/>
                <w:szCs w:val="24"/>
                <w:lang w:val="en-US" w:eastAsia="zh-CN"/>
              </w:rPr>
              <w:t>占</w:t>
            </w:r>
            <w:r>
              <w:rPr>
                <w:rFonts w:hint="default" w:ascii="Times New Roman" w:hAnsi="Times New Roman" w:eastAsia="宋体" w:cs="Times New Roman"/>
                <w:b w:val="0"/>
                <w:bCs/>
                <w:color w:val="auto"/>
                <w:kern w:val="0"/>
                <w:sz w:val="24"/>
                <w:szCs w:val="24"/>
                <w:lang w:val="en-US" w:eastAsia="zh-CN"/>
              </w:rPr>
              <w:t>项目总投资</w:t>
            </w:r>
            <w:r>
              <w:rPr>
                <w:rFonts w:hint="eastAsia" w:cs="Times New Roman"/>
                <w:b w:val="0"/>
                <w:bCs/>
                <w:color w:val="auto"/>
                <w:kern w:val="0"/>
                <w:sz w:val="24"/>
                <w:szCs w:val="24"/>
                <w:lang w:val="en-US" w:eastAsia="zh-CN"/>
              </w:rPr>
              <w:t>1800</w:t>
            </w:r>
            <w:r>
              <w:rPr>
                <w:rFonts w:hint="default" w:ascii="Times New Roman" w:hAnsi="Times New Roman" w:eastAsia="宋体" w:cs="Times New Roman"/>
                <w:b w:val="0"/>
                <w:bCs/>
                <w:color w:val="auto"/>
                <w:kern w:val="0"/>
                <w:sz w:val="24"/>
                <w:szCs w:val="24"/>
                <w:lang w:val="en-US" w:eastAsia="zh-CN"/>
              </w:rPr>
              <w:t>万元的</w:t>
            </w:r>
            <w:r>
              <w:rPr>
                <w:rFonts w:hint="eastAsia" w:cs="Times New Roman"/>
                <w:b w:val="0"/>
                <w:bCs/>
                <w:color w:val="auto"/>
                <w:kern w:val="0"/>
                <w:sz w:val="24"/>
                <w:szCs w:val="24"/>
                <w:lang w:val="en-US" w:eastAsia="zh-CN"/>
              </w:rPr>
              <w:t>7.2</w:t>
            </w:r>
            <w:r>
              <w:rPr>
                <w:rFonts w:hint="default" w:ascii="Times New Roman" w:hAnsi="Times New Roman" w:eastAsia="宋体" w:cs="Times New Roman"/>
                <w:b w:val="0"/>
                <w:bCs/>
                <w:color w:val="auto"/>
                <w:kern w:val="0"/>
                <w:sz w:val="24"/>
                <w:szCs w:val="24"/>
                <w:lang w:val="en-US" w:eastAsia="zh-CN"/>
              </w:rPr>
              <w:t>%，具体见下表：</w:t>
            </w:r>
          </w:p>
          <w:p w14:paraId="70F511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val="0"/>
                <w:color w:val="auto"/>
                <w:kern w:val="0"/>
                <w:sz w:val="24"/>
                <w:szCs w:val="24"/>
                <w:vertAlign w:val="baseline"/>
                <w:lang w:val="en-US" w:eastAsia="zh-CN"/>
              </w:rPr>
            </w:pPr>
            <w:r>
              <w:rPr>
                <w:rFonts w:hint="default" w:ascii="Times New Roman" w:hAnsi="Times New Roman" w:eastAsia="宋体" w:cs="Times New Roman"/>
                <w:b/>
                <w:bCs w:val="0"/>
                <w:color w:val="auto"/>
                <w:kern w:val="0"/>
                <w:sz w:val="21"/>
                <w:szCs w:val="21"/>
                <w:lang w:val="en-US" w:eastAsia="zh-CN"/>
              </w:rPr>
              <w:t>表4-</w:t>
            </w:r>
            <w:r>
              <w:rPr>
                <w:rFonts w:hint="eastAsia" w:cs="Times New Roman"/>
                <w:b/>
                <w:bCs w:val="0"/>
                <w:color w:val="auto"/>
                <w:kern w:val="0"/>
                <w:sz w:val="21"/>
                <w:szCs w:val="21"/>
                <w:lang w:val="en-US" w:eastAsia="zh-CN"/>
              </w:rPr>
              <w:t xml:space="preserve">8 </w:t>
            </w:r>
            <w:r>
              <w:rPr>
                <w:rFonts w:hint="default" w:ascii="Times New Roman" w:hAnsi="Times New Roman" w:eastAsia="宋体" w:cs="Times New Roman"/>
                <w:b/>
                <w:bCs w:val="0"/>
                <w:color w:val="auto"/>
                <w:kern w:val="0"/>
                <w:sz w:val="21"/>
                <w:szCs w:val="21"/>
                <w:lang w:val="en-US" w:eastAsia="zh-CN"/>
              </w:rPr>
              <w:t xml:space="preserve"> 建设项目环保设施投资一览表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717"/>
              <w:gridCol w:w="1340"/>
              <w:gridCol w:w="1343"/>
              <w:gridCol w:w="2040"/>
              <w:gridCol w:w="701"/>
              <w:gridCol w:w="1351"/>
            </w:tblGrid>
            <w:tr w14:paraId="41809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5" w:type="pct"/>
                  <w:gridSpan w:val="4"/>
                  <w:tcBorders>
                    <w:tl2br w:val="nil"/>
                    <w:tr2bl w:val="nil"/>
                  </w:tcBorders>
                  <w:noWrap w:val="0"/>
                  <w:vAlign w:val="center"/>
                </w:tcPr>
                <w:p w14:paraId="20EBB7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名称</w:t>
                  </w:r>
                </w:p>
              </w:tc>
              <w:tc>
                <w:tcPr>
                  <w:tcW w:w="1258" w:type="pct"/>
                  <w:tcBorders>
                    <w:tl2br w:val="nil"/>
                    <w:tr2bl w:val="nil"/>
                  </w:tcBorders>
                  <w:noWrap w:val="0"/>
                  <w:vAlign w:val="center"/>
                </w:tcPr>
                <w:p w14:paraId="367AD6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环保设施</w:t>
                  </w:r>
                </w:p>
              </w:tc>
              <w:tc>
                <w:tcPr>
                  <w:tcW w:w="432" w:type="pct"/>
                  <w:tcBorders>
                    <w:tl2br w:val="nil"/>
                    <w:tr2bl w:val="nil"/>
                  </w:tcBorders>
                  <w:noWrap w:val="0"/>
                  <w:vAlign w:val="center"/>
                </w:tcPr>
                <w:p w14:paraId="47A04C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数量</w:t>
                  </w:r>
                </w:p>
              </w:tc>
              <w:tc>
                <w:tcPr>
                  <w:tcW w:w="833" w:type="pct"/>
                  <w:tcBorders>
                    <w:tl2br w:val="nil"/>
                    <w:tr2bl w:val="nil"/>
                  </w:tcBorders>
                  <w:noWrap w:val="0"/>
                  <w:vAlign w:val="center"/>
                </w:tcPr>
                <w:p w14:paraId="260E7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kern w:val="0"/>
                      <w:sz w:val="21"/>
                      <w:szCs w:val="21"/>
                      <w:vertAlign w:val="baseline"/>
                      <w:lang w:val="en-US" w:eastAsia="zh-CN"/>
                    </w:rPr>
                  </w:pPr>
                  <w:r>
                    <w:rPr>
                      <w:rFonts w:hint="default" w:ascii="Times New Roman" w:hAnsi="Times New Roman" w:eastAsia="宋体" w:cs="Times New Roman"/>
                      <w:b/>
                      <w:bCs w:val="0"/>
                      <w:color w:val="auto"/>
                      <w:kern w:val="0"/>
                      <w:sz w:val="21"/>
                      <w:szCs w:val="21"/>
                      <w:vertAlign w:val="baseline"/>
                      <w:lang w:val="en-US" w:eastAsia="zh-CN"/>
                    </w:rPr>
                    <w:t>投资（万元）</w:t>
                  </w:r>
                </w:p>
              </w:tc>
            </w:tr>
            <w:tr w14:paraId="01CEF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restart"/>
                  <w:tcBorders>
                    <w:tl2br w:val="nil"/>
                    <w:tr2bl w:val="nil"/>
                  </w:tcBorders>
                  <w:noWrap w:val="0"/>
                  <w:vAlign w:val="center"/>
                </w:tcPr>
                <w:p w14:paraId="3B2BE9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运营期</w:t>
                  </w:r>
                </w:p>
              </w:tc>
              <w:tc>
                <w:tcPr>
                  <w:tcW w:w="442" w:type="pct"/>
                  <w:vMerge w:val="restart"/>
                  <w:tcBorders>
                    <w:tl2br w:val="nil"/>
                    <w:tr2bl w:val="nil"/>
                  </w:tcBorders>
                  <w:noWrap w:val="0"/>
                  <w:vAlign w:val="center"/>
                </w:tcPr>
                <w:p w14:paraId="61457B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废气</w:t>
                  </w:r>
                </w:p>
              </w:tc>
              <w:tc>
                <w:tcPr>
                  <w:tcW w:w="826" w:type="pct"/>
                  <w:tcBorders>
                    <w:tl2br w:val="nil"/>
                    <w:tr2bl w:val="nil"/>
                  </w:tcBorders>
                  <w:noWrap w:val="0"/>
                  <w:vAlign w:val="center"/>
                </w:tcPr>
                <w:p w14:paraId="0FDC0139">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堆存、装卸、输送废气</w:t>
                  </w:r>
                </w:p>
              </w:tc>
              <w:tc>
                <w:tcPr>
                  <w:tcW w:w="827" w:type="pct"/>
                  <w:tcBorders>
                    <w:tl2br w:val="nil"/>
                    <w:tr2bl w:val="nil"/>
                  </w:tcBorders>
                  <w:noWrap w:val="0"/>
                  <w:vAlign w:val="center"/>
                </w:tcPr>
                <w:p w14:paraId="0D2236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颗粒物</w:t>
                  </w:r>
                </w:p>
              </w:tc>
              <w:tc>
                <w:tcPr>
                  <w:tcW w:w="1258" w:type="pct"/>
                  <w:tcBorders>
                    <w:tl2br w:val="nil"/>
                    <w:tr2bl w:val="nil"/>
                  </w:tcBorders>
                  <w:noWrap w:val="0"/>
                  <w:vAlign w:val="center"/>
                </w:tcPr>
                <w:p w14:paraId="79D147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密闭仓储棚+喷淋</w:t>
                  </w:r>
                </w:p>
              </w:tc>
              <w:tc>
                <w:tcPr>
                  <w:tcW w:w="432" w:type="pct"/>
                  <w:tcBorders>
                    <w:tl2br w:val="nil"/>
                    <w:tr2bl w:val="nil"/>
                  </w:tcBorders>
                  <w:noWrap w:val="0"/>
                  <w:vAlign w:val="center"/>
                </w:tcPr>
                <w:p w14:paraId="5CF1FD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1</w:t>
                  </w:r>
                  <w:r>
                    <w:rPr>
                      <w:rFonts w:hint="eastAsia" w:ascii="Times New Roman" w:hAnsi="Times New Roman" w:eastAsia="宋体" w:cs="Times New Roman"/>
                      <w:b w:val="0"/>
                      <w:bCs/>
                      <w:color w:val="auto"/>
                      <w:kern w:val="0"/>
                      <w:sz w:val="21"/>
                      <w:szCs w:val="21"/>
                      <w:vertAlign w:val="baseline"/>
                      <w:lang w:val="en-US" w:eastAsia="zh-CN"/>
                    </w:rPr>
                    <w:t>套</w:t>
                  </w:r>
                </w:p>
              </w:tc>
              <w:tc>
                <w:tcPr>
                  <w:tcW w:w="833" w:type="pct"/>
                  <w:tcBorders>
                    <w:tl2br w:val="nil"/>
                    <w:tr2bl w:val="nil"/>
                  </w:tcBorders>
                  <w:noWrap w:val="0"/>
                  <w:vAlign w:val="center"/>
                </w:tcPr>
                <w:p w14:paraId="175A0E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85</w:t>
                  </w:r>
                </w:p>
              </w:tc>
            </w:tr>
            <w:tr w14:paraId="0629B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continue"/>
                  <w:tcBorders>
                    <w:tl2br w:val="nil"/>
                    <w:tr2bl w:val="nil"/>
                  </w:tcBorders>
                  <w:noWrap w:val="0"/>
                  <w:vAlign w:val="center"/>
                </w:tcPr>
                <w:p w14:paraId="7B629E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42" w:type="pct"/>
                  <w:vMerge w:val="continue"/>
                  <w:tcBorders>
                    <w:tl2br w:val="nil"/>
                    <w:tr2bl w:val="nil"/>
                  </w:tcBorders>
                  <w:noWrap w:val="0"/>
                  <w:vAlign w:val="center"/>
                </w:tcPr>
                <w:p w14:paraId="55344A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p>
              </w:tc>
              <w:tc>
                <w:tcPr>
                  <w:tcW w:w="826" w:type="pct"/>
                  <w:tcBorders>
                    <w:tl2br w:val="nil"/>
                    <w:tr2bl w:val="nil"/>
                  </w:tcBorders>
                  <w:noWrap w:val="0"/>
                  <w:vAlign w:val="center"/>
                </w:tcPr>
                <w:p w14:paraId="2CD99D2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运输粉尘</w:t>
                  </w:r>
                </w:p>
              </w:tc>
              <w:tc>
                <w:tcPr>
                  <w:tcW w:w="827" w:type="pct"/>
                  <w:tcBorders>
                    <w:tl2br w:val="nil"/>
                    <w:tr2bl w:val="nil"/>
                  </w:tcBorders>
                  <w:noWrap w:val="0"/>
                  <w:vAlign w:val="center"/>
                </w:tcPr>
                <w:p w14:paraId="7E32E8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颗粒物</w:t>
                  </w:r>
                </w:p>
              </w:tc>
              <w:tc>
                <w:tcPr>
                  <w:tcW w:w="1258" w:type="pct"/>
                  <w:tcBorders>
                    <w:tl2br w:val="nil"/>
                    <w:tr2bl w:val="nil"/>
                  </w:tcBorders>
                  <w:noWrap w:val="0"/>
                  <w:vAlign w:val="center"/>
                </w:tcPr>
                <w:p w14:paraId="067AD6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防风墙</w:t>
                  </w:r>
                </w:p>
              </w:tc>
              <w:tc>
                <w:tcPr>
                  <w:tcW w:w="432" w:type="pct"/>
                  <w:tcBorders>
                    <w:tl2br w:val="nil"/>
                    <w:tr2bl w:val="nil"/>
                  </w:tcBorders>
                  <w:noWrap w:val="0"/>
                  <w:vAlign w:val="center"/>
                </w:tcPr>
                <w:p w14:paraId="4F7719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w:t>
                  </w:r>
                </w:p>
              </w:tc>
              <w:tc>
                <w:tcPr>
                  <w:tcW w:w="833" w:type="pct"/>
                  <w:tcBorders>
                    <w:tl2br w:val="nil"/>
                    <w:tr2bl w:val="nil"/>
                  </w:tcBorders>
                  <w:noWrap w:val="0"/>
                  <w:vAlign w:val="center"/>
                </w:tcPr>
                <w:p w14:paraId="3E831B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40</w:t>
                  </w:r>
                </w:p>
              </w:tc>
            </w:tr>
            <w:tr w14:paraId="52AA67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continue"/>
                  <w:tcBorders>
                    <w:tl2br w:val="nil"/>
                    <w:tr2bl w:val="nil"/>
                  </w:tcBorders>
                  <w:noWrap w:val="0"/>
                  <w:vAlign w:val="center"/>
                </w:tcPr>
                <w:p w14:paraId="6A1125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442" w:type="pct"/>
                  <w:tcBorders>
                    <w:tl2br w:val="nil"/>
                    <w:tr2bl w:val="nil"/>
                  </w:tcBorders>
                  <w:noWrap w:val="0"/>
                  <w:vAlign w:val="center"/>
                </w:tcPr>
                <w:p w14:paraId="16E042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废水</w:t>
                  </w:r>
                </w:p>
              </w:tc>
              <w:tc>
                <w:tcPr>
                  <w:tcW w:w="826" w:type="pct"/>
                  <w:tcBorders>
                    <w:tl2br w:val="nil"/>
                    <w:tr2bl w:val="nil"/>
                  </w:tcBorders>
                  <w:noWrap w:val="0"/>
                  <w:vAlign w:val="center"/>
                </w:tcPr>
                <w:p w14:paraId="18279111">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初期雨水</w:t>
                  </w:r>
                </w:p>
              </w:tc>
              <w:tc>
                <w:tcPr>
                  <w:tcW w:w="827" w:type="pct"/>
                  <w:tcBorders>
                    <w:tl2br w:val="nil"/>
                    <w:tr2bl w:val="nil"/>
                  </w:tcBorders>
                  <w:noWrap w:val="0"/>
                  <w:vAlign w:val="center"/>
                </w:tcPr>
                <w:p w14:paraId="19E18C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ascii="Times New Roman" w:hAnsi="Times New Roman" w:eastAsia="宋体" w:cs="Times New Roman"/>
                      <w:b w:val="0"/>
                      <w:bCs/>
                      <w:color w:val="auto"/>
                      <w:kern w:val="0"/>
                      <w:sz w:val="21"/>
                      <w:szCs w:val="21"/>
                      <w:vertAlign w:val="baseline"/>
                      <w:lang w:val="en-US" w:eastAsia="zh-CN"/>
                    </w:rPr>
                    <w:t>SS</w:t>
                  </w:r>
                </w:p>
              </w:tc>
              <w:tc>
                <w:tcPr>
                  <w:tcW w:w="1258" w:type="pct"/>
                  <w:tcBorders>
                    <w:tl2br w:val="nil"/>
                    <w:tr2bl w:val="nil"/>
                  </w:tcBorders>
                  <w:noWrap w:val="0"/>
                  <w:vAlign w:val="center"/>
                </w:tcPr>
                <w:p w14:paraId="0E83958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扩建初期雨水池</w:t>
                  </w:r>
                </w:p>
              </w:tc>
              <w:tc>
                <w:tcPr>
                  <w:tcW w:w="432" w:type="pct"/>
                  <w:tcBorders>
                    <w:tl2br w:val="nil"/>
                    <w:tr2bl w:val="nil"/>
                  </w:tcBorders>
                  <w:noWrap w:val="0"/>
                  <w:vAlign w:val="center"/>
                </w:tcPr>
                <w:p w14:paraId="277C74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w:t>
                  </w:r>
                </w:p>
              </w:tc>
              <w:tc>
                <w:tcPr>
                  <w:tcW w:w="833" w:type="pct"/>
                  <w:tcBorders>
                    <w:tl2br w:val="nil"/>
                    <w:tr2bl w:val="nil"/>
                  </w:tcBorders>
                  <w:noWrap w:val="0"/>
                  <w:vAlign w:val="center"/>
                </w:tcPr>
                <w:p w14:paraId="5283C4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5</w:t>
                  </w:r>
                </w:p>
              </w:tc>
            </w:tr>
            <w:tr w14:paraId="790D8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vMerge w:val="continue"/>
                  <w:tcBorders>
                    <w:tl2br w:val="nil"/>
                    <w:tr2bl w:val="nil"/>
                  </w:tcBorders>
                  <w:noWrap w:val="0"/>
                  <w:vAlign w:val="center"/>
                </w:tcPr>
                <w:p w14:paraId="3796E8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p>
              </w:tc>
              <w:tc>
                <w:tcPr>
                  <w:tcW w:w="3786" w:type="pct"/>
                  <w:gridSpan w:val="5"/>
                  <w:tcBorders>
                    <w:tl2br w:val="nil"/>
                    <w:tr2bl w:val="nil"/>
                  </w:tcBorders>
                  <w:noWrap w:val="0"/>
                  <w:vAlign w:val="center"/>
                </w:tcPr>
                <w:p w14:paraId="28AC6C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default" w:ascii="Times New Roman" w:hAnsi="Times New Roman" w:eastAsia="宋体" w:cs="Times New Roman"/>
                      <w:b w:val="0"/>
                      <w:bCs/>
                      <w:color w:val="auto"/>
                      <w:kern w:val="0"/>
                      <w:sz w:val="21"/>
                      <w:szCs w:val="21"/>
                      <w:vertAlign w:val="baseline"/>
                      <w:lang w:val="en-US" w:eastAsia="zh-CN"/>
                    </w:rPr>
                    <w:t>合计</w:t>
                  </w:r>
                </w:p>
              </w:tc>
              <w:tc>
                <w:tcPr>
                  <w:tcW w:w="833" w:type="pct"/>
                  <w:tcBorders>
                    <w:tl2br w:val="nil"/>
                    <w:tr2bl w:val="nil"/>
                  </w:tcBorders>
                  <w:noWrap w:val="0"/>
                  <w:vAlign w:val="center"/>
                </w:tcPr>
                <w:p w14:paraId="65324F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kern w:val="0"/>
                      <w:sz w:val="21"/>
                      <w:szCs w:val="21"/>
                      <w:vertAlign w:val="baseline"/>
                      <w:lang w:val="en-US" w:eastAsia="zh-CN"/>
                    </w:rPr>
                  </w:pPr>
                  <w:r>
                    <w:rPr>
                      <w:rFonts w:hint="eastAsia" w:cs="Times New Roman"/>
                      <w:b w:val="0"/>
                      <w:bCs/>
                      <w:color w:val="auto"/>
                      <w:kern w:val="0"/>
                      <w:sz w:val="21"/>
                      <w:szCs w:val="21"/>
                      <w:vertAlign w:val="baseline"/>
                      <w:lang w:val="en-US" w:eastAsia="zh-CN"/>
                    </w:rPr>
                    <w:t>130</w:t>
                  </w:r>
                </w:p>
              </w:tc>
            </w:tr>
          </w:tbl>
          <w:p w14:paraId="48094AF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4"/>
                <w:lang w:val="en-US" w:eastAsia="zh-CN"/>
              </w:rPr>
            </w:pPr>
          </w:p>
          <w:p w14:paraId="3D5964B3">
            <w:pPr>
              <w:keepNext/>
              <w:keepLines/>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p>
        </w:tc>
      </w:tr>
    </w:tbl>
    <w:p w14:paraId="5ECFB64D">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2E424CD4">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4" w:name="_Hlk54167917"/>
      <w:r>
        <w:rPr>
          <w:rFonts w:hint="default" w:ascii="Times New Roman" w:hAnsi="Times New Roman" w:eastAsia="黑体" w:cs="Times New Roman"/>
          <w:snapToGrid w:val="0"/>
          <w:color w:val="auto"/>
          <w:sz w:val="30"/>
          <w:szCs w:val="30"/>
        </w:rPr>
        <w:t>环境保护措施监督检查清单</w:t>
      </w:r>
      <w:bookmarkEnd w:id="4"/>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392"/>
        <w:gridCol w:w="1096"/>
        <w:gridCol w:w="1143"/>
        <w:gridCol w:w="2446"/>
        <w:gridCol w:w="2690"/>
      </w:tblGrid>
      <w:tr w14:paraId="5D0BCF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tcBorders>
              <w:tl2br w:val="single" w:color="auto" w:sz="4" w:space="0"/>
            </w:tcBorders>
            <w:noWrap w:val="0"/>
            <w:vAlign w:val="top"/>
          </w:tcPr>
          <w:p w14:paraId="068EB1F7">
            <w:pPr>
              <w:adjustRightInd w:val="0"/>
              <w:snapToGrid w:val="0"/>
              <w:ind w:firstLine="630" w:firstLineChars="300"/>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669A41F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488" w:type="dxa"/>
            <w:gridSpan w:val="2"/>
            <w:noWrap w:val="0"/>
            <w:vAlign w:val="center"/>
          </w:tcPr>
          <w:p w14:paraId="7FA6AFEC">
            <w:pPr>
              <w:adjustRightInd w:val="0"/>
              <w:snapToGrid w:val="0"/>
              <w:jc w:val="both"/>
              <w:rPr>
                <w:rFonts w:hint="default" w:ascii="Times New Roman" w:hAnsi="Times New Roman" w:cs="Times New Roman"/>
                <w:color w:val="auto"/>
                <w:szCs w:val="21"/>
              </w:rPr>
            </w:pPr>
            <w:r>
              <w:rPr>
                <w:rFonts w:hint="default" w:ascii="Times New Roman" w:hAnsi="Times New Roman" w:cs="Times New Roman"/>
                <w:color w:val="auto"/>
                <w:szCs w:val="21"/>
              </w:rPr>
              <w:t>排放口</w:t>
            </w:r>
          </w:p>
          <w:p w14:paraId="1377FC97">
            <w:pPr>
              <w:adjustRightInd w:val="0"/>
              <w:snapToGrid w:val="0"/>
              <w:jc w:val="both"/>
              <w:rPr>
                <w:rFonts w:hint="default" w:ascii="Times New Roman" w:hAnsi="Times New Roman" w:cs="Times New Roman"/>
                <w:color w:val="auto"/>
                <w:szCs w:val="21"/>
              </w:rPr>
            </w:pP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编号、名称</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/污染源</w:t>
            </w:r>
          </w:p>
        </w:tc>
        <w:tc>
          <w:tcPr>
            <w:tcW w:w="1143" w:type="dxa"/>
            <w:noWrap w:val="0"/>
            <w:vAlign w:val="center"/>
          </w:tcPr>
          <w:p w14:paraId="2142F4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446" w:type="dxa"/>
            <w:noWrap w:val="0"/>
            <w:vAlign w:val="center"/>
          </w:tcPr>
          <w:p w14:paraId="16B646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690" w:type="dxa"/>
            <w:noWrap w:val="0"/>
            <w:vAlign w:val="center"/>
          </w:tcPr>
          <w:p w14:paraId="5EC810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5EFC63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2BB34125">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大气环境</w:t>
            </w:r>
          </w:p>
        </w:tc>
        <w:tc>
          <w:tcPr>
            <w:tcW w:w="392" w:type="dxa"/>
            <w:vMerge w:val="restart"/>
            <w:noWrap w:val="0"/>
            <w:vAlign w:val="center"/>
          </w:tcPr>
          <w:p w14:paraId="3F35D81C">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无组织废气</w:t>
            </w:r>
          </w:p>
        </w:tc>
        <w:tc>
          <w:tcPr>
            <w:tcW w:w="1096" w:type="dxa"/>
            <w:noWrap w:val="0"/>
            <w:vAlign w:val="center"/>
          </w:tcPr>
          <w:p w14:paraId="338C44A2">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原料卸料、储存、输送的煤尘</w:t>
            </w:r>
          </w:p>
        </w:tc>
        <w:tc>
          <w:tcPr>
            <w:tcW w:w="1143" w:type="dxa"/>
            <w:noWrap w:val="0"/>
            <w:vAlign w:val="center"/>
          </w:tcPr>
          <w:p w14:paraId="63DF6D32">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颗粒物</w:t>
            </w:r>
          </w:p>
        </w:tc>
        <w:tc>
          <w:tcPr>
            <w:tcW w:w="2446" w:type="dxa"/>
            <w:vMerge w:val="restart"/>
            <w:noWrap w:val="0"/>
            <w:vAlign w:val="center"/>
          </w:tcPr>
          <w:p w14:paraId="2027590C">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建设密闭仓储棚，内设喷淋设施，外围设防风墙，厂内使用洒水车及雾炮机不定期洒水抑尘，出入车辆经洗车台冲洗。</w:t>
            </w:r>
          </w:p>
        </w:tc>
        <w:tc>
          <w:tcPr>
            <w:tcW w:w="2690" w:type="dxa"/>
            <w:vMerge w:val="restart"/>
            <w:noWrap w:val="0"/>
            <w:vAlign w:val="center"/>
          </w:tcPr>
          <w:p w14:paraId="3FC36E74">
            <w:pPr>
              <w:pStyle w:val="95"/>
              <w:adjustRightInd w:val="0"/>
              <w:snapToGrid w:val="0"/>
              <w:contextualSpacing/>
              <w:rPr>
                <w:rFonts w:hint="default" w:ascii="Times New Roman" w:hAnsi="Times New Roman" w:cs="Times New Roman"/>
                <w:b w:val="0"/>
                <w:bCs w:val="0"/>
                <w:color w:val="auto"/>
                <w:szCs w:val="21"/>
                <w:lang w:val="en-US" w:eastAsia="zh-CN"/>
              </w:rPr>
            </w:pPr>
            <w:r>
              <w:rPr>
                <w:rFonts w:hint="eastAsia" w:cs="Times New Roman"/>
                <w:b w:val="0"/>
                <w:bCs w:val="0"/>
                <w:color w:val="auto"/>
                <w:szCs w:val="21"/>
                <w:lang w:val="en-US" w:eastAsia="zh-CN"/>
              </w:rPr>
              <w:t>《煤炭工业污染物排放标准》（GB20426-2006）表5中无组织排放监控浓度限值</w:t>
            </w:r>
          </w:p>
        </w:tc>
      </w:tr>
      <w:tr w14:paraId="39393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7067E772">
            <w:pPr>
              <w:adjustRightInd w:val="0"/>
              <w:snapToGrid w:val="0"/>
              <w:jc w:val="center"/>
              <w:rPr>
                <w:rFonts w:hint="default" w:ascii="Times New Roman" w:hAnsi="Times New Roman" w:cs="Times New Roman"/>
                <w:color w:val="auto"/>
                <w:szCs w:val="21"/>
                <w:lang w:eastAsia="zh-CN"/>
              </w:rPr>
            </w:pPr>
          </w:p>
        </w:tc>
        <w:tc>
          <w:tcPr>
            <w:tcW w:w="392" w:type="dxa"/>
            <w:vMerge w:val="continue"/>
            <w:noWrap w:val="0"/>
            <w:vAlign w:val="center"/>
          </w:tcPr>
          <w:p w14:paraId="66A9E1CD">
            <w:pPr>
              <w:pStyle w:val="95"/>
              <w:adjustRightInd w:val="0"/>
              <w:snapToGrid w:val="0"/>
              <w:contextualSpacing/>
              <w:rPr>
                <w:rFonts w:hint="eastAsia" w:cs="Times New Roman"/>
                <w:b w:val="0"/>
                <w:bCs w:val="0"/>
                <w:color w:val="auto"/>
                <w:szCs w:val="21"/>
                <w:lang w:val="en-US" w:eastAsia="zh-CN"/>
              </w:rPr>
            </w:pPr>
          </w:p>
        </w:tc>
        <w:tc>
          <w:tcPr>
            <w:tcW w:w="1096" w:type="dxa"/>
            <w:noWrap w:val="0"/>
            <w:vAlign w:val="center"/>
          </w:tcPr>
          <w:p w14:paraId="7870AF0C">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运输扬尘</w:t>
            </w:r>
          </w:p>
        </w:tc>
        <w:tc>
          <w:tcPr>
            <w:tcW w:w="1143" w:type="dxa"/>
            <w:noWrap w:val="0"/>
            <w:vAlign w:val="center"/>
          </w:tcPr>
          <w:p w14:paraId="7BA5F2F0">
            <w:pPr>
              <w:pStyle w:val="95"/>
              <w:adjustRightInd w:val="0"/>
              <w:snapToGrid w:val="0"/>
              <w:contextualSpacing/>
              <w:rPr>
                <w:rFonts w:hint="default" w:cs="Times New Roman"/>
                <w:b w:val="0"/>
                <w:bCs w:val="0"/>
                <w:color w:val="auto"/>
                <w:szCs w:val="21"/>
                <w:lang w:val="en-US" w:eastAsia="zh-CN"/>
              </w:rPr>
            </w:pPr>
            <w:r>
              <w:rPr>
                <w:rFonts w:hint="eastAsia" w:cs="Times New Roman"/>
                <w:b w:val="0"/>
                <w:bCs w:val="0"/>
                <w:color w:val="auto"/>
                <w:szCs w:val="21"/>
                <w:lang w:val="en-US" w:eastAsia="zh-CN"/>
              </w:rPr>
              <w:t>颗粒物</w:t>
            </w:r>
          </w:p>
        </w:tc>
        <w:tc>
          <w:tcPr>
            <w:tcW w:w="2446" w:type="dxa"/>
            <w:vMerge w:val="continue"/>
            <w:noWrap w:val="0"/>
            <w:vAlign w:val="center"/>
          </w:tcPr>
          <w:p w14:paraId="02C21C70">
            <w:pPr>
              <w:pStyle w:val="95"/>
              <w:adjustRightInd w:val="0"/>
              <w:snapToGrid w:val="0"/>
              <w:contextualSpacing/>
              <w:rPr>
                <w:rFonts w:hint="eastAsia" w:cs="Times New Roman"/>
                <w:b w:val="0"/>
                <w:bCs w:val="0"/>
                <w:color w:val="auto"/>
                <w:szCs w:val="21"/>
                <w:lang w:val="en-US" w:eastAsia="zh-CN"/>
              </w:rPr>
            </w:pPr>
          </w:p>
        </w:tc>
        <w:tc>
          <w:tcPr>
            <w:tcW w:w="2690" w:type="dxa"/>
            <w:vMerge w:val="continue"/>
            <w:noWrap w:val="0"/>
            <w:vAlign w:val="center"/>
          </w:tcPr>
          <w:p w14:paraId="22F41987">
            <w:pPr>
              <w:pStyle w:val="95"/>
              <w:adjustRightInd w:val="0"/>
              <w:snapToGrid w:val="0"/>
              <w:contextualSpacing/>
              <w:rPr>
                <w:rFonts w:hint="default" w:ascii="Times New Roman" w:hAnsi="Times New Roman" w:cs="Times New Roman"/>
                <w:b w:val="0"/>
                <w:bCs w:val="0"/>
                <w:color w:val="auto"/>
                <w:szCs w:val="21"/>
                <w:lang w:val="en-US" w:eastAsia="zh-CN"/>
              </w:rPr>
            </w:pPr>
          </w:p>
        </w:tc>
      </w:tr>
      <w:tr w14:paraId="4593D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restart"/>
            <w:noWrap w:val="0"/>
            <w:vAlign w:val="center"/>
          </w:tcPr>
          <w:p w14:paraId="6BBEC12C">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eastAsia="zh-CN"/>
              </w:rPr>
              <w:t>地表水环境</w:t>
            </w:r>
          </w:p>
        </w:tc>
        <w:tc>
          <w:tcPr>
            <w:tcW w:w="1488" w:type="dxa"/>
            <w:gridSpan w:val="2"/>
            <w:noWrap w:val="0"/>
            <w:vAlign w:val="center"/>
          </w:tcPr>
          <w:p w14:paraId="1884677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车辆冲洗废水</w:t>
            </w:r>
          </w:p>
        </w:tc>
        <w:tc>
          <w:tcPr>
            <w:tcW w:w="3589" w:type="dxa"/>
            <w:gridSpan w:val="2"/>
            <w:noWrap w:val="0"/>
            <w:vAlign w:val="center"/>
          </w:tcPr>
          <w:p w14:paraId="05B735F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经三级沉淀池沉淀处理后重复使用，不外排。</w:t>
            </w:r>
          </w:p>
        </w:tc>
        <w:tc>
          <w:tcPr>
            <w:tcW w:w="2690" w:type="dxa"/>
            <w:vMerge w:val="restart"/>
            <w:noWrap w:val="0"/>
            <w:vAlign w:val="center"/>
          </w:tcPr>
          <w:p w14:paraId="1F155D5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不外排</w:t>
            </w:r>
          </w:p>
        </w:tc>
      </w:tr>
      <w:tr w14:paraId="43518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vMerge w:val="continue"/>
            <w:noWrap w:val="0"/>
            <w:vAlign w:val="center"/>
          </w:tcPr>
          <w:p w14:paraId="6FAB50B9">
            <w:pPr>
              <w:adjustRightInd w:val="0"/>
              <w:snapToGrid w:val="0"/>
              <w:jc w:val="center"/>
              <w:rPr>
                <w:rFonts w:hint="default" w:ascii="Times New Roman" w:hAnsi="Times New Roman" w:cs="Times New Roman"/>
                <w:color w:val="auto"/>
                <w:szCs w:val="21"/>
                <w:lang w:eastAsia="zh-CN"/>
              </w:rPr>
            </w:pPr>
          </w:p>
        </w:tc>
        <w:tc>
          <w:tcPr>
            <w:tcW w:w="1488" w:type="dxa"/>
            <w:gridSpan w:val="2"/>
            <w:noWrap w:val="0"/>
            <w:vAlign w:val="center"/>
          </w:tcPr>
          <w:p w14:paraId="1D1B7AF0">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初期雨水</w:t>
            </w:r>
          </w:p>
        </w:tc>
        <w:tc>
          <w:tcPr>
            <w:tcW w:w="3589" w:type="dxa"/>
            <w:gridSpan w:val="2"/>
            <w:noWrap w:val="0"/>
            <w:vAlign w:val="center"/>
          </w:tcPr>
          <w:p w14:paraId="20F84651">
            <w:pPr>
              <w:adjustRightInd w:val="0"/>
              <w:snapToGrid w:val="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经初期雨水收集池沉淀后，回用于厂区洒水降尘及车辆冲洗。</w:t>
            </w:r>
          </w:p>
        </w:tc>
        <w:tc>
          <w:tcPr>
            <w:tcW w:w="2690" w:type="dxa"/>
            <w:vMerge w:val="continue"/>
            <w:noWrap w:val="0"/>
            <w:vAlign w:val="center"/>
          </w:tcPr>
          <w:p w14:paraId="3080F51D">
            <w:pPr>
              <w:adjustRightInd w:val="0"/>
              <w:snapToGrid w:val="0"/>
              <w:jc w:val="center"/>
              <w:rPr>
                <w:rFonts w:hint="eastAsia" w:ascii="Times New Roman" w:hAnsi="Times New Roman" w:eastAsia="宋体" w:cs="Times New Roman"/>
                <w:color w:val="auto"/>
                <w:kern w:val="2"/>
                <w:sz w:val="21"/>
                <w:szCs w:val="21"/>
                <w:lang w:val="en-US" w:eastAsia="zh-CN" w:bidi="ar-SA"/>
              </w:rPr>
            </w:pPr>
          </w:p>
        </w:tc>
      </w:tr>
      <w:tr w14:paraId="2540B7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357CEA1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488" w:type="dxa"/>
            <w:gridSpan w:val="2"/>
            <w:noWrap w:val="0"/>
            <w:vAlign w:val="center"/>
          </w:tcPr>
          <w:p w14:paraId="658D88D0">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装载机、运输车辆</w:t>
            </w:r>
          </w:p>
        </w:tc>
        <w:tc>
          <w:tcPr>
            <w:tcW w:w="3589" w:type="dxa"/>
            <w:gridSpan w:val="2"/>
            <w:noWrap w:val="0"/>
            <w:vAlign w:val="center"/>
          </w:tcPr>
          <w:p w14:paraId="77065A1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选用低噪声设备、合理布局、运输车辆减速慢行、限制鸣笛</w:t>
            </w:r>
          </w:p>
        </w:tc>
        <w:tc>
          <w:tcPr>
            <w:tcW w:w="2690" w:type="dxa"/>
            <w:noWrap w:val="0"/>
            <w:vAlign w:val="center"/>
          </w:tcPr>
          <w:p w14:paraId="50C7E143">
            <w:pPr>
              <w:adjustRightInd w:val="0"/>
              <w:snapToGrid w:val="0"/>
              <w:jc w:val="center"/>
              <w:rPr>
                <w:rFonts w:hint="default" w:ascii="Times New Roman" w:hAnsi="Times New Roman" w:eastAsia="宋体" w:cs="Times New Roman"/>
                <w:snapToGrid w:val="0"/>
                <w:color w:val="auto"/>
                <w:kern w:val="2"/>
                <w:sz w:val="21"/>
                <w:szCs w:val="21"/>
                <w:lang w:val="en-US" w:eastAsia="zh-CN" w:bidi="ar-SA"/>
              </w:rPr>
            </w:pPr>
            <w:r>
              <w:rPr>
                <w:rFonts w:hint="default" w:ascii="Times New Roman" w:hAnsi="Times New Roman" w:cs="Times New Roman"/>
                <w:color w:val="auto"/>
              </w:rPr>
              <w:t>《工业企业厂界环境噪声排放标准》（GB12348-2008）</w:t>
            </w:r>
            <w:r>
              <w:rPr>
                <w:rFonts w:hint="eastAsia" w:cs="Times New Roman"/>
                <w:color w:val="auto"/>
                <w:lang w:val="en-US" w:eastAsia="zh-CN"/>
              </w:rPr>
              <w:t>2</w:t>
            </w:r>
            <w:r>
              <w:rPr>
                <w:rFonts w:hint="default" w:ascii="Times New Roman" w:hAnsi="Times New Roman" w:cs="Times New Roman"/>
                <w:color w:val="auto"/>
              </w:rPr>
              <w:t>类标准</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4类</w:t>
            </w:r>
            <w:r>
              <w:rPr>
                <w:rFonts w:hint="eastAsia" w:cs="Times New Roman"/>
                <w:color w:val="auto"/>
                <w:lang w:val="en-US" w:eastAsia="zh-CN"/>
              </w:rPr>
              <w:t>标准；</w:t>
            </w:r>
          </w:p>
        </w:tc>
      </w:tr>
      <w:tr w14:paraId="79290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0642460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1488" w:type="dxa"/>
            <w:gridSpan w:val="2"/>
            <w:noWrap w:val="0"/>
            <w:vAlign w:val="center"/>
          </w:tcPr>
          <w:p w14:paraId="27C0B0BC">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沉淀池煤泥</w:t>
            </w:r>
          </w:p>
        </w:tc>
        <w:tc>
          <w:tcPr>
            <w:tcW w:w="6279" w:type="dxa"/>
            <w:gridSpan w:val="3"/>
            <w:noWrap w:val="0"/>
            <w:vAlign w:val="center"/>
          </w:tcPr>
          <w:p w14:paraId="2EC6890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沉淀池和初期雨水池煤泥需及时清理，并掺入煤炭中外售。</w:t>
            </w:r>
          </w:p>
        </w:tc>
      </w:tr>
      <w:tr w14:paraId="5C9435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10E9C07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767" w:type="dxa"/>
            <w:gridSpan w:val="5"/>
            <w:noWrap w:val="0"/>
            <w:vAlign w:val="center"/>
          </w:tcPr>
          <w:p w14:paraId="5E7AE32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对厂区进行分区防渗，避免污染土壤和地下水。</w:t>
            </w:r>
          </w:p>
        </w:tc>
      </w:tr>
      <w:tr w14:paraId="68323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3175949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767" w:type="dxa"/>
            <w:gridSpan w:val="5"/>
            <w:noWrap w:val="0"/>
            <w:vAlign w:val="center"/>
          </w:tcPr>
          <w:p w14:paraId="13F69325">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lang w:val="en-US" w:eastAsia="zh-CN"/>
              </w:rPr>
              <w:t>/</w:t>
            </w:r>
          </w:p>
        </w:tc>
      </w:tr>
      <w:tr w14:paraId="7D0F4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2223AD83">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0001E657">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767" w:type="dxa"/>
            <w:gridSpan w:val="5"/>
            <w:noWrap w:val="0"/>
            <w:vAlign w:val="center"/>
          </w:tcPr>
          <w:p w14:paraId="447C11FC">
            <w:pPr>
              <w:adjustRightInd w:val="0"/>
              <w:snapToGrid w:val="0"/>
              <w:jc w:val="left"/>
              <w:rPr>
                <w:rFonts w:hint="default" w:ascii="Times New Roman" w:hAnsi="Times New Roman" w:cs="Times New Roman"/>
                <w:color w:val="auto"/>
                <w:szCs w:val="21"/>
                <w:lang w:val="en-US"/>
              </w:rPr>
            </w:pPr>
            <w:r>
              <w:rPr>
                <w:rFonts w:hint="default" w:ascii="Times New Roman" w:hAnsi="Times New Roman" w:cs="Times New Roman"/>
                <w:color w:val="auto"/>
                <w:szCs w:val="21"/>
              </w:rPr>
              <w:t>对</w:t>
            </w:r>
            <w:r>
              <w:rPr>
                <w:rFonts w:hint="eastAsia" w:cs="Times New Roman"/>
                <w:color w:val="auto"/>
                <w:szCs w:val="21"/>
                <w:lang w:val="en-US" w:eastAsia="zh-CN"/>
              </w:rPr>
              <w:t>储煤场生产区各处悬挂禁止火种带入、禁止吸烟等警示牌；制定相应的风险防范措施，加强员工的安全、环保知识和风险事故安全教育，增强职工的风险意识，以减少风险发生的概率。</w:t>
            </w:r>
          </w:p>
        </w:tc>
      </w:tr>
      <w:tr w14:paraId="49099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3" w:type="dxa"/>
            <w:noWrap w:val="0"/>
            <w:vAlign w:val="center"/>
          </w:tcPr>
          <w:p w14:paraId="5498B552">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51787E89">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767" w:type="dxa"/>
            <w:gridSpan w:val="5"/>
            <w:noWrap w:val="0"/>
            <w:vAlign w:val="center"/>
          </w:tcPr>
          <w:p w14:paraId="1D56F48B">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1.环境管理</w:t>
            </w:r>
          </w:p>
          <w:p w14:paraId="556F998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本项目的污染物排放水平与厂区环境管理水平密切相关，因此在采取环境保护工程措施和生态保护措施的同时，必须加强环境管理。 </w:t>
            </w:r>
          </w:p>
          <w:p w14:paraId="7F8B75F2">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（1）</w:t>
            </w:r>
            <w:r>
              <w:rPr>
                <w:rFonts w:hint="default" w:ascii="Times New Roman" w:hAnsi="Times New Roman" w:cs="Times New Roman"/>
                <w:color w:val="auto"/>
                <w:sz w:val="21"/>
                <w:szCs w:val="21"/>
              </w:rPr>
              <w:t xml:space="preserve">按照自行监测方案开展自行监测。 </w:t>
            </w:r>
          </w:p>
          <w:p w14:paraId="0ED4C498">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（2）</w:t>
            </w:r>
            <w:r>
              <w:rPr>
                <w:rFonts w:hint="default" w:ascii="Times New Roman" w:hAnsi="Times New Roman" w:cs="Times New Roman"/>
                <w:color w:val="auto"/>
                <w:sz w:val="21"/>
                <w:szCs w:val="21"/>
              </w:rPr>
              <w:t xml:space="preserve">定期检查各设备运行情况，杜绝事故发生。 </w:t>
            </w:r>
          </w:p>
          <w:p w14:paraId="7845AE0A">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（3）</w:t>
            </w:r>
            <w:r>
              <w:rPr>
                <w:rFonts w:hint="default" w:ascii="Times New Roman" w:hAnsi="Times New Roman" w:cs="Times New Roman"/>
                <w:color w:val="auto"/>
                <w:sz w:val="21"/>
                <w:szCs w:val="21"/>
              </w:rPr>
              <w:t>做好环境管理台账记录，主要内容包括</w:t>
            </w:r>
            <w:r>
              <w:rPr>
                <w:rFonts w:hint="eastAsia" w:cs="Times New Roman"/>
                <w:color w:val="auto"/>
                <w:sz w:val="21"/>
                <w:szCs w:val="21"/>
                <w:lang w:val="en-US" w:eastAsia="zh-CN"/>
              </w:rPr>
              <w:t>周转信息</w:t>
            </w:r>
            <w:r>
              <w:rPr>
                <w:rFonts w:hint="default" w:ascii="Times New Roman" w:hAnsi="Times New Roman" w:cs="Times New Roman"/>
                <w:color w:val="auto"/>
                <w:sz w:val="21"/>
                <w:szCs w:val="21"/>
              </w:rPr>
              <w:t>、</w:t>
            </w:r>
            <w:r>
              <w:rPr>
                <w:rFonts w:hint="eastAsia" w:cs="Times New Roman"/>
                <w:color w:val="auto"/>
                <w:sz w:val="21"/>
                <w:szCs w:val="21"/>
                <w:lang w:val="en-US" w:eastAsia="zh-CN"/>
              </w:rPr>
              <w:t>沉淀池清理记录、</w:t>
            </w:r>
            <w:r>
              <w:rPr>
                <w:rFonts w:hint="default" w:ascii="Times New Roman" w:hAnsi="Times New Roman" w:cs="Times New Roman"/>
                <w:color w:val="auto"/>
                <w:sz w:val="21"/>
                <w:szCs w:val="21"/>
              </w:rPr>
              <w:t>污染防治设施运行记录、监测数据等。</w:t>
            </w:r>
          </w:p>
          <w:p w14:paraId="13F73A6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（4）</w:t>
            </w:r>
            <w:r>
              <w:rPr>
                <w:rFonts w:hint="default" w:ascii="Times New Roman" w:hAnsi="Times New Roman" w:cs="Times New Roman"/>
                <w:color w:val="auto"/>
                <w:sz w:val="21"/>
                <w:szCs w:val="21"/>
              </w:rPr>
              <w:t>定期在国家排污许可证管理信息平台填报信息，编制排污许可证执行报告，及时报送有核发权的环境保护主管部门并公开。</w:t>
            </w:r>
          </w:p>
          <w:p w14:paraId="6C60C57A">
            <w:pPr>
              <w:adjustRightInd w:val="0"/>
              <w:snapToGrid w:val="0"/>
              <w:spacing w:line="360" w:lineRule="auto"/>
              <w:ind w:firstLine="422" w:firstLineChars="2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2.环境保护图形标志</w:t>
            </w:r>
          </w:p>
          <w:p w14:paraId="2ABAFB76">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按照《危险废物识别标志设置技术规范》（</w:t>
            </w:r>
            <w:r>
              <w:rPr>
                <w:rFonts w:hint="eastAsia" w:cs="Times New Roman"/>
                <w:color w:val="auto"/>
                <w:sz w:val="21"/>
                <w:szCs w:val="21"/>
                <w:lang w:val="en-US" w:eastAsia="zh-CN"/>
              </w:rPr>
              <w:t>HJ 1276</w:t>
            </w:r>
            <w:r>
              <w:rPr>
                <w:rFonts w:hint="default" w:ascii="Times New Roman" w:hAnsi="Times New Roman" w:cs="Times New Roman"/>
                <w:color w:val="auto"/>
                <w:sz w:val="21"/>
                <w:szCs w:val="21"/>
                <w:lang w:val="en-US" w:eastAsia="zh-CN"/>
              </w:rPr>
              <w:t>—2022）及《环境保护图形标志 固体废物贮存（处置）场》</w:t>
            </w:r>
            <w:r>
              <w:rPr>
                <w:rFonts w:hint="default" w:cs="Times New Roman"/>
                <w:color w:val="auto"/>
                <w:sz w:val="21"/>
                <w:szCs w:val="21"/>
                <w:lang w:val="en-US" w:eastAsia="zh-CN"/>
              </w:rPr>
              <w:t>（GB15562.2—</w:t>
            </w:r>
            <w:r>
              <w:rPr>
                <w:rFonts w:hint="default" w:ascii="Times New Roman" w:hAnsi="Times New Roman" w:cs="Times New Roman"/>
                <w:color w:val="auto"/>
                <w:sz w:val="21"/>
                <w:szCs w:val="21"/>
                <w:lang w:val="en-US" w:eastAsia="zh-CN"/>
              </w:rPr>
              <w:t>1995）（2023修改单）对现有危废贮存库各种标志进行规范设置。</w:t>
            </w:r>
          </w:p>
          <w:p w14:paraId="6DA58469">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5-1</w:t>
            </w:r>
            <w:r>
              <w:rPr>
                <w:rFonts w:hint="default" w:ascii="Times New Roman" w:hAnsi="Times New Roman" w:cs="Times New Roman"/>
                <w:b/>
                <w:bCs/>
                <w:color w:val="auto"/>
                <w:sz w:val="21"/>
                <w:szCs w:val="21"/>
              </w:rPr>
              <w:t xml:space="preserve">  环境保护图形符号一览表</w:t>
            </w:r>
          </w:p>
          <w:tbl>
            <w:tblPr>
              <w:tblStyle w:val="31"/>
              <w:tblW w:w="4996"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2865"/>
              <w:gridCol w:w="2982"/>
            </w:tblGrid>
            <w:tr w14:paraId="2CA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20" w:type="pct"/>
                  <w:noWrap w:val="0"/>
                  <w:vAlign w:val="center"/>
                </w:tcPr>
                <w:p w14:paraId="07F421BB">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图形标志</w:t>
                  </w:r>
                </w:p>
              </w:tc>
              <w:tc>
                <w:tcPr>
                  <w:tcW w:w="1900" w:type="pct"/>
                  <w:noWrap w:val="0"/>
                  <w:vAlign w:val="center"/>
                </w:tcPr>
                <w:p w14:paraId="6558137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图形代表意义</w:t>
                  </w:r>
                </w:p>
              </w:tc>
              <w:tc>
                <w:tcPr>
                  <w:tcW w:w="1978" w:type="pct"/>
                  <w:noWrap w:val="0"/>
                  <w:vAlign w:val="center"/>
                </w:tcPr>
                <w:p w14:paraId="1D670D6F">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符号简介</w:t>
                  </w:r>
                </w:p>
              </w:tc>
            </w:tr>
            <w:tr w14:paraId="66BD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1120" w:type="pct"/>
                  <w:noWrap w:val="0"/>
                  <w:vAlign w:val="center"/>
                </w:tcPr>
                <w:p w14:paraId="438C3FF7">
                  <w:pP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drawing>
                      <wp:anchor distT="0" distB="0" distL="114300" distR="114300" simplePos="0" relativeHeight="251659264" behindDoc="0" locked="0" layoutInCell="1" allowOverlap="1">
                        <wp:simplePos x="0" y="0"/>
                        <wp:positionH relativeFrom="column">
                          <wp:posOffset>90170</wp:posOffset>
                        </wp:positionH>
                        <wp:positionV relativeFrom="paragraph">
                          <wp:posOffset>3810</wp:posOffset>
                        </wp:positionV>
                        <wp:extent cx="772795" cy="611505"/>
                        <wp:effectExtent l="0" t="0" r="8255" b="17145"/>
                        <wp:wrapNone/>
                        <wp:docPr id="11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56"/>
                                <pic:cNvPicPr>
                                  <a:picLocks noChangeAspect="1"/>
                                </pic:cNvPicPr>
                              </pic:nvPicPr>
                              <pic:blipFill>
                                <a:blip r:embed="rId14"/>
                                <a:stretch>
                                  <a:fillRect/>
                                </a:stretch>
                              </pic:blipFill>
                              <pic:spPr>
                                <a:xfrm>
                                  <a:off x="0" y="0"/>
                                  <a:ext cx="772795" cy="611505"/>
                                </a:xfrm>
                                <a:prstGeom prst="rect">
                                  <a:avLst/>
                                </a:prstGeom>
                                <a:noFill/>
                                <a:ln>
                                  <a:noFill/>
                                </a:ln>
                              </pic:spPr>
                            </pic:pic>
                          </a:graphicData>
                        </a:graphic>
                      </wp:anchor>
                    </w:drawing>
                  </w:r>
                </w:p>
              </w:tc>
              <w:tc>
                <w:tcPr>
                  <w:tcW w:w="1900" w:type="pct"/>
                  <w:noWrap w:val="0"/>
                  <w:vAlign w:val="center"/>
                </w:tcPr>
                <w:p w14:paraId="064B7D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标志名称：噪声排放源</w:t>
                  </w:r>
                </w:p>
                <w:p w14:paraId="4C0FBCE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国标代码：GB15562.1-1995</w:t>
                  </w:r>
                </w:p>
              </w:tc>
              <w:tc>
                <w:tcPr>
                  <w:tcW w:w="1978" w:type="pct"/>
                  <w:noWrap w:val="0"/>
                  <w:vAlign w:val="center"/>
                </w:tcPr>
                <w:p w14:paraId="089E45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提示图形符号噪声排放源标识噪声向外环境排放</w:t>
                  </w:r>
                </w:p>
              </w:tc>
            </w:tr>
            <w:tr w14:paraId="1A79F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1120" w:type="pct"/>
                  <w:shd w:val="clear" w:color="auto" w:fill="auto"/>
                  <w:noWrap w:val="0"/>
                  <w:vAlign w:val="center"/>
                </w:tcPr>
                <w:p w14:paraId="07B0A3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anchor distT="0" distB="0" distL="114300" distR="114300" simplePos="0" relativeHeight="251660288" behindDoc="0" locked="0" layoutInCell="1" allowOverlap="1">
                        <wp:simplePos x="0" y="0"/>
                        <wp:positionH relativeFrom="column">
                          <wp:posOffset>82550</wp:posOffset>
                        </wp:positionH>
                        <wp:positionV relativeFrom="paragraph">
                          <wp:posOffset>113665</wp:posOffset>
                        </wp:positionV>
                        <wp:extent cx="798830" cy="565785"/>
                        <wp:effectExtent l="0" t="0" r="1270" b="5715"/>
                        <wp:wrapNone/>
                        <wp:docPr id="9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7"/>
                                <pic:cNvPicPr>
                                  <a:picLocks noChangeAspect="1"/>
                                </pic:cNvPicPr>
                              </pic:nvPicPr>
                              <pic:blipFill>
                                <a:blip r:embed="rId15"/>
                                <a:stretch>
                                  <a:fillRect/>
                                </a:stretch>
                              </pic:blipFill>
                              <pic:spPr>
                                <a:xfrm>
                                  <a:off x="0" y="0"/>
                                  <a:ext cx="798830" cy="565785"/>
                                </a:xfrm>
                                <a:prstGeom prst="rect">
                                  <a:avLst/>
                                </a:prstGeom>
                                <a:noFill/>
                                <a:ln>
                                  <a:noFill/>
                                </a:ln>
                              </pic:spPr>
                            </pic:pic>
                          </a:graphicData>
                        </a:graphic>
                      </wp:anchor>
                    </w:drawing>
                  </w:r>
                </w:p>
                <w:p w14:paraId="7B3DE9E0">
                  <w:pPr>
                    <w:pStyle w:val="2"/>
                    <w:rPr>
                      <w:rFonts w:hint="default" w:ascii="Times New Roman" w:hAnsi="Times New Roman" w:eastAsia="宋体" w:cs="Times New Roman"/>
                      <w:color w:val="auto"/>
                      <w:sz w:val="21"/>
                      <w:szCs w:val="21"/>
                      <w:highlight w:val="none"/>
                      <w:lang w:val="en-US" w:eastAsia="zh-CN"/>
                    </w:rPr>
                  </w:pPr>
                </w:p>
                <w:p w14:paraId="2F25AB35">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highlight w:val="none"/>
                      <w:vertAlign w:val="baseline"/>
                      <w:lang w:val="en-US" w:eastAsia="zh-CN" w:bidi="ar-SA"/>
                    </w:rPr>
                  </w:pPr>
                </w:p>
              </w:tc>
              <w:tc>
                <w:tcPr>
                  <w:tcW w:w="1900" w:type="pct"/>
                  <w:shd w:val="clear" w:color="auto" w:fill="auto"/>
                  <w:noWrap w:val="0"/>
                  <w:vAlign w:val="center"/>
                </w:tcPr>
                <w:p w14:paraId="4C88D4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标志名称：固体废物提示</w:t>
                  </w:r>
                </w:p>
                <w:p w14:paraId="26A0AB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国标代码：GB15562.1-1995</w:t>
                  </w:r>
                </w:p>
              </w:tc>
              <w:tc>
                <w:tcPr>
                  <w:tcW w:w="1978" w:type="pct"/>
                  <w:shd w:val="clear" w:color="auto" w:fill="auto"/>
                  <w:noWrap w:val="0"/>
                  <w:vAlign w:val="center"/>
                </w:tcPr>
                <w:p w14:paraId="3DE7E4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lang w:val="en-US" w:eastAsia="zh-CN"/>
                    </w:rPr>
                    <w:t>固体废物提示</w:t>
                  </w:r>
                </w:p>
              </w:tc>
            </w:tr>
          </w:tbl>
          <w:p w14:paraId="127C403E">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3.例行监测计划</w:t>
            </w:r>
          </w:p>
          <w:p w14:paraId="1919FED5">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监测工作可委托有资质单位完成，具体监测计划详见表</w:t>
            </w:r>
            <w:r>
              <w:rPr>
                <w:rFonts w:hint="default" w:ascii="Times New Roman" w:hAnsi="Times New Roman" w:cs="Times New Roman"/>
                <w:b w:val="0"/>
                <w:bCs w:val="0"/>
                <w:color w:val="0000FF"/>
                <w:sz w:val="21"/>
                <w:szCs w:val="21"/>
                <w:highlight w:val="none"/>
                <w:lang w:val="en-US" w:eastAsia="zh-CN"/>
              </w:rPr>
              <w:t>4-</w:t>
            </w:r>
            <w:r>
              <w:rPr>
                <w:rFonts w:hint="eastAsia" w:cs="Times New Roman"/>
                <w:b w:val="0"/>
                <w:bCs w:val="0"/>
                <w:color w:val="0000FF"/>
                <w:sz w:val="21"/>
                <w:szCs w:val="21"/>
                <w:highlight w:val="none"/>
                <w:lang w:val="en-US" w:eastAsia="zh-CN"/>
              </w:rPr>
              <w:t>2</w:t>
            </w:r>
            <w:r>
              <w:rPr>
                <w:rFonts w:hint="default" w:ascii="Times New Roman" w:hAnsi="Times New Roman" w:cs="Times New Roman"/>
                <w:b w:val="0"/>
                <w:bCs w:val="0"/>
                <w:color w:val="0000FF"/>
                <w:sz w:val="21"/>
                <w:szCs w:val="21"/>
                <w:highlight w:val="none"/>
                <w:lang w:val="en-US" w:eastAsia="zh-CN"/>
              </w:rPr>
              <w:t>、4-</w:t>
            </w:r>
            <w:r>
              <w:rPr>
                <w:rFonts w:hint="eastAsia" w:cs="Times New Roman"/>
                <w:b w:val="0"/>
                <w:bCs w:val="0"/>
                <w:color w:val="0000FF"/>
                <w:sz w:val="21"/>
                <w:szCs w:val="21"/>
                <w:highlight w:val="none"/>
                <w:lang w:val="en-US" w:eastAsia="zh-CN"/>
              </w:rPr>
              <w:t>6</w:t>
            </w:r>
            <w:r>
              <w:rPr>
                <w:rFonts w:hint="default" w:ascii="Times New Roman" w:hAnsi="Times New Roman" w:cs="Times New Roman"/>
                <w:b w:val="0"/>
                <w:bCs w:val="0"/>
                <w:color w:val="0000FF"/>
                <w:sz w:val="21"/>
                <w:szCs w:val="21"/>
                <w:highlight w:val="none"/>
                <w:lang w:val="en-US" w:eastAsia="zh-CN"/>
              </w:rPr>
              <w:t>。</w:t>
            </w:r>
          </w:p>
          <w:p w14:paraId="193A9D10">
            <w:pPr>
              <w:adjustRightInd w:val="0"/>
              <w:snapToGrid w:val="0"/>
              <w:spacing w:line="360" w:lineRule="auto"/>
              <w:ind w:firstLine="422" w:firstLineChars="200"/>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4.填报排污许可证</w:t>
            </w:r>
          </w:p>
          <w:p w14:paraId="63573CD0">
            <w:pPr>
              <w:adjustRightInd w:val="0"/>
              <w:snapToGrid w:val="0"/>
              <w:spacing w:line="360" w:lineRule="auto"/>
              <w:ind w:firstLine="420" w:firstLineChars="200"/>
              <w:jc w:val="left"/>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建设单位在验收投产前需取得排污许可证，按照《固定污染源排污许可分类管理名录》（2019年版）的要求，在全国排污许可证管理平台填报。</w:t>
            </w:r>
          </w:p>
          <w:p w14:paraId="64B8D00A">
            <w:pPr>
              <w:adjustRightInd w:val="0"/>
              <w:snapToGrid w:val="0"/>
              <w:spacing w:line="360" w:lineRule="auto"/>
              <w:jc w:val="left"/>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color w:val="auto"/>
                <w:sz w:val="21"/>
                <w:szCs w:val="21"/>
                <w:lang w:val="en-US" w:eastAsia="zh-CN"/>
              </w:rPr>
              <w:t xml:space="preserve">    </w:t>
            </w:r>
            <w:r>
              <w:rPr>
                <w:rFonts w:hint="eastAsia" w:cs="Times New Roman"/>
                <w:b/>
                <w:bCs/>
                <w:color w:val="auto"/>
                <w:sz w:val="21"/>
                <w:szCs w:val="21"/>
                <w:highlight w:val="none"/>
                <w:lang w:val="en-US" w:eastAsia="zh-CN"/>
              </w:rPr>
              <w:t>5</w:t>
            </w:r>
            <w:r>
              <w:rPr>
                <w:rFonts w:hint="default" w:ascii="Times New Roman" w:hAnsi="Times New Roman" w:cs="Times New Roman"/>
                <w:b/>
                <w:bCs/>
                <w:color w:val="auto"/>
                <w:sz w:val="21"/>
                <w:szCs w:val="21"/>
                <w:highlight w:val="none"/>
                <w:lang w:val="en-US" w:eastAsia="zh-CN"/>
              </w:rPr>
              <w:t>竣工验收</w:t>
            </w:r>
          </w:p>
          <w:p w14:paraId="6BAE4820">
            <w:pPr>
              <w:adjustRightInd w:val="0"/>
              <w:snapToGrid w:val="0"/>
              <w:spacing w:line="360" w:lineRule="auto"/>
              <w:ind w:firstLine="420" w:firstLineChars="200"/>
              <w:jc w:val="left"/>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根</w:t>
            </w:r>
            <w:r>
              <w:rPr>
                <w:rFonts w:hint="default" w:ascii="Times New Roman" w:hAnsi="Times New Roman" w:cs="Times New Roman"/>
                <w:color w:val="auto"/>
                <w:sz w:val="21"/>
                <w:szCs w:val="21"/>
              </w:rPr>
              <w:t>据《建设项目竣工环境保护验收暂行办法》</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国环规环评</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2017</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号</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，建设单位自行验收。验收合格后，方可投入生产或使用。</w:t>
            </w:r>
          </w:p>
          <w:p w14:paraId="4A0572D4">
            <w:pPr>
              <w:adjustRightInd w:val="0"/>
              <w:snapToGrid w:val="0"/>
              <w:spacing w:line="360" w:lineRule="auto"/>
              <w:jc w:val="left"/>
              <w:rPr>
                <w:rFonts w:hint="default" w:ascii="Times New Roman" w:hAnsi="Times New Roman" w:cs="Times New Roman"/>
                <w:color w:val="auto"/>
                <w:szCs w:val="21"/>
              </w:rPr>
            </w:pPr>
          </w:p>
        </w:tc>
      </w:tr>
    </w:tbl>
    <w:p w14:paraId="44C992DD">
      <w:pPr>
        <w:pStyle w:val="26"/>
        <w:jc w:val="center"/>
        <w:outlineLvl w:val="0"/>
        <w:rPr>
          <w:rFonts w:hint="default" w:ascii="Times New Roman" w:hAnsi="Times New Roman" w:eastAsia="黑体" w:cs="Times New Roman"/>
          <w:snapToGrid w:val="0"/>
          <w:color w:val="auto"/>
          <w:sz w:val="30"/>
          <w:szCs w:val="30"/>
        </w:rPr>
        <w:sectPr>
          <w:pgSz w:w="11906" w:h="16838"/>
          <w:pgMar w:top="1417" w:right="1531" w:bottom="1417" w:left="1531" w:header="851" w:footer="851" w:gutter="0"/>
          <w:pgBorders>
            <w:top w:val="none" w:sz="0" w:space="0"/>
            <w:left w:val="none" w:sz="0" w:space="0"/>
            <w:bottom w:val="none" w:sz="0" w:space="0"/>
            <w:right w:val="none" w:sz="0" w:space="0"/>
          </w:pgBorders>
          <w:cols w:space="720" w:num="1"/>
          <w:docGrid w:linePitch="312" w:charSpace="0"/>
        </w:sectPr>
      </w:pPr>
    </w:p>
    <w:p w14:paraId="06CA13C8">
      <w:pPr>
        <w:pStyle w:val="2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六、结论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00C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4" w:hRule="atLeast"/>
        </w:trPr>
        <w:tc>
          <w:tcPr>
            <w:tcW w:w="9060" w:type="dxa"/>
            <w:noWrap w:val="0"/>
            <w:vAlign w:val="top"/>
          </w:tcPr>
          <w:p w14:paraId="7AE97DF0">
            <w:pPr>
              <w:widowControl/>
              <w:adjustRightInd w:val="0"/>
              <w:spacing w:line="360" w:lineRule="auto"/>
              <w:ind w:firstLine="480" w:firstLineChars="200"/>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从环境影响的角度分析，项目建设环境影响是可行的。</w:t>
            </w:r>
          </w:p>
          <w:p w14:paraId="41728975">
            <w:pPr>
              <w:pStyle w:val="26"/>
              <w:jc w:val="center"/>
              <w:outlineLvl w:val="0"/>
              <w:rPr>
                <w:rFonts w:hint="default" w:ascii="Times New Roman" w:hAnsi="Times New Roman" w:eastAsia="黑体" w:cs="Times New Roman"/>
                <w:snapToGrid w:val="0"/>
                <w:color w:val="auto"/>
                <w:sz w:val="30"/>
                <w:szCs w:val="30"/>
              </w:rPr>
            </w:pPr>
          </w:p>
        </w:tc>
      </w:tr>
    </w:tbl>
    <w:p w14:paraId="7A90E784">
      <w:pPr>
        <w:pStyle w:val="26"/>
        <w:jc w:val="center"/>
        <w:outlineLvl w:val="0"/>
        <w:rPr>
          <w:rFonts w:hint="default" w:ascii="Times New Roman" w:hAnsi="Times New Roman" w:eastAsia="黑体" w:cs="Times New Roman"/>
          <w:snapToGrid w:val="0"/>
          <w:color w:val="auto"/>
          <w:sz w:val="30"/>
          <w:szCs w:val="30"/>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E1A26A1">
      <w:pPr>
        <w:pStyle w:val="26"/>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31"/>
        <w:tblpPr w:leftFromText="180" w:rightFromText="180" w:vertAnchor="text" w:tblpXSpec="center" w:tblpY="1"/>
        <w:tblOverlap w:val="never"/>
        <w:tblW w:w="1347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807"/>
        <w:gridCol w:w="1422"/>
        <w:gridCol w:w="1123"/>
        <w:gridCol w:w="1663"/>
        <w:gridCol w:w="1524"/>
        <w:gridCol w:w="1722"/>
        <w:gridCol w:w="1593"/>
        <w:gridCol w:w="1128"/>
      </w:tblGrid>
      <w:tr w14:paraId="373E64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tcBorders>
              <w:tl2br w:val="single" w:color="auto" w:sz="4" w:space="0"/>
            </w:tcBorders>
            <w:noWrap w:val="0"/>
            <w:tcMar>
              <w:left w:w="28" w:type="dxa"/>
              <w:right w:w="28" w:type="dxa"/>
            </w:tcMar>
            <w:vAlign w:val="center"/>
          </w:tcPr>
          <w:p w14:paraId="56CFD3F5">
            <w:pPr>
              <w:pStyle w:val="71"/>
              <w:spacing w:beforeLines="0" w:afterLines="0" w:line="240" w:lineRule="auto"/>
              <w:jc w:val="righ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项目</w:t>
            </w:r>
          </w:p>
          <w:p w14:paraId="229AE684">
            <w:pPr>
              <w:pStyle w:val="71"/>
              <w:spacing w:beforeLines="0" w:afterLines="0" w:line="240" w:lineRule="auto"/>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分类</w:t>
            </w:r>
          </w:p>
        </w:tc>
        <w:tc>
          <w:tcPr>
            <w:tcW w:w="1807" w:type="dxa"/>
            <w:noWrap w:val="0"/>
            <w:tcMar>
              <w:left w:w="28" w:type="dxa"/>
              <w:right w:w="28" w:type="dxa"/>
            </w:tcMar>
            <w:vAlign w:val="center"/>
          </w:tcPr>
          <w:p w14:paraId="470E3C0F">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污染物名称</w:t>
            </w:r>
          </w:p>
        </w:tc>
        <w:tc>
          <w:tcPr>
            <w:tcW w:w="1422" w:type="dxa"/>
            <w:noWrap w:val="0"/>
            <w:tcMar>
              <w:left w:w="28" w:type="dxa"/>
              <w:right w:w="28" w:type="dxa"/>
            </w:tcMar>
            <w:vAlign w:val="center"/>
          </w:tcPr>
          <w:p w14:paraId="2B7163B8">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72868C2C">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①</w:t>
            </w:r>
            <w:r>
              <w:rPr>
                <w:rFonts w:hint="default" w:ascii="Times New Roman" w:hAnsi="Times New Roman" w:cs="Times New Roman"/>
                <w:snapToGrid w:val="0"/>
                <w:color w:val="auto"/>
                <w:spacing w:val="-6"/>
                <w:kern w:val="21"/>
                <w:szCs w:val="21"/>
              </w:rPr>
              <w:fldChar w:fldCharType="end"/>
            </w:r>
          </w:p>
        </w:tc>
        <w:tc>
          <w:tcPr>
            <w:tcW w:w="1123" w:type="dxa"/>
            <w:noWrap w:val="0"/>
            <w:tcMar>
              <w:left w:w="28" w:type="dxa"/>
              <w:right w:w="28" w:type="dxa"/>
            </w:tcMar>
            <w:vAlign w:val="center"/>
          </w:tcPr>
          <w:p w14:paraId="22C619E8">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w:t>
            </w:r>
          </w:p>
          <w:p w14:paraId="706FDE9E">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许可排放量</w:t>
            </w:r>
          </w:p>
          <w:p w14:paraId="399DC579">
            <w:pPr>
              <w:pStyle w:val="71"/>
              <w:spacing w:beforeLines="0" w:afterLines="0"/>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2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snapToGrid w:val="0"/>
                <w:color w:val="auto"/>
                <w:spacing w:val="-6"/>
                <w:kern w:val="21"/>
                <w:szCs w:val="21"/>
              </w:rPr>
              <w:t>②</w:t>
            </w:r>
            <w:r>
              <w:rPr>
                <w:rFonts w:hint="default" w:ascii="Times New Roman" w:hAnsi="Times New Roman" w:cs="Times New Roman"/>
                <w:snapToGrid w:val="0"/>
                <w:color w:val="auto"/>
                <w:spacing w:val="-6"/>
                <w:kern w:val="21"/>
                <w:szCs w:val="21"/>
              </w:rPr>
              <w:fldChar w:fldCharType="end"/>
            </w:r>
          </w:p>
        </w:tc>
        <w:tc>
          <w:tcPr>
            <w:tcW w:w="1663" w:type="dxa"/>
            <w:noWrap w:val="0"/>
            <w:tcMar>
              <w:left w:w="28" w:type="dxa"/>
              <w:right w:w="28" w:type="dxa"/>
            </w:tcMar>
            <w:vAlign w:val="center"/>
          </w:tcPr>
          <w:p w14:paraId="18F0460B">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在建工程</w:t>
            </w:r>
          </w:p>
          <w:p w14:paraId="71CB6673">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③</w:t>
            </w:r>
            <w:r>
              <w:rPr>
                <w:rFonts w:hint="default" w:ascii="Times New Roman" w:hAnsi="Times New Roman" w:cs="Times New Roman"/>
                <w:snapToGrid w:val="0"/>
                <w:color w:val="auto"/>
                <w:spacing w:val="-6"/>
                <w:kern w:val="21"/>
                <w:szCs w:val="21"/>
              </w:rPr>
              <w:fldChar w:fldCharType="end"/>
            </w:r>
          </w:p>
        </w:tc>
        <w:tc>
          <w:tcPr>
            <w:tcW w:w="1524" w:type="dxa"/>
            <w:noWrap w:val="0"/>
            <w:tcMar>
              <w:left w:w="28" w:type="dxa"/>
              <w:right w:w="28" w:type="dxa"/>
            </w:tcMar>
            <w:vAlign w:val="center"/>
          </w:tcPr>
          <w:p w14:paraId="547EE059">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本项目</w:t>
            </w:r>
          </w:p>
          <w:p w14:paraId="490E0C8A">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排放量（固体废物产生量）</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④</w:t>
            </w:r>
            <w:r>
              <w:rPr>
                <w:rFonts w:hint="default" w:ascii="Times New Roman" w:hAnsi="Times New Roman" w:cs="Times New Roman"/>
                <w:snapToGrid w:val="0"/>
                <w:color w:val="auto"/>
                <w:spacing w:val="-6"/>
                <w:kern w:val="21"/>
                <w:szCs w:val="21"/>
              </w:rPr>
              <w:fldChar w:fldCharType="end"/>
            </w:r>
          </w:p>
        </w:tc>
        <w:tc>
          <w:tcPr>
            <w:tcW w:w="1722" w:type="dxa"/>
            <w:noWrap w:val="0"/>
            <w:tcMar>
              <w:left w:w="28" w:type="dxa"/>
              <w:right w:w="28" w:type="dxa"/>
            </w:tcMar>
            <w:vAlign w:val="center"/>
          </w:tcPr>
          <w:p w14:paraId="2815B58A">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以新带老削减量</w:t>
            </w:r>
          </w:p>
          <w:p w14:paraId="1F6D4D35">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（新建项目不填）</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⑤</w:t>
            </w:r>
            <w:r>
              <w:rPr>
                <w:rFonts w:hint="default" w:ascii="Times New Roman" w:hAnsi="Times New Roman" w:cs="Times New Roman"/>
                <w:snapToGrid w:val="0"/>
                <w:color w:val="auto"/>
                <w:spacing w:val="-16"/>
                <w:kern w:val="21"/>
                <w:szCs w:val="21"/>
              </w:rPr>
              <w:fldChar w:fldCharType="end"/>
            </w:r>
          </w:p>
        </w:tc>
        <w:tc>
          <w:tcPr>
            <w:tcW w:w="1593" w:type="dxa"/>
            <w:noWrap w:val="0"/>
            <w:tcMar>
              <w:left w:w="28" w:type="dxa"/>
              <w:right w:w="28" w:type="dxa"/>
            </w:tcMar>
            <w:vAlign w:val="center"/>
          </w:tcPr>
          <w:p w14:paraId="71645838">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本项目建成后</w:t>
            </w:r>
          </w:p>
          <w:p w14:paraId="2820C863">
            <w:pPr>
              <w:pStyle w:val="71"/>
              <w:spacing w:beforeLines="0" w:afterLines="0"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全厂排放量（固体废物产生量）</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kern w:val="2"/>
                <w:szCs w:val="21"/>
              </w:rPr>
              <w:t>⑥</w:t>
            </w:r>
            <w:r>
              <w:rPr>
                <w:rFonts w:hint="default" w:ascii="Times New Roman" w:hAnsi="Times New Roman" w:cs="Times New Roman"/>
                <w:snapToGrid w:val="0"/>
                <w:color w:val="auto"/>
                <w:spacing w:val="-16"/>
                <w:kern w:val="21"/>
                <w:szCs w:val="21"/>
              </w:rPr>
              <w:fldChar w:fldCharType="end"/>
            </w:r>
          </w:p>
        </w:tc>
        <w:tc>
          <w:tcPr>
            <w:tcW w:w="1128" w:type="dxa"/>
            <w:noWrap w:val="0"/>
            <w:tcMar>
              <w:left w:w="28" w:type="dxa"/>
              <w:right w:w="28" w:type="dxa"/>
            </w:tcMar>
            <w:vAlign w:val="center"/>
          </w:tcPr>
          <w:p w14:paraId="077C316C">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变化量</w:t>
            </w:r>
          </w:p>
          <w:p w14:paraId="2A9C88B6">
            <w:pPr>
              <w:pStyle w:val="71"/>
              <w:spacing w:beforeLines="0" w:afterLines="0"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kern w:val="2"/>
                <w:szCs w:val="21"/>
              </w:rPr>
              <w:t>⑦</w:t>
            </w:r>
            <w:r>
              <w:rPr>
                <w:rFonts w:hint="default" w:ascii="Times New Roman" w:hAnsi="Times New Roman" w:cs="Times New Roman"/>
                <w:snapToGrid w:val="0"/>
                <w:color w:val="auto"/>
                <w:spacing w:val="-6"/>
                <w:kern w:val="21"/>
                <w:szCs w:val="21"/>
              </w:rPr>
              <w:fldChar w:fldCharType="end"/>
            </w:r>
          </w:p>
        </w:tc>
      </w:tr>
      <w:tr w14:paraId="02F041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noWrap w:val="0"/>
            <w:vAlign w:val="center"/>
          </w:tcPr>
          <w:p w14:paraId="413525D3">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807" w:type="dxa"/>
            <w:noWrap w:val="0"/>
            <w:vAlign w:val="center"/>
          </w:tcPr>
          <w:p w14:paraId="0187E33E">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颗粒物</w:t>
            </w:r>
          </w:p>
        </w:tc>
        <w:tc>
          <w:tcPr>
            <w:tcW w:w="1422" w:type="dxa"/>
            <w:noWrap w:val="0"/>
            <w:vAlign w:val="center"/>
          </w:tcPr>
          <w:p w14:paraId="6C8FC2A9">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cs="Times New Roman"/>
                <w:snapToGrid w:val="0"/>
                <w:color w:val="auto"/>
                <w:kern w:val="21"/>
                <w:szCs w:val="21"/>
                <w:lang w:val="en-US" w:eastAsia="zh-CN"/>
              </w:rPr>
              <w:t>0.573</w:t>
            </w:r>
          </w:p>
        </w:tc>
        <w:tc>
          <w:tcPr>
            <w:tcW w:w="1123" w:type="dxa"/>
            <w:noWrap w:val="0"/>
            <w:vAlign w:val="center"/>
          </w:tcPr>
          <w:p w14:paraId="594E7F25">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4602B505">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6233A830">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0.72</w:t>
            </w:r>
          </w:p>
        </w:tc>
        <w:tc>
          <w:tcPr>
            <w:tcW w:w="1722" w:type="dxa"/>
            <w:noWrap w:val="0"/>
            <w:vAlign w:val="center"/>
          </w:tcPr>
          <w:p w14:paraId="0FEEF3EB">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1B5191CE">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1.293</w:t>
            </w:r>
          </w:p>
        </w:tc>
        <w:tc>
          <w:tcPr>
            <w:tcW w:w="1128" w:type="dxa"/>
            <w:noWrap w:val="0"/>
            <w:vAlign w:val="center"/>
          </w:tcPr>
          <w:p w14:paraId="7A607E34">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w:t>
            </w:r>
            <w:r>
              <w:rPr>
                <w:rFonts w:hint="eastAsia" w:cs="Times New Roman"/>
                <w:snapToGrid w:val="0"/>
                <w:color w:val="auto"/>
                <w:kern w:val="21"/>
                <w:szCs w:val="21"/>
                <w:lang w:val="en-US" w:eastAsia="zh-CN"/>
              </w:rPr>
              <w:t>0.72</w:t>
            </w:r>
          </w:p>
        </w:tc>
      </w:tr>
      <w:tr w14:paraId="727F9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noWrap w:val="0"/>
            <w:vAlign w:val="center"/>
          </w:tcPr>
          <w:p w14:paraId="2FE14C55">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807" w:type="dxa"/>
            <w:noWrap w:val="0"/>
            <w:vAlign w:val="center"/>
          </w:tcPr>
          <w:p w14:paraId="2686C09F">
            <w:pPr>
              <w:pStyle w:val="71"/>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废水量</w:t>
            </w:r>
          </w:p>
        </w:tc>
        <w:tc>
          <w:tcPr>
            <w:tcW w:w="1422" w:type="dxa"/>
            <w:noWrap w:val="0"/>
            <w:vAlign w:val="center"/>
          </w:tcPr>
          <w:p w14:paraId="6C1519D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cs="Times New Roman"/>
                <w:snapToGrid w:val="0"/>
                <w:color w:val="auto"/>
                <w:kern w:val="21"/>
                <w:szCs w:val="21"/>
                <w:lang w:val="en-US" w:eastAsia="zh-CN"/>
              </w:rPr>
              <w:t>/</w:t>
            </w:r>
          </w:p>
        </w:tc>
        <w:tc>
          <w:tcPr>
            <w:tcW w:w="1123" w:type="dxa"/>
            <w:noWrap w:val="0"/>
            <w:vAlign w:val="center"/>
          </w:tcPr>
          <w:p w14:paraId="3B39DF1A">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663" w:type="dxa"/>
            <w:noWrap w:val="0"/>
            <w:vAlign w:val="center"/>
          </w:tcPr>
          <w:p w14:paraId="558E27DA">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200789A8">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722" w:type="dxa"/>
            <w:noWrap w:val="0"/>
            <w:vAlign w:val="center"/>
          </w:tcPr>
          <w:p w14:paraId="3299E532">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23047F63">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rPr>
              <w:t>/</w:t>
            </w:r>
          </w:p>
        </w:tc>
        <w:tc>
          <w:tcPr>
            <w:tcW w:w="1128" w:type="dxa"/>
            <w:noWrap w:val="0"/>
            <w:vAlign w:val="center"/>
          </w:tcPr>
          <w:p w14:paraId="1FB2F1BC">
            <w:pPr>
              <w:spacing w:beforeLines="0" w:afterLines="0" w:line="240" w:lineRule="auto"/>
              <w:jc w:val="center"/>
              <w:rPr>
                <w:rFonts w:hint="default" w:ascii="Times New Roman" w:hAnsi="Times New Roman" w:cs="Times New Roman"/>
                <w:snapToGrid w:val="0"/>
                <w:color w:val="auto"/>
                <w:kern w:val="21"/>
                <w:szCs w:val="21"/>
                <w:lang w:val="en-US"/>
              </w:rPr>
            </w:pPr>
            <w:r>
              <w:rPr>
                <w:rFonts w:hint="eastAsia" w:ascii="Times New Roman" w:hAnsi="Times New Roman" w:eastAsia="宋体" w:cs="Times New Roman"/>
                <w:snapToGrid w:val="0"/>
                <w:color w:val="auto"/>
                <w:kern w:val="21"/>
                <w:szCs w:val="21"/>
                <w:lang w:val="en-US" w:eastAsia="zh-CN"/>
              </w:rPr>
              <w:t>0</w:t>
            </w:r>
          </w:p>
        </w:tc>
      </w:tr>
      <w:tr w14:paraId="772B0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95" w:type="dxa"/>
            <w:noWrap w:val="0"/>
            <w:vAlign w:val="center"/>
          </w:tcPr>
          <w:p w14:paraId="5C0D36AC">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1BC53F30">
            <w:pPr>
              <w:pStyle w:val="71"/>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807" w:type="dxa"/>
            <w:noWrap w:val="0"/>
            <w:vAlign w:val="center"/>
          </w:tcPr>
          <w:p w14:paraId="03B9A977">
            <w:pPr>
              <w:pStyle w:val="71"/>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煤泥</w:t>
            </w:r>
          </w:p>
        </w:tc>
        <w:tc>
          <w:tcPr>
            <w:tcW w:w="1422" w:type="dxa"/>
            <w:noWrap w:val="0"/>
            <w:vAlign w:val="center"/>
          </w:tcPr>
          <w:p w14:paraId="317DBE21">
            <w:pPr>
              <w:spacing w:beforeLines="0" w:afterLines="0" w:line="240" w:lineRule="auto"/>
              <w:jc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3</w:t>
            </w:r>
          </w:p>
        </w:tc>
        <w:tc>
          <w:tcPr>
            <w:tcW w:w="1123" w:type="dxa"/>
            <w:noWrap w:val="0"/>
            <w:vAlign w:val="center"/>
          </w:tcPr>
          <w:p w14:paraId="47A90496">
            <w:pPr>
              <w:spacing w:beforeLines="0" w:afterLines="0" w:line="240" w:lineRule="auto"/>
              <w:jc w:val="center"/>
              <w:rPr>
                <w:rFonts w:hint="eastAsia"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rPr>
              <w:t>/</w:t>
            </w:r>
          </w:p>
        </w:tc>
        <w:tc>
          <w:tcPr>
            <w:tcW w:w="1663" w:type="dxa"/>
            <w:noWrap w:val="0"/>
            <w:vAlign w:val="center"/>
          </w:tcPr>
          <w:p w14:paraId="2626CEE6">
            <w:pPr>
              <w:spacing w:beforeLines="0" w:afterLines="0" w:line="240" w:lineRule="auto"/>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24" w:type="dxa"/>
            <w:noWrap w:val="0"/>
            <w:vAlign w:val="center"/>
          </w:tcPr>
          <w:p w14:paraId="543BCA3F">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5</w:t>
            </w:r>
          </w:p>
        </w:tc>
        <w:tc>
          <w:tcPr>
            <w:tcW w:w="1722" w:type="dxa"/>
            <w:noWrap w:val="0"/>
            <w:vAlign w:val="center"/>
          </w:tcPr>
          <w:p w14:paraId="1ECF0920">
            <w:pPr>
              <w:spacing w:beforeLines="0" w:afterLines="0" w:line="240" w:lineRule="auto"/>
              <w:jc w:val="center"/>
              <w:rPr>
                <w:rFonts w:hint="default" w:ascii="Times New Roman" w:hAnsi="Times New Roman" w:cs="Times New Roman"/>
                <w:snapToGrid w:val="0"/>
                <w:color w:val="auto"/>
                <w:kern w:val="21"/>
                <w:szCs w:val="21"/>
              </w:rPr>
            </w:pPr>
            <w:r>
              <w:rPr>
                <w:rFonts w:hint="eastAsia" w:ascii="Times New Roman" w:hAnsi="Times New Roman" w:cs="Times New Roman"/>
                <w:snapToGrid w:val="0"/>
                <w:color w:val="auto"/>
                <w:kern w:val="21"/>
                <w:szCs w:val="21"/>
                <w:lang w:val="en-US" w:eastAsia="zh-CN"/>
              </w:rPr>
              <w:t>/</w:t>
            </w:r>
          </w:p>
        </w:tc>
        <w:tc>
          <w:tcPr>
            <w:tcW w:w="1593" w:type="dxa"/>
            <w:noWrap w:val="0"/>
            <w:vAlign w:val="center"/>
          </w:tcPr>
          <w:p w14:paraId="492B977E">
            <w:pPr>
              <w:pStyle w:val="71"/>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8</w:t>
            </w:r>
          </w:p>
        </w:tc>
        <w:tc>
          <w:tcPr>
            <w:tcW w:w="1128" w:type="dxa"/>
            <w:noWrap w:val="0"/>
            <w:vAlign w:val="center"/>
          </w:tcPr>
          <w:p w14:paraId="10F687D2">
            <w:pPr>
              <w:pStyle w:val="71"/>
              <w:spacing w:beforeLines="0" w:afterLines="0" w:line="240" w:lineRule="auto"/>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w:t>
            </w:r>
            <w:r>
              <w:rPr>
                <w:rFonts w:hint="eastAsia" w:ascii="Times New Roman" w:cs="Times New Roman"/>
                <w:snapToGrid w:val="0"/>
                <w:color w:val="auto"/>
                <w:kern w:val="21"/>
                <w:szCs w:val="21"/>
                <w:lang w:val="en-US" w:eastAsia="zh-CN"/>
              </w:rPr>
              <w:t>5</w:t>
            </w:r>
          </w:p>
        </w:tc>
      </w:tr>
    </w:tbl>
    <w:p w14:paraId="6C2D5F68">
      <w:pPr>
        <w:pStyle w:val="71"/>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14:paraId="7F13BAA2">
      <w:pPr>
        <w:rPr>
          <w:rFonts w:hint="default"/>
          <w:color w:val="auto"/>
          <w:lang w:val="en-US" w:eastAsia="zh-CN"/>
        </w:rPr>
      </w:pPr>
    </w:p>
    <w:sectPr>
      <w:pgSz w:w="16838" w:h="11906" w:orient="landscape"/>
      <w:pgMar w:top="1417"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BD524FB-1DDF-46E1-8126-2A4FFD273CC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embedRegular r:id="rId2" w:fontKey="{D7E62178-E218-43B1-8B73-454E4F1DC9D9}"/>
  </w:font>
  <w:font w:name="MingLiU">
    <w:panose1 w:val="02020509000000000000"/>
    <w:charset w:val="88"/>
    <w:family w:val="modern"/>
    <w:pitch w:val="default"/>
    <w:sig w:usb0="A00002FF" w:usb1="28CFFCFA" w:usb2="00000016" w:usb3="00000000" w:csb0="00100001" w:csb1="00000000"/>
  </w:font>
  <w:font w:name="仿宋体">
    <w:altName w:val="仿宋"/>
    <w:panose1 w:val="00000000000000000000"/>
    <w:charset w:val="86"/>
    <w:family w:val="swiss"/>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3" w:fontKey="{C7E69F9D-D301-4EC8-BD4A-19E11FE06E46}"/>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4" w:fontKey="{59672597-2D63-4801-BAB8-E9B4C71F3EDB}"/>
  </w:font>
  <w:font w:name="华文仿宋">
    <w:panose1 w:val="02010600040101010101"/>
    <w:charset w:val="86"/>
    <w:family w:val="auto"/>
    <w:pitch w:val="default"/>
    <w:sig w:usb0="00000287" w:usb1="080F0000" w:usb2="00000000" w:usb3="00000000" w:csb0="0004009F" w:csb1="DFD70000"/>
    <w:embedRegular r:id="rId5" w:fontKey="{E7F2E7A0-BD3D-4A77-8614-3B6603C9A680}"/>
  </w:font>
  <w:font w:name="仿宋">
    <w:panose1 w:val="02010609060101010101"/>
    <w:charset w:val="86"/>
    <w:family w:val="auto"/>
    <w:pitch w:val="default"/>
    <w:sig w:usb0="800002BF" w:usb1="38CF7CFA" w:usb2="00000016" w:usb3="00000000" w:csb0="00040001" w:csb1="00000000"/>
    <w:embedRegular r:id="rId6" w:fontKey="{2BFEDB02-0AE5-4CE9-ADEF-07563FCF1518}"/>
  </w:font>
  <w:font w:name="Wingdings 2">
    <w:panose1 w:val="05020102010507070707"/>
    <w:charset w:val="02"/>
    <w:family w:val="auto"/>
    <w:pitch w:val="default"/>
    <w:sig w:usb0="00000000" w:usb1="00000000" w:usb2="00000000" w:usb3="00000000" w:csb0="80000000" w:csb1="00000000"/>
    <w:embedRegular r:id="rId7" w:fontKey="{8C7C8DD6-D930-4164-AE56-BE3A8D3834F0}"/>
  </w:font>
  <w:font w:name="Cambria Math">
    <w:panose1 w:val="02040503050406030204"/>
    <w:charset w:val="00"/>
    <w:family w:val="auto"/>
    <w:pitch w:val="default"/>
    <w:sig w:usb0="E00002FF" w:usb1="420024FF" w:usb2="00000000" w:usb3="00000000" w:csb0="2000019F" w:csb1="00000000"/>
    <w:embedRegular r:id="rId8" w:fontKey="{678BAF9D-E22D-4BA2-9CB0-AE050991B7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A6F0C">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F7283">
    <w:pPr>
      <w:pStyle w:val="19"/>
      <w:framePr w:wrap="around" w:vAnchor="text" w:hAnchor="margin" w:xAlign="center" w:y="1"/>
      <w:rPr>
        <w:rStyle w:val="35"/>
      </w:rPr>
    </w:pPr>
    <w:r>
      <w:fldChar w:fldCharType="begin"/>
    </w:r>
    <w:r>
      <w:rPr>
        <w:rStyle w:val="35"/>
      </w:rPr>
      <w:instrText xml:space="preserve">PAGE  </w:instrText>
    </w:r>
    <w:r>
      <w:fldChar w:fldCharType="end"/>
    </w:r>
  </w:p>
  <w:p w14:paraId="4762F99F">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E3083">
    <w:pPr>
      <w:pStyle w:val="19"/>
      <w:framePr w:wrap="around" w:vAnchor="text" w:hAnchor="margin" w:xAlign="outside" w:y="1"/>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p w14:paraId="7A4EE263">
    <w:pPr>
      <w:pStyle w:val="19"/>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B9D86">
    <w:pPr>
      <w:pStyle w:val="19"/>
      <w:framePr w:wrap="around" w:vAnchor="text" w:hAnchor="margin" w:xAlign="outside" w:y="1"/>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p w14:paraId="5D66890A">
    <w:pPr>
      <w:pStyle w:val="19"/>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F416E"/>
    <w:multiLevelType w:val="singleLevel"/>
    <w:tmpl w:val="8B6F416E"/>
    <w:lvl w:ilvl="0" w:tentative="0">
      <w:start w:val="2"/>
      <w:numFmt w:val="decimal"/>
      <w:suff w:val="nothing"/>
      <w:lvlText w:val="（%1）"/>
      <w:lvlJc w:val="left"/>
    </w:lvl>
  </w:abstractNum>
  <w:abstractNum w:abstractNumId="1">
    <w:nsid w:val="93E62898"/>
    <w:multiLevelType w:val="singleLevel"/>
    <w:tmpl w:val="93E62898"/>
    <w:lvl w:ilvl="0" w:tentative="0">
      <w:start w:val="1"/>
      <w:numFmt w:val="lowerLetter"/>
      <w:lvlText w:val="%1."/>
      <w:lvlJc w:val="left"/>
      <w:pPr>
        <w:tabs>
          <w:tab w:val="left" w:pos="312"/>
        </w:tabs>
      </w:pPr>
    </w:lvl>
  </w:abstractNum>
  <w:abstractNum w:abstractNumId="2">
    <w:nsid w:val="98FA9A3D"/>
    <w:multiLevelType w:val="singleLevel"/>
    <w:tmpl w:val="98FA9A3D"/>
    <w:lvl w:ilvl="0" w:tentative="0">
      <w:start w:val="1"/>
      <w:numFmt w:val="lowerLetter"/>
      <w:lvlText w:val="%1."/>
      <w:lvlJc w:val="left"/>
      <w:pPr>
        <w:tabs>
          <w:tab w:val="left" w:pos="312"/>
        </w:tabs>
      </w:pPr>
    </w:lvl>
  </w:abstractNum>
  <w:abstractNum w:abstractNumId="3">
    <w:nsid w:val="BCF2BB88"/>
    <w:multiLevelType w:val="singleLevel"/>
    <w:tmpl w:val="BCF2BB88"/>
    <w:lvl w:ilvl="0" w:tentative="0">
      <w:start w:val="2"/>
      <w:numFmt w:val="decimal"/>
      <w:lvlText w:val="%1."/>
      <w:lvlJc w:val="left"/>
      <w:pPr>
        <w:tabs>
          <w:tab w:val="left" w:pos="312"/>
        </w:tabs>
      </w:pPr>
    </w:lvl>
  </w:abstractNum>
  <w:abstractNum w:abstractNumId="4">
    <w:nsid w:val="3280F4E6"/>
    <w:multiLevelType w:val="singleLevel"/>
    <w:tmpl w:val="3280F4E6"/>
    <w:lvl w:ilvl="0" w:tentative="0">
      <w:start w:val="1"/>
      <w:numFmt w:val="decimal"/>
      <w:suff w:val="nothing"/>
      <w:lvlText w:val="（%1）"/>
      <w:lvlJc w:val="left"/>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ZkY2Y1MDgzMmRhMWU4MmIwOGFhODc5OWIwNzAxMTYifQ=="/>
    <w:docVar w:name="KSO_WPS_MARK_KEY" w:val="5045ee9b-cb94-4ae9-aa46-808226a9b1dd"/>
  </w:docVars>
  <w:rsids>
    <w:rsidRoot w:val="00A14947"/>
    <w:rsid w:val="000024CA"/>
    <w:rsid w:val="00003A56"/>
    <w:rsid w:val="000042CF"/>
    <w:rsid w:val="000060B3"/>
    <w:rsid w:val="0000692E"/>
    <w:rsid w:val="00006DD7"/>
    <w:rsid w:val="0000720D"/>
    <w:rsid w:val="000104F5"/>
    <w:rsid w:val="00014BFF"/>
    <w:rsid w:val="000179DA"/>
    <w:rsid w:val="0002062A"/>
    <w:rsid w:val="000210C9"/>
    <w:rsid w:val="00022A20"/>
    <w:rsid w:val="000234DA"/>
    <w:rsid w:val="00023B6E"/>
    <w:rsid w:val="00024475"/>
    <w:rsid w:val="00024952"/>
    <w:rsid w:val="00024A08"/>
    <w:rsid w:val="00024C9A"/>
    <w:rsid w:val="0002508B"/>
    <w:rsid w:val="00025EE5"/>
    <w:rsid w:val="00036091"/>
    <w:rsid w:val="000362B7"/>
    <w:rsid w:val="000372F3"/>
    <w:rsid w:val="00040326"/>
    <w:rsid w:val="00041DE2"/>
    <w:rsid w:val="00042DAF"/>
    <w:rsid w:val="0004364B"/>
    <w:rsid w:val="0004437C"/>
    <w:rsid w:val="000448D5"/>
    <w:rsid w:val="00044CBB"/>
    <w:rsid w:val="00044DBF"/>
    <w:rsid w:val="00044DF7"/>
    <w:rsid w:val="00046198"/>
    <w:rsid w:val="00051598"/>
    <w:rsid w:val="0005449A"/>
    <w:rsid w:val="00054E77"/>
    <w:rsid w:val="000550AF"/>
    <w:rsid w:val="00055E4D"/>
    <w:rsid w:val="000607AF"/>
    <w:rsid w:val="00061B1F"/>
    <w:rsid w:val="00064763"/>
    <w:rsid w:val="000650C3"/>
    <w:rsid w:val="00066C2F"/>
    <w:rsid w:val="00066CCC"/>
    <w:rsid w:val="0006731D"/>
    <w:rsid w:val="00067A5B"/>
    <w:rsid w:val="00070862"/>
    <w:rsid w:val="000712FA"/>
    <w:rsid w:val="00072144"/>
    <w:rsid w:val="000729D7"/>
    <w:rsid w:val="000733C4"/>
    <w:rsid w:val="0007367F"/>
    <w:rsid w:val="00074339"/>
    <w:rsid w:val="00074783"/>
    <w:rsid w:val="000750FB"/>
    <w:rsid w:val="00076777"/>
    <w:rsid w:val="00077D4F"/>
    <w:rsid w:val="0008070B"/>
    <w:rsid w:val="000810AC"/>
    <w:rsid w:val="00081A02"/>
    <w:rsid w:val="00082231"/>
    <w:rsid w:val="00082F99"/>
    <w:rsid w:val="0008385E"/>
    <w:rsid w:val="00084414"/>
    <w:rsid w:val="000855A8"/>
    <w:rsid w:val="000855C9"/>
    <w:rsid w:val="00085A2B"/>
    <w:rsid w:val="00086746"/>
    <w:rsid w:val="000868D4"/>
    <w:rsid w:val="00087700"/>
    <w:rsid w:val="0009272D"/>
    <w:rsid w:val="00092D38"/>
    <w:rsid w:val="0009377B"/>
    <w:rsid w:val="00095637"/>
    <w:rsid w:val="00096B18"/>
    <w:rsid w:val="00097992"/>
    <w:rsid w:val="000979D7"/>
    <w:rsid w:val="00097B04"/>
    <w:rsid w:val="00097ECA"/>
    <w:rsid w:val="000A137B"/>
    <w:rsid w:val="000A16F7"/>
    <w:rsid w:val="000A20C9"/>
    <w:rsid w:val="000A3DB5"/>
    <w:rsid w:val="000A4D25"/>
    <w:rsid w:val="000A6D7E"/>
    <w:rsid w:val="000A71C6"/>
    <w:rsid w:val="000B058F"/>
    <w:rsid w:val="000B0B45"/>
    <w:rsid w:val="000B1E8C"/>
    <w:rsid w:val="000B23B3"/>
    <w:rsid w:val="000B404D"/>
    <w:rsid w:val="000B4467"/>
    <w:rsid w:val="000B464C"/>
    <w:rsid w:val="000B46F2"/>
    <w:rsid w:val="000B4DB9"/>
    <w:rsid w:val="000B5742"/>
    <w:rsid w:val="000B6934"/>
    <w:rsid w:val="000B75FF"/>
    <w:rsid w:val="000B7C53"/>
    <w:rsid w:val="000C09AC"/>
    <w:rsid w:val="000C104F"/>
    <w:rsid w:val="000C1BD7"/>
    <w:rsid w:val="000C27CF"/>
    <w:rsid w:val="000C572F"/>
    <w:rsid w:val="000C5880"/>
    <w:rsid w:val="000C767F"/>
    <w:rsid w:val="000C778A"/>
    <w:rsid w:val="000C7BA6"/>
    <w:rsid w:val="000D0407"/>
    <w:rsid w:val="000D0D23"/>
    <w:rsid w:val="000D1D65"/>
    <w:rsid w:val="000D4DC6"/>
    <w:rsid w:val="000D527D"/>
    <w:rsid w:val="000D5A44"/>
    <w:rsid w:val="000D7239"/>
    <w:rsid w:val="000D7C14"/>
    <w:rsid w:val="000E0454"/>
    <w:rsid w:val="000E06B1"/>
    <w:rsid w:val="000E0C50"/>
    <w:rsid w:val="000E20DC"/>
    <w:rsid w:val="000E2A9B"/>
    <w:rsid w:val="000E2B27"/>
    <w:rsid w:val="000E3ED2"/>
    <w:rsid w:val="000E46D8"/>
    <w:rsid w:val="000E7207"/>
    <w:rsid w:val="000E7954"/>
    <w:rsid w:val="000E7A6D"/>
    <w:rsid w:val="000E7ADA"/>
    <w:rsid w:val="000F1F73"/>
    <w:rsid w:val="000F4AD6"/>
    <w:rsid w:val="00100C6D"/>
    <w:rsid w:val="00100E31"/>
    <w:rsid w:val="001010ED"/>
    <w:rsid w:val="001011A5"/>
    <w:rsid w:val="00101524"/>
    <w:rsid w:val="00102278"/>
    <w:rsid w:val="00103567"/>
    <w:rsid w:val="0010475F"/>
    <w:rsid w:val="001049E0"/>
    <w:rsid w:val="00105558"/>
    <w:rsid w:val="001059C2"/>
    <w:rsid w:val="00110552"/>
    <w:rsid w:val="00115E11"/>
    <w:rsid w:val="00116A47"/>
    <w:rsid w:val="001221D8"/>
    <w:rsid w:val="00123D41"/>
    <w:rsid w:val="00124058"/>
    <w:rsid w:val="0012469A"/>
    <w:rsid w:val="00124C4B"/>
    <w:rsid w:val="00131EF2"/>
    <w:rsid w:val="00131F42"/>
    <w:rsid w:val="00132D25"/>
    <w:rsid w:val="001342A4"/>
    <w:rsid w:val="0013473A"/>
    <w:rsid w:val="0013476E"/>
    <w:rsid w:val="001357F1"/>
    <w:rsid w:val="00137FD6"/>
    <w:rsid w:val="00140461"/>
    <w:rsid w:val="0014073E"/>
    <w:rsid w:val="00140B46"/>
    <w:rsid w:val="00140FA8"/>
    <w:rsid w:val="00141E24"/>
    <w:rsid w:val="0014231F"/>
    <w:rsid w:val="00142FEB"/>
    <w:rsid w:val="00143A2D"/>
    <w:rsid w:val="00144B14"/>
    <w:rsid w:val="0014577A"/>
    <w:rsid w:val="00145A41"/>
    <w:rsid w:val="00146A7D"/>
    <w:rsid w:val="00146B26"/>
    <w:rsid w:val="00147B88"/>
    <w:rsid w:val="0015042F"/>
    <w:rsid w:val="00151134"/>
    <w:rsid w:val="00151675"/>
    <w:rsid w:val="00151E25"/>
    <w:rsid w:val="00151EAD"/>
    <w:rsid w:val="001531C5"/>
    <w:rsid w:val="00153273"/>
    <w:rsid w:val="00157435"/>
    <w:rsid w:val="0015762C"/>
    <w:rsid w:val="0016186F"/>
    <w:rsid w:val="00161BFF"/>
    <w:rsid w:val="00165172"/>
    <w:rsid w:val="001669EA"/>
    <w:rsid w:val="00166DA0"/>
    <w:rsid w:val="00167101"/>
    <w:rsid w:val="00171B60"/>
    <w:rsid w:val="00172A69"/>
    <w:rsid w:val="00173398"/>
    <w:rsid w:val="00174EFB"/>
    <w:rsid w:val="0017504D"/>
    <w:rsid w:val="001753DD"/>
    <w:rsid w:val="00176017"/>
    <w:rsid w:val="0017671A"/>
    <w:rsid w:val="00177422"/>
    <w:rsid w:val="00177838"/>
    <w:rsid w:val="001803C2"/>
    <w:rsid w:val="00180895"/>
    <w:rsid w:val="00183C6C"/>
    <w:rsid w:val="00184590"/>
    <w:rsid w:val="001856C3"/>
    <w:rsid w:val="001870D1"/>
    <w:rsid w:val="0018781E"/>
    <w:rsid w:val="00187D1C"/>
    <w:rsid w:val="001900B1"/>
    <w:rsid w:val="001901CC"/>
    <w:rsid w:val="00190711"/>
    <w:rsid w:val="00190CB7"/>
    <w:rsid w:val="001913F5"/>
    <w:rsid w:val="0019262D"/>
    <w:rsid w:val="001941E5"/>
    <w:rsid w:val="00194275"/>
    <w:rsid w:val="00194CAF"/>
    <w:rsid w:val="001950DD"/>
    <w:rsid w:val="00195607"/>
    <w:rsid w:val="00196349"/>
    <w:rsid w:val="0019651E"/>
    <w:rsid w:val="001976F9"/>
    <w:rsid w:val="00197AF4"/>
    <w:rsid w:val="001A0B11"/>
    <w:rsid w:val="001A0D0C"/>
    <w:rsid w:val="001A10FD"/>
    <w:rsid w:val="001A19F5"/>
    <w:rsid w:val="001A1B35"/>
    <w:rsid w:val="001A2C2D"/>
    <w:rsid w:val="001A3334"/>
    <w:rsid w:val="001A342B"/>
    <w:rsid w:val="001A48A2"/>
    <w:rsid w:val="001A4E6A"/>
    <w:rsid w:val="001A6BCB"/>
    <w:rsid w:val="001A6F61"/>
    <w:rsid w:val="001A7B46"/>
    <w:rsid w:val="001B0FA6"/>
    <w:rsid w:val="001B1589"/>
    <w:rsid w:val="001B3676"/>
    <w:rsid w:val="001B4027"/>
    <w:rsid w:val="001B47CF"/>
    <w:rsid w:val="001B54D2"/>
    <w:rsid w:val="001B5688"/>
    <w:rsid w:val="001B5E58"/>
    <w:rsid w:val="001B72B8"/>
    <w:rsid w:val="001C02FE"/>
    <w:rsid w:val="001C10B3"/>
    <w:rsid w:val="001C66CD"/>
    <w:rsid w:val="001C69B3"/>
    <w:rsid w:val="001C7448"/>
    <w:rsid w:val="001D23B8"/>
    <w:rsid w:val="001D37C1"/>
    <w:rsid w:val="001D427E"/>
    <w:rsid w:val="001D4C2A"/>
    <w:rsid w:val="001D5198"/>
    <w:rsid w:val="001D5595"/>
    <w:rsid w:val="001D6534"/>
    <w:rsid w:val="001D671A"/>
    <w:rsid w:val="001D7874"/>
    <w:rsid w:val="001D7F22"/>
    <w:rsid w:val="001E0941"/>
    <w:rsid w:val="001E13F9"/>
    <w:rsid w:val="001E15CC"/>
    <w:rsid w:val="001E1EE9"/>
    <w:rsid w:val="001E2D1B"/>
    <w:rsid w:val="001E2E98"/>
    <w:rsid w:val="001E55BC"/>
    <w:rsid w:val="001E7727"/>
    <w:rsid w:val="001F0F17"/>
    <w:rsid w:val="001F235A"/>
    <w:rsid w:val="001F2DDA"/>
    <w:rsid w:val="001F3347"/>
    <w:rsid w:val="001F3682"/>
    <w:rsid w:val="001F40B3"/>
    <w:rsid w:val="001F59C0"/>
    <w:rsid w:val="001F6747"/>
    <w:rsid w:val="001F69E4"/>
    <w:rsid w:val="00200C06"/>
    <w:rsid w:val="00201EEC"/>
    <w:rsid w:val="002041DA"/>
    <w:rsid w:val="00204363"/>
    <w:rsid w:val="00212251"/>
    <w:rsid w:val="002125B4"/>
    <w:rsid w:val="00213D81"/>
    <w:rsid w:val="0021498F"/>
    <w:rsid w:val="002155B8"/>
    <w:rsid w:val="00215A52"/>
    <w:rsid w:val="00215C87"/>
    <w:rsid w:val="00220204"/>
    <w:rsid w:val="002202C1"/>
    <w:rsid w:val="00220361"/>
    <w:rsid w:val="00220ED0"/>
    <w:rsid w:val="002212DF"/>
    <w:rsid w:val="00221DDC"/>
    <w:rsid w:val="00222917"/>
    <w:rsid w:val="00224839"/>
    <w:rsid w:val="002249B2"/>
    <w:rsid w:val="00224DE2"/>
    <w:rsid w:val="00224EFB"/>
    <w:rsid w:val="00225218"/>
    <w:rsid w:val="00226574"/>
    <w:rsid w:val="002266F6"/>
    <w:rsid w:val="002278EC"/>
    <w:rsid w:val="00230234"/>
    <w:rsid w:val="0023280E"/>
    <w:rsid w:val="0023362E"/>
    <w:rsid w:val="00233C56"/>
    <w:rsid w:val="0023499C"/>
    <w:rsid w:val="00234CD7"/>
    <w:rsid w:val="00234D1E"/>
    <w:rsid w:val="0023649C"/>
    <w:rsid w:val="002377D1"/>
    <w:rsid w:val="0024066D"/>
    <w:rsid w:val="00241A1A"/>
    <w:rsid w:val="00242F53"/>
    <w:rsid w:val="002438EF"/>
    <w:rsid w:val="00243AC5"/>
    <w:rsid w:val="00244E74"/>
    <w:rsid w:val="00245FBE"/>
    <w:rsid w:val="002506BC"/>
    <w:rsid w:val="002526BE"/>
    <w:rsid w:val="00253243"/>
    <w:rsid w:val="0025415B"/>
    <w:rsid w:val="00254345"/>
    <w:rsid w:val="0025557A"/>
    <w:rsid w:val="002559A6"/>
    <w:rsid w:val="00260630"/>
    <w:rsid w:val="0026348D"/>
    <w:rsid w:val="00264557"/>
    <w:rsid w:val="00264A67"/>
    <w:rsid w:val="00266913"/>
    <w:rsid w:val="00270066"/>
    <w:rsid w:val="00270E4B"/>
    <w:rsid w:val="00274FA1"/>
    <w:rsid w:val="0027535D"/>
    <w:rsid w:val="00275558"/>
    <w:rsid w:val="00275CDA"/>
    <w:rsid w:val="00276052"/>
    <w:rsid w:val="002805AB"/>
    <w:rsid w:val="0028097C"/>
    <w:rsid w:val="0028214C"/>
    <w:rsid w:val="002836D4"/>
    <w:rsid w:val="00284204"/>
    <w:rsid w:val="00284EAE"/>
    <w:rsid w:val="002861E9"/>
    <w:rsid w:val="00287111"/>
    <w:rsid w:val="00287534"/>
    <w:rsid w:val="00287936"/>
    <w:rsid w:val="00291773"/>
    <w:rsid w:val="00292362"/>
    <w:rsid w:val="00293EAB"/>
    <w:rsid w:val="00293F59"/>
    <w:rsid w:val="00295DAE"/>
    <w:rsid w:val="00296403"/>
    <w:rsid w:val="002A1034"/>
    <w:rsid w:val="002A1606"/>
    <w:rsid w:val="002A168C"/>
    <w:rsid w:val="002A36C6"/>
    <w:rsid w:val="002A3DC7"/>
    <w:rsid w:val="002A4E08"/>
    <w:rsid w:val="002A5864"/>
    <w:rsid w:val="002A5981"/>
    <w:rsid w:val="002B2ED7"/>
    <w:rsid w:val="002B40B9"/>
    <w:rsid w:val="002B49E2"/>
    <w:rsid w:val="002B4B61"/>
    <w:rsid w:val="002B5464"/>
    <w:rsid w:val="002B7B00"/>
    <w:rsid w:val="002B7C44"/>
    <w:rsid w:val="002C0E46"/>
    <w:rsid w:val="002C0F2D"/>
    <w:rsid w:val="002C2B17"/>
    <w:rsid w:val="002C4268"/>
    <w:rsid w:val="002C544A"/>
    <w:rsid w:val="002C5F55"/>
    <w:rsid w:val="002C63CF"/>
    <w:rsid w:val="002C7083"/>
    <w:rsid w:val="002D0889"/>
    <w:rsid w:val="002D175F"/>
    <w:rsid w:val="002D2D01"/>
    <w:rsid w:val="002D37B1"/>
    <w:rsid w:val="002D3DD0"/>
    <w:rsid w:val="002D408E"/>
    <w:rsid w:val="002D41E3"/>
    <w:rsid w:val="002D5337"/>
    <w:rsid w:val="002D6185"/>
    <w:rsid w:val="002D6A7C"/>
    <w:rsid w:val="002E1F3A"/>
    <w:rsid w:val="002E298A"/>
    <w:rsid w:val="002E2B38"/>
    <w:rsid w:val="002E2DC2"/>
    <w:rsid w:val="002E51A9"/>
    <w:rsid w:val="002E754C"/>
    <w:rsid w:val="002E7736"/>
    <w:rsid w:val="002F18E4"/>
    <w:rsid w:val="002F1DD7"/>
    <w:rsid w:val="002F21A1"/>
    <w:rsid w:val="002F3BF8"/>
    <w:rsid w:val="002F6924"/>
    <w:rsid w:val="002F75F3"/>
    <w:rsid w:val="00301978"/>
    <w:rsid w:val="00302058"/>
    <w:rsid w:val="00302206"/>
    <w:rsid w:val="0030332C"/>
    <w:rsid w:val="003051C2"/>
    <w:rsid w:val="00306697"/>
    <w:rsid w:val="00306B08"/>
    <w:rsid w:val="003079BA"/>
    <w:rsid w:val="003106B4"/>
    <w:rsid w:val="00310799"/>
    <w:rsid w:val="00311EA8"/>
    <w:rsid w:val="003121AC"/>
    <w:rsid w:val="00312296"/>
    <w:rsid w:val="00313FB3"/>
    <w:rsid w:val="00314F0E"/>
    <w:rsid w:val="00315238"/>
    <w:rsid w:val="003169EE"/>
    <w:rsid w:val="00321D8E"/>
    <w:rsid w:val="00322F97"/>
    <w:rsid w:val="00323999"/>
    <w:rsid w:val="00325684"/>
    <w:rsid w:val="003256D5"/>
    <w:rsid w:val="0032579C"/>
    <w:rsid w:val="00325928"/>
    <w:rsid w:val="00325B1A"/>
    <w:rsid w:val="00325F44"/>
    <w:rsid w:val="0033014A"/>
    <w:rsid w:val="003313DA"/>
    <w:rsid w:val="00332863"/>
    <w:rsid w:val="00335235"/>
    <w:rsid w:val="003360D8"/>
    <w:rsid w:val="0033677A"/>
    <w:rsid w:val="0033684D"/>
    <w:rsid w:val="00337B42"/>
    <w:rsid w:val="00341B42"/>
    <w:rsid w:val="003420EB"/>
    <w:rsid w:val="00342DD7"/>
    <w:rsid w:val="0034348F"/>
    <w:rsid w:val="00344C13"/>
    <w:rsid w:val="0035163A"/>
    <w:rsid w:val="00356653"/>
    <w:rsid w:val="0035743F"/>
    <w:rsid w:val="003574B8"/>
    <w:rsid w:val="00357BE2"/>
    <w:rsid w:val="0036130F"/>
    <w:rsid w:val="0036170C"/>
    <w:rsid w:val="00361BD8"/>
    <w:rsid w:val="00362414"/>
    <w:rsid w:val="0036278F"/>
    <w:rsid w:val="00363B32"/>
    <w:rsid w:val="00363E49"/>
    <w:rsid w:val="0036636F"/>
    <w:rsid w:val="0036649C"/>
    <w:rsid w:val="00366E0F"/>
    <w:rsid w:val="0036717A"/>
    <w:rsid w:val="00370B8C"/>
    <w:rsid w:val="00372822"/>
    <w:rsid w:val="0037353B"/>
    <w:rsid w:val="003745AB"/>
    <w:rsid w:val="0037568E"/>
    <w:rsid w:val="00375E8F"/>
    <w:rsid w:val="00376247"/>
    <w:rsid w:val="00376682"/>
    <w:rsid w:val="00376D26"/>
    <w:rsid w:val="00381A72"/>
    <w:rsid w:val="00382D0F"/>
    <w:rsid w:val="00384676"/>
    <w:rsid w:val="0038505D"/>
    <w:rsid w:val="00385CA8"/>
    <w:rsid w:val="00386463"/>
    <w:rsid w:val="00386C28"/>
    <w:rsid w:val="00390857"/>
    <w:rsid w:val="00391329"/>
    <w:rsid w:val="00391947"/>
    <w:rsid w:val="003946CF"/>
    <w:rsid w:val="003946E0"/>
    <w:rsid w:val="003A111F"/>
    <w:rsid w:val="003A1449"/>
    <w:rsid w:val="003A2D66"/>
    <w:rsid w:val="003A4875"/>
    <w:rsid w:val="003A4BF3"/>
    <w:rsid w:val="003B020A"/>
    <w:rsid w:val="003B0E60"/>
    <w:rsid w:val="003B1814"/>
    <w:rsid w:val="003B26C0"/>
    <w:rsid w:val="003B2C17"/>
    <w:rsid w:val="003B3D15"/>
    <w:rsid w:val="003B3F78"/>
    <w:rsid w:val="003B420D"/>
    <w:rsid w:val="003B666A"/>
    <w:rsid w:val="003B6746"/>
    <w:rsid w:val="003B761F"/>
    <w:rsid w:val="003B7639"/>
    <w:rsid w:val="003C11D2"/>
    <w:rsid w:val="003C19B5"/>
    <w:rsid w:val="003C244B"/>
    <w:rsid w:val="003C24B7"/>
    <w:rsid w:val="003C25CA"/>
    <w:rsid w:val="003C2E7E"/>
    <w:rsid w:val="003C4893"/>
    <w:rsid w:val="003C52F9"/>
    <w:rsid w:val="003C6C16"/>
    <w:rsid w:val="003C6E24"/>
    <w:rsid w:val="003C7823"/>
    <w:rsid w:val="003D0A19"/>
    <w:rsid w:val="003D222C"/>
    <w:rsid w:val="003D387C"/>
    <w:rsid w:val="003D5269"/>
    <w:rsid w:val="003D746A"/>
    <w:rsid w:val="003D794D"/>
    <w:rsid w:val="003E098E"/>
    <w:rsid w:val="003E1673"/>
    <w:rsid w:val="003E21C4"/>
    <w:rsid w:val="003E3058"/>
    <w:rsid w:val="003E3260"/>
    <w:rsid w:val="003E342C"/>
    <w:rsid w:val="003E37E5"/>
    <w:rsid w:val="003E3F62"/>
    <w:rsid w:val="003E63B1"/>
    <w:rsid w:val="003E6CF8"/>
    <w:rsid w:val="003E732C"/>
    <w:rsid w:val="003E76A9"/>
    <w:rsid w:val="003F0809"/>
    <w:rsid w:val="003F0BAA"/>
    <w:rsid w:val="003F1CB5"/>
    <w:rsid w:val="003F1F09"/>
    <w:rsid w:val="003F20A3"/>
    <w:rsid w:val="003F42AE"/>
    <w:rsid w:val="003F6A8C"/>
    <w:rsid w:val="003F6F54"/>
    <w:rsid w:val="003F755C"/>
    <w:rsid w:val="004029D2"/>
    <w:rsid w:val="00404516"/>
    <w:rsid w:val="00404A99"/>
    <w:rsid w:val="00406752"/>
    <w:rsid w:val="0040696C"/>
    <w:rsid w:val="00406F01"/>
    <w:rsid w:val="00410BCC"/>
    <w:rsid w:val="00410D19"/>
    <w:rsid w:val="00415140"/>
    <w:rsid w:val="00415A06"/>
    <w:rsid w:val="00415EC9"/>
    <w:rsid w:val="00416D50"/>
    <w:rsid w:val="00416FD5"/>
    <w:rsid w:val="004172B1"/>
    <w:rsid w:val="00417772"/>
    <w:rsid w:val="00420053"/>
    <w:rsid w:val="004208C9"/>
    <w:rsid w:val="00420E6A"/>
    <w:rsid w:val="00420F68"/>
    <w:rsid w:val="00422E59"/>
    <w:rsid w:val="004233FA"/>
    <w:rsid w:val="00425210"/>
    <w:rsid w:val="00425A9E"/>
    <w:rsid w:val="00426D6B"/>
    <w:rsid w:val="004273D0"/>
    <w:rsid w:val="00431BBF"/>
    <w:rsid w:val="00431E6C"/>
    <w:rsid w:val="00433717"/>
    <w:rsid w:val="00433CE7"/>
    <w:rsid w:val="0043455C"/>
    <w:rsid w:val="00434E07"/>
    <w:rsid w:val="004368A9"/>
    <w:rsid w:val="004378E7"/>
    <w:rsid w:val="004428A9"/>
    <w:rsid w:val="004433F7"/>
    <w:rsid w:val="00445AD8"/>
    <w:rsid w:val="004462D9"/>
    <w:rsid w:val="00447570"/>
    <w:rsid w:val="004500EC"/>
    <w:rsid w:val="00451027"/>
    <w:rsid w:val="0045105D"/>
    <w:rsid w:val="00452738"/>
    <w:rsid w:val="00452ED5"/>
    <w:rsid w:val="00456091"/>
    <w:rsid w:val="00460966"/>
    <w:rsid w:val="004640E3"/>
    <w:rsid w:val="00465751"/>
    <w:rsid w:val="00465E7A"/>
    <w:rsid w:val="00466031"/>
    <w:rsid w:val="00466321"/>
    <w:rsid w:val="00470059"/>
    <w:rsid w:val="00470952"/>
    <w:rsid w:val="00472C41"/>
    <w:rsid w:val="00477E90"/>
    <w:rsid w:val="00480A1E"/>
    <w:rsid w:val="0048103E"/>
    <w:rsid w:val="00482028"/>
    <w:rsid w:val="00483FAC"/>
    <w:rsid w:val="00484B9B"/>
    <w:rsid w:val="00484BA5"/>
    <w:rsid w:val="00485460"/>
    <w:rsid w:val="004855F6"/>
    <w:rsid w:val="0048661E"/>
    <w:rsid w:val="004874F0"/>
    <w:rsid w:val="004933A4"/>
    <w:rsid w:val="00493B61"/>
    <w:rsid w:val="004942D8"/>
    <w:rsid w:val="004945A5"/>
    <w:rsid w:val="00494670"/>
    <w:rsid w:val="00494C40"/>
    <w:rsid w:val="00495C81"/>
    <w:rsid w:val="00496240"/>
    <w:rsid w:val="004A3823"/>
    <w:rsid w:val="004A5172"/>
    <w:rsid w:val="004A59B8"/>
    <w:rsid w:val="004B02A4"/>
    <w:rsid w:val="004B0CC2"/>
    <w:rsid w:val="004B1688"/>
    <w:rsid w:val="004B4836"/>
    <w:rsid w:val="004B5A13"/>
    <w:rsid w:val="004B5A4C"/>
    <w:rsid w:val="004B626E"/>
    <w:rsid w:val="004B732E"/>
    <w:rsid w:val="004C0B1D"/>
    <w:rsid w:val="004C189F"/>
    <w:rsid w:val="004C2490"/>
    <w:rsid w:val="004C27AA"/>
    <w:rsid w:val="004C30A0"/>
    <w:rsid w:val="004C37A2"/>
    <w:rsid w:val="004C57B2"/>
    <w:rsid w:val="004C64A6"/>
    <w:rsid w:val="004C6BA4"/>
    <w:rsid w:val="004D17D7"/>
    <w:rsid w:val="004D2717"/>
    <w:rsid w:val="004D39A8"/>
    <w:rsid w:val="004D5E01"/>
    <w:rsid w:val="004D5F2D"/>
    <w:rsid w:val="004D747E"/>
    <w:rsid w:val="004E2E5F"/>
    <w:rsid w:val="004E5622"/>
    <w:rsid w:val="004E620A"/>
    <w:rsid w:val="004E6946"/>
    <w:rsid w:val="004F0CF3"/>
    <w:rsid w:val="004F1A71"/>
    <w:rsid w:val="004F1AD8"/>
    <w:rsid w:val="004F2B58"/>
    <w:rsid w:val="004F3C84"/>
    <w:rsid w:val="004F3F5A"/>
    <w:rsid w:val="004F787B"/>
    <w:rsid w:val="005029C4"/>
    <w:rsid w:val="005039CB"/>
    <w:rsid w:val="0050558F"/>
    <w:rsid w:val="00506286"/>
    <w:rsid w:val="00506455"/>
    <w:rsid w:val="00507FA0"/>
    <w:rsid w:val="00510813"/>
    <w:rsid w:val="00510BFB"/>
    <w:rsid w:val="005117F8"/>
    <w:rsid w:val="00511990"/>
    <w:rsid w:val="00511DE0"/>
    <w:rsid w:val="00514870"/>
    <w:rsid w:val="00514B9B"/>
    <w:rsid w:val="005155A7"/>
    <w:rsid w:val="00517F02"/>
    <w:rsid w:val="00520F5C"/>
    <w:rsid w:val="00521C85"/>
    <w:rsid w:val="00522E5E"/>
    <w:rsid w:val="00524303"/>
    <w:rsid w:val="005258A2"/>
    <w:rsid w:val="00525CD7"/>
    <w:rsid w:val="005270C9"/>
    <w:rsid w:val="0052716B"/>
    <w:rsid w:val="00527EA0"/>
    <w:rsid w:val="005303C2"/>
    <w:rsid w:val="0053110E"/>
    <w:rsid w:val="00531B11"/>
    <w:rsid w:val="00532DB4"/>
    <w:rsid w:val="00534229"/>
    <w:rsid w:val="00534B39"/>
    <w:rsid w:val="00535F07"/>
    <w:rsid w:val="00536F3E"/>
    <w:rsid w:val="005401AE"/>
    <w:rsid w:val="0054108F"/>
    <w:rsid w:val="0054159A"/>
    <w:rsid w:val="00542E07"/>
    <w:rsid w:val="00542F96"/>
    <w:rsid w:val="00544562"/>
    <w:rsid w:val="0054501D"/>
    <w:rsid w:val="00545424"/>
    <w:rsid w:val="00546459"/>
    <w:rsid w:val="00546483"/>
    <w:rsid w:val="00546DB1"/>
    <w:rsid w:val="00547170"/>
    <w:rsid w:val="00554A7B"/>
    <w:rsid w:val="0055572C"/>
    <w:rsid w:val="005574FC"/>
    <w:rsid w:val="005600E0"/>
    <w:rsid w:val="00560564"/>
    <w:rsid w:val="005609B8"/>
    <w:rsid w:val="0056106A"/>
    <w:rsid w:val="00561733"/>
    <w:rsid w:val="00562EFA"/>
    <w:rsid w:val="005630E6"/>
    <w:rsid w:val="0056445B"/>
    <w:rsid w:val="00564C0C"/>
    <w:rsid w:val="00566847"/>
    <w:rsid w:val="00566C49"/>
    <w:rsid w:val="00567152"/>
    <w:rsid w:val="00567D1D"/>
    <w:rsid w:val="005720AE"/>
    <w:rsid w:val="00574397"/>
    <w:rsid w:val="0057450A"/>
    <w:rsid w:val="00575185"/>
    <w:rsid w:val="00576DBA"/>
    <w:rsid w:val="00577135"/>
    <w:rsid w:val="00581771"/>
    <w:rsid w:val="00582AE4"/>
    <w:rsid w:val="0058365B"/>
    <w:rsid w:val="0058391B"/>
    <w:rsid w:val="00583B02"/>
    <w:rsid w:val="005848C7"/>
    <w:rsid w:val="00585C76"/>
    <w:rsid w:val="00585CAA"/>
    <w:rsid w:val="00585EBB"/>
    <w:rsid w:val="00586B62"/>
    <w:rsid w:val="00586E65"/>
    <w:rsid w:val="005905F5"/>
    <w:rsid w:val="00590B4B"/>
    <w:rsid w:val="005910D5"/>
    <w:rsid w:val="005912A8"/>
    <w:rsid w:val="00594D77"/>
    <w:rsid w:val="005963C3"/>
    <w:rsid w:val="005969E4"/>
    <w:rsid w:val="00597C1B"/>
    <w:rsid w:val="005A0035"/>
    <w:rsid w:val="005A06B7"/>
    <w:rsid w:val="005A07DC"/>
    <w:rsid w:val="005A0FB0"/>
    <w:rsid w:val="005A14D1"/>
    <w:rsid w:val="005A1759"/>
    <w:rsid w:val="005A1CC0"/>
    <w:rsid w:val="005A2846"/>
    <w:rsid w:val="005A2BAA"/>
    <w:rsid w:val="005A2EB4"/>
    <w:rsid w:val="005A68A7"/>
    <w:rsid w:val="005B266E"/>
    <w:rsid w:val="005B5F39"/>
    <w:rsid w:val="005B6035"/>
    <w:rsid w:val="005C0234"/>
    <w:rsid w:val="005C13C8"/>
    <w:rsid w:val="005C1BA4"/>
    <w:rsid w:val="005C40DB"/>
    <w:rsid w:val="005C59AC"/>
    <w:rsid w:val="005C715B"/>
    <w:rsid w:val="005C794F"/>
    <w:rsid w:val="005D1BBD"/>
    <w:rsid w:val="005D25A3"/>
    <w:rsid w:val="005D28E6"/>
    <w:rsid w:val="005D2C69"/>
    <w:rsid w:val="005D36AB"/>
    <w:rsid w:val="005D3B29"/>
    <w:rsid w:val="005D3E54"/>
    <w:rsid w:val="005D53B0"/>
    <w:rsid w:val="005D5D24"/>
    <w:rsid w:val="005D6839"/>
    <w:rsid w:val="005D6F80"/>
    <w:rsid w:val="005E07E3"/>
    <w:rsid w:val="005E12E5"/>
    <w:rsid w:val="005E30E5"/>
    <w:rsid w:val="005E58A0"/>
    <w:rsid w:val="005E6BE1"/>
    <w:rsid w:val="005E7BF9"/>
    <w:rsid w:val="005F12DC"/>
    <w:rsid w:val="005F1C91"/>
    <w:rsid w:val="005F1D4C"/>
    <w:rsid w:val="005F2AE1"/>
    <w:rsid w:val="005F38F6"/>
    <w:rsid w:val="005F3F0E"/>
    <w:rsid w:val="005F4D16"/>
    <w:rsid w:val="005F4EE3"/>
    <w:rsid w:val="005F53F4"/>
    <w:rsid w:val="005F60A2"/>
    <w:rsid w:val="005F7B9D"/>
    <w:rsid w:val="00601737"/>
    <w:rsid w:val="0060193A"/>
    <w:rsid w:val="00602B06"/>
    <w:rsid w:val="006075C1"/>
    <w:rsid w:val="00607D7C"/>
    <w:rsid w:val="006107C8"/>
    <w:rsid w:val="00610F05"/>
    <w:rsid w:val="00612B09"/>
    <w:rsid w:val="0061342E"/>
    <w:rsid w:val="00614CD4"/>
    <w:rsid w:val="006150DC"/>
    <w:rsid w:val="0061539A"/>
    <w:rsid w:val="00615952"/>
    <w:rsid w:val="00617CC3"/>
    <w:rsid w:val="00623AF7"/>
    <w:rsid w:val="00636753"/>
    <w:rsid w:val="00636807"/>
    <w:rsid w:val="006377A6"/>
    <w:rsid w:val="00637A3D"/>
    <w:rsid w:val="00637DCE"/>
    <w:rsid w:val="006411EF"/>
    <w:rsid w:val="0064470F"/>
    <w:rsid w:val="0064795B"/>
    <w:rsid w:val="006508A9"/>
    <w:rsid w:val="00651452"/>
    <w:rsid w:val="00653BC1"/>
    <w:rsid w:val="00654F08"/>
    <w:rsid w:val="006552F2"/>
    <w:rsid w:val="00657118"/>
    <w:rsid w:val="00657361"/>
    <w:rsid w:val="00661015"/>
    <w:rsid w:val="006635FE"/>
    <w:rsid w:val="00666156"/>
    <w:rsid w:val="006669E5"/>
    <w:rsid w:val="00672FE8"/>
    <w:rsid w:val="00672FF0"/>
    <w:rsid w:val="00673F16"/>
    <w:rsid w:val="006748B8"/>
    <w:rsid w:val="006758FB"/>
    <w:rsid w:val="0067705E"/>
    <w:rsid w:val="006775C3"/>
    <w:rsid w:val="00682A62"/>
    <w:rsid w:val="00685C37"/>
    <w:rsid w:val="00687226"/>
    <w:rsid w:val="00691732"/>
    <w:rsid w:val="006918EF"/>
    <w:rsid w:val="0069290A"/>
    <w:rsid w:val="00692B95"/>
    <w:rsid w:val="00693D55"/>
    <w:rsid w:val="00695F40"/>
    <w:rsid w:val="0069693F"/>
    <w:rsid w:val="0069775A"/>
    <w:rsid w:val="00697813"/>
    <w:rsid w:val="0069794D"/>
    <w:rsid w:val="00697E0F"/>
    <w:rsid w:val="006A0AD8"/>
    <w:rsid w:val="006A0F96"/>
    <w:rsid w:val="006A0FE3"/>
    <w:rsid w:val="006A2B27"/>
    <w:rsid w:val="006A2DE5"/>
    <w:rsid w:val="006A3EE8"/>
    <w:rsid w:val="006A552A"/>
    <w:rsid w:val="006A6348"/>
    <w:rsid w:val="006A688F"/>
    <w:rsid w:val="006A7186"/>
    <w:rsid w:val="006A72BF"/>
    <w:rsid w:val="006A74D9"/>
    <w:rsid w:val="006B03F2"/>
    <w:rsid w:val="006B07CD"/>
    <w:rsid w:val="006B37DC"/>
    <w:rsid w:val="006B4F68"/>
    <w:rsid w:val="006B574E"/>
    <w:rsid w:val="006B77B1"/>
    <w:rsid w:val="006B7BC1"/>
    <w:rsid w:val="006C0592"/>
    <w:rsid w:val="006C1E62"/>
    <w:rsid w:val="006C272E"/>
    <w:rsid w:val="006C320E"/>
    <w:rsid w:val="006C534E"/>
    <w:rsid w:val="006C5479"/>
    <w:rsid w:val="006C5A46"/>
    <w:rsid w:val="006D13B5"/>
    <w:rsid w:val="006D4182"/>
    <w:rsid w:val="006D7B85"/>
    <w:rsid w:val="006E12FF"/>
    <w:rsid w:val="006E607E"/>
    <w:rsid w:val="006E6417"/>
    <w:rsid w:val="006E7312"/>
    <w:rsid w:val="006E7719"/>
    <w:rsid w:val="006F1974"/>
    <w:rsid w:val="006F4333"/>
    <w:rsid w:val="007008A0"/>
    <w:rsid w:val="007017D8"/>
    <w:rsid w:val="007040A1"/>
    <w:rsid w:val="00704634"/>
    <w:rsid w:val="00704CEF"/>
    <w:rsid w:val="00704EB4"/>
    <w:rsid w:val="007053B6"/>
    <w:rsid w:val="007057C5"/>
    <w:rsid w:val="007067A5"/>
    <w:rsid w:val="00706C5D"/>
    <w:rsid w:val="00710CC7"/>
    <w:rsid w:val="00712689"/>
    <w:rsid w:val="00712AF4"/>
    <w:rsid w:val="0071473D"/>
    <w:rsid w:val="00715F2E"/>
    <w:rsid w:val="00715FB3"/>
    <w:rsid w:val="00716612"/>
    <w:rsid w:val="00716BC7"/>
    <w:rsid w:val="00717131"/>
    <w:rsid w:val="00720700"/>
    <w:rsid w:val="0072175A"/>
    <w:rsid w:val="00721935"/>
    <w:rsid w:val="00723349"/>
    <w:rsid w:val="00723A49"/>
    <w:rsid w:val="00724283"/>
    <w:rsid w:val="0072622C"/>
    <w:rsid w:val="007267F5"/>
    <w:rsid w:val="00727F39"/>
    <w:rsid w:val="00730ADD"/>
    <w:rsid w:val="00732922"/>
    <w:rsid w:val="007340AF"/>
    <w:rsid w:val="00734E03"/>
    <w:rsid w:val="0073529F"/>
    <w:rsid w:val="0073554E"/>
    <w:rsid w:val="007417AE"/>
    <w:rsid w:val="00741B84"/>
    <w:rsid w:val="00743592"/>
    <w:rsid w:val="00743D48"/>
    <w:rsid w:val="0074454E"/>
    <w:rsid w:val="00745B6D"/>
    <w:rsid w:val="00745E33"/>
    <w:rsid w:val="00750C6A"/>
    <w:rsid w:val="0075154A"/>
    <w:rsid w:val="0075162E"/>
    <w:rsid w:val="00751729"/>
    <w:rsid w:val="00751C3B"/>
    <w:rsid w:val="00751FF2"/>
    <w:rsid w:val="00754034"/>
    <w:rsid w:val="007556B4"/>
    <w:rsid w:val="00756556"/>
    <w:rsid w:val="007565DA"/>
    <w:rsid w:val="007574CD"/>
    <w:rsid w:val="00757B48"/>
    <w:rsid w:val="00757B9E"/>
    <w:rsid w:val="00757CC1"/>
    <w:rsid w:val="0076010E"/>
    <w:rsid w:val="007618C4"/>
    <w:rsid w:val="007629B1"/>
    <w:rsid w:val="00763BF4"/>
    <w:rsid w:val="0076407D"/>
    <w:rsid w:val="0076469E"/>
    <w:rsid w:val="0076681F"/>
    <w:rsid w:val="00767980"/>
    <w:rsid w:val="00770B19"/>
    <w:rsid w:val="00770BA3"/>
    <w:rsid w:val="00771FB3"/>
    <w:rsid w:val="00772434"/>
    <w:rsid w:val="007737E1"/>
    <w:rsid w:val="0077463F"/>
    <w:rsid w:val="00777529"/>
    <w:rsid w:val="00781CB3"/>
    <w:rsid w:val="0078278A"/>
    <w:rsid w:val="00782BF2"/>
    <w:rsid w:val="007836EA"/>
    <w:rsid w:val="00783F2F"/>
    <w:rsid w:val="00784CDA"/>
    <w:rsid w:val="00785460"/>
    <w:rsid w:val="00785931"/>
    <w:rsid w:val="0078646A"/>
    <w:rsid w:val="00787833"/>
    <w:rsid w:val="00787B94"/>
    <w:rsid w:val="00787BAA"/>
    <w:rsid w:val="007906C4"/>
    <w:rsid w:val="007940EA"/>
    <w:rsid w:val="00795785"/>
    <w:rsid w:val="00796076"/>
    <w:rsid w:val="00796204"/>
    <w:rsid w:val="007967E8"/>
    <w:rsid w:val="007972F4"/>
    <w:rsid w:val="007A0B84"/>
    <w:rsid w:val="007A1967"/>
    <w:rsid w:val="007A1CBB"/>
    <w:rsid w:val="007A2170"/>
    <w:rsid w:val="007A22BF"/>
    <w:rsid w:val="007A3323"/>
    <w:rsid w:val="007A3DA4"/>
    <w:rsid w:val="007A7279"/>
    <w:rsid w:val="007B0BFA"/>
    <w:rsid w:val="007B1F32"/>
    <w:rsid w:val="007B2828"/>
    <w:rsid w:val="007B3E8F"/>
    <w:rsid w:val="007B4224"/>
    <w:rsid w:val="007B480B"/>
    <w:rsid w:val="007B4F77"/>
    <w:rsid w:val="007B52A3"/>
    <w:rsid w:val="007B5BE7"/>
    <w:rsid w:val="007B5FB7"/>
    <w:rsid w:val="007B6163"/>
    <w:rsid w:val="007B6E4D"/>
    <w:rsid w:val="007B72B8"/>
    <w:rsid w:val="007B7A58"/>
    <w:rsid w:val="007C0254"/>
    <w:rsid w:val="007C08D2"/>
    <w:rsid w:val="007C0ECF"/>
    <w:rsid w:val="007C135B"/>
    <w:rsid w:val="007C1C30"/>
    <w:rsid w:val="007C1EB9"/>
    <w:rsid w:val="007C21B5"/>
    <w:rsid w:val="007C4570"/>
    <w:rsid w:val="007C500E"/>
    <w:rsid w:val="007D31A4"/>
    <w:rsid w:val="007E06B2"/>
    <w:rsid w:val="007E0D5B"/>
    <w:rsid w:val="007E1BD6"/>
    <w:rsid w:val="007E1C6B"/>
    <w:rsid w:val="007E36B8"/>
    <w:rsid w:val="007E4BD2"/>
    <w:rsid w:val="007E6C02"/>
    <w:rsid w:val="007F1634"/>
    <w:rsid w:val="007F258A"/>
    <w:rsid w:val="007F4A33"/>
    <w:rsid w:val="007F58DB"/>
    <w:rsid w:val="007F708D"/>
    <w:rsid w:val="007F7090"/>
    <w:rsid w:val="007F7D0A"/>
    <w:rsid w:val="008009B9"/>
    <w:rsid w:val="00801393"/>
    <w:rsid w:val="0080184D"/>
    <w:rsid w:val="008027DD"/>
    <w:rsid w:val="00802B19"/>
    <w:rsid w:val="00802F88"/>
    <w:rsid w:val="00804137"/>
    <w:rsid w:val="0080662F"/>
    <w:rsid w:val="00810304"/>
    <w:rsid w:val="00810BE8"/>
    <w:rsid w:val="0081293E"/>
    <w:rsid w:val="00812C41"/>
    <w:rsid w:val="0081375E"/>
    <w:rsid w:val="008138EB"/>
    <w:rsid w:val="008149F2"/>
    <w:rsid w:val="0081541B"/>
    <w:rsid w:val="00815465"/>
    <w:rsid w:val="00817E9A"/>
    <w:rsid w:val="00821384"/>
    <w:rsid w:val="0082543D"/>
    <w:rsid w:val="00825646"/>
    <w:rsid w:val="00826876"/>
    <w:rsid w:val="00827CA2"/>
    <w:rsid w:val="00827E73"/>
    <w:rsid w:val="0083016D"/>
    <w:rsid w:val="008306BD"/>
    <w:rsid w:val="00830B71"/>
    <w:rsid w:val="008317E1"/>
    <w:rsid w:val="00831A80"/>
    <w:rsid w:val="00833743"/>
    <w:rsid w:val="008340A4"/>
    <w:rsid w:val="00835030"/>
    <w:rsid w:val="00835D32"/>
    <w:rsid w:val="0083631C"/>
    <w:rsid w:val="0083668D"/>
    <w:rsid w:val="0083744F"/>
    <w:rsid w:val="00841684"/>
    <w:rsid w:val="008422E3"/>
    <w:rsid w:val="00842D5F"/>
    <w:rsid w:val="008430BF"/>
    <w:rsid w:val="00843E9F"/>
    <w:rsid w:val="00844E8C"/>
    <w:rsid w:val="008451A8"/>
    <w:rsid w:val="008469F9"/>
    <w:rsid w:val="00846F3E"/>
    <w:rsid w:val="00847D17"/>
    <w:rsid w:val="0085010C"/>
    <w:rsid w:val="00851CED"/>
    <w:rsid w:val="0085312C"/>
    <w:rsid w:val="00855C16"/>
    <w:rsid w:val="00856AD1"/>
    <w:rsid w:val="0086130A"/>
    <w:rsid w:val="008628AF"/>
    <w:rsid w:val="008634B0"/>
    <w:rsid w:val="00864F67"/>
    <w:rsid w:val="00865781"/>
    <w:rsid w:val="0086630A"/>
    <w:rsid w:val="00866DC5"/>
    <w:rsid w:val="0086786D"/>
    <w:rsid w:val="00870791"/>
    <w:rsid w:val="00870FB4"/>
    <w:rsid w:val="0087135F"/>
    <w:rsid w:val="00872D94"/>
    <w:rsid w:val="00874445"/>
    <w:rsid w:val="008762A1"/>
    <w:rsid w:val="00880364"/>
    <w:rsid w:val="0088203D"/>
    <w:rsid w:val="00882966"/>
    <w:rsid w:val="0088312F"/>
    <w:rsid w:val="00883849"/>
    <w:rsid w:val="008841AF"/>
    <w:rsid w:val="00884E95"/>
    <w:rsid w:val="00885180"/>
    <w:rsid w:val="00885E5D"/>
    <w:rsid w:val="00886300"/>
    <w:rsid w:val="00891592"/>
    <w:rsid w:val="00891E9E"/>
    <w:rsid w:val="00892020"/>
    <w:rsid w:val="00896137"/>
    <w:rsid w:val="00896234"/>
    <w:rsid w:val="0089625A"/>
    <w:rsid w:val="0089702C"/>
    <w:rsid w:val="008A1BC1"/>
    <w:rsid w:val="008A2931"/>
    <w:rsid w:val="008A2A99"/>
    <w:rsid w:val="008A2F68"/>
    <w:rsid w:val="008A458A"/>
    <w:rsid w:val="008A5A22"/>
    <w:rsid w:val="008A603C"/>
    <w:rsid w:val="008A616E"/>
    <w:rsid w:val="008A72D9"/>
    <w:rsid w:val="008A73EB"/>
    <w:rsid w:val="008A78F9"/>
    <w:rsid w:val="008B1329"/>
    <w:rsid w:val="008B1BBA"/>
    <w:rsid w:val="008B21A9"/>
    <w:rsid w:val="008B3568"/>
    <w:rsid w:val="008B4FA6"/>
    <w:rsid w:val="008B51A2"/>
    <w:rsid w:val="008B5282"/>
    <w:rsid w:val="008B5566"/>
    <w:rsid w:val="008B7C17"/>
    <w:rsid w:val="008B7D71"/>
    <w:rsid w:val="008C2D01"/>
    <w:rsid w:val="008C40E6"/>
    <w:rsid w:val="008C4DDA"/>
    <w:rsid w:val="008C5390"/>
    <w:rsid w:val="008C72CB"/>
    <w:rsid w:val="008D0F7A"/>
    <w:rsid w:val="008D1B17"/>
    <w:rsid w:val="008D68CF"/>
    <w:rsid w:val="008D68E4"/>
    <w:rsid w:val="008E0506"/>
    <w:rsid w:val="008E0CFF"/>
    <w:rsid w:val="008E3187"/>
    <w:rsid w:val="008E476D"/>
    <w:rsid w:val="008E50D7"/>
    <w:rsid w:val="008E5D6B"/>
    <w:rsid w:val="008E5E30"/>
    <w:rsid w:val="008E65A7"/>
    <w:rsid w:val="008E667F"/>
    <w:rsid w:val="008E66DB"/>
    <w:rsid w:val="008E70FD"/>
    <w:rsid w:val="008E76F0"/>
    <w:rsid w:val="008E7CBE"/>
    <w:rsid w:val="008F15FE"/>
    <w:rsid w:val="008F2D29"/>
    <w:rsid w:val="008F4D1F"/>
    <w:rsid w:val="008F5187"/>
    <w:rsid w:val="008F53F7"/>
    <w:rsid w:val="008F584A"/>
    <w:rsid w:val="008F60D8"/>
    <w:rsid w:val="008F7C0D"/>
    <w:rsid w:val="008F7C8F"/>
    <w:rsid w:val="00900738"/>
    <w:rsid w:val="00901170"/>
    <w:rsid w:val="009023E7"/>
    <w:rsid w:val="00902727"/>
    <w:rsid w:val="0090312B"/>
    <w:rsid w:val="0090454D"/>
    <w:rsid w:val="00904CDA"/>
    <w:rsid w:val="00906021"/>
    <w:rsid w:val="00907678"/>
    <w:rsid w:val="009104B2"/>
    <w:rsid w:val="00910722"/>
    <w:rsid w:val="00910FD2"/>
    <w:rsid w:val="00912665"/>
    <w:rsid w:val="00912D62"/>
    <w:rsid w:val="009139FA"/>
    <w:rsid w:val="00913A35"/>
    <w:rsid w:val="00914179"/>
    <w:rsid w:val="009172FE"/>
    <w:rsid w:val="0091736D"/>
    <w:rsid w:val="009177BB"/>
    <w:rsid w:val="0091787B"/>
    <w:rsid w:val="0092215E"/>
    <w:rsid w:val="009238DE"/>
    <w:rsid w:val="00923AE0"/>
    <w:rsid w:val="009269F5"/>
    <w:rsid w:val="00926D3F"/>
    <w:rsid w:val="0093037A"/>
    <w:rsid w:val="00930F36"/>
    <w:rsid w:val="009329A6"/>
    <w:rsid w:val="009336C5"/>
    <w:rsid w:val="00935F6C"/>
    <w:rsid w:val="00937957"/>
    <w:rsid w:val="00937F20"/>
    <w:rsid w:val="0094154D"/>
    <w:rsid w:val="00942139"/>
    <w:rsid w:val="00944454"/>
    <w:rsid w:val="00945FF6"/>
    <w:rsid w:val="00946BB1"/>
    <w:rsid w:val="0095155F"/>
    <w:rsid w:val="00951983"/>
    <w:rsid w:val="00951DC4"/>
    <w:rsid w:val="00952AD6"/>
    <w:rsid w:val="009539C3"/>
    <w:rsid w:val="00954429"/>
    <w:rsid w:val="009550A0"/>
    <w:rsid w:val="009563CE"/>
    <w:rsid w:val="00956FCE"/>
    <w:rsid w:val="00957E6F"/>
    <w:rsid w:val="009613B2"/>
    <w:rsid w:val="0096396E"/>
    <w:rsid w:val="0096474D"/>
    <w:rsid w:val="009668B6"/>
    <w:rsid w:val="0096757E"/>
    <w:rsid w:val="00967A7F"/>
    <w:rsid w:val="00967B2A"/>
    <w:rsid w:val="00967FC3"/>
    <w:rsid w:val="009759B6"/>
    <w:rsid w:val="009760B7"/>
    <w:rsid w:val="00976328"/>
    <w:rsid w:val="0097680D"/>
    <w:rsid w:val="00977727"/>
    <w:rsid w:val="00980141"/>
    <w:rsid w:val="0098087E"/>
    <w:rsid w:val="00982438"/>
    <w:rsid w:val="00982FE8"/>
    <w:rsid w:val="0098369F"/>
    <w:rsid w:val="0098404C"/>
    <w:rsid w:val="00984260"/>
    <w:rsid w:val="00984AC5"/>
    <w:rsid w:val="00985283"/>
    <w:rsid w:val="009854A7"/>
    <w:rsid w:val="009868CD"/>
    <w:rsid w:val="00991664"/>
    <w:rsid w:val="00991BC4"/>
    <w:rsid w:val="00991CA1"/>
    <w:rsid w:val="0099295B"/>
    <w:rsid w:val="00994374"/>
    <w:rsid w:val="00995992"/>
    <w:rsid w:val="00997451"/>
    <w:rsid w:val="00997863"/>
    <w:rsid w:val="009A03E5"/>
    <w:rsid w:val="009A0F3B"/>
    <w:rsid w:val="009A1AF7"/>
    <w:rsid w:val="009A1BB4"/>
    <w:rsid w:val="009A1C24"/>
    <w:rsid w:val="009A2628"/>
    <w:rsid w:val="009A3200"/>
    <w:rsid w:val="009A4E17"/>
    <w:rsid w:val="009A5572"/>
    <w:rsid w:val="009A60E5"/>
    <w:rsid w:val="009B0671"/>
    <w:rsid w:val="009B0897"/>
    <w:rsid w:val="009B09C0"/>
    <w:rsid w:val="009B0F7E"/>
    <w:rsid w:val="009B596C"/>
    <w:rsid w:val="009B61B6"/>
    <w:rsid w:val="009B7BD9"/>
    <w:rsid w:val="009C0BB3"/>
    <w:rsid w:val="009C15CE"/>
    <w:rsid w:val="009C42BE"/>
    <w:rsid w:val="009C4A80"/>
    <w:rsid w:val="009C5CAB"/>
    <w:rsid w:val="009C68B9"/>
    <w:rsid w:val="009C6E29"/>
    <w:rsid w:val="009C7DD5"/>
    <w:rsid w:val="009D01A7"/>
    <w:rsid w:val="009D1463"/>
    <w:rsid w:val="009D49E1"/>
    <w:rsid w:val="009D5151"/>
    <w:rsid w:val="009D6F82"/>
    <w:rsid w:val="009D7E2E"/>
    <w:rsid w:val="009E227D"/>
    <w:rsid w:val="009E3207"/>
    <w:rsid w:val="009E5019"/>
    <w:rsid w:val="009E552C"/>
    <w:rsid w:val="009E7A10"/>
    <w:rsid w:val="009E7CBB"/>
    <w:rsid w:val="009F0C64"/>
    <w:rsid w:val="009F283A"/>
    <w:rsid w:val="009F30B5"/>
    <w:rsid w:val="009F433D"/>
    <w:rsid w:val="009F47CC"/>
    <w:rsid w:val="009F490C"/>
    <w:rsid w:val="009F4DC7"/>
    <w:rsid w:val="009F4EC1"/>
    <w:rsid w:val="009F7611"/>
    <w:rsid w:val="00A00404"/>
    <w:rsid w:val="00A01A59"/>
    <w:rsid w:val="00A03741"/>
    <w:rsid w:val="00A04F1B"/>
    <w:rsid w:val="00A0501B"/>
    <w:rsid w:val="00A056EF"/>
    <w:rsid w:val="00A06C2C"/>
    <w:rsid w:val="00A06D1D"/>
    <w:rsid w:val="00A07022"/>
    <w:rsid w:val="00A07340"/>
    <w:rsid w:val="00A10C6B"/>
    <w:rsid w:val="00A1286A"/>
    <w:rsid w:val="00A12CCB"/>
    <w:rsid w:val="00A13115"/>
    <w:rsid w:val="00A14947"/>
    <w:rsid w:val="00A161B7"/>
    <w:rsid w:val="00A20718"/>
    <w:rsid w:val="00A21EFA"/>
    <w:rsid w:val="00A221CB"/>
    <w:rsid w:val="00A22EC7"/>
    <w:rsid w:val="00A27D6F"/>
    <w:rsid w:val="00A322C7"/>
    <w:rsid w:val="00A32A83"/>
    <w:rsid w:val="00A32FA0"/>
    <w:rsid w:val="00A332FC"/>
    <w:rsid w:val="00A35011"/>
    <w:rsid w:val="00A368DB"/>
    <w:rsid w:val="00A379BE"/>
    <w:rsid w:val="00A423AA"/>
    <w:rsid w:val="00A42F79"/>
    <w:rsid w:val="00A438B3"/>
    <w:rsid w:val="00A504AA"/>
    <w:rsid w:val="00A50DD2"/>
    <w:rsid w:val="00A5108C"/>
    <w:rsid w:val="00A53214"/>
    <w:rsid w:val="00A53EC6"/>
    <w:rsid w:val="00A54289"/>
    <w:rsid w:val="00A55C0F"/>
    <w:rsid w:val="00A55EBB"/>
    <w:rsid w:val="00A560D3"/>
    <w:rsid w:val="00A57171"/>
    <w:rsid w:val="00A57758"/>
    <w:rsid w:val="00A62E9F"/>
    <w:rsid w:val="00A633F7"/>
    <w:rsid w:val="00A63DF6"/>
    <w:rsid w:val="00A67B80"/>
    <w:rsid w:val="00A71383"/>
    <w:rsid w:val="00A7177B"/>
    <w:rsid w:val="00A75482"/>
    <w:rsid w:val="00A75DC4"/>
    <w:rsid w:val="00A77A44"/>
    <w:rsid w:val="00A8246E"/>
    <w:rsid w:val="00A8348B"/>
    <w:rsid w:val="00A83A57"/>
    <w:rsid w:val="00A845FE"/>
    <w:rsid w:val="00A86002"/>
    <w:rsid w:val="00A8713F"/>
    <w:rsid w:val="00A872EB"/>
    <w:rsid w:val="00A8761C"/>
    <w:rsid w:val="00A90BA1"/>
    <w:rsid w:val="00A922D6"/>
    <w:rsid w:val="00A9354F"/>
    <w:rsid w:val="00A93C2A"/>
    <w:rsid w:val="00A93FCC"/>
    <w:rsid w:val="00A9507D"/>
    <w:rsid w:val="00A9546F"/>
    <w:rsid w:val="00A963BA"/>
    <w:rsid w:val="00A97A9A"/>
    <w:rsid w:val="00AA0671"/>
    <w:rsid w:val="00AA0A9F"/>
    <w:rsid w:val="00AA147F"/>
    <w:rsid w:val="00AA2447"/>
    <w:rsid w:val="00AA2531"/>
    <w:rsid w:val="00AA2A21"/>
    <w:rsid w:val="00AA7273"/>
    <w:rsid w:val="00AA7987"/>
    <w:rsid w:val="00AB0396"/>
    <w:rsid w:val="00AB14A1"/>
    <w:rsid w:val="00AB1E09"/>
    <w:rsid w:val="00AB1F89"/>
    <w:rsid w:val="00AB2D99"/>
    <w:rsid w:val="00AB35F5"/>
    <w:rsid w:val="00AB4A0E"/>
    <w:rsid w:val="00AB5330"/>
    <w:rsid w:val="00AB54C6"/>
    <w:rsid w:val="00AB5B57"/>
    <w:rsid w:val="00AB685D"/>
    <w:rsid w:val="00AB7747"/>
    <w:rsid w:val="00AC0B5B"/>
    <w:rsid w:val="00AC14CE"/>
    <w:rsid w:val="00AC1FF0"/>
    <w:rsid w:val="00AC2A56"/>
    <w:rsid w:val="00AC3D47"/>
    <w:rsid w:val="00AC6B57"/>
    <w:rsid w:val="00AD055E"/>
    <w:rsid w:val="00AD0F96"/>
    <w:rsid w:val="00AD114F"/>
    <w:rsid w:val="00AD1ED8"/>
    <w:rsid w:val="00AD2A21"/>
    <w:rsid w:val="00AD324B"/>
    <w:rsid w:val="00AD35CD"/>
    <w:rsid w:val="00AD47A7"/>
    <w:rsid w:val="00AD57E0"/>
    <w:rsid w:val="00AD61C4"/>
    <w:rsid w:val="00AE1BE3"/>
    <w:rsid w:val="00AE1F49"/>
    <w:rsid w:val="00AE2619"/>
    <w:rsid w:val="00AE28C6"/>
    <w:rsid w:val="00AE2964"/>
    <w:rsid w:val="00AE4783"/>
    <w:rsid w:val="00AE6BB0"/>
    <w:rsid w:val="00AE75B4"/>
    <w:rsid w:val="00AF0CBF"/>
    <w:rsid w:val="00AF1205"/>
    <w:rsid w:val="00AF1E55"/>
    <w:rsid w:val="00AF2438"/>
    <w:rsid w:val="00AF257F"/>
    <w:rsid w:val="00AF33CF"/>
    <w:rsid w:val="00AF46AA"/>
    <w:rsid w:val="00AF46DB"/>
    <w:rsid w:val="00AF4D50"/>
    <w:rsid w:val="00AF6179"/>
    <w:rsid w:val="00AF6D40"/>
    <w:rsid w:val="00AF780B"/>
    <w:rsid w:val="00AF7B72"/>
    <w:rsid w:val="00B003A0"/>
    <w:rsid w:val="00B004E1"/>
    <w:rsid w:val="00B04935"/>
    <w:rsid w:val="00B04F2E"/>
    <w:rsid w:val="00B05B51"/>
    <w:rsid w:val="00B06504"/>
    <w:rsid w:val="00B06732"/>
    <w:rsid w:val="00B102B2"/>
    <w:rsid w:val="00B109BE"/>
    <w:rsid w:val="00B1295A"/>
    <w:rsid w:val="00B1341E"/>
    <w:rsid w:val="00B138F6"/>
    <w:rsid w:val="00B147E8"/>
    <w:rsid w:val="00B14EC8"/>
    <w:rsid w:val="00B15D48"/>
    <w:rsid w:val="00B1775F"/>
    <w:rsid w:val="00B20A26"/>
    <w:rsid w:val="00B20A45"/>
    <w:rsid w:val="00B20D98"/>
    <w:rsid w:val="00B22C5C"/>
    <w:rsid w:val="00B23474"/>
    <w:rsid w:val="00B24F30"/>
    <w:rsid w:val="00B27741"/>
    <w:rsid w:val="00B306ED"/>
    <w:rsid w:val="00B30CBA"/>
    <w:rsid w:val="00B31844"/>
    <w:rsid w:val="00B31ABF"/>
    <w:rsid w:val="00B32039"/>
    <w:rsid w:val="00B33BE3"/>
    <w:rsid w:val="00B42D06"/>
    <w:rsid w:val="00B430C4"/>
    <w:rsid w:val="00B44473"/>
    <w:rsid w:val="00B463FD"/>
    <w:rsid w:val="00B46DF4"/>
    <w:rsid w:val="00B47105"/>
    <w:rsid w:val="00B47B85"/>
    <w:rsid w:val="00B50680"/>
    <w:rsid w:val="00B50A78"/>
    <w:rsid w:val="00B53832"/>
    <w:rsid w:val="00B53B5D"/>
    <w:rsid w:val="00B53D0A"/>
    <w:rsid w:val="00B551C5"/>
    <w:rsid w:val="00B575DA"/>
    <w:rsid w:val="00B57A18"/>
    <w:rsid w:val="00B57AA7"/>
    <w:rsid w:val="00B6038A"/>
    <w:rsid w:val="00B6055E"/>
    <w:rsid w:val="00B61E9C"/>
    <w:rsid w:val="00B620F8"/>
    <w:rsid w:val="00B6317D"/>
    <w:rsid w:val="00B639F5"/>
    <w:rsid w:val="00B63D04"/>
    <w:rsid w:val="00B6457F"/>
    <w:rsid w:val="00B70AA3"/>
    <w:rsid w:val="00B73B86"/>
    <w:rsid w:val="00B7449E"/>
    <w:rsid w:val="00B75B42"/>
    <w:rsid w:val="00B7723F"/>
    <w:rsid w:val="00B7751A"/>
    <w:rsid w:val="00B77F55"/>
    <w:rsid w:val="00B80534"/>
    <w:rsid w:val="00B819EF"/>
    <w:rsid w:val="00B8209C"/>
    <w:rsid w:val="00B823D0"/>
    <w:rsid w:val="00B8361D"/>
    <w:rsid w:val="00B8433C"/>
    <w:rsid w:val="00B84B78"/>
    <w:rsid w:val="00B853C4"/>
    <w:rsid w:val="00B85569"/>
    <w:rsid w:val="00B87491"/>
    <w:rsid w:val="00B87D00"/>
    <w:rsid w:val="00B905E9"/>
    <w:rsid w:val="00B916D7"/>
    <w:rsid w:val="00B93DB9"/>
    <w:rsid w:val="00B94E0F"/>
    <w:rsid w:val="00B94ED5"/>
    <w:rsid w:val="00B95AE7"/>
    <w:rsid w:val="00BA0585"/>
    <w:rsid w:val="00BA29E9"/>
    <w:rsid w:val="00BA29EF"/>
    <w:rsid w:val="00BA3727"/>
    <w:rsid w:val="00BA3E47"/>
    <w:rsid w:val="00BA42EB"/>
    <w:rsid w:val="00BA4ABE"/>
    <w:rsid w:val="00BA4B51"/>
    <w:rsid w:val="00BA5765"/>
    <w:rsid w:val="00BA5C0C"/>
    <w:rsid w:val="00BA6D45"/>
    <w:rsid w:val="00BA7142"/>
    <w:rsid w:val="00BB1545"/>
    <w:rsid w:val="00BB1FA2"/>
    <w:rsid w:val="00BB237C"/>
    <w:rsid w:val="00BB3ECE"/>
    <w:rsid w:val="00BB41A3"/>
    <w:rsid w:val="00BB5239"/>
    <w:rsid w:val="00BB5493"/>
    <w:rsid w:val="00BB5D77"/>
    <w:rsid w:val="00BB6474"/>
    <w:rsid w:val="00BB7199"/>
    <w:rsid w:val="00BB7F80"/>
    <w:rsid w:val="00BC0886"/>
    <w:rsid w:val="00BC11F7"/>
    <w:rsid w:val="00BC3016"/>
    <w:rsid w:val="00BC31F6"/>
    <w:rsid w:val="00BC32DC"/>
    <w:rsid w:val="00BC3342"/>
    <w:rsid w:val="00BC35B6"/>
    <w:rsid w:val="00BC4170"/>
    <w:rsid w:val="00BC5D7F"/>
    <w:rsid w:val="00BC5DF7"/>
    <w:rsid w:val="00BC64F7"/>
    <w:rsid w:val="00BC6C68"/>
    <w:rsid w:val="00BC7078"/>
    <w:rsid w:val="00BC7D3E"/>
    <w:rsid w:val="00BD0852"/>
    <w:rsid w:val="00BD112D"/>
    <w:rsid w:val="00BD1B51"/>
    <w:rsid w:val="00BD35A7"/>
    <w:rsid w:val="00BD4596"/>
    <w:rsid w:val="00BD577D"/>
    <w:rsid w:val="00BD704A"/>
    <w:rsid w:val="00BD7225"/>
    <w:rsid w:val="00BE1405"/>
    <w:rsid w:val="00BE21F5"/>
    <w:rsid w:val="00BE312D"/>
    <w:rsid w:val="00BE4D62"/>
    <w:rsid w:val="00BE5091"/>
    <w:rsid w:val="00BE7628"/>
    <w:rsid w:val="00BF07BB"/>
    <w:rsid w:val="00BF1251"/>
    <w:rsid w:val="00BF1635"/>
    <w:rsid w:val="00BF1C20"/>
    <w:rsid w:val="00BF2C33"/>
    <w:rsid w:val="00BF3DF6"/>
    <w:rsid w:val="00BF440B"/>
    <w:rsid w:val="00BF6116"/>
    <w:rsid w:val="00BF70DA"/>
    <w:rsid w:val="00C0093C"/>
    <w:rsid w:val="00C009C1"/>
    <w:rsid w:val="00C03624"/>
    <w:rsid w:val="00C03B0E"/>
    <w:rsid w:val="00C05844"/>
    <w:rsid w:val="00C10578"/>
    <w:rsid w:val="00C11046"/>
    <w:rsid w:val="00C11DF0"/>
    <w:rsid w:val="00C124B0"/>
    <w:rsid w:val="00C135BC"/>
    <w:rsid w:val="00C1447F"/>
    <w:rsid w:val="00C15C95"/>
    <w:rsid w:val="00C17943"/>
    <w:rsid w:val="00C21028"/>
    <w:rsid w:val="00C2596A"/>
    <w:rsid w:val="00C262A7"/>
    <w:rsid w:val="00C27537"/>
    <w:rsid w:val="00C27A03"/>
    <w:rsid w:val="00C303FD"/>
    <w:rsid w:val="00C30B40"/>
    <w:rsid w:val="00C30C4A"/>
    <w:rsid w:val="00C328FE"/>
    <w:rsid w:val="00C32ACC"/>
    <w:rsid w:val="00C32C11"/>
    <w:rsid w:val="00C33507"/>
    <w:rsid w:val="00C34475"/>
    <w:rsid w:val="00C34FA1"/>
    <w:rsid w:val="00C37F49"/>
    <w:rsid w:val="00C402B6"/>
    <w:rsid w:val="00C43EAE"/>
    <w:rsid w:val="00C4409D"/>
    <w:rsid w:val="00C44E72"/>
    <w:rsid w:val="00C455A5"/>
    <w:rsid w:val="00C45A06"/>
    <w:rsid w:val="00C47B8E"/>
    <w:rsid w:val="00C47E5B"/>
    <w:rsid w:val="00C52C76"/>
    <w:rsid w:val="00C5406A"/>
    <w:rsid w:val="00C568E6"/>
    <w:rsid w:val="00C6003A"/>
    <w:rsid w:val="00C60A0A"/>
    <w:rsid w:val="00C61E4B"/>
    <w:rsid w:val="00C621D4"/>
    <w:rsid w:val="00C6280E"/>
    <w:rsid w:val="00C62DEC"/>
    <w:rsid w:val="00C63745"/>
    <w:rsid w:val="00C64BFF"/>
    <w:rsid w:val="00C663FB"/>
    <w:rsid w:val="00C678A9"/>
    <w:rsid w:val="00C67AFF"/>
    <w:rsid w:val="00C67CA3"/>
    <w:rsid w:val="00C704E9"/>
    <w:rsid w:val="00C728FB"/>
    <w:rsid w:val="00C763C9"/>
    <w:rsid w:val="00C80057"/>
    <w:rsid w:val="00C8080F"/>
    <w:rsid w:val="00C80D73"/>
    <w:rsid w:val="00C82232"/>
    <w:rsid w:val="00C82913"/>
    <w:rsid w:val="00C82D51"/>
    <w:rsid w:val="00C876BF"/>
    <w:rsid w:val="00C90F89"/>
    <w:rsid w:val="00C92D90"/>
    <w:rsid w:val="00C930B4"/>
    <w:rsid w:val="00C9394F"/>
    <w:rsid w:val="00C946B7"/>
    <w:rsid w:val="00C94B73"/>
    <w:rsid w:val="00C972B1"/>
    <w:rsid w:val="00C975F2"/>
    <w:rsid w:val="00CA17B9"/>
    <w:rsid w:val="00CA2CCE"/>
    <w:rsid w:val="00CA43FD"/>
    <w:rsid w:val="00CA5B87"/>
    <w:rsid w:val="00CA6DF8"/>
    <w:rsid w:val="00CA71B2"/>
    <w:rsid w:val="00CA7492"/>
    <w:rsid w:val="00CA7EF8"/>
    <w:rsid w:val="00CB0204"/>
    <w:rsid w:val="00CB30F5"/>
    <w:rsid w:val="00CB657D"/>
    <w:rsid w:val="00CC039C"/>
    <w:rsid w:val="00CC0526"/>
    <w:rsid w:val="00CC1854"/>
    <w:rsid w:val="00CC2B18"/>
    <w:rsid w:val="00CC489B"/>
    <w:rsid w:val="00CC4B44"/>
    <w:rsid w:val="00CC4ED1"/>
    <w:rsid w:val="00CC5962"/>
    <w:rsid w:val="00CD2BCD"/>
    <w:rsid w:val="00CD3A4C"/>
    <w:rsid w:val="00CD488E"/>
    <w:rsid w:val="00CD60BB"/>
    <w:rsid w:val="00CE0072"/>
    <w:rsid w:val="00CE0A05"/>
    <w:rsid w:val="00CE10E9"/>
    <w:rsid w:val="00CE24E4"/>
    <w:rsid w:val="00CE2910"/>
    <w:rsid w:val="00CE5393"/>
    <w:rsid w:val="00CE6CC4"/>
    <w:rsid w:val="00CE6CF8"/>
    <w:rsid w:val="00CE73AC"/>
    <w:rsid w:val="00CE7BF7"/>
    <w:rsid w:val="00CF0A18"/>
    <w:rsid w:val="00CF2DA5"/>
    <w:rsid w:val="00CF2DEA"/>
    <w:rsid w:val="00CF36BE"/>
    <w:rsid w:val="00CF420B"/>
    <w:rsid w:val="00CF6000"/>
    <w:rsid w:val="00CF6B04"/>
    <w:rsid w:val="00CF76EE"/>
    <w:rsid w:val="00CF7A5B"/>
    <w:rsid w:val="00D003F3"/>
    <w:rsid w:val="00D00686"/>
    <w:rsid w:val="00D017DF"/>
    <w:rsid w:val="00D0364F"/>
    <w:rsid w:val="00D03F4B"/>
    <w:rsid w:val="00D04D87"/>
    <w:rsid w:val="00D04DA5"/>
    <w:rsid w:val="00D0500A"/>
    <w:rsid w:val="00D0561C"/>
    <w:rsid w:val="00D057F3"/>
    <w:rsid w:val="00D05CC2"/>
    <w:rsid w:val="00D05D26"/>
    <w:rsid w:val="00D060F9"/>
    <w:rsid w:val="00D06834"/>
    <w:rsid w:val="00D11AEF"/>
    <w:rsid w:val="00D13C84"/>
    <w:rsid w:val="00D147CB"/>
    <w:rsid w:val="00D14E95"/>
    <w:rsid w:val="00D15490"/>
    <w:rsid w:val="00D21514"/>
    <w:rsid w:val="00D22054"/>
    <w:rsid w:val="00D23466"/>
    <w:rsid w:val="00D242EC"/>
    <w:rsid w:val="00D248D7"/>
    <w:rsid w:val="00D24B8B"/>
    <w:rsid w:val="00D24C3A"/>
    <w:rsid w:val="00D25644"/>
    <w:rsid w:val="00D25C1A"/>
    <w:rsid w:val="00D266DA"/>
    <w:rsid w:val="00D27633"/>
    <w:rsid w:val="00D27BD4"/>
    <w:rsid w:val="00D308ED"/>
    <w:rsid w:val="00D309DD"/>
    <w:rsid w:val="00D34719"/>
    <w:rsid w:val="00D35860"/>
    <w:rsid w:val="00D36D86"/>
    <w:rsid w:val="00D40ADC"/>
    <w:rsid w:val="00D416E7"/>
    <w:rsid w:val="00D41D1F"/>
    <w:rsid w:val="00D428AA"/>
    <w:rsid w:val="00D43186"/>
    <w:rsid w:val="00D47796"/>
    <w:rsid w:val="00D47FF7"/>
    <w:rsid w:val="00D50A34"/>
    <w:rsid w:val="00D51954"/>
    <w:rsid w:val="00D5279D"/>
    <w:rsid w:val="00D53EFA"/>
    <w:rsid w:val="00D541E5"/>
    <w:rsid w:val="00D56E5B"/>
    <w:rsid w:val="00D62E49"/>
    <w:rsid w:val="00D630D8"/>
    <w:rsid w:val="00D632B2"/>
    <w:rsid w:val="00D65496"/>
    <w:rsid w:val="00D72336"/>
    <w:rsid w:val="00D76CD7"/>
    <w:rsid w:val="00D816B7"/>
    <w:rsid w:val="00D81AEC"/>
    <w:rsid w:val="00D837D0"/>
    <w:rsid w:val="00D846C9"/>
    <w:rsid w:val="00D85112"/>
    <w:rsid w:val="00D8567B"/>
    <w:rsid w:val="00D863F4"/>
    <w:rsid w:val="00D875D8"/>
    <w:rsid w:val="00D87D06"/>
    <w:rsid w:val="00D905E5"/>
    <w:rsid w:val="00D90DE4"/>
    <w:rsid w:val="00D91B27"/>
    <w:rsid w:val="00D92A40"/>
    <w:rsid w:val="00D93527"/>
    <w:rsid w:val="00D93D3F"/>
    <w:rsid w:val="00D94A7C"/>
    <w:rsid w:val="00D94DE8"/>
    <w:rsid w:val="00D95777"/>
    <w:rsid w:val="00D95896"/>
    <w:rsid w:val="00D9630D"/>
    <w:rsid w:val="00D96633"/>
    <w:rsid w:val="00D96D8F"/>
    <w:rsid w:val="00D96D9E"/>
    <w:rsid w:val="00DA1026"/>
    <w:rsid w:val="00DA179C"/>
    <w:rsid w:val="00DA2FF7"/>
    <w:rsid w:val="00DB0230"/>
    <w:rsid w:val="00DB1CEF"/>
    <w:rsid w:val="00DB1D49"/>
    <w:rsid w:val="00DB2983"/>
    <w:rsid w:val="00DB374A"/>
    <w:rsid w:val="00DB4A52"/>
    <w:rsid w:val="00DB4D5E"/>
    <w:rsid w:val="00DB4E6B"/>
    <w:rsid w:val="00DB5693"/>
    <w:rsid w:val="00DB61FE"/>
    <w:rsid w:val="00DB7513"/>
    <w:rsid w:val="00DC1257"/>
    <w:rsid w:val="00DC146F"/>
    <w:rsid w:val="00DC1CBE"/>
    <w:rsid w:val="00DC3596"/>
    <w:rsid w:val="00DC3DC0"/>
    <w:rsid w:val="00DC435E"/>
    <w:rsid w:val="00DC571D"/>
    <w:rsid w:val="00DC5B2B"/>
    <w:rsid w:val="00DC6F3B"/>
    <w:rsid w:val="00DC7243"/>
    <w:rsid w:val="00DC7A55"/>
    <w:rsid w:val="00DC7D8A"/>
    <w:rsid w:val="00DC7FCB"/>
    <w:rsid w:val="00DD24EF"/>
    <w:rsid w:val="00DD318D"/>
    <w:rsid w:val="00DD3722"/>
    <w:rsid w:val="00DD5F76"/>
    <w:rsid w:val="00DD76DA"/>
    <w:rsid w:val="00DE00A6"/>
    <w:rsid w:val="00DE07B0"/>
    <w:rsid w:val="00DE2AE0"/>
    <w:rsid w:val="00DE3B82"/>
    <w:rsid w:val="00DF2019"/>
    <w:rsid w:val="00DF2E08"/>
    <w:rsid w:val="00DF2E12"/>
    <w:rsid w:val="00DF4937"/>
    <w:rsid w:val="00DF514A"/>
    <w:rsid w:val="00DF5897"/>
    <w:rsid w:val="00DF5C72"/>
    <w:rsid w:val="00DF6690"/>
    <w:rsid w:val="00DF6804"/>
    <w:rsid w:val="00E01425"/>
    <w:rsid w:val="00E01F5A"/>
    <w:rsid w:val="00E0358D"/>
    <w:rsid w:val="00E04323"/>
    <w:rsid w:val="00E05288"/>
    <w:rsid w:val="00E070A2"/>
    <w:rsid w:val="00E1022C"/>
    <w:rsid w:val="00E1089C"/>
    <w:rsid w:val="00E140E3"/>
    <w:rsid w:val="00E15BD9"/>
    <w:rsid w:val="00E16F3E"/>
    <w:rsid w:val="00E17DBB"/>
    <w:rsid w:val="00E17FCD"/>
    <w:rsid w:val="00E20B4D"/>
    <w:rsid w:val="00E2656A"/>
    <w:rsid w:val="00E34BED"/>
    <w:rsid w:val="00E35DB6"/>
    <w:rsid w:val="00E37F0E"/>
    <w:rsid w:val="00E40131"/>
    <w:rsid w:val="00E40449"/>
    <w:rsid w:val="00E404D7"/>
    <w:rsid w:val="00E412D0"/>
    <w:rsid w:val="00E415F9"/>
    <w:rsid w:val="00E416F8"/>
    <w:rsid w:val="00E419DD"/>
    <w:rsid w:val="00E42C35"/>
    <w:rsid w:val="00E45563"/>
    <w:rsid w:val="00E45C91"/>
    <w:rsid w:val="00E50B55"/>
    <w:rsid w:val="00E5128E"/>
    <w:rsid w:val="00E51556"/>
    <w:rsid w:val="00E515B2"/>
    <w:rsid w:val="00E51A40"/>
    <w:rsid w:val="00E5206F"/>
    <w:rsid w:val="00E52B29"/>
    <w:rsid w:val="00E53F88"/>
    <w:rsid w:val="00E54972"/>
    <w:rsid w:val="00E552A8"/>
    <w:rsid w:val="00E55A37"/>
    <w:rsid w:val="00E56255"/>
    <w:rsid w:val="00E56322"/>
    <w:rsid w:val="00E57B2F"/>
    <w:rsid w:val="00E57F20"/>
    <w:rsid w:val="00E60058"/>
    <w:rsid w:val="00E60085"/>
    <w:rsid w:val="00E60417"/>
    <w:rsid w:val="00E6072F"/>
    <w:rsid w:val="00E60982"/>
    <w:rsid w:val="00E614BB"/>
    <w:rsid w:val="00E62BF3"/>
    <w:rsid w:val="00E62C62"/>
    <w:rsid w:val="00E63EE6"/>
    <w:rsid w:val="00E654C1"/>
    <w:rsid w:val="00E65D97"/>
    <w:rsid w:val="00E67932"/>
    <w:rsid w:val="00E716D7"/>
    <w:rsid w:val="00E72A5A"/>
    <w:rsid w:val="00E73315"/>
    <w:rsid w:val="00E73354"/>
    <w:rsid w:val="00E73735"/>
    <w:rsid w:val="00E74206"/>
    <w:rsid w:val="00E75B49"/>
    <w:rsid w:val="00E8035A"/>
    <w:rsid w:val="00E811C7"/>
    <w:rsid w:val="00E8639F"/>
    <w:rsid w:val="00E90D10"/>
    <w:rsid w:val="00E9135E"/>
    <w:rsid w:val="00E91EA3"/>
    <w:rsid w:val="00E9242D"/>
    <w:rsid w:val="00E9500B"/>
    <w:rsid w:val="00E97309"/>
    <w:rsid w:val="00E978DD"/>
    <w:rsid w:val="00E97ABF"/>
    <w:rsid w:val="00EA03CA"/>
    <w:rsid w:val="00EA0BBF"/>
    <w:rsid w:val="00EA1788"/>
    <w:rsid w:val="00EA1A92"/>
    <w:rsid w:val="00EA309E"/>
    <w:rsid w:val="00EA3E56"/>
    <w:rsid w:val="00EA427E"/>
    <w:rsid w:val="00EA5B35"/>
    <w:rsid w:val="00EA5B5E"/>
    <w:rsid w:val="00EB0C5E"/>
    <w:rsid w:val="00EB18AF"/>
    <w:rsid w:val="00EB1992"/>
    <w:rsid w:val="00EB3F9F"/>
    <w:rsid w:val="00EB4A2E"/>
    <w:rsid w:val="00EB4ABB"/>
    <w:rsid w:val="00EB5255"/>
    <w:rsid w:val="00EB5C47"/>
    <w:rsid w:val="00EB667D"/>
    <w:rsid w:val="00EB68AD"/>
    <w:rsid w:val="00EB7E35"/>
    <w:rsid w:val="00EC2FAC"/>
    <w:rsid w:val="00EC346E"/>
    <w:rsid w:val="00EC3B9A"/>
    <w:rsid w:val="00EC3E14"/>
    <w:rsid w:val="00EC3F88"/>
    <w:rsid w:val="00EC4C68"/>
    <w:rsid w:val="00EC5319"/>
    <w:rsid w:val="00EC5FF1"/>
    <w:rsid w:val="00EC6A23"/>
    <w:rsid w:val="00ED0309"/>
    <w:rsid w:val="00ED0639"/>
    <w:rsid w:val="00ED0E8B"/>
    <w:rsid w:val="00ED4FDE"/>
    <w:rsid w:val="00ED5206"/>
    <w:rsid w:val="00ED68C3"/>
    <w:rsid w:val="00ED712C"/>
    <w:rsid w:val="00ED7EEF"/>
    <w:rsid w:val="00EE299A"/>
    <w:rsid w:val="00EE2AEB"/>
    <w:rsid w:val="00EE538A"/>
    <w:rsid w:val="00EE6152"/>
    <w:rsid w:val="00EE64BE"/>
    <w:rsid w:val="00EF0853"/>
    <w:rsid w:val="00EF0D38"/>
    <w:rsid w:val="00EF4755"/>
    <w:rsid w:val="00EF57F7"/>
    <w:rsid w:val="00EF5E39"/>
    <w:rsid w:val="00EF7135"/>
    <w:rsid w:val="00F00810"/>
    <w:rsid w:val="00F00AB1"/>
    <w:rsid w:val="00F01CC8"/>
    <w:rsid w:val="00F027DB"/>
    <w:rsid w:val="00F032C6"/>
    <w:rsid w:val="00F04E6D"/>
    <w:rsid w:val="00F051BF"/>
    <w:rsid w:val="00F054D5"/>
    <w:rsid w:val="00F12313"/>
    <w:rsid w:val="00F139F0"/>
    <w:rsid w:val="00F14A7A"/>
    <w:rsid w:val="00F16D54"/>
    <w:rsid w:val="00F16F07"/>
    <w:rsid w:val="00F17E4B"/>
    <w:rsid w:val="00F17F69"/>
    <w:rsid w:val="00F22985"/>
    <w:rsid w:val="00F24357"/>
    <w:rsid w:val="00F25EAF"/>
    <w:rsid w:val="00F262EB"/>
    <w:rsid w:val="00F26A4C"/>
    <w:rsid w:val="00F31BC5"/>
    <w:rsid w:val="00F32AA3"/>
    <w:rsid w:val="00F331CE"/>
    <w:rsid w:val="00F3383E"/>
    <w:rsid w:val="00F33F8E"/>
    <w:rsid w:val="00F37A9F"/>
    <w:rsid w:val="00F405EF"/>
    <w:rsid w:val="00F41FC7"/>
    <w:rsid w:val="00F42CD0"/>
    <w:rsid w:val="00F43375"/>
    <w:rsid w:val="00F45F36"/>
    <w:rsid w:val="00F465A7"/>
    <w:rsid w:val="00F466AB"/>
    <w:rsid w:val="00F46AD6"/>
    <w:rsid w:val="00F477FF"/>
    <w:rsid w:val="00F50B7C"/>
    <w:rsid w:val="00F50FF8"/>
    <w:rsid w:val="00F53B90"/>
    <w:rsid w:val="00F546D4"/>
    <w:rsid w:val="00F550E6"/>
    <w:rsid w:val="00F56BA7"/>
    <w:rsid w:val="00F56EB8"/>
    <w:rsid w:val="00F6303B"/>
    <w:rsid w:val="00F64F96"/>
    <w:rsid w:val="00F65E4E"/>
    <w:rsid w:val="00F672D9"/>
    <w:rsid w:val="00F67326"/>
    <w:rsid w:val="00F67E58"/>
    <w:rsid w:val="00F736E2"/>
    <w:rsid w:val="00F74345"/>
    <w:rsid w:val="00F744E7"/>
    <w:rsid w:val="00F768F4"/>
    <w:rsid w:val="00F76EF8"/>
    <w:rsid w:val="00F77A2B"/>
    <w:rsid w:val="00F80A0A"/>
    <w:rsid w:val="00F82B19"/>
    <w:rsid w:val="00F84DE2"/>
    <w:rsid w:val="00F862F3"/>
    <w:rsid w:val="00F878AC"/>
    <w:rsid w:val="00F9013E"/>
    <w:rsid w:val="00F90335"/>
    <w:rsid w:val="00F90626"/>
    <w:rsid w:val="00F90799"/>
    <w:rsid w:val="00F90B0B"/>
    <w:rsid w:val="00F90B95"/>
    <w:rsid w:val="00F91B08"/>
    <w:rsid w:val="00F9212D"/>
    <w:rsid w:val="00F922C6"/>
    <w:rsid w:val="00F94CDE"/>
    <w:rsid w:val="00F95D62"/>
    <w:rsid w:val="00F962C1"/>
    <w:rsid w:val="00F965DA"/>
    <w:rsid w:val="00F965ED"/>
    <w:rsid w:val="00FA2B37"/>
    <w:rsid w:val="00FA406A"/>
    <w:rsid w:val="00FA4661"/>
    <w:rsid w:val="00FA6740"/>
    <w:rsid w:val="00FB0C80"/>
    <w:rsid w:val="00FB3B1C"/>
    <w:rsid w:val="00FB503A"/>
    <w:rsid w:val="00FB516C"/>
    <w:rsid w:val="00FB74A7"/>
    <w:rsid w:val="00FB7E97"/>
    <w:rsid w:val="00FC3A79"/>
    <w:rsid w:val="00FC4F69"/>
    <w:rsid w:val="00FC5808"/>
    <w:rsid w:val="00FC691C"/>
    <w:rsid w:val="00FC72C3"/>
    <w:rsid w:val="00FC7D07"/>
    <w:rsid w:val="00FD0236"/>
    <w:rsid w:val="00FD0584"/>
    <w:rsid w:val="00FD18F4"/>
    <w:rsid w:val="00FD1964"/>
    <w:rsid w:val="00FD2972"/>
    <w:rsid w:val="00FD32BF"/>
    <w:rsid w:val="00FD3619"/>
    <w:rsid w:val="00FD5173"/>
    <w:rsid w:val="00FD54DB"/>
    <w:rsid w:val="00FD619F"/>
    <w:rsid w:val="00FD7931"/>
    <w:rsid w:val="00FE03D7"/>
    <w:rsid w:val="00FE0495"/>
    <w:rsid w:val="00FE1319"/>
    <w:rsid w:val="00FE4A3F"/>
    <w:rsid w:val="00FE5FA5"/>
    <w:rsid w:val="00FE648C"/>
    <w:rsid w:val="00FE7616"/>
    <w:rsid w:val="00FF2889"/>
    <w:rsid w:val="00FF2982"/>
    <w:rsid w:val="00FF707C"/>
    <w:rsid w:val="01057174"/>
    <w:rsid w:val="01290F7E"/>
    <w:rsid w:val="015D1E09"/>
    <w:rsid w:val="018D7D3C"/>
    <w:rsid w:val="01DD59FB"/>
    <w:rsid w:val="02697903"/>
    <w:rsid w:val="0284231A"/>
    <w:rsid w:val="02B56978"/>
    <w:rsid w:val="02F96569"/>
    <w:rsid w:val="038E5C77"/>
    <w:rsid w:val="03C52F1A"/>
    <w:rsid w:val="03EA7B21"/>
    <w:rsid w:val="0403277C"/>
    <w:rsid w:val="041E22FB"/>
    <w:rsid w:val="04F33787"/>
    <w:rsid w:val="04F76DD4"/>
    <w:rsid w:val="05243941"/>
    <w:rsid w:val="05575AC4"/>
    <w:rsid w:val="05883ED0"/>
    <w:rsid w:val="05BB3177"/>
    <w:rsid w:val="05CA62D5"/>
    <w:rsid w:val="05DE7F94"/>
    <w:rsid w:val="05EC0902"/>
    <w:rsid w:val="05F83EAE"/>
    <w:rsid w:val="06007623"/>
    <w:rsid w:val="060A70A7"/>
    <w:rsid w:val="063E7D85"/>
    <w:rsid w:val="067C44CB"/>
    <w:rsid w:val="069118E4"/>
    <w:rsid w:val="069348B1"/>
    <w:rsid w:val="06D516D9"/>
    <w:rsid w:val="070B3D9B"/>
    <w:rsid w:val="071874D5"/>
    <w:rsid w:val="0726749D"/>
    <w:rsid w:val="07293586"/>
    <w:rsid w:val="07295285"/>
    <w:rsid w:val="07636392"/>
    <w:rsid w:val="07770C56"/>
    <w:rsid w:val="07AB0349"/>
    <w:rsid w:val="07AD418F"/>
    <w:rsid w:val="07DB478B"/>
    <w:rsid w:val="080D14D8"/>
    <w:rsid w:val="080E1858"/>
    <w:rsid w:val="084A5DB4"/>
    <w:rsid w:val="086E55FF"/>
    <w:rsid w:val="08935065"/>
    <w:rsid w:val="089B03BE"/>
    <w:rsid w:val="08FD4BD5"/>
    <w:rsid w:val="092217DD"/>
    <w:rsid w:val="093A7294"/>
    <w:rsid w:val="09443C6F"/>
    <w:rsid w:val="09CE5FB9"/>
    <w:rsid w:val="09D766F9"/>
    <w:rsid w:val="09DA20B2"/>
    <w:rsid w:val="09DE70BA"/>
    <w:rsid w:val="0A137C0D"/>
    <w:rsid w:val="0A157CFC"/>
    <w:rsid w:val="0A263993"/>
    <w:rsid w:val="0A27266C"/>
    <w:rsid w:val="0A2D3AC2"/>
    <w:rsid w:val="0AA755DF"/>
    <w:rsid w:val="0B0A5387"/>
    <w:rsid w:val="0B120D44"/>
    <w:rsid w:val="0B61769D"/>
    <w:rsid w:val="0B892750"/>
    <w:rsid w:val="0BD27BF6"/>
    <w:rsid w:val="0BEE6E75"/>
    <w:rsid w:val="0C112E71"/>
    <w:rsid w:val="0C2C7CAB"/>
    <w:rsid w:val="0C3B3C7D"/>
    <w:rsid w:val="0C590BAD"/>
    <w:rsid w:val="0C5D78AD"/>
    <w:rsid w:val="0C6805B7"/>
    <w:rsid w:val="0CAB2EAE"/>
    <w:rsid w:val="0CBE467B"/>
    <w:rsid w:val="0D026644"/>
    <w:rsid w:val="0D1C7D1F"/>
    <w:rsid w:val="0D5C49F2"/>
    <w:rsid w:val="0D621C7D"/>
    <w:rsid w:val="0D763AF9"/>
    <w:rsid w:val="0D961994"/>
    <w:rsid w:val="0DBC0BBA"/>
    <w:rsid w:val="0DC57130"/>
    <w:rsid w:val="0DE14AC5"/>
    <w:rsid w:val="0E155372"/>
    <w:rsid w:val="0E325320"/>
    <w:rsid w:val="0E73034D"/>
    <w:rsid w:val="0EA16002"/>
    <w:rsid w:val="0EF3685E"/>
    <w:rsid w:val="0EFB3964"/>
    <w:rsid w:val="0F074A73"/>
    <w:rsid w:val="0F13775A"/>
    <w:rsid w:val="0F2E7896"/>
    <w:rsid w:val="0F5F45FE"/>
    <w:rsid w:val="0F7D6B68"/>
    <w:rsid w:val="0F954A7D"/>
    <w:rsid w:val="0F9A112B"/>
    <w:rsid w:val="0FBF0E36"/>
    <w:rsid w:val="0FFC5BE6"/>
    <w:rsid w:val="101C1DE4"/>
    <w:rsid w:val="106D2F64"/>
    <w:rsid w:val="10B63710"/>
    <w:rsid w:val="10B63FE7"/>
    <w:rsid w:val="10DC1BAF"/>
    <w:rsid w:val="10F10820"/>
    <w:rsid w:val="111C2F7A"/>
    <w:rsid w:val="11665CA1"/>
    <w:rsid w:val="11734C63"/>
    <w:rsid w:val="118818BD"/>
    <w:rsid w:val="11C66E40"/>
    <w:rsid w:val="11CB3AC2"/>
    <w:rsid w:val="11DA5AB3"/>
    <w:rsid w:val="12131E97"/>
    <w:rsid w:val="12771554"/>
    <w:rsid w:val="12862CF3"/>
    <w:rsid w:val="128E689D"/>
    <w:rsid w:val="13951726"/>
    <w:rsid w:val="13B107AA"/>
    <w:rsid w:val="13E946D3"/>
    <w:rsid w:val="13F15336"/>
    <w:rsid w:val="14107EB2"/>
    <w:rsid w:val="14172FEE"/>
    <w:rsid w:val="14361E3D"/>
    <w:rsid w:val="14396509"/>
    <w:rsid w:val="145C6C53"/>
    <w:rsid w:val="146438E9"/>
    <w:rsid w:val="14DD2C3C"/>
    <w:rsid w:val="150177FB"/>
    <w:rsid w:val="158B1DC7"/>
    <w:rsid w:val="1594241D"/>
    <w:rsid w:val="15B036FB"/>
    <w:rsid w:val="16087E1D"/>
    <w:rsid w:val="166149F5"/>
    <w:rsid w:val="167410DE"/>
    <w:rsid w:val="16B87734"/>
    <w:rsid w:val="171404B3"/>
    <w:rsid w:val="17505D23"/>
    <w:rsid w:val="17701D14"/>
    <w:rsid w:val="17735226"/>
    <w:rsid w:val="17A53209"/>
    <w:rsid w:val="17A93D1D"/>
    <w:rsid w:val="17EA0A1A"/>
    <w:rsid w:val="18245C1B"/>
    <w:rsid w:val="189F624C"/>
    <w:rsid w:val="18AF5EEB"/>
    <w:rsid w:val="18B726A8"/>
    <w:rsid w:val="18B7391D"/>
    <w:rsid w:val="19467ED2"/>
    <w:rsid w:val="196D545F"/>
    <w:rsid w:val="19A215AC"/>
    <w:rsid w:val="19C808E7"/>
    <w:rsid w:val="19F636A6"/>
    <w:rsid w:val="1A1C66C0"/>
    <w:rsid w:val="1A42393B"/>
    <w:rsid w:val="1A475B6C"/>
    <w:rsid w:val="1AA66E7A"/>
    <w:rsid w:val="1AAD45DE"/>
    <w:rsid w:val="1AB53AAF"/>
    <w:rsid w:val="1AB64E74"/>
    <w:rsid w:val="1AC11F06"/>
    <w:rsid w:val="1AC67940"/>
    <w:rsid w:val="1B046F80"/>
    <w:rsid w:val="1B1C0EEA"/>
    <w:rsid w:val="1B222279"/>
    <w:rsid w:val="1B3267B5"/>
    <w:rsid w:val="1B40161D"/>
    <w:rsid w:val="1B441859"/>
    <w:rsid w:val="1B6606B1"/>
    <w:rsid w:val="1B731383"/>
    <w:rsid w:val="1B9273FE"/>
    <w:rsid w:val="1BB96B0B"/>
    <w:rsid w:val="1C035B79"/>
    <w:rsid w:val="1C2E35CB"/>
    <w:rsid w:val="1C5E7925"/>
    <w:rsid w:val="1CFD070F"/>
    <w:rsid w:val="1D44297A"/>
    <w:rsid w:val="1D5F6196"/>
    <w:rsid w:val="1D6132A5"/>
    <w:rsid w:val="1D6872A5"/>
    <w:rsid w:val="1D8E56D5"/>
    <w:rsid w:val="1D9A07EC"/>
    <w:rsid w:val="1DB00010"/>
    <w:rsid w:val="1E7A43DA"/>
    <w:rsid w:val="1E911BEF"/>
    <w:rsid w:val="1EBD0C36"/>
    <w:rsid w:val="1F271230"/>
    <w:rsid w:val="1F662225"/>
    <w:rsid w:val="1F664E2A"/>
    <w:rsid w:val="1F711E22"/>
    <w:rsid w:val="1FE7539E"/>
    <w:rsid w:val="1FF6169F"/>
    <w:rsid w:val="200D2936"/>
    <w:rsid w:val="203155A4"/>
    <w:rsid w:val="20671BE0"/>
    <w:rsid w:val="207F1804"/>
    <w:rsid w:val="20963CB8"/>
    <w:rsid w:val="20A81A1B"/>
    <w:rsid w:val="20B07FB6"/>
    <w:rsid w:val="20B646FB"/>
    <w:rsid w:val="20B81864"/>
    <w:rsid w:val="20D3029D"/>
    <w:rsid w:val="21026DD4"/>
    <w:rsid w:val="21334478"/>
    <w:rsid w:val="213B74B1"/>
    <w:rsid w:val="215A2310"/>
    <w:rsid w:val="217E28FF"/>
    <w:rsid w:val="21DE318A"/>
    <w:rsid w:val="21EF5B80"/>
    <w:rsid w:val="22405E06"/>
    <w:rsid w:val="22576990"/>
    <w:rsid w:val="22B51ADC"/>
    <w:rsid w:val="22DB78DD"/>
    <w:rsid w:val="22F47480"/>
    <w:rsid w:val="231E77CA"/>
    <w:rsid w:val="234D386F"/>
    <w:rsid w:val="23713A93"/>
    <w:rsid w:val="23DE1C48"/>
    <w:rsid w:val="23E7405F"/>
    <w:rsid w:val="240210CD"/>
    <w:rsid w:val="24150BCD"/>
    <w:rsid w:val="242A0480"/>
    <w:rsid w:val="24305A06"/>
    <w:rsid w:val="24577E1C"/>
    <w:rsid w:val="247955FF"/>
    <w:rsid w:val="24AC7783"/>
    <w:rsid w:val="24BF09F7"/>
    <w:rsid w:val="252D53FE"/>
    <w:rsid w:val="25362024"/>
    <w:rsid w:val="25504395"/>
    <w:rsid w:val="25951FC5"/>
    <w:rsid w:val="25BF63EE"/>
    <w:rsid w:val="25EC2D81"/>
    <w:rsid w:val="264E2CB2"/>
    <w:rsid w:val="26B446CD"/>
    <w:rsid w:val="26B83713"/>
    <w:rsid w:val="271414AB"/>
    <w:rsid w:val="274526B5"/>
    <w:rsid w:val="277057A2"/>
    <w:rsid w:val="27B150B0"/>
    <w:rsid w:val="280C22E7"/>
    <w:rsid w:val="28100029"/>
    <w:rsid w:val="28175B4C"/>
    <w:rsid w:val="286D7229"/>
    <w:rsid w:val="28E21837"/>
    <w:rsid w:val="28E3573D"/>
    <w:rsid w:val="28E374EB"/>
    <w:rsid w:val="29003D4D"/>
    <w:rsid w:val="2920429C"/>
    <w:rsid w:val="29206EB8"/>
    <w:rsid w:val="293935AF"/>
    <w:rsid w:val="29595666"/>
    <w:rsid w:val="29874881"/>
    <w:rsid w:val="298C54AC"/>
    <w:rsid w:val="298F4F7D"/>
    <w:rsid w:val="299E3412"/>
    <w:rsid w:val="29E325E0"/>
    <w:rsid w:val="2A2D169C"/>
    <w:rsid w:val="2A452503"/>
    <w:rsid w:val="2ACD11E5"/>
    <w:rsid w:val="2ADF135E"/>
    <w:rsid w:val="2B36607C"/>
    <w:rsid w:val="2B786611"/>
    <w:rsid w:val="2B9B3782"/>
    <w:rsid w:val="2BA936A8"/>
    <w:rsid w:val="2BFA5278"/>
    <w:rsid w:val="2C315A5A"/>
    <w:rsid w:val="2C4B1C25"/>
    <w:rsid w:val="2C4D3F24"/>
    <w:rsid w:val="2C5B55EB"/>
    <w:rsid w:val="2C6E3570"/>
    <w:rsid w:val="2C7129CB"/>
    <w:rsid w:val="2C7A2503"/>
    <w:rsid w:val="2CD71115"/>
    <w:rsid w:val="2D37488E"/>
    <w:rsid w:val="2D386EE6"/>
    <w:rsid w:val="2D5F632E"/>
    <w:rsid w:val="2D6D3827"/>
    <w:rsid w:val="2D811D32"/>
    <w:rsid w:val="2D831325"/>
    <w:rsid w:val="2D9E56F5"/>
    <w:rsid w:val="2DD072C1"/>
    <w:rsid w:val="2E0F39D8"/>
    <w:rsid w:val="2E667F96"/>
    <w:rsid w:val="2E8226AB"/>
    <w:rsid w:val="2E861045"/>
    <w:rsid w:val="2E9C077D"/>
    <w:rsid w:val="2EB273F9"/>
    <w:rsid w:val="2ECE6548"/>
    <w:rsid w:val="2EEC3F03"/>
    <w:rsid w:val="2EFC30B5"/>
    <w:rsid w:val="2F880DEC"/>
    <w:rsid w:val="2F9212C6"/>
    <w:rsid w:val="2FD065E6"/>
    <w:rsid w:val="2FD96870"/>
    <w:rsid w:val="303D1BD7"/>
    <w:rsid w:val="30580BC9"/>
    <w:rsid w:val="311E2ED7"/>
    <w:rsid w:val="31472512"/>
    <w:rsid w:val="315619EE"/>
    <w:rsid w:val="315C449C"/>
    <w:rsid w:val="318F1FBE"/>
    <w:rsid w:val="31B82709"/>
    <w:rsid w:val="31CC4FC0"/>
    <w:rsid w:val="31D05482"/>
    <w:rsid w:val="31F830DF"/>
    <w:rsid w:val="32400B34"/>
    <w:rsid w:val="326C7167"/>
    <w:rsid w:val="329E6876"/>
    <w:rsid w:val="32EB34DA"/>
    <w:rsid w:val="330B1B18"/>
    <w:rsid w:val="333015F2"/>
    <w:rsid w:val="33305A23"/>
    <w:rsid w:val="334B6320"/>
    <w:rsid w:val="339A5158"/>
    <w:rsid w:val="339F04B3"/>
    <w:rsid w:val="33D934D4"/>
    <w:rsid w:val="33FE2F6A"/>
    <w:rsid w:val="340E07E5"/>
    <w:rsid w:val="34192013"/>
    <w:rsid w:val="34235BF7"/>
    <w:rsid w:val="3456481C"/>
    <w:rsid w:val="34ED5E13"/>
    <w:rsid w:val="34FA62E8"/>
    <w:rsid w:val="35092088"/>
    <w:rsid w:val="35284F68"/>
    <w:rsid w:val="35494B7A"/>
    <w:rsid w:val="355A0B35"/>
    <w:rsid w:val="35643762"/>
    <w:rsid w:val="35725E7F"/>
    <w:rsid w:val="35777939"/>
    <w:rsid w:val="358C5FA8"/>
    <w:rsid w:val="35C15DF1"/>
    <w:rsid w:val="35C56367"/>
    <w:rsid w:val="35D246E2"/>
    <w:rsid w:val="35E067CB"/>
    <w:rsid w:val="35E11256"/>
    <w:rsid w:val="36074A7F"/>
    <w:rsid w:val="36590E3A"/>
    <w:rsid w:val="36631C6B"/>
    <w:rsid w:val="367125DA"/>
    <w:rsid w:val="36811BDE"/>
    <w:rsid w:val="36923549"/>
    <w:rsid w:val="36B75FBF"/>
    <w:rsid w:val="36BD0C45"/>
    <w:rsid w:val="36BE50F4"/>
    <w:rsid w:val="36CF7301"/>
    <w:rsid w:val="36D00DCB"/>
    <w:rsid w:val="36DC59AB"/>
    <w:rsid w:val="36EC1C61"/>
    <w:rsid w:val="376143FD"/>
    <w:rsid w:val="37774615"/>
    <w:rsid w:val="37C6364C"/>
    <w:rsid w:val="37C85256"/>
    <w:rsid w:val="37E00298"/>
    <w:rsid w:val="3838111A"/>
    <w:rsid w:val="385E6B8E"/>
    <w:rsid w:val="38A071A7"/>
    <w:rsid w:val="38B302F9"/>
    <w:rsid w:val="38F12CD3"/>
    <w:rsid w:val="38F94775"/>
    <w:rsid w:val="392456E2"/>
    <w:rsid w:val="392971ED"/>
    <w:rsid w:val="39325651"/>
    <w:rsid w:val="395D6E46"/>
    <w:rsid w:val="399565E0"/>
    <w:rsid w:val="39DB1DF9"/>
    <w:rsid w:val="39EF3F42"/>
    <w:rsid w:val="3A3733EC"/>
    <w:rsid w:val="3A7226BE"/>
    <w:rsid w:val="3A865FA2"/>
    <w:rsid w:val="3A872856"/>
    <w:rsid w:val="3AF604B1"/>
    <w:rsid w:val="3B163750"/>
    <w:rsid w:val="3B3763D1"/>
    <w:rsid w:val="3B4756B8"/>
    <w:rsid w:val="3B8A6B50"/>
    <w:rsid w:val="3B8C4F0D"/>
    <w:rsid w:val="3BEE2C33"/>
    <w:rsid w:val="3C0148CE"/>
    <w:rsid w:val="3C145EE2"/>
    <w:rsid w:val="3C2F6E1E"/>
    <w:rsid w:val="3C4F64BA"/>
    <w:rsid w:val="3C920BB5"/>
    <w:rsid w:val="3C9D4E80"/>
    <w:rsid w:val="3CA8662A"/>
    <w:rsid w:val="3CAA05F4"/>
    <w:rsid w:val="3CCA034E"/>
    <w:rsid w:val="3CDA245A"/>
    <w:rsid w:val="3D1E06B7"/>
    <w:rsid w:val="3D253D7C"/>
    <w:rsid w:val="3D2A34E3"/>
    <w:rsid w:val="3E7862DA"/>
    <w:rsid w:val="3E90291B"/>
    <w:rsid w:val="3EDA0523"/>
    <w:rsid w:val="3F3B3785"/>
    <w:rsid w:val="3F47212A"/>
    <w:rsid w:val="3F676329"/>
    <w:rsid w:val="4033445D"/>
    <w:rsid w:val="40607FBD"/>
    <w:rsid w:val="407A6407"/>
    <w:rsid w:val="414A7A91"/>
    <w:rsid w:val="415B4A9F"/>
    <w:rsid w:val="416F5968"/>
    <w:rsid w:val="41943621"/>
    <w:rsid w:val="41967F08"/>
    <w:rsid w:val="41F8595E"/>
    <w:rsid w:val="4200449D"/>
    <w:rsid w:val="422D3F73"/>
    <w:rsid w:val="423170C2"/>
    <w:rsid w:val="423A3BCC"/>
    <w:rsid w:val="424E57D2"/>
    <w:rsid w:val="428B7856"/>
    <w:rsid w:val="42AD6748"/>
    <w:rsid w:val="42B26C49"/>
    <w:rsid w:val="430D71E7"/>
    <w:rsid w:val="433A6FE6"/>
    <w:rsid w:val="43476B9D"/>
    <w:rsid w:val="43480868"/>
    <w:rsid w:val="4350713C"/>
    <w:rsid w:val="436653E0"/>
    <w:rsid w:val="438A4CDB"/>
    <w:rsid w:val="43C4431A"/>
    <w:rsid w:val="43E22422"/>
    <w:rsid w:val="440C7D39"/>
    <w:rsid w:val="442F13DF"/>
    <w:rsid w:val="44921E0D"/>
    <w:rsid w:val="44B951CC"/>
    <w:rsid w:val="44CB2F82"/>
    <w:rsid w:val="44CD14E0"/>
    <w:rsid w:val="44CD4E80"/>
    <w:rsid w:val="44F20B0B"/>
    <w:rsid w:val="452E5F4C"/>
    <w:rsid w:val="453F5652"/>
    <w:rsid w:val="45612018"/>
    <w:rsid w:val="456A6B72"/>
    <w:rsid w:val="45755CD2"/>
    <w:rsid w:val="458946E9"/>
    <w:rsid w:val="45A47C0E"/>
    <w:rsid w:val="462D194E"/>
    <w:rsid w:val="46577FD6"/>
    <w:rsid w:val="46D6122C"/>
    <w:rsid w:val="46D955A7"/>
    <w:rsid w:val="47133957"/>
    <w:rsid w:val="474A7CCD"/>
    <w:rsid w:val="475F1FDB"/>
    <w:rsid w:val="47A07E0C"/>
    <w:rsid w:val="47FE7E41"/>
    <w:rsid w:val="484F5769"/>
    <w:rsid w:val="486D3D4B"/>
    <w:rsid w:val="4870272E"/>
    <w:rsid w:val="48DC621A"/>
    <w:rsid w:val="48FD6399"/>
    <w:rsid w:val="494C592E"/>
    <w:rsid w:val="495E30E6"/>
    <w:rsid w:val="497162C3"/>
    <w:rsid w:val="498D21F4"/>
    <w:rsid w:val="49DC7715"/>
    <w:rsid w:val="4A023139"/>
    <w:rsid w:val="4A2806B5"/>
    <w:rsid w:val="4A3B5A95"/>
    <w:rsid w:val="4A7B576F"/>
    <w:rsid w:val="4AAA5CD3"/>
    <w:rsid w:val="4AAB3D15"/>
    <w:rsid w:val="4AF561A9"/>
    <w:rsid w:val="4B1D57B7"/>
    <w:rsid w:val="4B294DDA"/>
    <w:rsid w:val="4B391F09"/>
    <w:rsid w:val="4B5F6CE3"/>
    <w:rsid w:val="4B895B94"/>
    <w:rsid w:val="4B8D7117"/>
    <w:rsid w:val="4B92472D"/>
    <w:rsid w:val="4BB74194"/>
    <w:rsid w:val="4BFC604B"/>
    <w:rsid w:val="4C03387D"/>
    <w:rsid w:val="4C196BFC"/>
    <w:rsid w:val="4C4243A5"/>
    <w:rsid w:val="4C4A0649"/>
    <w:rsid w:val="4C5A2353"/>
    <w:rsid w:val="4C653BF0"/>
    <w:rsid w:val="4C7E5ECA"/>
    <w:rsid w:val="4C876AA5"/>
    <w:rsid w:val="4CA1514B"/>
    <w:rsid w:val="4CE216E4"/>
    <w:rsid w:val="4D007BE6"/>
    <w:rsid w:val="4D0E00FB"/>
    <w:rsid w:val="4D176606"/>
    <w:rsid w:val="4D3857A8"/>
    <w:rsid w:val="4D986247"/>
    <w:rsid w:val="4DCB3F26"/>
    <w:rsid w:val="4DE17BEE"/>
    <w:rsid w:val="4DEC4FB0"/>
    <w:rsid w:val="4DF72F6D"/>
    <w:rsid w:val="4E075D8A"/>
    <w:rsid w:val="4EBD57D4"/>
    <w:rsid w:val="4EC00FAD"/>
    <w:rsid w:val="4EC5306C"/>
    <w:rsid w:val="4F361873"/>
    <w:rsid w:val="4F9843DC"/>
    <w:rsid w:val="4F9D7B44"/>
    <w:rsid w:val="4FC62A8C"/>
    <w:rsid w:val="4FE20F0D"/>
    <w:rsid w:val="4FE51552"/>
    <w:rsid w:val="4FEC7679"/>
    <w:rsid w:val="50504C4B"/>
    <w:rsid w:val="505226DD"/>
    <w:rsid w:val="509C6E7C"/>
    <w:rsid w:val="50BB7A74"/>
    <w:rsid w:val="50F857CB"/>
    <w:rsid w:val="5100038B"/>
    <w:rsid w:val="51081D45"/>
    <w:rsid w:val="51363DAD"/>
    <w:rsid w:val="513A4E9C"/>
    <w:rsid w:val="51556929"/>
    <w:rsid w:val="51581F75"/>
    <w:rsid w:val="51595CED"/>
    <w:rsid w:val="5162104E"/>
    <w:rsid w:val="51646B6C"/>
    <w:rsid w:val="51974469"/>
    <w:rsid w:val="51B03B5F"/>
    <w:rsid w:val="524A3FB4"/>
    <w:rsid w:val="525433C8"/>
    <w:rsid w:val="52954CB0"/>
    <w:rsid w:val="52F52A8A"/>
    <w:rsid w:val="53236529"/>
    <w:rsid w:val="53A039CC"/>
    <w:rsid w:val="53A1505A"/>
    <w:rsid w:val="53B07A2B"/>
    <w:rsid w:val="53CE651E"/>
    <w:rsid w:val="53E04C9E"/>
    <w:rsid w:val="53FC1520"/>
    <w:rsid w:val="54063E08"/>
    <w:rsid w:val="543437E8"/>
    <w:rsid w:val="54745F13"/>
    <w:rsid w:val="54843081"/>
    <w:rsid w:val="54882B71"/>
    <w:rsid w:val="54B228D9"/>
    <w:rsid w:val="54B73456"/>
    <w:rsid w:val="54F73313"/>
    <w:rsid w:val="54F80955"/>
    <w:rsid w:val="55172147"/>
    <w:rsid w:val="553E76D4"/>
    <w:rsid w:val="554A42CB"/>
    <w:rsid w:val="555170A7"/>
    <w:rsid w:val="556732C9"/>
    <w:rsid w:val="5587536D"/>
    <w:rsid w:val="55886BA1"/>
    <w:rsid w:val="55911EF9"/>
    <w:rsid w:val="559B174B"/>
    <w:rsid w:val="55AC0AE1"/>
    <w:rsid w:val="55C45E2B"/>
    <w:rsid w:val="55CE0CF4"/>
    <w:rsid w:val="55D41DE6"/>
    <w:rsid w:val="560674C5"/>
    <w:rsid w:val="56336B0D"/>
    <w:rsid w:val="56552F27"/>
    <w:rsid w:val="56764C4B"/>
    <w:rsid w:val="56960A54"/>
    <w:rsid w:val="56B22A9C"/>
    <w:rsid w:val="56DC71A4"/>
    <w:rsid w:val="57672F12"/>
    <w:rsid w:val="57B679F5"/>
    <w:rsid w:val="57B72A76"/>
    <w:rsid w:val="57C3426C"/>
    <w:rsid w:val="57CE1F93"/>
    <w:rsid w:val="57DA7815"/>
    <w:rsid w:val="58004D13"/>
    <w:rsid w:val="581666E6"/>
    <w:rsid w:val="584414A5"/>
    <w:rsid w:val="588743D1"/>
    <w:rsid w:val="5887701A"/>
    <w:rsid w:val="589B7C55"/>
    <w:rsid w:val="58BC02C6"/>
    <w:rsid w:val="58D418C8"/>
    <w:rsid w:val="590316FF"/>
    <w:rsid w:val="59044790"/>
    <w:rsid w:val="594D6137"/>
    <w:rsid w:val="59670B6F"/>
    <w:rsid w:val="59975832"/>
    <w:rsid w:val="599864FB"/>
    <w:rsid w:val="599D50D5"/>
    <w:rsid w:val="59C0439F"/>
    <w:rsid w:val="59D46859"/>
    <w:rsid w:val="5A03521D"/>
    <w:rsid w:val="5A150D5F"/>
    <w:rsid w:val="5A160C1F"/>
    <w:rsid w:val="5A617483"/>
    <w:rsid w:val="5A915389"/>
    <w:rsid w:val="5ABE2233"/>
    <w:rsid w:val="5B1B0771"/>
    <w:rsid w:val="5B751975"/>
    <w:rsid w:val="5BA118C1"/>
    <w:rsid w:val="5BC854A8"/>
    <w:rsid w:val="5BCF72D8"/>
    <w:rsid w:val="5BDF5D95"/>
    <w:rsid w:val="5BFE7528"/>
    <w:rsid w:val="5C205D85"/>
    <w:rsid w:val="5CA442C0"/>
    <w:rsid w:val="5CFA4828"/>
    <w:rsid w:val="5D6830FA"/>
    <w:rsid w:val="5D7B64BE"/>
    <w:rsid w:val="5D9E6F62"/>
    <w:rsid w:val="5DC67D8D"/>
    <w:rsid w:val="5E1C257C"/>
    <w:rsid w:val="5E2467F1"/>
    <w:rsid w:val="5EA458E2"/>
    <w:rsid w:val="5EE94B54"/>
    <w:rsid w:val="5F1A2B43"/>
    <w:rsid w:val="5F450354"/>
    <w:rsid w:val="5FB837BB"/>
    <w:rsid w:val="60123C37"/>
    <w:rsid w:val="60136866"/>
    <w:rsid w:val="604118C1"/>
    <w:rsid w:val="60455DBA"/>
    <w:rsid w:val="605D6DBA"/>
    <w:rsid w:val="60616252"/>
    <w:rsid w:val="609B59DA"/>
    <w:rsid w:val="60A07495"/>
    <w:rsid w:val="60CC405A"/>
    <w:rsid w:val="611A0FF5"/>
    <w:rsid w:val="61A2684C"/>
    <w:rsid w:val="61E215D8"/>
    <w:rsid w:val="61F23D20"/>
    <w:rsid w:val="61F47A98"/>
    <w:rsid w:val="61FF0CA7"/>
    <w:rsid w:val="621B3775"/>
    <w:rsid w:val="62361E5F"/>
    <w:rsid w:val="62364782"/>
    <w:rsid w:val="626D784A"/>
    <w:rsid w:val="62AD6CE7"/>
    <w:rsid w:val="62EC6D5E"/>
    <w:rsid w:val="62F12229"/>
    <w:rsid w:val="63293771"/>
    <w:rsid w:val="632A1297"/>
    <w:rsid w:val="633D352C"/>
    <w:rsid w:val="637020C5"/>
    <w:rsid w:val="6394356A"/>
    <w:rsid w:val="63C61B2C"/>
    <w:rsid w:val="63D40BE9"/>
    <w:rsid w:val="63F92A66"/>
    <w:rsid w:val="64102431"/>
    <w:rsid w:val="64281C7B"/>
    <w:rsid w:val="644A653A"/>
    <w:rsid w:val="64A5243A"/>
    <w:rsid w:val="64F531DE"/>
    <w:rsid w:val="65373578"/>
    <w:rsid w:val="65B978C5"/>
    <w:rsid w:val="65D8068E"/>
    <w:rsid w:val="65F673B7"/>
    <w:rsid w:val="660D2ED6"/>
    <w:rsid w:val="66AE52A4"/>
    <w:rsid w:val="66E14363"/>
    <w:rsid w:val="66E4430F"/>
    <w:rsid w:val="67002A3B"/>
    <w:rsid w:val="671F124A"/>
    <w:rsid w:val="67674492"/>
    <w:rsid w:val="677A33C6"/>
    <w:rsid w:val="678324DB"/>
    <w:rsid w:val="67957627"/>
    <w:rsid w:val="67C95523"/>
    <w:rsid w:val="67F00651"/>
    <w:rsid w:val="67F46030"/>
    <w:rsid w:val="6804038D"/>
    <w:rsid w:val="68074CD0"/>
    <w:rsid w:val="680B5B3B"/>
    <w:rsid w:val="680B5C16"/>
    <w:rsid w:val="681A5514"/>
    <w:rsid w:val="681F6961"/>
    <w:rsid w:val="68385372"/>
    <w:rsid w:val="68610A2F"/>
    <w:rsid w:val="68805514"/>
    <w:rsid w:val="68E5638C"/>
    <w:rsid w:val="69316E2F"/>
    <w:rsid w:val="694E2071"/>
    <w:rsid w:val="69635BA8"/>
    <w:rsid w:val="69766163"/>
    <w:rsid w:val="697A3B33"/>
    <w:rsid w:val="699658D9"/>
    <w:rsid w:val="69991D8F"/>
    <w:rsid w:val="69D44760"/>
    <w:rsid w:val="69EE46D0"/>
    <w:rsid w:val="6A4B1A04"/>
    <w:rsid w:val="6A520EC7"/>
    <w:rsid w:val="6A687795"/>
    <w:rsid w:val="6ACC6E9F"/>
    <w:rsid w:val="6AF87E20"/>
    <w:rsid w:val="6B322639"/>
    <w:rsid w:val="6B5B0B88"/>
    <w:rsid w:val="6B6F1F3D"/>
    <w:rsid w:val="6B741C4A"/>
    <w:rsid w:val="6BBB5183"/>
    <w:rsid w:val="6BC24763"/>
    <w:rsid w:val="6BDA09CA"/>
    <w:rsid w:val="6C136D6D"/>
    <w:rsid w:val="6C1B3E73"/>
    <w:rsid w:val="6C354FE2"/>
    <w:rsid w:val="6C4E5FF7"/>
    <w:rsid w:val="6C636C38"/>
    <w:rsid w:val="6CC369E5"/>
    <w:rsid w:val="6D3D2C47"/>
    <w:rsid w:val="6D433682"/>
    <w:rsid w:val="6D9E7E6A"/>
    <w:rsid w:val="6DB34098"/>
    <w:rsid w:val="6DB545B6"/>
    <w:rsid w:val="6DB70B73"/>
    <w:rsid w:val="6DE02FB4"/>
    <w:rsid w:val="6E46167B"/>
    <w:rsid w:val="6E514CED"/>
    <w:rsid w:val="6E781A51"/>
    <w:rsid w:val="6EA75E92"/>
    <w:rsid w:val="6EB563D5"/>
    <w:rsid w:val="6ED753ED"/>
    <w:rsid w:val="6ED92677"/>
    <w:rsid w:val="6F225983"/>
    <w:rsid w:val="6F2E3EBD"/>
    <w:rsid w:val="6F9742E9"/>
    <w:rsid w:val="6FF46EB5"/>
    <w:rsid w:val="6FFC5590"/>
    <w:rsid w:val="706D1DD0"/>
    <w:rsid w:val="70856B87"/>
    <w:rsid w:val="70D527EE"/>
    <w:rsid w:val="70F84F12"/>
    <w:rsid w:val="71032DE4"/>
    <w:rsid w:val="713752AB"/>
    <w:rsid w:val="7147606A"/>
    <w:rsid w:val="715B5300"/>
    <w:rsid w:val="71BC1C54"/>
    <w:rsid w:val="71D27F8A"/>
    <w:rsid w:val="721910BE"/>
    <w:rsid w:val="72553024"/>
    <w:rsid w:val="727A404A"/>
    <w:rsid w:val="72D51220"/>
    <w:rsid w:val="7309711B"/>
    <w:rsid w:val="73122968"/>
    <w:rsid w:val="731F5D5E"/>
    <w:rsid w:val="73C51AD5"/>
    <w:rsid w:val="741E793C"/>
    <w:rsid w:val="745148D6"/>
    <w:rsid w:val="7452064E"/>
    <w:rsid w:val="745E3944"/>
    <w:rsid w:val="747C12BA"/>
    <w:rsid w:val="7486110F"/>
    <w:rsid w:val="7505383F"/>
    <w:rsid w:val="7513602F"/>
    <w:rsid w:val="755A2999"/>
    <w:rsid w:val="755C1784"/>
    <w:rsid w:val="75605303"/>
    <w:rsid w:val="75BE5F9B"/>
    <w:rsid w:val="75FC6AC3"/>
    <w:rsid w:val="76232CDF"/>
    <w:rsid w:val="7635099D"/>
    <w:rsid w:val="76D534E5"/>
    <w:rsid w:val="770D2C6C"/>
    <w:rsid w:val="77762421"/>
    <w:rsid w:val="77B56B1F"/>
    <w:rsid w:val="780F09F4"/>
    <w:rsid w:val="787923C1"/>
    <w:rsid w:val="787F24BF"/>
    <w:rsid w:val="78822BDE"/>
    <w:rsid w:val="78A84CE1"/>
    <w:rsid w:val="78A90480"/>
    <w:rsid w:val="791E07A5"/>
    <w:rsid w:val="792321E3"/>
    <w:rsid w:val="79722641"/>
    <w:rsid w:val="79892D64"/>
    <w:rsid w:val="7A364017"/>
    <w:rsid w:val="7A651958"/>
    <w:rsid w:val="7A722CB4"/>
    <w:rsid w:val="7A7D4503"/>
    <w:rsid w:val="7A805F15"/>
    <w:rsid w:val="7A8265E1"/>
    <w:rsid w:val="7ABD32FA"/>
    <w:rsid w:val="7ABE5616"/>
    <w:rsid w:val="7AD91D16"/>
    <w:rsid w:val="7B22521E"/>
    <w:rsid w:val="7B310FBD"/>
    <w:rsid w:val="7B686D42"/>
    <w:rsid w:val="7B841746"/>
    <w:rsid w:val="7BE83E7B"/>
    <w:rsid w:val="7C176405"/>
    <w:rsid w:val="7C274045"/>
    <w:rsid w:val="7C52743D"/>
    <w:rsid w:val="7C6C5AC7"/>
    <w:rsid w:val="7CC6544B"/>
    <w:rsid w:val="7CF91FAF"/>
    <w:rsid w:val="7CFC2533"/>
    <w:rsid w:val="7D0239FF"/>
    <w:rsid w:val="7D225061"/>
    <w:rsid w:val="7D5E40CD"/>
    <w:rsid w:val="7DCD56F2"/>
    <w:rsid w:val="7DE25B31"/>
    <w:rsid w:val="7DEC67E0"/>
    <w:rsid w:val="7E0B3D48"/>
    <w:rsid w:val="7E24795C"/>
    <w:rsid w:val="7E2748F9"/>
    <w:rsid w:val="7E384364"/>
    <w:rsid w:val="7E3D2248"/>
    <w:rsid w:val="7E4436FD"/>
    <w:rsid w:val="7E447259"/>
    <w:rsid w:val="7E484F9C"/>
    <w:rsid w:val="7E645B88"/>
    <w:rsid w:val="7E9C24F1"/>
    <w:rsid w:val="7EDE145C"/>
    <w:rsid w:val="7F001CE7"/>
    <w:rsid w:val="7F8218E6"/>
    <w:rsid w:val="7F8E2E82"/>
    <w:rsid w:val="7FE47E50"/>
    <w:rsid w:val="7FFC2595"/>
    <w:rsid w:val="7FFF379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nhideWhenUsed="0" w:uiPriority="9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qFormat="1" w:uiPriority="99" w:semiHidden="0" w:name="Body Text 3"/>
    <w:lsdException w:qFormat="1" w:uiPriority="99" w:semiHidden="0" w:name="Body Text Indent 2"/>
    <w:lsdException w:qFormat="1" w:uiPriority="99"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42"/>
    <w:unhideWhenUsed/>
    <w:qFormat/>
    <w:uiPriority w:val="99"/>
    <w:pPr>
      <w:keepNext/>
      <w:keepLines/>
      <w:spacing w:before="260" w:after="260" w:line="416" w:lineRule="auto"/>
      <w:outlineLvl w:val="1"/>
    </w:pPr>
    <w:rPr>
      <w:rFonts w:ascii="等线 Light" w:hAnsi="等线 Light" w:eastAsia="等线 Light" w:cs="Times New Roman"/>
      <w:b/>
      <w:bCs/>
      <w:sz w:val="32"/>
      <w:szCs w:val="32"/>
    </w:rPr>
  </w:style>
  <w:style w:type="paragraph" w:styleId="5">
    <w:name w:val="heading 3"/>
    <w:basedOn w:val="1"/>
    <w:next w:val="1"/>
    <w:link w:val="43"/>
    <w:qFormat/>
    <w:uiPriority w:val="99"/>
    <w:pPr>
      <w:keepNext/>
      <w:keepLines/>
      <w:widowControl/>
      <w:spacing w:line="360" w:lineRule="auto"/>
      <w:ind w:firstLine="512"/>
      <w:jc w:val="left"/>
      <w:outlineLvl w:val="2"/>
    </w:pPr>
    <w:rPr>
      <w:b/>
      <w:bCs/>
      <w:color w:val="000000"/>
      <w:kern w:val="0"/>
      <w:sz w:val="24"/>
    </w:rPr>
  </w:style>
  <w:style w:type="paragraph" w:styleId="6">
    <w:name w:val="heading 4"/>
    <w:basedOn w:val="1"/>
    <w:next w:val="1"/>
    <w:link w:val="44"/>
    <w:qFormat/>
    <w:uiPriority w:val="9"/>
    <w:pPr>
      <w:keepNext/>
      <w:keepLines/>
      <w:widowControl/>
      <w:spacing w:before="280" w:after="290" w:line="376" w:lineRule="auto"/>
      <w:jc w:val="left"/>
      <w:outlineLvl w:val="3"/>
    </w:pPr>
    <w:rPr>
      <w:rFonts w:ascii="Cambria" w:hAnsi="Cambria"/>
      <w:b/>
      <w:bCs/>
      <w:color w:val="000000"/>
      <w:sz w:val="28"/>
      <w:szCs w:val="28"/>
    </w:rPr>
  </w:style>
  <w:style w:type="character" w:default="1" w:styleId="33">
    <w:name w:val="Default Paragraph Font"/>
    <w:semiHidden/>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2">
    <w:name w:val="table of figures"/>
    <w:basedOn w:val="1"/>
    <w:next w:val="1"/>
    <w:unhideWhenUsed/>
    <w:qFormat/>
    <w:uiPriority w:val="99"/>
    <w:pPr>
      <w:widowControl/>
      <w:spacing w:before="100" w:beforeAutospacing="1" w:after="100" w:afterAutospacing="1" w:line="360" w:lineRule="auto"/>
      <w:ind w:leftChars="200" w:hanging="200" w:hangingChars="200"/>
      <w:jc w:val="left"/>
    </w:pPr>
    <w:rPr>
      <w:color w:val="000000"/>
      <w:sz w:val="24"/>
    </w:rPr>
  </w:style>
  <w:style w:type="paragraph" w:styleId="7">
    <w:name w:val="Normal Indent"/>
    <w:basedOn w:val="1"/>
    <w:link w:val="40"/>
    <w:qFormat/>
    <w:uiPriority w:val="0"/>
    <w:pPr>
      <w:ind w:firstLine="420" w:firstLineChars="200"/>
    </w:pPr>
    <w:rPr>
      <w:szCs w:val="20"/>
    </w:rPr>
  </w:style>
  <w:style w:type="paragraph" w:styleId="8">
    <w:name w:val="caption"/>
    <w:basedOn w:val="1"/>
    <w:next w:val="1"/>
    <w:link w:val="45"/>
    <w:qFormat/>
    <w:uiPriority w:val="0"/>
    <w:rPr>
      <w:rFonts w:ascii="Arial" w:hAnsi="Arial" w:eastAsia="黑体" w:cs="Arial"/>
      <w:sz w:val="20"/>
      <w:szCs w:val="20"/>
    </w:rPr>
  </w:style>
  <w:style w:type="paragraph" w:styleId="9">
    <w:name w:val="Document Map"/>
    <w:basedOn w:val="1"/>
    <w:link w:val="46"/>
    <w:unhideWhenUsed/>
    <w:qFormat/>
    <w:uiPriority w:val="99"/>
    <w:pPr>
      <w:widowControl/>
      <w:spacing w:line="360" w:lineRule="auto"/>
      <w:jc w:val="left"/>
    </w:pPr>
    <w:rPr>
      <w:rFonts w:ascii="宋体"/>
      <w:color w:val="000000"/>
      <w:sz w:val="18"/>
      <w:szCs w:val="18"/>
    </w:rPr>
  </w:style>
  <w:style w:type="paragraph" w:styleId="10">
    <w:name w:val="annotation text"/>
    <w:basedOn w:val="1"/>
    <w:link w:val="47"/>
    <w:semiHidden/>
    <w:qFormat/>
    <w:uiPriority w:val="99"/>
    <w:pPr>
      <w:jc w:val="left"/>
    </w:pPr>
    <w:rPr>
      <w:kern w:val="0"/>
      <w:sz w:val="24"/>
      <w:szCs w:val="20"/>
    </w:rPr>
  </w:style>
  <w:style w:type="paragraph" w:styleId="11">
    <w:name w:val="Body Text 3"/>
    <w:basedOn w:val="1"/>
    <w:link w:val="48"/>
    <w:unhideWhenUsed/>
    <w:qFormat/>
    <w:uiPriority w:val="99"/>
    <w:pPr>
      <w:widowControl/>
      <w:spacing w:after="120" w:line="360" w:lineRule="auto"/>
      <w:jc w:val="left"/>
    </w:pPr>
    <w:rPr>
      <w:color w:val="000000"/>
      <w:sz w:val="16"/>
      <w:szCs w:val="16"/>
    </w:rPr>
  </w:style>
  <w:style w:type="paragraph" w:styleId="12">
    <w:name w:val="Body Text"/>
    <w:basedOn w:val="1"/>
    <w:next w:val="13"/>
    <w:link w:val="49"/>
    <w:qFormat/>
    <w:uiPriority w:val="99"/>
    <w:pPr>
      <w:widowControl/>
      <w:snapToGrid w:val="0"/>
      <w:spacing w:before="60" w:after="160" w:line="259" w:lineRule="auto"/>
      <w:ind w:right="113"/>
    </w:pPr>
    <w:rPr>
      <w:kern w:val="0"/>
      <w:sz w:val="18"/>
      <w:szCs w:val="20"/>
    </w:rPr>
  </w:style>
  <w:style w:type="paragraph" w:customStyle="1" w:styleId="13">
    <w:name w:val="正文部分"/>
    <w:basedOn w:val="1"/>
    <w:qFormat/>
    <w:uiPriority w:val="0"/>
    <w:pPr>
      <w:adjustRightInd w:val="0"/>
      <w:snapToGrid w:val="0"/>
      <w:spacing w:line="460" w:lineRule="exact"/>
      <w:textAlignment w:val="baseline"/>
    </w:pPr>
    <w:rPr>
      <w:rFonts w:ascii="宋体" w:cs="仿宋_GB2312"/>
      <w:kern w:val="0"/>
      <w:sz w:val="30"/>
      <w:szCs w:val="30"/>
    </w:rPr>
  </w:style>
  <w:style w:type="paragraph" w:styleId="14">
    <w:name w:val="Body Text Indent"/>
    <w:basedOn w:val="1"/>
    <w:next w:val="1"/>
    <w:link w:val="50"/>
    <w:qFormat/>
    <w:uiPriority w:val="99"/>
    <w:pPr>
      <w:spacing w:after="120"/>
      <w:ind w:left="420" w:leftChars="200"/>
    </w:pPr>
    <w:rPr>
      <w:kern w:val="0"/>
      <w:sz w:val="24"/>
      <w:szCs w:val="20"/>
    </w:rPr>
  </w:style>
  <w:style w:type="paragraph" w:styleId="15">
    <w:name w:val="Plain Text"/>
    <w:basedOn w:val="1"/>
    <w:link w:val="51"/>
    <w:qFormat/>
    <w:uiPriority w:val="0"/>
    <w:pPr>
      <w:widowControl/>
      <w:jc w:val="left"/>
    </w:pPr>
    <w:rPr>
      <w:rFonts w:ascii="宋体" w:hAnsi="Courier New"/>
      <w:szCs w:val="20"/>
    </w:rPr>
  </w:style>
  <w:style w:type="paragraph" w:styleId="16">
    <w:name w:val="Date"/>
    <w:basedOn w:val="1"/>
    <w:next w:val="1"/>
    <w:link w:val="52"/>
    <w:qFormat/>
    <w:uiPriority w:val="0"/>
    <w:pPr>
      <w:ind w:left="100" w:leftChars="2500"/>
    </w:pPr>
    <w:rPr>
      <w:kern w:val="0"/>
      <w:sz w:val="24"/>
      <w:szCs w:val="20"/>
    </w:rPr>
  </w:style>
  <w:style w:type="paragraph" w:styleId="17">
    <w:name w:val="Body Text Indent 2"/>
    <w:basedOn w:val="1"/>
    <w:link w:val="53"/>
    <w:unhideWhenUsed/>
    <w:qFormat/>
    <w:uiPriority w:val="99"/>
    <w:pPr>
      <w:widowControl/>
      <w:spacing w:after="120" w:line="480" w:lineRule="auto"/>
      <w:ind w:left="420" w:leftChars="200"/>
      <w:jc w:val="left"/>
    </w:pPr>
    <w:rPr>
      <w:color w:val="000000"/>
      <w:sz w:val="24"/>
    </w:rPr>
  </w:style>
  <w:style w:type="paragraph" w:styleId="18">
    <w:name w:val="Balloon Text"/>
    <w:basedOn w:val="1"/>
    <w:link w:val="54"/>
    <w:qFormat/>
    <w:uiPriority w:val="99"/>
    <w:rPr>
      <w:kern w:val="0"/>
      <w:sz w:val="18"/>
      <w:szCs w:val="20"/>
    </w:rPr>
  </w:style>
  <w:style w:type="paragraph" w:styleId="19">
    <w:name w:val="footer"/>
    <w:basedOn w:val="1"/>
    <w:link w:val="55"/>
    <w:qFormat/>
    <w:uiPriority w:val="99"/>
    <w:pPr>
      <w:tabs>
        <w:tab w:val="center" w:pos="4153"/>
        <w:tab w:val="right" w:pos="8306"/>
      </w:tabs>
      <w:snapToGrid w:val="0"/>
      <w:jc w:val="left"/>
    </w:pPr>
    <w:rPr>
      <w:kern w:val="0"/>
      <w:sz w:val="18"/>
      <w:szCs w:val="20"/>
    </w:rPr>
  </w:style>
  <w:style w:type="paragraph" w:styleId="20">
    <w:name w:val="header"/>
    <w:basedOn w:val="1"/>
    <w:link w:val="56"/>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List"/>
    <w:basedOn w:val="1"/>
    <w:unhideWhenUsed/>
    <w:qFormat/>
    <w:uiPriority w:val="99"/>
    <w:pPr>
      <w:widowControl/>
      <w:spacing w:line="320" w:lineRule="exact"/>
      <w:jc w:val="center"/>
    </w:pPr>
    <w:rPr>
      <w:color w:val="000000"/>
      <w:sz w:val="22"/>
      <w:szCs w:val="22"/>
    </w:rPr>
  </w:style>
  <w:style w:type="paragraph" w:styleId="22">
    <w:name w:val="Body Text Indent 3"/>
    <w:basedOn w:val="1"/>
    <w:link w:val="57"/>
    <w:unhideWhenUsed/>
    <w:qFormat/>
    <w:uiPriority w:val="99"/>
    <w:pPr>
      <w:widowControl/>
      <w:spacing w:after="120" w:line="360" w:lineRule="auto"/>
      <w:ind w:left="420" w:leftChars="200"/>
      <w:jc w:val="left"/>
    </w:pPr>
    <w:rPr>
      <w:color w:val="000000"/>
      <w:sz w:val="16"/>
      <w:szCs w:val="16"/>
    </w:rPr>
  </w:style>
  <w:style w:type="paragraph" w:styleId="23">
    <w:name w:val="toc 2"/>
    <w:basedOn w:val="1"/>
    <w:next w:val="1"/>
    <w:unhideWhenUsed/>
    <w:qFormat/>
    <w:uiPriority w:val="39"/>
    <w:pPr>
      <w:ind w:left="420" w:leftChars="200"/>
    </w:pPr>
  </w:style>
  <w:style w:type="paragraph" w:styleId="24">
    <w:name w:val="Body Text 2"/>
    <w:basedOn w:val="1"/>
    <w:link w:val="58"/>
    <w:unhideWhenUsed/>
    <w:qFormat/>
    <w:uiPriority w:val="99"/>
    <w:pPr>
      <w:widowControl/>
      <w:spacing w:after="120" w:line="480" w:lineRule="auto"/>
      <w:jc w:val="left"/>
    </w:pPr>
    <w:rPr>
      <w:color w:val="000000"/>
      <w:sz w:val="24"/>
    </w:rPr>
  </w:style>
  <w:style w:type="paragraph" w:styleId="25">
    <w:name w:val="HTML Preformatted"/>
    <w:basedOn w:val="1"/>
    <w:link w:val="5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6">
    <w:name w:val="Normal (Web)"/>
    <w:basedOn w:val="1"/>
    <w:link w:val="60"/>
    <w:qFormat/>
    <w:uiPriority w:val="0"/>
    <w:pPr>
      <w:widowControl/>
      <w:spacing w:before="100" w:beforeAutospacing="1" w:after="100" w:afterAutospacing="1"/>
      <w:jc w:val="left"/>
    </w:pPr>
    <w:rPr>
      <w:rFonts w:ascii="宋体" w:hAnsi="宋体"/>
      <w:kern w:val="0"/>
      <w:sz w:val="24"/>
      <w:szCs w:val="20"/>
    </w:rPr>
  </w:style>
  <w:style w:type="paragraph" w:styleId="27">
    <w:name w:val="Title"/>
    <w:basedOn w:val="1"/>
    <w:next w:val="1"/>
    <w:link w:val="61"/>
    <w:qFormat/>
    <w:uiPriority w:val="10"/>
    <w:pPr>
      <w:widowControl/>
      <w:spacing w:before="240" w:after="60" w:line="360" w:lineRule="auto"/>
      <w:jc w:val="center"/>
      <w:outlineLvl w:val="0"/>
    </w:pPr>
    <w:rPr>
      <w:rFonts w:ascii="Cambria" w:hAnsi="Cambria"/>
      <w:b/>
      <w:bCs/>
      <w:color w:val="000000"/>
      <w:sz w:val="32"/>
      <w:szCs w:val="32"/>
    </w:rPr>
  </w:style>
  <w:style w:type="paragraph" w:styleId="28">
    <w:name w:val="annotation subject"/>
    <w:basedOn w:val="10"/>
    <w:next w:val="10"/>
    <w:link w:val="62"/>
    <w:semiHidden/>
    <w:qFormat/>
    <w:uiPriority w:val="0"/>
    <w:rPr>
      <w:b/>
      <w:sz w:val="24"/>
      <w:szCs w:val="20"/>
    </w:rPr>
  </w:style>
  <w:style w:type="paragraph" w:styleId="29">
    <w:name w:val="Body Text First Indent"/>
    <w:basedOn w:val="12"/>
    <w:next w:val="2"/>
    <w:link w:val="63"/>
    <w:unhideWhenUsed/>
    <w:qFormat/>
    <w:uiPriority w:val="99"/>
    <w:pPr>
      <w:snapToGrid/>
      <w:spacing w:before="0" w:after="120" w:line="360" w:lineRule="auto"/>
      <w:ind w:right="0" w:firstLine="420" w:firstLineChars="100"/>
      <w:jc w:val="left"/>
    </w:pPr>
    <w:rPr>
      <w:color w:val="000000"/>
      <w:kern w:val="2"/>
      <w:sz w:val="24"/>
      <w:szCs w:val="24"/>
    </w:rPr>
  </w:style>
  <w:style w:type="paragraph" w:styleId="30">
    <w:name w:val="Body Text First Indent 2"/>
    <w:basedOn w:val="14"/>
    <w:next w:val="1"/>
    <w:link w:val="64"/>
    <w:qFormat/>
    <w:uiPriority w:val="0"/>
    <w:pPr>
      <w:ind w:firstLine="420" w:firstLineChars="200"/>
    </w:pPr>
    <w:rPr>
      <w:kern w:val="2"/>
      <w:sz w:val="21"/>
      <w:szCs w:val="24"/>
    </w:rPr>
  </w:style>
  <w:style w:type="table" w:styleId="32">
    <w:name w:val="Table Grid"/>
    <w:basedOn w:val="3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b/>
      <w:bCs/>
    </w:rPr>
  </w:style>
  <w:style w:type="character" w:styleId="35">
    <w:name w:val="page number"/>
    <w:basedOn w:val="33"/>
    <w:qFormat/>
    <w:uiPriority w:val="0"/>
  </w:style>
  <w:style w:type="character" w:styleId="36">
    <w:name w:val="FollowedHyperlink"/>
    <w:unhideWhenUsed/>
    <w:qFormat/>
    <w:uiPriority w:val="99"/>
    <w:rPr>
      <w:color w:val="800080"/>
      <w:u w:val="single"/>
    </w:rPr>
  </w:style>
  <w:style w:type="character" w:styleId="37">
    <w:name w:val="Emphasis"/>
    <w:qFormat/>
    <w:uiPriority w:val="20"/>
    <w:rPr>
      <w:i/>
      <w:iCs/>
    </w:rPr>
  </w:style>
  <w:style w:type="character" w:styleId="38">
    <w:name w:val="Hyperlink"/>
    <w:unhideWhenUsed/>
    <w:qFormat/>
    <w:uiPriority w:val="99"/>
    <w:rPr>
      <w:color w:val="0000FF"/>
      <w:u w:val="single"/>
    </w:rPr>
  </w:style>
  <w:style w:type="character" w:styleId="39">
    <w:name w:val="annotation reference"/>
    <w:qFormat/>
    <w:uiPriority w:val="99"/>
    <w:rPr>
      <w:sz w:val="21"/>
    </w:rPr>
  </w:style>
  <w:style w:type="character" w:customStyle="1" w:styleId="40">
    <w:name w:val="正文缩进 字符"/>
    <w:link w:val="7"/>
    <w:qFormat/>
    <w:uiPriority w:val="0"/>
    <w:rPr>
      <w:kern w:val="2"/>
      <w:sz w:val="21"/>
    </w:rPr>
  </w:style>
  <w:style w:type="character" w:customStyle="1" w:styleId="41">
    <w:name w:val="标题 1 字符"/>
    <w:link w:val="3"/>
    <w:qFormat/>
    <w:uiPriority w:val="99"/>
    <w:rPr>
      <w:rFonts w:eastAsia="黑体"/>
      <w:b/>
      <w:bCs/>
      <w:color w:val="000000"/>
      <w:kern w:val="44"/>
      <w:sz w:val="30"/>
      <w:szCs w:val="30"/>
    </w:rPr>
  </w:style>
  <w:style w:type="character" w:customStyle="1" w:styleId="42">
    <w:name w:val="标题 2 字符"/>
    <w:link w:val="4"/>
    <w:qFormat/>
    <w:uiPriority w:val="99"/>
    <w:rPr>
      <w:rFonts w:ascii="等线 Light" w:hAnsi="等线 Light" w:eastAsia="等线 Light" w:cs="Times New Roman"/>
      <w:b/>
      <w:bCs/>
      <w:kern w:val="2"/>
      <w:sz w:val="32"/>
      <w:szCs w:val="32"/>
    </w:rPr>
  </w:style>
  <w:style w:type="character" w:customStyle="1" w:styleId="43">
    <w:name w:val="标题 3 字符"/>
    <w:link w:val="5"/>
    <w:qFormat/>
    <w:uiPriority w:val="99"/>
    <w:rPr>
      <w:b/>
      <w:bCs/>
      <w:color w:val="000000"/>
      <w:sz w:val="24"/>
      <w:szCs w:val="24"/>
    </w:rPr>
  </w:style>
  <w:style w:type="character" w:customStyle="1" w:styleId="44">
    <w:name w:val="标题 4 字符"/>
    <w:link w:val="6"/>
    <w:qFormat/>
    <w:uiPriority w:val="9"/>
    <w:rPr>
      <w:rFonts w:ascii="Cambria" w:hAnsi="Cambria"/>
      <w:b/>
      <w:bCs/>
      <w:color w:val="000000"/>
      <w:kern w:val="2"/>
      <w:sz w:val="28"/>
      <w:szCs w:val="28"/>
    </w:rPr>
  </w:style>
  <w:style w:type="character" w:customStyle="1" w:styleId="45">
    <w:name w:val="题注 字符"/>
    <w:link w:val="8"/>
    <w:qFormat/>
    <w:uiPriority w:val="0"/>
    <w:rPr>
      <w:rFonts w:ascii="Arial" w:hAnsi="Arial" w:eastAsia="黑体" w:cs="Arial"/>
      <w:kern w:val="2"/>
    </w:rPr>
  </w:style>
  <w:style w:type="character" w:customStyle="1" w:styleId="46">
    <w:name w:val="文档结构图 字符"/>
    <w:link w:val="9"/>
    <w:qFormat/>
    <w:uiPriority w:val="99"/>
    <w:rPr>
      <w:rFonts w:ascii="宋体"/>
      <w:color w:val="000000"/>
      <w:kern w:val="2"/>
      <w:sz w:val="18"/>
      <w:szCs w:val="18"/>
    </w:rPr>
  </w:style>
  <w:style w:type="character" w:customStyle="1" w:styleId="47">
    <w:name w:val="批注文字 字符"/>
    <w:link w:val="10"/>
    <w:qFormat/>
    <w:uiPriority w:val="99"/>
    <w:rPr>
      <w:rFonts w:ascii="Times New Roman" w:hAnsi="Times New Roman" w:eastAsia="宋体"/>
      <w:sz w:val="24"/>
    </w:rPr>
  </w:style>
  <w:style w:type="character" w:customStyle="1" w:styleId="48">
    <w:name w:val="正文文本 3 字符"/>
    <w:link w:val="11"/>
    <w:qFormat/>
    <w:uiPriority w:val="99"/>
    <w:rPr>
      <w:color w:val="000000"/>
      <w:kern w:val="2"/>
      <w:sz w:val="16"/>
      <w:szCs w:val="16"/>
    </w:rPr>
  </w:style>
  <w:style w:type="character" w:customStyle="1" w:styleId="49">
    <w:name w:val="正文文本 字符"/>
    <w:link w:val="12"/>
    <w:qFormat/>
    <w:uiPriority w:val="99"/>
    <w:rPr>
      <w:sz w:val="18"/>
    </w:rPr>
  </w:style>
  <w:style w:type="character" w:customStyle="1" w:styleId="50">
    <w:name w:val="正文文本缩进 字符"/>
    <w:link w:val="14"/>
    <w:qFormat/>
    <w:uiPriority w:val="99"/>
    <w:rPr>
      <w:rFonts w:ascii="Times New Roman" w:hAnsi="Times New Roman" w:eastAsia="宋体"/>
      <w:sz w:val="24"/>
    </w:rPr>
  </w:style>
  <w:style w:type="character" w:customStyle="1" w:styleId="51">
    <w:name w:val="纯文本 字符"/>
    <w:link w:val="15"/>
    <w:qFormat/>
    <w:uiPriority w:val="0"/>
    <w:rPr>
      <w:rFonts w:ascii="宋体" w:hAnsi="Courier New"/>
      <w:kern w:val="2"/>
      <w:sz w:val="21"/>
    </w:rPr>
  </w:style>
  <w:style w:type="character" w:customStyle="1" w:styleId="52">
    <w:name w:val="日期 字符1"/>
    <w:link w:val="16"/>
    <w:qFormat/>
    <w:uiPriority w:val="99"/>
    <w:rPr>
      <w:rFonts w:ascii="Times New Roman" w:hAnsi="Times New Roman" w:eastAsia="宋体"/>
      <w:sz w:val="24"/>
    </w:rPr>
  </w:style>
  <w:style w:type="character" w:customStyle="1" w:styleId="53">
    <w:name w:val="正文文本缩进 2 字符"/>
    <w:link w:val="17"/>
    <w:qFormat/>
    <w:uiPriority w:val="99"/>
    <w:rPr>
      <w:color w:val="000000"/>
      <w:kern w:val="2"/>
      <w:sz w:val="24"/>
      <w:szCs w:val="24"/>
    </w:rPr>
  </w:style>
  <w:style w:type="character" w:customStyle="1" w:styleId="54">
    <w:name w:val="批注框文本 字符"/>
    <w:link w:val="18"/>
    <w:semiHidden/>
    <w:qFormat/>
    <w:uiPriority w:val="99"/>
    <w:rPr>
      <w:rFonts w:ascii="Times New Roman" w:hAnsi="Times New Roman" w:eastAsia="宋体"/>
      <w:sz w:val="18"/>
    </w:rPr>
  </w:style>
  <w:style w:type="character" w:customStyle="1" w:styleId="55">
    <w:name w:val="页脚 字符1"/>
    <w:link w:val="19"/>
    <w:qFormat/>
    <w:uiPriority w:val="99"/>
    <w:rPr>
      <w:sz w:val="18"/>
    </w:rPr>
  </w:style>
  <w:style w:type="character" w:customStyle="1" w:styleId="56">
    <w:name w:val="页眉 字符"/>
    <w:link w:val="20"/>
    <w:qFormat/>
    <w:uiPriority w:val="99"/>
    <w:rPr>
      <w:sz w:val="18"/>
    </w:rPr>
  </w:style>
  <w:style w:type="character" w:customStyle="1" w:styleId="57">
    <w:name w:val="正文文本缩进 3 字符"/>
    <w:link w:val="22"/>
    <w:qFormat/>
    <w:uiPriority w:val="99"/>
    <w:rPr>
      <w:color w:val="000000"/>
      <w:kern w:val="2"/>
      <w:sz w:val="16"/>
      <w:szCs w:val="16"/>
    </w:rPr>
  </w:style>
  <w:style w:type="character" w:customStyle="1" w:styleId="58">
    <w:name w:val="正文文本 2 字符"/>
    <w:link w:val="24"/>
    <w:qFormat/>
    <w:uiPriority w:val="99"/>
    <w:rPr>
      <w:color w:val="000000"/>
      <w:kern w:val="2"/>
      <w:sz w:val="24"/>
      <w:szCs w:val="24"/>
    </w:rPr>
  </w:style>
  <w:style w:type="character" w:customStyle="1" w:styleId="59">
    <w:name w:val="HTML 预设格式 字符"/>
    <w:link w:val="25"/>
    <w:qFormat/>
    <w:uiPriority w:val="99"/>
    <w:rPr>
      <w:rFonts w:ascii="宋体" w:hAnsi="宋体" w:cs="宋体"/>
      <w:sz w:val="24"/>
      <w:szCs w:val="24"/>
    </w:rPr>
  </w:style>
  <w:style w:type="character" w:customStyle="1" w:styleId="60">
    <w:name w:val="普通(网站) 字符"/>
    <w:link w:val="26"/>
    <w:qFormat/>
    <w:uiPriority w:val="0"/>
    <w:rPr>
      <w:rFonts w:ascii="宋体" w:hAnsi="宋体" w:eastAsia="宋体"/>
      <w:sz w:val="24"/>
    </w:rPr>
  </w:style>
  <w:style w:type="character" w:customStyle="1" w:styleId="61">
    <w:name w:val="标题 字符"/>
    <w:link w:val="27"/>
    <w:qFormat/>
    <w:uiPriority w:val="10"/>
    <w:rPr>
      <w:rFonts w:ascii="Cambria" w:hAnsi="Cambria"/>
      <w:b/>
      <w:bCs/>
      <w:color w:val="000000"/>
      <w:kern w:val="2"/>
      <w:sz w:val="32"/>
      <w:szCs w:val="32"/>
    </w:rPr>
  </w:style>
  <w:style w:type="character" w:customStyle="1" w:styleId="62">
    <w:name w:val="批注主题 字符"/>
    <w:link w:val="28"/>
    <w:semiHidden/>
    <w:qFormat/>
    <w:uiPriority w:val="0"/>
    <w:rPr>
      <w:rFonts w:ascii="Times New Roman" w:hAnsi="Times New Roman" w:eastAsia="宋体"/>
      <w:b/>
      <w:kern w:val="2"/>
      <w:sz w:val="24"/>
    </w:rPr>
  </w:style>
  <w:style w:type="character" w:customStyle="1" w:styleId="63">
    <w:name w:val="正文文本首行缩进 字符"/>
    <w:link w:val="29"/>
    <w:qFormat/>
    <w:uiPriority w:val="99"/>
    <w:rPr>
      <w:color w:val="000000"/>
      <w:kern w:val="2"/>
      <w:sz w:val="24"/>
      <w:szCs w:val="24"/>
    </w:rPr>
  </w:style>
  <w:style w:type="character" w:customStyle="1" w:styleId="64">
    <w:name w:val="正文文本首行缩进 2 字符"/>
    <w:link w:val="30"/>
    <w:qFormat/>
    <w:uiPriority w:val="0"/>
    <w:rPr>
      <w:rFonts w:ascii="Times New Roman" w:hAnsi="Times New Roman" w:eastAsia="宋体"/>
      <w:kern w:val="2"/>
      <w:sz w:val="21"/>
      <w:szCs w:val="24"/>
    </w:rPr>
  </w:style>
  <w:style w:type="paragraph" w:customStyle="1" w:styleId="65">
    <w:name w:val="表格1"/>
    <w:basedOn w:val="1"/>
    <w:semiHidden/>
    <w:qFormat/>
    <w:uiPriority w:val="0"/>
    <w:pPr>
      <w:adjustRightInd w:val="0"/>
      <w:snapToGrid w:val="0"/>
      <w:spacing w:line="360" w:lineRule="auto"/>
      <w:jc w:val="center"/>
    </w:pPr>
    <w:rPr>
      <w:rFonts w:ascii="黑体" w:hAnsi="宋体" w:eastAsia="黑体"/>
      <w:szCs w:val="21"/>
    </w:rPr>
  </w:style>
  <w:style w:type="paragraph" w:customStyle="1" w:styleId="66">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67">
    <w:name w:val="批注文字 字符1"/>
    <w:semiHidden/>
    <w:qFormat/>
    <w:uiPriority w:val="0"/>
    <w:rPr>
      <w:rFonts w:ascii="Times New Roman" w:hAnsi="Times New Roman" w:eastAsia="宋体"/>
      <w:sz w:val="24"/>
    </w:rPr>
  </w:style>
  <w:style w:type="character" w:customStyle="1" w:styleId="68">
    <w:name w:val="日期 字符"/>
    <w:qFormat/>
    <w:uiPriority w:val="0"/>
    <w:rPr>
      <w:rFonts w:ascii="Times New Roman" w:hAnsi="Times New Roman" w:eastAsia="宋体"/>
      <w:sz w:val="24"/>
    </w:rPr>
  </w:style>
  <w:style w:type="character" w:customStyle="1" w:styleId="69">
    <w:name w:val="页脚 字符"/>
    <w:basedOn w:val="33"/>
    <w:qFormat/>
    <w:uiPriority w:val="99"/>
  </w:style>
  <w:style w:type="character" w:customStyle="1" w:styleId="70">
    <w:name w:val="表格 Char"/>
    <w:link w:val="71"/>
    <w:qFormat/>
    <w:uiPriority w:val="0"/>
    <w:rPr>
      <w:rFonts w:ascii="宋体"/>
      <w:sz w:val="21"/>
    </w:rPr>
  </w:style>
  <w:style w:type="paragraph" w:customStyle="1" w:styleId="71">
    <w:name w:val="表格"/>
    <w:basedOn w:val="1"/>
    <w:next w:val="1"/>
    <w:link w:val="70"/>
    <w:qFormat/>
    <w:uiPriority w:val="0"/>
    <w:pPr>
      <w:adjustRightInd w:val="0"/>
      <w:snapToGrid w:val="0"/>
      <w:spacing w:beforeLines="10" w:afterLines="10" w:line="259" w:lineRule="auto"/>
      <w:jc w:val="center"/>
    </w:pPr>
    <w:rPr>
      <w:rFonts w:ascii="宋体"/>
      <w:kern w:val="0"/>
      <w:szCs w:val="20"/>
    </w:rPr>
  </w:style>
  <w:style w:type="character" w:customStyle="1" w:styleId="72">
    <w:name w:val="正文文本 字符1"/>
    <w:semiHidden/>
    <w:qFormat/>
    <w:uiPriority w:val="0"/>
    <w:rPr>
      <w:rFonts w:ascii="Times New Roman" w:hAnsi="Times New Roman" w:eastAsia="宋体"/>
      <w:sz w:val="24"/>
    </w:rPr>
  </w:style>
  <w:style w:type="paragraph" w:customStyle="1" w:styleId="7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5">
    <w:name w:val="Normal"/>
    <w:qFormat/>
    <w:uiPriority w:val="0"/>
    <w:pPr>
      <w:jc w:val="both"/>
    </w:pPr>
    <w:rPr>
      <w:rFonts w:ascii="Times New Roman" w:hAnsi="Times New Roman" w:eastAsia="宋体" w:cs="Times New Roman"/>
      <w:kern w:val="2"/>
      <w:sz w:val="21"/>
      <w:szCs w:val="21"/>
      <w:lang w:val="en-US" w:eastAsia="zh-CN" w:bidi="ar-SA"/>
    </w:rPr>
  </w:style>
  <w:style w:type="character" w:customStyle="1" w:styleId="76">
    <w:name w:val="Body text (2)_"/>
    <w:link w:val="77"/>
    <w:qFormat/>
    <w:uiPriority w:val="0"/>
    <w:rPr>
      <w:rFonts w:eastAsia="Times New Roman"/>
      <w:sz w:val="26"/>
      <w:szCs w:val="26"/>
      <w:shd w:val="clear" w:color="auto" w:fill="FFFFFF"/>
    </w:rPr>
  </w:style>
  <w:style w:type="paragraph" w:customStyle="1" w:styleId="77">
    <w:name w:val="Body text (2)"/>
    <w:basedOn w:val="1"/>
    <w:link w:val="76"/>
    <w:qFormat/>
    <w:uiPriority w:val="0"/>
    <w:pPr>
      <w:shd w:val="clear" w:color="auto" w:fill="FFFFFF"/>
      <w:spacing w:line="503" w:lineRule="exact"/>
      <w:jc w:val="distribute"/>
    </w:pPr>
    <w:rPr>
      <w:rFonts w:eastAsia="Times New Roman"/>
      <w:kern w:val="0"/>
      <w:sz w:val="26"/>
      <w:szCs w:val="26"/>
    </w:rPr>
  </w:style>
  <w:style w:type="paragraph" w:customStyle="1" w:styleId="78">
    <w:name w:val="Body text (2)1"/>
    <w:basedOn w:val="1"/>
    <w:qFormat/>
    <w:uiPriority w:val="0"/>
    <w:pPr>
      <w:shd w:val="clear" w:color="auto" w:fill="FFFFFF"/>
      <w:spacing w:line="240" w:lineRule="atLeast"/>
      <w:jc w:val="left"/>
    </w:pPr>
    <w:rPr>
      <w:rFonts w:ascii="宋体" w:hAnsi="宋体" w:eastAsia="MingLiU" w:cs="宋体"/>
      <w:kern w:val="0"/>
      <w:sz w:val="26"/>
      <w:szCs w:val="26"/>
    </w:rPr>
  </w:style>
  <w:style w:type="paragraph" w:customStyle="1" w:styleId="79">
    <w:name w:val="样式 小四 行距: 1.5 倍行距 首行缩进:  2 字符"/>
    <w:basedOn w:val="1"/>
    <w:qFormat/>
    <w:uiPriority w:val="0"/>
    <w:pPr>
      <w:spacing w:line="360" w:lineRule="auto"/>
      <w:ind w:firstLine="200" w:firstLineChars="200"/>
      <w:jc w:val="left"/>
    </w:pPr>
    <w:rPr>
      <w:rFonts w:cs="宋体"/>
      <w:sz w:val="24"/>
      <w:szCs w:val="20"/>
    </w:rPr>
  </w:style>
  <w:style w:type="character" w:customStyle="1" w:styleId="80">
    <w:name w:val="纯文本 Char2"/>
    <w:qFormat/>
    <w:uiPriority w:val="0"/>
    <w:rPr>
      <w:rFonts w:ascii="宋体" w:hAnsi="Courier New" w:eastAsia="宋体"/>
      <w:kern w:val="2"/>
      <w:sz w:val="21"/>
      <w:lang w:val="en-US" w:eastAsia="zh-CN" w:bidi="ar-SA"/>
    </w:rPr>
  </w:style>
  <w:style w:type="character" w:customStyle="1" w:styleId="81">
    <w:name w:val="正文01 Char"/>
    <w:link w:val="82"/>
    <w:qFormat/>
    <w:uiPriority w:val="0"/>
    <w:rPr>
      <w:color w:val="000000"/>
      <w:kern w:val="2"/>
      <w:sz w:val="24"/>
      <w:szCs w:val="24"/>
    </w:rPr>
  </w:style>
  <w:style w:type="paragraph" w:customStyle="1" w:styleId="82">
    <w:name w:val="正文01"/>
    <w:basedOn w:val="1"/>
    <w:link w:val="81"/>
    <w:qFormat/>
    <w:uiPriority w:val="0"/>
    <w:pPr>
      <w:widowControl/>
      <w:spacing w:before="60" w:after="100" w:afterAutospacing="1" w:line="460" w:lineRule="exact"/>
      <w:ind w:firstLine="200"/>
      <w:jc w:val="left"/>
    </w:pPr>
    <w:rPr>
      <w:color w:val="000000"/>
      <w:sz w:val="24"/>
    </w:rPr>
  </w:style>
  <w:style w:type="character" w:customStyle="1" w:styleId="83">
    <w:name w:val="15"/>
    <w:qFormat/>
    <w:uiPriority w:val="0"/>
    <w:rPr>
      <w:rFonts w:hint="default" w:ascii="Times New Roman" w:hAnsi="Times New Roman" w:cs="Times New Roman"/>
    </w:rPr>
  </w:style>
  <w:style w:type="character" w:customStyle="1" w:styleId="84">
    <w:name w:val="表格 Char Char"/>
    <w:qFormat/>
    <w:uiPriority w:val="0"/>
    <w:rPr>
      <w:rFonts w:eastAsia="宋体"/>
      <w:sz w:val="21"/>
      <w:lang w:val="en-US" w:eastAsia="zh-CN" w:bidi="ar-SA"/>
    </w:rPr>
  </w:style>
  <w:style w:type="character" w:customStyle="1" w:styleId="85">
    <w:name w:val="10"/>
    <w:qFormat/>
    <w:uiPriority w:val="0"/>
    <w:rPr>
      <w:rFonts w:hint="default" w:ascii="Times New Roman" w:hAnsi="Times New Roman" w:cs="Times New Roman"/>
    </w:rPr>
  </w:style>
  <w:style w:type="character" w:customStyle="1" w:styleId="86">
    <w:name w:val="批注文字 Char1"/>
    <w:semiHidden/>
    <w:qFormat/>
    <w:uiPriority w:val="99"/>
    <w:rPr>
      <w:rFonts w:ascii="Times New Roman" w:hAnsi="Times New Roman"/>
      <w:color w:val="000000"/>
      <w:kern w:val="2"/>
      <w:sz w:val="24"/>
      <w:szCs w:val="24"/>
    </w:rPr>
  </w:style>
  <w:style w:type="character" w:customStyle="1" w:styleId="87">
    <w:name w:val="18"/>
    <w:qFormat/>
    <w:uiPriority w:val="0"/>
    <w:rPr>
      <w:rFonts w:ascii="MingLiU" w:hAnsi="MingLiU" w:eastAsia="MingLiU" w:cs="Times New Roman"/>
      <w:spacing w:val="30"/>
      <w:sz w:val="26"/>
      <w:szCs w:val="26"/>
    </w:rPr>
  </w:style>
  <w:style w:type="character" w:customStyle="1" w:styleId="88">
    <w:name w:val="apple-converted-space"/>
    <w:qFormat/>
    <w:uiPriority w:val="0"/>
  </w:style>
  <w:style w:type="character" w:customStyle="1" w:styleId="89">
    <w:name w:val="表格 32 Char"/>
    <w:link w:val="90"/>
    <w:qFormat/>
    <w:uiPriority w:val="0"/>
    <w:rPr>
      <w:sz w:val="24"/>
    </w:rPr>
  </w:style>
  <w:style w:type="paragraph" w:customStyle="1" w:styleId="90">
    <w:name w:val="表格 32"/>
    <w:basedOn w:val="1"/>
    <w:link w:val="89"/>
    <w:qFormat/>
    <w:uiPriority w:val="0"/>
    <w:pPr>
      <w:autoSpaceDE w:val="0"/>
      <w:autoSpaceDN w:val="0"/>
      <w:adjustRightInd w:val="0"/>
      <w:spacing w:line="0" w:lineRule="atLeast"/>
      <w:ind w:firstLine="200" w:firstLineChars="200"/>
      <w:jc w:val="center"/>
      <w:textAlignment w:val="baseline"/>
    </w:pPr>
    <w:rPr>
      <w:kern w:val="0"/>
      <w:sz w:val="24"/>
      <w:szCs w:val="20"/>
    </w:rPr>
  </w:style>
  <w:style w:type="character" w:customStyle="1" w:styleId="91">
    <w:name w:val="纯文本 Char1"/>
    <w:semiHidden/>
    <w:qFormat/>
    <w:uiPriority w:val="99"/>
    <w:rPr>
      <w:rFonts w:ascii="宋体" w:hAnsi="Courier New" w:cs="Courier New"/>
      <w:color w:val="000000"/>
      <w:kern w:val="2"/>
      <w:sz w:val="21"/>
      <w:szCs w:val="21"/>
    </w:rPr>
  </w:style>
  <w:style w:type="character" w:customStyle="1" w:styleId="92">
    <w:name w:val="表格文字 Char"/>
    <w:link w:val="93"/>
    <w:qFormat/>
    <w:uiPriority w:val="0"/>
    <w:rPr>
      <w:rFonts w:ascii="Arial" w:hAnsi="Arial" w:cs="Arial"/>
      <w:color w:val="000000"/>
      <w:spacing w:val="-20"/>
      <w:kern w:val="2"/>
      <w:sz w:val="24"/>
    </w:rPr>
  </w:style>
  <w:style w:type="paragraph" w:customStyle="1" w:styleId="93">
    <w:name w:val="表格文字"/>
    <w:basedOn w:val="1"/>
    <w:link w:val="92"/>
    <w:qFormat/>
    <w:uiPriority w:val="0"/>
    <w:pPr>
      <w:adjustRightInd w:val="0"/>
      <w:snapToGrid w:val="0"/>
      <w:jc w:val="center"/>
    </w:pPr>
    <w:rPr>
      <w:rFonts w:ascii="Arial" w:hAnsi="Arial" w:cs="Arial"/>
      <w:color w:val="000000"/>
      <w:spacing w:val="-20"/>
      <w:sz w:val="24"/>
      <w:szCs w:val="20"/>
    </w:rPr>
  </w:style>
  <w:style w:type="character" w:customStyle="1" w:styleId="94">
    <w:name w:val="【表中文字】 Char"/>
    <w:link w:val="95"/>
    <w:qFormat/>
    <w:uiPriority w:val="0"/>
    <w:rPr>
      <w:kern w:val="2"/>
      <w:sz w:val="21"/>
    </w:rPr>
  </w:style>
  <w:style w:type="paragraph" w:customStyle="1" w:styleId="95">
    <w:name w:val="【表中文字】"/>
    <w:basedOn w:val="1"/>
    <w:link w:val="94"/>
    <w:qFormat/>
    <w:uiPriority w:val="0"/>
    <w:pPr>
      <w:jc w:val="center"/>
    </w:pPr>
    <w:rPr>
      <w:szCs w:val="20"/>
    </w:rPr>
  </w:style>
  <w:style w:type="character" w:customStyle="1" w:styleId="96">
    <w:name w:val="表格数字 Char"/>
    <w:link w:val="97"/>
    <w:qFormat/>
    <w:uiPriority w:val="0"/>
    <w:rPr>
      <w:rFonts w:ascii="Arial" w:hAnsi="Arial" w:cs="宋体"/>
      <w:sz w:val="21"/>
    </w:rPr>
  </w:style>
  <w:style w:type="paragraph" w:customStyle="1" w:styleId="97">
    <w:name w:val="表格数字"/>
    <w:basedOn w:val="1"/>
    <w:link w:val="96"/>
    <w:qFormat/>
    <w:uiPriority w:val="0"/>
    <w:pPr>
      <w:widowControl/>
      <w:spacing w:line="360" w:lineRule="exact"/>
      <w:jc w:val="center"/>
    </w:pPr>
    <w:rPr>
      <w:rFonts w:ascii="Arial" w:hAnsi="Arial" w:cs="宋体"/>
      <w:kern w:val="0"/>
      <w:szCs w:val="20"/>
    </w:rPr>
  </w:style>
  <w:style w:type="character" w:customStyle="1" w:styleId="98">
    <w:name w:val="表格正文 Char"/>
    <w:link w:val="99"/>
    <w:qFormat/>
    <w:uiPriority w:val="0"/>
    <w:rPr>
      <w:rFonts w:ascii="Arial" w:hAnsi="Arial"/>
      <w:color w:val="000000"/>
      <w:kern w:val="2"/>
      <w:sz w:val="21"/>
      <w:szCs w:val="21"/>
    </w:rPr>
  </w:style>
  <w:style w:type="paragraph" w:customStyle="1" w:styleId="99">
    <w:name w:val="表格正文"/>
    <w:basedOn w:val="1"/>
    <w:link w:val="98"/>
    <w:semiHidden/>
    <w:qFormat/>
    <w:uiPriority w:val="0"/>
    <w:pPr>
      <w:widowControl/>
      <w:spacing w:line="360" w:lineRule="exact"/>
      <w:jc w:val="center"/>
    </w:pPr>
    <w:rPr>
      <w:rFonts w:ascii="Arial" w:hAnsi="Arial"/>
      <w:color w:val="000000"/>
      <w:szCs w:val="21"/>
    </w:rPr>
  </w:style>
  <w:style w:type="paragraph" w:customStyle="1" w:styleId="100">
    <w:name w:val="表1表2"/>
    <w:basedOn w:val="1"/>
    <w:qFormat/>
    <w:uiPriority w:val="0"/>
    <w:pPr>
      <w:widowControl/>
      <w:autoSpaceDE w:val="0"/>
      <w:autoSpaceDN w:val="0"/>
      <w:adjustRightInd w:val="0"/>
      <w:spacing w:line="360" w:lineRule="auto"/>
      <w:jc w:val="center"/>
      <w:textAlignment w:val="center"/>
    </w:pPr>
    <w:rPr>
      <w:rFonts w:eastAsia="仿宋体"/>
      <w:color w:val="000000"/>
      <w:kern w:val="0"/>
      <w:sz w:val="24"/>
    </w:rPr>
  </w:style>
  <w:style w:type="paragraph" w:customStyle="1" w:styleId="101">
    <w:name w:val="正文格式"/>
    <w:basedOn w:val="1"/>
    <w:qFormat/>
    <w:uiPriority w:val="0"/>
    <w:pPr>
      <w:spacing w:line="360" w:lineRule="auto"/>
      <w:ind w:firstLine="544" w:firstLineChars="200"/>
    </w:pPr>
    <w:rPr>
      <w:rFonts w:ascii="Calibri" w:hAnsi="Calibri"/>
      <w:sz w:val="24"/>
    </w:rPr>
  </w:style>
  <w:style w:type="character" w:customStyle="1" w:styleId="102">
    <w:name w:val="HTML 预设格式 字符1"/>
    <w:qFormat/>
    <w:uiPriority w:val="0"/>
    <w:rPr>
      <w:rFonts w:ascii="Courier New" w:hAnsi="Courier New" w:cs="Courier New"/>
      <w:kern w:val="2"/>
    </w:rPr>
  </w:style>
  <w:style w:type="character" w:customStyle="1" w:styleId="103">
    <w:name w:val="正文文本首行缩进 字符1"/>
    <w:qFormat/>
    <w:uiPriority w:val="0"/>
    <w:rPr>
      <w:kern w:val="2"/>
      <w:sz w:val="21"/>
      <w:szCs w:val="24"/>
    </w:rPr>
  </w:style>
  <w:style w:type="character" w:customStyle="1" w:styleId="104">
    <w:name w:val="正文文本 2 字符1"/>
    <w:qFormat/>
    <w:uiPriority w:val="0"/>
    <w:rPr>
      <w:kern w:val="2"/>
      <w:sz w:val="21"/>
      <w:szCs w:val="24"/>
    </w:rPr>
  </w:style>
  <w:style w:type="character" w:customStyle="1" w:styleId="105">
    <w:name w:val="正文文本缩进 3 字符1"/>
    <w:qFormat/>
    <w:uiPriority w:val="0"/>
    <w:rPr>
      <w:kern w:val="2"/>
      <w:sz w:val="16"/>
      <w:szCs w:val="16"/>
    </w:rPr>
  </w:style>
  <w:style w:type="character" w:customStyle="1" w:styleId="106">
    <w:name w:val="文档结构图 字符1"/>
    <w:qFormat/>
    <w:uiPriority w:val="0"/>
    <w:rPr>
      <w:rFonts w:ascii="Microsoft YaHei UI" w:eastAsia="Microsoft YaHei UI"/>
      <w:kern w:val="2"/>
      <w:sz w:val="18"/>
      <w:szCs w:val="18"/>
    </w:rPr>
  </w:style>
  <w:style w:type="paragraph" w:customStyle="1" w:styleId="107">
    <w:name w:val="样式1"/>
    <w:basedOn w:val="1"/>
    <w:qFormat/>
    <w:uiPriority w:val="0"/>
    <w:pPr>
      <w:spacing w:line="360" w:lineRule="auto"/>
    </w:pPr>
    <w:rPr>
      <w:b/>
      <w:bCs/>
      <w:sz w:val="28"/>
    </w:rPr>
  </w:style>
  <w:style w:type="character" w:customStyle="1" w:styleId="108">
    <w:name w:val="正文文本缩进 2 字符1"/>
    <w:qFormat/>
    <w:uiPriority w:val="0"/>
    <w:rPr>
      <w:kern w:val="2"/>
      <w:sz w:val="21"/>
      <w:szCs w:val="24"/>
    </w:rPr>
  </w:style>
  <w:style w:type="character" w:customStyle="1" w:styleId="109">
    <w:name w:val="正文文本 3 字符1"/>
    <w:qFormat/>
    <w:uiPriority w:val="0"/>
    <w:rPr>
      <w:kern w:val="2"/>
      <w:sz w:val="16"/>
      <w:szCs w:val="16"/>
    </w:rPr>
  </w:style>
  <w:style w:type="character" w:customStyle="1" w:styleId="110">
    <w:name w:val="标题 字符1"/>
    <w:qFormat/>
    <w:uiPriority w:val="0"/>
    <w:rPr>
      <w:rFonts w:ascii="等线 Light" w:hAnsi="等线 Light" w:cs="Times New Roman"/>
      <w:b/>
      <w:bCs/>
      <w:kern w:val="2"/>
      <w:sz w:val="32"/>
      <w:szCs w:val="32"/>
    </w:rPr>
  </w:style>
  <w:style w:type="character" w:customStyle="1" w:styleId="111">
    <w:name w:val="纯文本 字符1"/>
    <w:qFormat/>
    <w:uiPriority w:val="0"/>
    <w:rPr>
      <w:rFonts w:ascii="宋体" w:hAnsi="Courier New" w:cs="Courier New"/>
      <w:kern w:val="2"/>
      <w:sz w:val="21"/>
      <w:szCs w:val="21"/>
    </w:rPr>
  </w:style>
  <w:style w:type="paragraph" w:customStyle="1" w:styleId="112">
    <w:name w:val=" Char"/>
    <w:basedOn w:val="1"/>
    <w:qFormat/>
    <w:uiPriority w:val="0"/>
    <w:rPr>
      <w:sz w:val="24"/>
    </w:rPr>
  </w:style>
  <w:style w:type="paragraph" w:customStyle="1" w:styleId="113">
    <w:name w:val="正文文本 (2)"/>
    <w:basedOn w:val="1"/>
    <w:unhideWhenUsed/>
    <w:qFormat/>
    <w:uiPriority w:val="99"/>
    <w:pPr>
      <w:widowControl/>
      <w:shd w:val="clear" w:color="auto" w:fill="FFFFFF"/>
      <w:spacing w:before="60" w:line="802" w:lineRule="exact"/>
      <w:jc w:val="left"/>
    </w:pPr>
    <w:rPr>
      <w:rFonts w:hint="eastAsia" w:ascii="MingLiU" w:hAnsi="MingLiU" w:eastAsia="MingLiU"/>
      <w:color w:val="000000"/>
      <w:sz w:val="28"/>
    </w:rPr>
  </w:style>
  <w:style w:type="paragraph" w:customStyle="1" w:styleId="114">
    <w:name w:val="表 标题"/>
    <w:basedOn w:val="1"/>
    <w:qFormat/>
    <w:uiPriority w:val="0"/>
    <w:pPr>
      <w:adjustRightInd w:val="0"/>
      <w:snapToGrid w:val="0"/>
      <w:spacing w:beforeLines="50"/>
      <w:jc w:val="center"/>
    </w:pPr>
    <w:rPr>
      <w:b/>
      <w:kern w:val="0"/>
      <w:sz w:val="20"/>
      <w:szCs w:val="21"/>
    </w:rPr>
  </w:style>
  <w:style w:type="paragraph" w:customStyle="1" w:styleId="115">
    <w:name w:val="正文000000"/>
    <w:basedOn w:val="1"/>
    <w:next w:val="1"/>
    <w:qFormat/>
    <w:uiPriority w:val="0"/>
    <w:pPr>
      <w:adjustRightInd w:val="0"/>
      <w:snapToGrid w:val="0"/>
      <w:spacing w:line="360" w:lineRule="auto"/>
      <w:ind w:firstLine="200" w:firstLineChars="200"/>
      <w:textAlignment w:val="baseline"/>
    </w:pPr>
    <w:rPr>
      <w:rFonts w:ascii="宋体" w:hAnsi="宋体" w:cs="宋体"/>
      <w:sz w:val="24"/>
    </w:rPr>
  </w:style>
  <w:style w:type="paragraph" w:customStyle="1" w:styleId="116">
    <w:name w:val="中等深浅网格 21"/>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117">
    <w:name w:val="正文2"/>
    <w:basedOn w:val="1"/>
    <w:link w:val="118"/>
    <w:qFormat/>
    <w:uiPriority w:val="0"/>
    <w:pPr>
      <w:adjustRightInd w:val="0"/>
      <w:snapToGrid w:val="0"/>
      <w:spacing w:line="440" w:lineRule="atLeast"/>
      <w:ind w:firstLine="510"/>
    </w:pPr>
    <w:rPr>
      <w:szCs w:val="20"/>
    </w:rPr>
  </w:style>
  <w:style w:type="character" w:customStyle="1" w:styleId="118">
    <w:name w:val="正文2 Char"/>
    <w:link w:val="117"/>
    <w:qFormat/>
    <w:uiPriority w:val="0"/>
    <w:rPr>
      <w:kern w:val="2"/>
      <w:sz w:val="21"/>
    </w:rPr>
  </w:style>
  <w:style w:type="paragraph" w:customStyle="1" w:styleId="119">
    <w:name w:val="正文 + 首行缩进:  2 字符"/>
    <w:basedOn w:val="1"/>
    <w:qFormat/>
    <w:uiPriority w:val="0"/>
    <w:pPr>
      <w:widowControl/>
      <w:spacing w:line="460" w:lineRule="atLeast"/>
      <w:ind w:firstLine="528" w:firstLineChars="200"/>
      <w:jc w:val="left"/>
    </w:pPr>
    <w:rPr>
      <w:color w:val="000000"/>
      <w:spacing w:val="12"/>
      <w:sz w:val="24"/>
      <w:szCs w:val="20"/>
    </w:rPr>
  </w:style>
  <w:style w:type="paragraph" w:customStyle="1" w:styleId="120">
    <w:name w:val="图表题"/>
    <w:basedOn w:val="1"/>
    <w:next w:val="1"/>
    <w:qFormat/>
    <w:uiPriority w:val="0"/>
    <w:pPr>
      <w:widowControl/>
      <w:adjustRightInd w:val="0"/>
      <w:snapToGrid w:val="0"/>
      <w:spacing w:line="360" w:lineRule="auto"/>
      <w:jc w:val="center"/>
    </w:pPr>
    <w:rPr>
      <w:rFonts w:eastAsia="黑体"/>
      <w:color w:val="000000"/>
      <w:sz w:val="24"/>
      <w:szCs w:val="20"/>
    </w:rPr>
  </w:style>
  <w:style w:type="paragraph" w:customStyle="1" w:styleId="121">
    <w:name w:val="1级标题"/>
    <w:basedOn w:val="3"/>
    <w:qFormat/>
    <w:uiPriority w:val="0"/>
    <w:pPr>
      <w:keepNext w:val="0"/>
      <w:widowControl/>
      <w:overflowPunct/>
      <w:adjustRightInd w:val="0"/>
      <w:spacing w:before="0" w:after="0" w:line="360" w:lineRule="auto"/>
      <w:ind w:left="0" w:firstLine="0"/>
      <w:jc w:val="left"/>
    </w:pPr>
    <w:rPr>
      <w:rFonts w:ascii="黑体"/>
      <w:b w:val="0"/>
    </w:rPr>
  </w:style>
  <w:style w:type="paragraph" w:customStyle="1" w:styleId="122">
    <w:name w:val="表格001"/>
    <w:basedOn w:val="1"/>
    <w:qFormat/>
    <w:uiPriority w:val="0"/>
    <w:pPr>
      <w:widowControl/>
      <w:spacing w:line="360" w:lineRule="exact"/>
      <w:jc w:val="center"/>
    </w:pPr>
    <w:rPr>
      <w:color w:val="000000"/>
      <w:sz w:val="24"/>
    </w:rPr>
  </w:style>
  <w:style w:type="paragraph" w:customStyle="1" w:styleId="123">
    <w:name w:val="正文001"/>
    <w:basedOn w:val="1"/>
    <w:qFormat/>
    <w:uiPriority w:val="0"/>
    <w:pPr>
      <w:widowControl/>
      <w:spacing w:before="60" w:after="100" w:afterAutospacing="1" w:line="420" w:lineRule="exact"/>
      <w:ind w:firstLine="482"/>
      <w:jc w:val="left"/>
    </w:pPr>
    <w:rPr>
      <w:color w:val="000000"/>
      <w:sz w:val="24"/>
    </w:rPr>
  </w:style>
  <w:style w:type="paragraph" w:customStyle="1" w:styleId="124">
    <w:name w:val="表格内容"/>
    <w:basedOn w:val="7"/>
    <w:qFormat/>
    <w:uiPriority w:val="0"/>
    <w:pPr>
      <w:spacing w:line="312" w:lineRule="auto"/>
      <w:ind w:firstLine="0" w:firstLineChars="0"/>
      <w:jc w:val="center"/>
    </w:pPr>
    <w:rPr>
      <w:rFonts w:ascii="Calibri" w:hAnsi="Calibri"/>
      <w:sz w:val="24"/>
    </w:rPr>
  </w:style>
  <w:style w:type="paragraph" w:customStyle="1" w:styleId="125">
    <w:name w:val="民武正文"/>
    <w:basedOn w:val="15"/>
    <w:qFormat/>
    <w:uiPriority w:val="0"/>
    <w:pPr>
      <w:spacing w:line="300" w:lineRule="auto"/>
      <w:ind w:firstLine="200" w:firstLineChars="200"/>
    </w:pPr>
    <w:rPr>
      <w:rFonts w:ascii="Times New Roman" w:hAnsi="Times New Roman"/>
      <w:kern w:val="0"/>
      <w:sz w:val="24"/>
      <w:szCs w:val="24"/>
      <w:lang w:bidi="en-US"/>
    </w:rPr>
  </w:style>
  <w:style w:type="paragraph" w:customStyle="1" w:styleId="126">
    <w:name w:val="Table Paragraph"/>
    <w:basedOn w:val="1"/>
    <w:qFormat/>
    <w:uiPriority w:val="0"/>
    <w:pPr>
      <w:jc w:val="center"/>
    </w:pPr>
    <w:rPr>
      <w:rFonts w:ascii="宋体" w:hAnsi="宋体" w:cs="宋体"/>
      <w:kern w:val="0"/>
      <w:sz w:val="22"/>
      <w:szCs w:val="22"/>
      <w:lang w:eastAsia="en-US"/>
    </w:rPr>
  </w:style>
  <w:style w:type="paragraph" w:customStyle="1" w:styleId="127">
    <w:name w:val="正文缩近"/>
    <w:basedOn w:val="1"/>
    <w:qFormat/>
    <w:uiPriority w:val="0"/>
    <w:pPr>
      <w:spacing w:line="360" w:lineRule="auto"/>
      <w:ind w:firstLine="560" w:firstLineChars="200"/>
    </w:pPr>
    <w:rPr>
      <w:sz w:val="28"/>
      <w:szCs w:val="28"/>
    </w:rPr>
  </w:style>
  <w:style w:type="paragraph" w:customStyle="1" w:styleId="128">
    <w:name w:val="bg正文首行缩进"/>
    <w:basedOn w:val="1"/>
    <w:qFormat/>
    <w:uiPriority w:val="0"/>
    <w:pPr>
      <w:widowControl/>
      <w:spacing w:line="400" w:lineRule="exact"/>
      <w:ind w:firstLine="482"/>
      <w:jc w:val="left"/>
    </w:pPr>
    <w:rPr>
      <w:color w:val="000000"/>
      <w:sz w:val="24"/>
    </w:rPr>
  </w:style>
  <w:style w:type="paragraph" w:customStyle="1" w:styleId="129">
    <w:name w:val="正文3"/>
    <w:basedOn w:val="1"/>
    <w:qFormat/>
    <w:uiPriority w:val="0"/>
    <w:pPr>
      <w:spacing w:line="360" w:lineRule="auto"/>
      <w:ind w:firstLine="454"/>
      <w:jc w:val="left"/>
    </w:pPr>
    <w:rPr>
      <w:rFonts w:ascii="宋体" w:hAnsi="宋体"/>
      <w:kern w:val="0"/>
      <w:sz w:val="24"/>
      <w:szCs w:val="20"/>
    </w:rPr>
  </w:style>
  <w:style w:type="paragraph" w:customStyle="1" w:styleId="130">
    <w:name w:val="p0"/>
    <w:basedOn w:val="1"/>
    <w:qFormat/>
    <w:uiPriority w:val="0"/>
    <w:pPr>
      <w:widowControl/>
    </w:pPr>
    <w:rPr>
      <w:kern w:val="0"/>
      <w:szCs w:val="21"/>
    </w:rPr>
  </w:style>
  <w:style w:type="paragraph" w:customStyle="1" w:styleId="131">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32">
    <w:name w:val="【正文】"/>
    <w:basedOn w:val="1"/>
    <w:qFormat/>
    <w:uiPriority w:val="0"/>
    <w:pPr>
      <w:widowControl/>
      <w:spacing w:line="440" w:lineRule="exact"/>
      <w:ind w:firstLine="544"/>
      <w:jc w:val="left"/>
    </w:pPr>
    <w:rPr>
      <w:rFonts w:cs="宋体"/>
      <w:color w:val="000000"/>
      <w:sz w:val="24"/>
    </w:rPr>
  </w:style>
  <w:style w:type="paragraph" w:customStyle="1" w:styleId="133">
    <w:name w:val=" Char Char Char Char Char Char Char"/>
    <w:basedOn w:val="1"/>
    <w:qFormat/>
    <w:uiPriority w:val="0"/>
    <w:pPr>
      <w:spacing w:line="360" w:lineRule="auto"/>
      <w:ind w:firstLine="200" w:firstLineChars="200"/>
    </w:pPr>
    <w:rPr>
      <w:rFonts w:ascii="宋体" w:hAnsi="宋体" w:cs="宋体"/>
      <w:sz w:val="24"/>
    </w:rPr>
  </w:style>
  <w:style w:type="paragraph" w:customStyle="1" w:styleId="134">
    <w:name w:val="正文+首行缩进"/>
    <w:basedOn w:val="1"/>
    <w:qFormat/>
    <w:uiPriority w:val="0"/>
    <w:pPr>
      <w:widowControl/>
      <w:spacing w:line="360" w:lineRule="auto"/>
      <w:ind w:firstLine="480" w:firstLineChars="200"/>
      <w:jc w:val="left"/>
    </w:pPr>
    <w:rPr>
      <w:rFonts w:cs="宋体"/>
      <w:color w:val="000000"/>
      <w:sz w:val="24"/>
      <w:szCs w:val="20"/>
    </w:rPr>
  </w:style>
  <w:style w:type="paragraph" w:customStyle="1" w:styleId="135">
    <w:name w:val="Default"/>
    <w:basedOn w:val="1"/>
    <w:qFormat/>
    <w:uiPriority w:val="0"/>
    <w:pPr>
      <w:widowControl/>
      <w:autoSpaceDE w:val="0"/>
      <w:autoSpaceDN w:val="0"/>
      <w:jc w:val="left"/>
    </w:pPr>
    <w:rPr>
      <w:rFonts w:ascii="宋体" w:cs="宋体"/>
      <w:color w:val="000000"/>
      <w:kern w:val="0"/>
      <w:sz w:val="24"/>
    </w:rPr>
  </w:style>
  <w:style w:type="paragraph" w:customStyle="1" w:styleId="136">
    <w:name w:val="流程图文字"/>
    <w:basedOn w:val="1"/>
    <w:qFormat/>
    <w:uiPriority w:val="0"/>
    <w:pPr>
      <w:adjustRightInd w:val="0"/>
      <w:spacing w:beforeAutospacing="1" w:after="40" w:line="360" w:lineRule="exact"/>
      <w:jc w:val="center"/>
      <w:textAlignment w:val="baseline"/>
    </w:pPr>
    <w:rPr>
      <w:rFonts w:ascii="宋体" w:hAnsi="宋体"/>
      <w:kern w:val="0"/>
      <w:sz w:val="24"/>
      <w:szCs w:val="20"/>
    </w:rPr>
  </w:style>
  <w:style w:type="paragraph" w:customStyle="1" w:styleId="137">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138">
    <w:name w:val="Normal (Web)"/>
    <w:basedOn w:val="1"/>
    <w:qFormat/>
    <w:uiPriority w:val="0"/>
    <w:pPr>
      <w:widowControl/>
      <w:spacing w:before="100" w:beforeAutospacing="1" w:after="100" w:afterAutospacing="1" w:line="360" w:lineRule="auto"/>
      <w:jc w:val="left"/>
    </w:pPr>
    <w:rPr>
      <w:rFonts w:ascii="Arial Unicode MS" w:hAnsi="Arial Unicode MS" w:eastAsia="Arial Unicode MS" w:cs="Arial Unicode MS"/>
      <w:color w:val="000000"/>
      <w:kern w:val="0"/>
      <w:sz w:val="24"/>
    </w:rPr>
  </w:style>
  <w:style w:type="paragraph" w:customStyle="1" w:styleId="139">
    <w:name w:val="表格2"/>
    <w:basedOn w:val="1"/>
    <w:qFormat/>
    <w:uiPriority w:val="0"/>
    <w:pPr>
      <w:widowControl/>
      <w:jc w:val="center"/>
    </w:pPr>
    <w:rPr>
      <w:rFonts w:cs="宋体"/>
      <w:color w:val="000000"/>
      <w:szCs w:val="21"/>
    </w:rPr>
  </w:style>
  <w:style w:type="paragraph" w:customStyle="1" w:styleId="140">
    <w:name w:val="_Style 44"/>
    <w:basedOn w:val="1"/>
    <w:qFormat/>
    <w:uiPriority w:val="0"/>
    <w:pPr>
      <w:spacing w:line="360" w:lineRule="auto"/>
      <w:ind w:firstLine="200" w:firstLineChars="200"/>
    </w:pPr>
    <w:rPr>
      <w:rFonts w:ascii="宋体" w:hAnsi="宋体" w:cs="宋体"/>
      <w:sz w:val="24"/>
    </w:rPr>
  </w:style>
  <w:style w:type="paragraph" w:customStyle="1" w:styleId="141">
    <w:name w:val="中文"/>
    <w:basedOn w:val="1"/>
    <w:qFormat/>
    <w:uiPriority w:val="0"/>
    <w:pPr>
      <w:widowControl/>
      <w:spacing w:line="360" w:lineRule="auto"/>
      <w:ind w:firstLine="200" w:firstLineChars="200"/>
    </w:pPr>
    <w:rPr>
      <w:rFonts w:ascii="Calibri" w:hAnsi="Calibri"/>
      <w:lang w:eastAsia="en-US"/>
    </w:rPr>
  </w:style>
  <w:style w:type="paragraph" w:customStyle="1" w:styleId="142">
    <w:name w:val=" Char Char Char Char Char Char Char Char Char Char"/>
    <w:basedOn w:val="1"/>
    <w:qFormat/>
    <w:uiPriority w:val="0"/>
    <w:pPr>
      <w:widowControl/>
      <w:spacing w:after="160" w:line="240" w:lineRule="exact"/>
      <w:jc w:val="left"/>
    </w:pPr>
  </w:style>
  <w:style w:type="paragraph" w:customStyle="1" w:styleId="143">
    <w:name w:val="表内容"/>
    <w:basedOn w:val="15"/>
    <w:qFormat/>
    <w:uiPriority w:val="0"/>
    <w:pPr>
      <w:widowControl w:val="0"/>
      <w:jc w:val="both"/>
    </w:pPr>
    <w:rPr>
      <w:rFonts w:ascii="Times New Roman" w:hAnsi="Times New Roman"/>
      <w:lang w:val="en-US" w:eastAsia="zh-CN"/>
    </w:rPr>
  </w:style>
  <w:style w:type="character" w:customStyle="1" w:styleId="144">
    <w:name w:val="正文文本 (2)_"/>
    <w:link w:val="145"/>
    <w:qFormat/>
    <w:uiPriority w:val="0"/>
    <w:rPr>
      <w:rFonts w:ascii="宋体" w:hAnsi="宋体"/>
      <w:sz w:val="22"/>
      <w:szCs w:val="22"/>
      <w:shd w:val="clear" w:color="auto" w:fill="FFFFFF"/>
    </w:rPr>
  </w:style>
  <w:style w:type="paragraph" w:customStyle="1" w:styleId="145">
    <w:name w:val="正文文本 (2)1"/>
    <w:basedOn w:val="1"/>
    <w:link w:val="144"/>
    <w:qFormat/>
    <w:uiPriority w:val="0"/>
    <w:pPr>
      <w:shd w:val="clear" w:color="auto" w:fill="FFFFFF"/>
      <w:spacing w:before="300" w:line="466" w:lineRule="exact"/>
      <w:ind w:hanging="600"/>
      <w:jc w:val="distribute"/>
    </w:pPr>
    <w:rPr>
      <w:rFonts w:ascii="宋体" w:hAnsi="宋体"/>
      <w:kern w:val="0"/>
      <w:sz w:val="22"/>
      <w:szCs w:val="22"/>
    </w:rPr>
  </w:style>
  <w:style w:type="character" w:customStyle="1" w:styleId="146">
    <w:name w:val="正文文本 (2) + 粗体"/>
    <w:qFormat/>
    <w:uiPriority w:val="0"/>
    <w:rPr>
      <w:rFonts w:ascii="宋体" w:hAnsi="宋体" w:cs="宋体"/>
      <w:b/>
      <w:bCs/>
      <w:sz w:val="22"/>
      <w:szCs w:val="22"/>
      <w:u w:val="none"/>
      <w:shd w:val="clear" w:color="auto" w:fill="FFFFFF"/>
    </w:rPr>
  </w:style>
  <w:style w:type="character" w:customStyle="1" w:styleId="147">
    <w:name w:val="表内格式 Char"/>
    <w:link w:val="148"/>
    <w:qFormat/>
    <w:uiPriority w:val="0"/>
    <w:rPr>
      <w:rFonts w:eastAsia="楷体_GB2312"/>
      <w:sz w:val="18"/>
      <w:szCs w:val="18"/>
    </w:rPr>
  </w:style>
  <w:style w:type="paragraph" w:customStyle="1" w:styleId="148">
    <w:name w:val="表内格式"/>
    <w:basedOn w:val="1"/>
    <w:next w:val="1"/>
    <w:link w:val="147"/>
    <w:qFormat/>
    <w:uiPriority w:val="0"/>
    <w:pPr>
      <w:spacing w:line="360" w:lineRule="auto"/>
      <w:ind w:firstLine="200" w:firstLineChars="200"/>
      <w:jc w:val="center"/>
    </w:pPr>
    <w:rPr>
      <w:rFonts w:eastAsia="楷体_GB2312"/>
      <w:kern w:val="0"/>
      <w:sz w:val="18"/>
      <w:szCs w:val="18"/>
    </w:rPr>
  </w:style>
  <w:style w:type="paragraph" w:customStyle="1" w:styleId="149">
    <w:name w:val="小编号"/>
    <w:basedOn w:val="1"/>
    <w:next w:val="1"/>
    <w:qFormat/>
    <w:uiPriority w:val="0"/>
    <w:pPr>
      <w:spacing w:line="360" w:lineRule="auto"/>
      <w:ind w:firstLine="200" w:firstLineChars="200"/>
    </w:pPr>
    <w:rPr>
      <w:rFonts w:ascii="Calibri" w:hAnsi="Calibri"/>
      <w:b/>
      <w:sz w:val="24"/>
      <w:szCs w:val="20"/>
    </w:rPr>
  </w:style>
  <w:style w:type="paragraph" w:customStyle="1" w:styleId="150">
    <w:name w:val="列出段落2"/>
    <w:basedOn w:val="1"/>
    <w:qFormat/>
    <w:uiPriority w:val="34"/>
    <w:pPr>
      <w:spacing w:line="360" w:lineRule="auto"/>
      <w:ind w:firstLine="420" w:firstLineChars="200"/>
    </w:pPr>
    <w:rPr>
      <w:sz w:val="24"/>
      <w:szCs w:val="20"/>
    </w:rPr>
  </w:style>
  <w:style w:type="paragraph" w:customStyle="1" w:styleId="151">
    <w:name w:val="表 内容"/>
    <w:basedOn w:val="1"/>
    <w:qFormat/>
    <w:uiPriority w:val="0"/>
    <w:pPr>
      <w:adjustRightInd w:val="0"/>
      <w:snapToGrid w:val="0"/>
      <w:spacing w:beforeLines="15" w:afterLines="15"/>
      <w:jc w:val="center"/>
    </w:pPr>
    <w:rPr>
      <w:b/>
      <w:sz w:val="24"/>
      <w:szCs w:val="21"/>
    </w:rPr>
  </w:style>
  <w:style w:type="paragraph" w:customStyle="1" w:styleId="152">
    <w:name w:val="中文报告书样式"/>
    <w:basedOn w:val="1"/>
    <w:qFormat/>
    <w:uiPriority w:val="0"/>
    <w:pPr>
      <w:widowControl/>
      <w:tabs>
        <w:tab w:val="left" w:pos="360"/>
      </w:tabs>
      <w:adjustRightInd w:val="0"/>
      <w:snapToGrid w:val="0"/>
      <w:spacing w:line="360" w:lineRule="auto"/>
      <w:jc w:val="center"/>
      <w:textAlignment w:val="baseline"/>
    </w:pPr>
    <w:rPr>
      <w:rFonts w:ascii="Calibri" w:hAnsi="Calibri"/>
      <w:color w:val="000000"/>
      <w:sz w:val="24"/>
    </w:rPr>
  </w:style>
  <w:style w:type="paragraph" w:customStyle="1" w:styleId="153">
    <w:name w:val="文"/>
    <w:basedOn w:val="1"/>
    <w:qFormat/>
    <w:uiPriority w:val="0"/>
    <w:pPr>
      <w:spacing w:line="360" w:lineRule="auto"/>
      <w:ind w:firstLine="200" w:firstLineChars="200"/>
      <w:jc w:val="left"/>
    </w:pPr>
    <w:rPr>
      <w:bCs/>
      <w:sz w:val="24"/>
    </w:rPr>
  </w:style>
  <w:style w:type="paragraph" w:customStyle="1" w:styleId="154">
    <w:name w:val="我表标题"/>
    <w:basedOn w:val="1"/>
    <w:qFormat/>
    <w:uiPriority w:val="0"/>
    <w:pPr>
      <w:jc w:val="center"/>
      <w:textAlignment w:val="baseline"/>
    </w:pPr>
    <w:rPr>
      <w:b/>
      <w:kern w:val="24"/>
      <w:szCs w:val="21"/>
    </w:rPr>
  </w:style>
  <w:style w:type="paragraph" w:customStyle="1" w:styleId="155">
    <w:name w:val="环评表内容"/>
    <w:basedOn w:val="1"/>
    <w:qFormat/>
    <w:uiPriority w:val="0"/>
    <w:pPr>
      <w:widowControl/>
      <w:spacing w:line="260" w:lineRule="exact"/>
      <w:jc w:val="center"/>
    </w:pPr>
    <w:rPr>
      <w:rFonts w:ascii="Tahoma" w:hAnsi="Tahoma" w:cs="Tahoma"/>
    </w:rPr>
  </w:style>
  <w:style w:type="paragraph" w:customStyle="1" w:styleId="156">
    <w:name w:val="正文首行缩进 2 + Times New Roman"/>
    <w:basedOn w:val="1"/>
    <w:qFormat/>
    <w:uiPriority w:val="0"/>
    <w:pPr>
      <w:widowControl/>
      <w:tabs>
        <w:tab w:val="left" w:pos="0"/>
        <w:tab w:val="left" w:pos="3150"/>
      </w:tabs>
      <w:autoSpaceDE w:val="0"/>
      <w:autoSpaceDN w:val="0"/>
      <w:spacing w:line="324" w:lineRule="auto"/>
      <w:ind w:right="113" w:firstLine="482" w:firstLineChars="200"/>
      <w:jc w:val="left"/>
    </w:pPr>
    <w:rPr>
      <w:b/>
      <w:sz w:val="24"/>
    </w:rPr>
  </w:style>
  <w:style w:type="paragraph" w:customStyle="1" w:styleId="157">
    <w:name w:val="_Style 33"/>
    <w:basedOn w:val="1"/>
    <w:qFormat/>
    <w:uiPriority w:val="0"/>
    <w:rPr>
      <w:sz w:val="24"/>
    </w:rPr>
  </w:style>
  <w:style w:type="paragraph" w:customStyle="1" w:styleId="158">
    <w:name w:val="正文1"/>
    <w:basedOn w:val="17"/>
    <w:qFormat/>
    <w:uiPriority w:val="0"/>
    <w:pPr>
      <w:widowControl w:val="0"/>
      <w:spacing w:line="360" w:lineRule="auto"/>
      <w:ind w:firstLine="200"/>
      <w:jc w:val="both"/>
    </w:pPr>
    <w:rPr>
      <w:sz w:val="21"/>
      <w:lang w:val="en-US" w:eastAsia="zh-CN"/>
    </w:rPr>
  </w:style>
  <w:style w:type="paragraph" w:customStyle="1" w:styleId="159">
    <w:name w:val="万瑞报告表1"/>
    <w:basedOn w:val="14"/>
    <w:next w:val="1"/>
    <w:qFormat/>
    <w:uiPriority w:val="0"/>
    <w:pPr>
      <w:adjustRightInd w:val="0"/>
      <w:snapToGrid w:val="0"/>
      <w:spacing w:before="60" w:after="0" w:line="360" w:lineRule="auto"/>
      <w:ind w:left="0" w:leftChars="0" w:firstLine="200" w:firstLineChars="200"/>
    </w:pPr>
    <w:rPr>
      <w:rFonts w:ascii="宋体" w:hAnsi="宋体" w:eastAsia="Times New Roman"/>
      <w:kern w:val="2"/>
      <w:sz w:val="32"/>
      <w:szCs w:val="24"/>
    </w:rPr>
  </w:style>
  <w:style w:type="paragraph" w:customStyle="1" w:styleId="160">
    <w:name w:val="Body Text 22"/>
    <w:basedOn w:val="1"/>
    <w:qFormat/>
    <w:uiPriority w:val="0"/>
    <w:pPr>
      <w:adjustRightInd w:val="0"/>
      <w:spacing w:line="440" w:lineRule="atLeast"/>
      <w:ind w:firstLine="480"/>
      <w:textAlignment w:val="baseline"/>
    </w:pPr>
    <w:rPr>
      <w:rFonts w:eastAsia="仿宋_GB2312" w:cs="宋体"/>
      <w:color w:val="000000"/>
      <w:sz w:val="24"/>
      <w:szCs w:val="20"/>
    </w:rPr>
  </w:style>
  <w:style w:type="paragraph" w:customStyle="1" w:styleId="161">
    <w:name w:val=" Char3"/>
    <w:basedOn w:val="1"/>
    <w:qFormat/>
    <w:uiPriority w:val="0"/>
    <w:rPr>
      <w:szCs w:val="20"/>
    </w:rPr>
  </w:style>
  <w:style w:type="paragraph" w:customStyle="1" w:styleId="162">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163">
    <w:name w:val="小标题"/>
    <w:basedOn w:val="1"/>
    <w:qFormat/>
    <w:uiPriority w:val="0"/>
    <w:pPr>
      <w:widowControl/>
      <w:spacing w:line="360" w:lineRule="auto"/>
      <w:ind w:firstLine="562"/>
      <w:jc w:val="left"/>
    </w:pPr>
    <w:rPr>
      <w:rFonts w:ascii="宋体" w:hAnsi="宋体"/>
      <w:b/>
      <w:sz w:val="28"/>
      <w:szCs w:val="21"/>
    </w:rPr>
  </w:style>
  <w:style w:type="paragraph" w:customStyle="1" w:styleId="164">
    <w:name w:val="表 头"/>
    <w:basedOn w:val="1"/>
    <w:qFormat/>
    <w:uiPriority w:val="0"/>
    <w:pPr>
      <w:widowControl/>
      <w:tabs>
        <w:tab w:val="left" w:pos="3750"/>
      </w:tabs>
      <w:snapToGrid w:val="0"/>
      <w:jc w:val="center"/>
    </w:pPr>
    <w:rPr>
      <w:rFonts w:ascii="Calibri" w:hAnsi="Calibri"/>
      <w:b/>
      <w:bCs/>
    </w:rPr>
  </w:style>
  <w:style w:type="paragraph" w:styleId="165">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166">
    <w:name w:val="列出段落1"/>
    <w:basedOn w:val="1"/>
    <w:qFormat/>
    <w:uiPriority w:val="0"/>
    <w:pPr>
      <w:widowControl/>
      <w:spacing w:line="360" w:lineRule="auto"/>
      <w:ind w:firstLine="420"/>
      <w:jc w:val="left"/>
    </w:pPr>
    <w:rPr>
      <w:rFonts w:ascii="Calibri" w:hAnsi="Calibri"/>
      <w:szCs w:val="21"/>
    </w:rPr>
  </w:style>
  <w:style w:type="paragraph" w:customStyle="1" w:styleId="167">
    <w:name w:val="1表头"/>
    <w:qFormat/>
    <w:uiPriority w:val="0"/>
    <w:pPr>
      <w:adjustRightInd w:val="0"/>
      <w:snapToGrid w:val="0"/>
      <w:spacing w:before="25" w:beforeLines="25" w:after="25" w:afterLines="25"/>
      <w:jc w:val="center"/>
    </w:pPr>
    <w:rPr>
      <w:rFonts w:ascii="Calibri" w:hAnsi="Calibri" w:eastAsia="宋体" w:cs="Times New Roman"/>
      <w:b/>
      <w:color w:val="0000CC"/>
      <w:sz w:val="24"/>
      <w:szCs w:val="24"/>
      <w:lang w:val="en-US" w:eastAsia="zh-CN" w:bidi="ar-SA"/>
    </w:rPr>
  </w:style>
  <w:style w:type="paragraph" w:customStyle="1" w:styleId="168">
    <w:name w:val="安如夏花"/>
    <w:basedOn w:val="1"/>
    <w:qFormat/>
    <w:uiPriority w:val="0"/>
    <w:pPr>
      <w:widowControl/>
      <w:spacing w:beforeLines="50" w:afterLines="50" w:line="360" w:lineRule="auto"/>
      <w:jc w:val="center"/>
    </w:pPr>
    <w:rPr>
      <w:rFonts w:ascii="Calibri" w:hAnsi="Calibri" w:eastAsia="黑体"/>
      <w:b/>
      <w:szCs w:val="21"/>
    </w:rPr>
  </w:style>
  <w:style w:type="character" w:customStyle="1" w:styleId="169">
    <w:name w:val="表   头 Char"/>
    <w:link w:val="170"/>
    <w:qFormat/>
    <w:uiPriority w:val="0"/>
    <w:rPr>
      <w:b/>
    </w:rPr>
  </w:style>
  <w:style w:type="paragraph" w:customStyle="1" w:styleId="170">
    <w:name w:val="表   头"/>
    <w:basedOn w:val="1"/>
    <w:link w:val="169"/>
    <w:qFormat/>
    <w:uiPriority w:val="0"/>
    <w:pPr>
      <w:snapToGrid w:val="0"/>
      <w:jc w:val="center"/>
    </w:pPr>
    <w:rPr>
      <w:b/>
      <w:kern w:val="0"/>
      <w:sz w:val="20"/>
      <w:szCs w:val="20"/>
    </w:rPr>
  </w:style>
  <w:style w:type="character" w:customStyle="1" w:styleId="171">
    <w:name w:val="无间隔表格内 Char"/>
    <w:link w:val="172"/>
    <w:qFormat/>
    <w:uiPriority w:val="0"/>
    <w:rPr>
      <w:sz w:val="21"/>
    </w:rPr>
  </w:style>
  <w:style w:type="paragraph" w:customStyle="1" w:styleId="172">
    <w:name w:val="无间隔表格内"/>
    <w:basedOn w:val="170"/>
    <w:link w:val="171"/>
    <w:qFormat/>
    <w:uiPriority w:val="0"/>
    <w:rPr>
      <w:b w:val="0"/>
      <w:sz w:val="21"/>
    </w:rPr>
  </w:style>
  <w:style w:type="paragraph" w:customStyle="1" w:styleId="173">
    <w:name w:val="正文-RED"/>
    <w:qFormat/>
    <w:uiPriority w:val="0"/>
    <w:pPr>
      <w:spacing w:line="360" w:lineRule="auto"/>
      <w:ind w:firstLine="420"/>
      <w:jc w:val="both"/>
    </w:pPr>
    <w:rPr>
      <w:rFonts w:ascii="Times New Roman" w:hAnsi="Times New Roman" w:eastAsia="宋体" w:cs="Times New Roman"/>
      <w:sz w:val="24"/>
      <w:lang w:val="en-US" w:eastAsia="zh-CN" w:bidi="ar-SA"/>
    </w:rPr>
  </w:style>
  <w:style w:type="paragraph" w:customStyle="1" w:styleId="174">
    <w:name w:val="大标题"/>
    <w:basedOn w:val="1"/>
    <w:qFormat/>
    <w:uiPriority w:val="0"/>
    <w:pPr>
      <w:spacing w:line="360" w:lineRule="auto"/>
    </w:pPr>
    <w:rPr>
      <w:rFonts w:ascii="宋体" w:hAnsi="宋体"/>
      <w:b/>
      <w:sz w:val="28"/>
      <w:szCs w:val="28"/>
    </w:rPr>
  </w:style>
  <w:style w:type="paragraph" w:customStyle="1" w:styleId="175">
    <w:name w:val="000000"/>
    <w:basedOn w:val="1"/>
    <w:qFormat/>
    <w:uiPriority w:val="0"/>
    <w:pPr>
      <w:widowControl/>
      <w:jc w:val="center"/>
    </w:pPr>
    <w:rPr>
      <w:b/>
      <w:kern w:val="0"/>
      <w:szCs w:val="20"/>
      <w:lang w:val="en-GB"/>
    </w:rPr>
  </w:style>
  <w:style w:type="paragraph" w:customStyle="1" w:styleId="176">
    <w:name w:val="正文缩进1"/>
    <w:basedOn w:val="1"/>
    <w:next w:val="1"/>
    <w:qFormat/>
    <w:uiPriority w:val="0"/>
    <w:pPr>
      <w:widowControl w:val="0"/>
      <w:spacing w:line="240" w:lineRule="auto"/>
      <w:ind w:firstLine="420" w:firstLineChars="200"/>
      <w:jc w:val="both"/>
    </w:pPr>
    <w:rPr>
      <w:rFonts w:ascii="宋体" w:hAnsi="Calibri"/>
      <w:color w:val="auto"/>
      <w:sz w:val="28"/>
    </w:rPr>
  </w:style>
  <w:style w:type="paragraph" w:customStyle="1" w:styleId="177">
    <w:name w:val="阿威表格"/>
    <w:basedOn w:val="1"/>
    <w:qFormat/>
    <w:uiPriority w:val="0"/>
    <w:pPr>
      <w:widowControl/>
      <w:jc w:val="center"/>
    </w:pPr>
    <w:rPr>
      <w:rFonts w:ascii="Times New Roman" w:hAnsi="Times New Roman" w:eastAsia="宋体" w:cs="Times New Roman"/>
    </w:rPr>
  </w:style>
  <w:style w:type="paragraph" w:customStyle="1" w:styleId="178">
    <w:name w:val="论文正文"/>
    <w:basedOn w:val="1"/>
    <w:autoRedefine/>
    <w:qFormat/>
    <w:uiPriority w:val="0"/>
    <w:pPr>
      <w:ind w:firstLine="200"/>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3e6dad1b-0631-41a9-81bd-60db780e51eb</errorID>
      <errorWord>。</errorWord>
      <group>L1_Punc</group>
      <groupName>标点问题</groupName>
      <ability>L2_Punc</ability>
      <abilityName>标点符号检查</abilityName>
      <candidateList>
        <item>，</item>
      </candidateList>
      <explain/>
      <paraID>73A1B8F9</paraID>
      <start>31</start>
      <end>32</end>
      <status>modified</status>
      <modifiedWord>，</modifiedWord>
      <trackRevisions>false</trackRevisions>
    </reviewItem>
    <reviewItem>
      <errorID>38cb1961-67d8-4d4f-8de3-74634d96f248</errorID>
      <errorWord>农田</errorWord>
      <group>L1_Word</group>
      <groupName>字词问题</groupName>
      <ability>L2_Typo</ability>
      <abilityName>字词错误</abilityName>
      <candidateList>
        <item>至农田</item>
      </candidateList>
      <explain/>
      <paraID>6FF07587</paraID>
      <start>34</start>
      <end>37</end>
      <status>modified</status>
      <modifiedWord>至农田</modifiedWord>
      <trackRevisions>false</trackRevisions>
    </reviewItem>
    <reviewItem>
      <errorID>0ba8d225-ea6e-477f-8aa2-8761151becc1</errorID>
      <errorWord>。</errorWord>
      <group>L1_Punc</group>
      <groupName>标点问题</groupName>
      <ability>L2_Punc</ability>
      <abilityName>标点符号检查</abilityName>
      <candidateList>
        <item>，</item>
      </candidateList>
      <explain/>
      <paraID>6FF07587</paraID>
      <start>67</start>
      <end>68</end>
      <status>modified</status>
      <modifiedWord>，</modifiedWord>
      <trackRevisions>false</trackRevisions>
    </reviewItem>
    <reviewItem>
      <errorID>de19ee6f-068d-4033-ba17-e6f757634915</errorID>
      <errorWord>达到</errorWord>
      <group>L1_Word</group>
      <groupName>字词问题</groupName>
      <ability>L2_Typo</ability>
      <abilityName>字词错误</abilityName>
      <candidateList>
        <item>应达到</item>
      </candidateList>
      <explain/>
      <paraID>4A12CD13</paraID>
      <start>49</start>
      <end>52</end>
      <status>modified</status>
      <modifiedWord>应达到</modifiedWord>
      <trackRevisions>false</trackRevisions>
    </reviewItem>
    <reviewItem>
      <errorID>487a4c64-136b-4f20-ac5f-6d6a170cd14d</errorID>
      <errorWord>加强</errorWord>
      <group>L1_Grammar</group>
      <groupName>语法问题</groupName>
      <ability>L2_Grammar</ability>
      <abilityName>语法错误</abilityName>
      <candidateList>
        <item>的要求，加强</item>
      </candidateList>
      <explain/>
      <paraID>4A12CD13</paraID>
      <start>84</start>
      <end>90</end>
      <status>modified</status>
      <modifiedWord>的要求，加强</modifiedWord>
      <trackRevisions>false</trackRevisions>
    </reviewItem>
    <reviewItem>
      <errorID>63482c1c-b239-4567-8aaa-52c9276581c4</errorID>
      <errorWord>能力，排放限值要求</errorWord>
      <group>L1_Grammar</group>
      <groupName>语法问题</groupName>
      <ability>L2_Grammar</ability>
      <abilityName>语法错误</abilityName>
      <candidateList>
        <item>能力</item>
      </candidateList>
      <explain/>
      <paraID>4A12CD13</paraID>
      <start>109</start>
      <end>111</end>
      <status>modified</status>
      <modifiedWord>能力</modifiedWord>
      <trackRevisions>false</trackRevisions>
    </reviewItem>
    <reviewItem>
      <errorID>d1f80022-6401-4640-bbc1-3b22afad8018</errorID>
      <errorWord>生产</errorWord>
      <group>L1_Word</group>
      <groupName>字词问题</groupName>
      <ability>L2_Typo</ability>
      <abilityName>字词错误</abilityName>
      <candidateList>
        <item>产生</item>
      </candidateList>
      <explain/>
      <paraID>66D46519</paraID>
      <start>246</start>
      <end>248</end>
      <status>modified</status>
      <modifiedWord>产生</modifiedWord>
      <trackRevisions>false</trackRevisions>
    </reviewItem>
    <reviewItem>
      <errorID>e1f4d13c-4fe4-48f6-9f0f-b519d00414dc</errorID>
      <errorWord>生态环境环境保护</errorWord>
      <group>L1_Political</group>
      <groupName>政治性问题</groupName>
      <ability>L2_Keyword</ability>
      <abilityName>固定表述</abilityName>
      <candidateList>
        <item>生态环境保护</item>
      </candidateList>
      <explain>此处内容疑似含有固定表述相关错误，建议核查。</explain>
      <paraID>549B8AE0</paraID>
      <start>21</start>
      <end>27</end>
      <status>modified</status>
      <modifiedWord>生态环境保护</modifiedWord>
      <trackRevisions>false</trackRevisions>
    </reviewItem>
    <reviewItem>
      <errorID>9d40a001-cac8-4207-80b1-4508a084606d</errorID>
      <errorWord>出场</errorWord>
      <group>L1_Word</group>
      <groupName>字词问题</groupName>
      <ability>L2_Typo</ability>
      <abilityName>字词错误</abilityName>
      <candidateList>
        <item>出厂</item>
      </candidateList>
      <explain>存在发音相同字词的误用。</explain>
      <paraID>367DC0AE</paraID>
      <start>154</start>
      <end>156</end>
      <status>modified</status>
      <modifiedWord>出厂</modifiedWord>
      <trackRevisions>false</trackRevisions>
    </reviewItem>
    <reviewItem>
      <errorID>baf77754-8174-49c7-b0db-3339d8ce56bf</errorID>
      <errorWord>六个100%</errorWord>
      <group>L1_Punc</group>
      <groupName>标点问题</groupName>
      <ability>L2_Punc</ability>
      <abilityName>标点符号检查</abilityName>
      <candidateList>
        <item>“六个百分百”</item>
      </candidateList>
      <explain/>
      <paraID>62889C89</paraID>
      <start>16</start>
      <end>22</end>
      <status>unmodified</status>
      <modifiedWord/>
      <trackRevisions>false</trackRevisions>
    </reviewItem>
    <reviewItem>
      <errorID>edc7ac71-5297-48d6-9551-2a8bb65d3ece</errorID>
      <errorWord>车</errorWord>
      <group>L1_Word</group>
      <groupName>字词问题</groupName>
      <ability>L2_Typo</ability>
      <abilityName>字词错误</abilityName>
      <candidateList>
        <item>车辆</item>
      </candidateList>
      <explain>〈名〉各种车的总称。</explain>
      <paraID> 9F58262</paraID>
      <start>37</start>
      <end>39</end>
      <status>modified</status>
      <modifiedWord>车辆</modifiedWord>
      <trackRevisions>false</trackRevisions>
    </reviewItem>
    <reviewItem>
      <errorID>b13de182-9b53-45d2-baef-ad6f36d9ca11</errorID>
      <errorWord>GB50821-20112</errorWord>
      <group>L1_Other</group>
      <groupName>其他问题</groupName>
      <ability>L2_Consistency</ability>
      <abilityName>一致性检查</abilityName>
      <candidateList>
        <item>GB50821-2012</item>
      </candidateList>
      <explain>术语一致性问题，文档中引用的规范编号前后不一致，应统一为GB50821-2012</explain>
      <paraID>62E5E6C0</paraID>
      <start>0</start>
      <end>12</end>
      <status>modified</status>
      <modifiedWord>GB50821-2012</modifiedWord>
      <trackRevisions>false</trackRevisions>
    </reviewItem>
    <reviewItem>
      <errorID>cecc8665-0eb2-457b-bb2f-86648388444f</errorID>
      <errorWord>》</errorWord>
      <group>L1_Punc</group>
      <groupName>标点问题</groupName>
      <ability>L2_Punc</ability>
      <abilityName>标点符号检查</abilityName>
      <candidateList/>
      <explain>此处标点可能未正确匹配，请检查句子中是否存在标点冗余、缺失或使用错误的情况。</explain>
      <paraID> 4E94249</paraID>
      <start>34</start>
      <end>35</end>
      <status>unmodified</status>
      <modifiedWord/>
      <trackRevisions>false</trackRevisions>
    </reviewItem>
    <reviewItem>
      <errorID>5877626c-a9e9-44b8-9774-243483d955ab</errorID>
      <errorWord>设</errorWord>
      <group>L1_Word</group>
      <groupName>字词问题</groupName>
      <ability>L2_Typo</ability>
      <abilityName>字词错误</abilityName>
      <candidateList>
        <item>设置</item>
      </candidateList>
      <explain>〈动〉❶设立：这座剧院是为儿童～的。❷安放；安装：～障碍。</explain>
      <paraID>4D2FC802</paraID>
      <start>42</start>
      <end>44</end>
      <status>modified</status>
      <modifiedWord>设置</modifiedWord>
      <trackRevisions>false</trackRevisions>
    </reviewItem>
    <reviewItem>
      <errorID>0d9ee5c5-ebd1-40bd-b12a-26e47aa27627</errorID>
      <errorWord>[2019]382号</errorWord>
      <group>L1_Knowledge</group>
      <groupName>知识性问题</groupName>
      <ability>L2_Knowledge</ability>
      <abilityName>其他知识</abilityName>
      <candidateList>
        <item>〔2019〕382号</item>
      </candidateList>
      <explain>发文字号格式错误。</explain>
      <paraID>40B6D3E6</paraID>
      <start>173</start>
      <end>183</end>
      <status>modified</status>
      <modifiedWord>〔2019〕382号</modifiedWord>
      <trackRevisions>false</trackRevisions>
    </reviewItem>
    <reviewItem>
      <errorID>bf635bfd-11c2-4c86-a7bc-835b26b4e406</errorID>
      <errorWord>*</errorWord>
      <group>L1_Word</group>
      <groupName>字词问题</groupName>
      <ability>L2_Typo</ability>
      <abilityName>字词错误</abilityName>
      <candidateList>
        <item>，共</item>
      </candidateList>
      <explain/>
      <paraID> 36F25A6</paraID>
      <start>44</start>
      <end>46</end>
      <status>modified</status>
      <modifiedWord>，共</modifiedWord>
      <trackRevisions>false</trackRevisions>
    </reviewItem>
    <reviewItem>
      <errorID>1e7fe647-8ec7-457f-896d-bfbc7eee706e</errorID>
      <errorWord>q：</errorWord>
      <group>L1_Format</group>
      <groupName>格式问题</groupName>
      <ability>L2_Ordinal</ability>
      <abilityName>序号格式</abilityName>
      <candidateList>
        <item>q.</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32078C62</paraID>
      <start>0</start>
      <end>2</end>
      <status>unmodified</status>
      <modifiedWord/>
      <trackRevisions>false</trackRevisions>
    </reviewItem>
    <reviewItem>
      <errorID>a14ccbfc-55ed-42fd-9063-b190f6bd121d</errorID>
      <errorWord>~</errorWord>
      <group>L1_Format</group>
      <groupName>格式问题</groupName>
      <ability>L2_HalfPunc</ability>
      <abilityName>全半角检查</abilityName>
      <candidateList>
        <item>～</item>
      </candidateList>
      <explain>文本全半角错误。</explain>
      <paraID>32078C62</paraID>
      <start>46</start>
      <end>47</end>
      <status>modified</status>
      <modifiedWord>～</modifiedWord>
      <trackRevisions>false</trackRevisions>
    </reviewItem>
    <reviewItem>
      <errorID>c5ace1fa-296c-4044-a35b-107fc2cfa9a2</errorID>
      <errorWord>t：</errorWord>
      <group>L1_Format</group>
      <groupName>格式问题</groupName>
      <ability>L2_Ordinal</ability>
      <abilityName>序号格式</abilityName>
      <candidateList>
        <item>t.</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2DF5E89E</paraID>
      <start>0</start>
      <end>2</end>
      <status>unmodified</status>
      <modifiedWord/>
      <trackRevisions>false</trackRevisions>
    </reviewItem>
    <reviewItem>
      <errorID>6041ec1c-e40d-4556-ad46-b08762825b56</errorID>
      <errorWord>~</errorWord>
      <group>L1_Format</group>
      <groupName>格式问题</groupName>
      <ability>L2_HalfPunc</ability>
      <abilityName>全半角检查</abilityName>
      <candidateList>
        <item>～</item>
      </candidateList>
      <explain>文本全半角错误。</explain>
      <paraID>2DF5E89E</paraID>
      <start>26</start>
      <end>27</end>
      <status>modified</status>
      <modifiedWord>～</modifiedWord>
      <trackRevisions>false</trackRevisions>
    </reviewItem>
    <reviewItem>
      <errorID>9366f1d5-c07d-4b67-bb42-4b3c2d977df0</errorID>
      <errorWord>~</errorWord>
      <group>L1_Format</group>
      <groupName>格式问题</groupName>
      <ability>L2_HalfPunc</ability>
      <abilityName>全半角检查</abilityName>
      <candidateList>
        <item>～</item>
      </candidateList>
      <explain>文本全半角错误。</explain>
      <paraID> 3A6B7BF</paraID>
      <start>82</start>
      <end>83</end>
      <status>modified</status>
      <modifiedWord>～</modifiedWord>
      <trackRevisions>false</trackRevisions>
    </reviewItem>
    <reviewItem>
      <errorID>a1396abc-4494-4e66-b9bd-e239f0a2f2ae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222F58F8</paraID>
      <start>72</start>
      <end>73</end>
      <status>modified</status>
      <modifiedWord>—</modifiedWord>
      <trackRevisions>false</trackRevisions>
    </reviewItem>
    <reviewItem>
      <errorID>f14cb210-4954-416a-b096-993a4d4bfba0</errorID>
      <errorWord>对于</errorWord>
      <group>L1_Punc</group>
      <groupName>标点问题</groupName>
      <ability>L2_Punc</ability>
      <abilityName>标点符号检查</abilityName>
      <candidateList>
        <item>：对于</item>
      </candidateList>
      <explain/>
      <paraID>4D197AC6</paraID>
      <start>7</start>
      <end>10</end>
      <status>modified</status>
      <modifiedWord>：对于</modifiedWord>
      <trackRevisions>false</trackRevisions>
    </reviewItem>
    <reviewItem>
      <errorID>15a1ca09-0ba5-47aa-b908-0f13442cf38a</errorID>
      <errorWord>裕量</errorWord>
      <group>L1_Word</group>
      <groupName>字词问题</groupName>
      <ability>L2_Typo</ability>
      <abilityName>字词错误</abilityName>
      <candidateList>
        <item>余量</item>
      </candidateList>
      <explain/>
      <paraID>18530C88</paraID>
      <start>50</start>
      <end>52</end>
      <status>modified</status>
      <modifiedWord>余量</modifiedWord>
      <trackRevisions>false</trackRevisions>
    </reviewItem>
    <reviewItem>
      <errorID>a5b0a6ac-469d-40d8-872c-4d9765ed8c58</errorID>
      <errorWord>）</errorWord>
      <group>L1_Format</group>
      <groupName>格式问题</groupName>
      <ability>L2_HalfPunc</ability>
      <abilityName>全半角检查</abilityName>
      <candidateList>
        <item>)</item>
      </candidateList>
      <explain>文本全半角错误。</explain>
      <paraID>77E5892E</paraID>
      <start>9</start>
      <end>10</end>
      <status>unmodified</status>
      <modifiedWord/>
      <trackRevisions>false</trackRevisions>
    </reviewItem>
    <reviewItem>
      <errorID>3731488e-7064-4e5c-98c5-8b4c457cf3ea</errorID>
      <errorWord>西北侧位置</errorWord>
      <group>L1_Grammar</group>
      <groupName>语法问题</groupName>
      <ability>L2_Grammar</ability>
      <abilityName>语法错误</abilityName>
      <candidateList>
        <item>西北侧</item>
      </candidateList>
      <explain/>
      <paraID>48799FA5</paraID>
      <start>9</start>
      <end>12</end>
      <status>modified</status>
      <modifiedWord>西北侧</modifiedWord>
      <trackRevisions>false</trackRevisions>
    </reviewItem>
    <reviewItem>
      <errorID>8639641d-9166-4bc5-b6c5-3c44ad182875</errorID>
      <errorWord>环境影响</errorWord>
      <group>L1_Word</group>
      <groupName>字词问题</groupName>
      <ability>L2_Typo</ability>
      <abilityName>字词错误</abilityName>
      <candidateList>
        <item>环境的影响</item>
      </candidateList>
      <explain/>
      <paraID>48799FA5</paraID>
      <start>45</start>
      <end>50</end>
      <status>modified</status>
      <modifiedWord>环境的影响</modifiedWord>
      <trackRevisions>false</trackRevisions>
    </reviewItem>
    <reviewItem>
      <errorID>a7cdf3cd-23d7-4c13-bd84-9b141936d33c</errorID>
      <errorWord>程</errorWord>
      <group>L1_Word</group>
      <groupName>字词问题</groupName>
      <ability>L2_Typo</ability>
      <abilityName>字词错误</abilityName>
      <candidateList>
        <item>程中</item>
      </candidateList>
      <explain/>
      <paraID>5D1F2686</paraID>
      <start>56</start>
      <end>58</end>
      <status>modified</status>
      <modifiedWord>程中</modifiedWord>
      <trackRevisions>false</trackRevisions>
    </reviewItem>
    <reviewItem>
      <errorID>e3c88419-4b0b-4ca0-84d9-8778015e045b</errorID>
      <errorWord>》环境影响报告</errorWord>
      <group>L1_Word</group>
      <groupName>字词问题</groupName>
      <ability>L2_Typo</ability>
      <abilityName>字词错误</abilityName>
      <candidateList>
        <item>环境影响报告》</item>
      </candidateList>
      <explain/>
      <paraID>4545E8B7</paraID>
      <start>41</start>
      <end>48</end>
      <status>modified</status>
      <modifiedWord>环境影响报告》</modifiedWord>
      <trackRevisions>false</trackRevisions>
    </reviewItem>
    <reviewItem>
      <errorID>97de1dc2-1f6f-4e18-8971-34a3bff19410</errorID>
      <errorWord>并</errorWord>
      <group>L1_Word</group>
      <groupName>字词问题</groupName>
      <ability>L2_Typo</ability>
      <abilityName>字词错误</abilityName>
      <candidateList>
        <item>并于</item>
      </candidateList>
      <explain/>
      <paraID>4545E8B7</paraID>
      <start>49</start>
      <end>51</end>
      <status>modified</status>
      <modifiedWord>并于</modifiedWord>
      <trackRevisions>false</trackRevisions>
    </reviewItem>
    <reviewItem>
      <errorID>53004952-06da-43c4-92ef-7ab9d830d745</errorID>
      <errorWord>2019</errorWord>
      <group>L1_Word</group>
      <groupName>字词问题</groupName>
      <ability>L2_Typo</ability>
      <abilityName>字词错误</abilityName>
      <candidateList>
        <item>于2019</item>
      </candidateList>
      <explain/>
      <paraID>4545E8B7</paraID>
      <start>51</start>
      <end>56</end>
      <status>modified</status>
      <modifiedWord>于2019</modifiedWord>
      <trackRevisions>false</trackRevisions>
    </reviewItem>
    <reviewItem>
      <errorID>0467b57b-3fd4-426c-b8ae-15bc001f57f4</errorID>
      <errorWord>[2019]382号</errorWord>
      <group>L1_Knowledge</group>
      <groupName>知识性问题</groupName>
      <ability>L2_Knowledge</ability>
      <abilityName>其他知识</abilityName>
      <candidateList>
        <item>〔2019〕382号</item>
      </candidateList>
      <explain>发文字号格式错误。</explain>
      <paraID>4545E8B7</paraID>
      <start>97</start>
      <end>107</end>
      <status>modified</status>
      <modifiedWord>〔2019〕382号</modifiedWord>
      <trackRevisions>false</trackRevisions>
    </reviewItem>
    <reviewItem>
      <errorID>35d9f267-026f-4a5e-bd21-c7f96cb75677</errorID>
      <errorWord>进行</errorWord>
      <group>L1_Word</group>
      <groupName>字词问题</groupName>
      <ability>L2_Typo</ability>
      <abilityName>字词错误</abilityName>
      <candidateList>
        <item>日进行</item>
      </candidateList>
      <explain/>
      <paraID>4545E8B7</paraID>
      <start>138</start>
      <end>141</end>
      <status>modified</status>
      <modifiedWord>日进行</modifiedWord>
      <trackRevisions>false</trackRevisions>
    </reviewItem>
    <reviewItem>
      <errorID>56b727c5-3145-4f67-a21a-fab5996e844e</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710BBC35</paraID>
      <start>21</start>
      <end>22</end>
      <status>modified</status>
      <modifiedWord>作</modifiedWord>
      <trackRevisions>false</trackRevisions>
    </reviewItem>
    <reviewItem>
      <errorID>85450cf7-4e2b-4f9e-8bef-ae46dff71ac7</errorID>
      <errorWord>农田土壤改良</errorWord>
      <group>L1_Grammar</group>
      <groupName>语法问题</groupName>
      <ability>L2_Grammar</ability>
      <abilityName>语法错误</abilityName>
      <candidateList>
        <item>至农田用于土壤改良</item>
      </candidateList>
      <explain/>
      <paraID> 8F203FF</paraID>
      <start>18</start>
      <end>27</end>
      <status>modified</status>
      <modifiedWord>至农田用于土壤改良</modifiedWord>
      <trackRevisions>false</trackRevisions>
    </reviewItem>
    <reviewItem>
      <errorID>f2775c32-9c71-4019-b871-882ed7f95596</errorID>
      <errorWord>抹布手套</errorWord>
      <group>L1_Grammar</group>
      <groupName>语法问题</groupName>
      <ability>L2_Grammar</ability>
      <abilityName>语法错误</abilityName>
      <candidateList>
        <item>、抹布、手套</item>
      </candidateList>
      <explain/>
      <paraID>2B7DD663</paraID>
      <start>89</start>
      <end>95</end>
      <status>modified</status>
      <modifiedWord>、抹布、手套</modifiedWord>
      <trackRevisions>false</trackRevisions>
    </reviewItem>
    <reviewItem>
      <errorID>f7f28eef-aaaa-4e93-9c86-793e84a6033b</errorID>
      <errorWord>处理处置</errorWord>
      <group>L1_Grammar</group>
      <groupName>语法问题</groupName>
      <ability>L2_Grammar</ability>
      <abilityName>语法错误</abilityName>
      <candidateList>
        <item>处理</item>
      </candidateList>
      <explain/>
      <paraID>2B7DD663</paraID>
      <start>105</start>
      <end>107</end>
      <status>modified</status>
      <modifiedWord>处理</modifiedWord>
      <trackRevisions>false</trackRevisions>
    </reviewItem>
    <reviewItem>
      <errorID>24393ddb-3dd1-4c87-b36f-7e2a2f0fad4c</errorID>
      <errorWord>扩大</errorWord>
      <group>L1_Word</group>
      <groupName>字词问题</groupName>
      <ability>L2_Typo</ability>
      <abilityName>字词错误</abilityName>
      <candidateList>
        <item>将</item>
      </candidateList>
      <explain/>
      <paraID> E765854</paraID>
      <start>11</start>
      <end>12</end>
      <status>modified</status>
      <modifiedWord>将</modifiedWord>
      <trackRevisions>false</trackRevisions>
    </reviewItem>
    <reviewItem>
      <errorID>0e8d667f-6884-48a8-a3b5-6e9d8fee8657</errorID>
      <errorWord>不</errorWord>
      <group>L1_Grammar</group>
      <groupName>语法问题</groupName>
      <ability>L2_Grammar</ability>
      <abilityName>语法错误</abilityName>
      <candidateList>
        <item>扩大至不</item>
      </candidateList>
      <explain/>
      <paraID> E765854</paraID>
      <start>19</start>
      <end>23</end>
      <status>modified</status>
      <modifiedWord>扩大至不</modifiedWord>
      <trackRevisions>false</trackRevisions>
    </reviewItem>
    <reviewItem>
      <errorID>e5201b74-d7f3-4460-9700-9337782053cf</errorID>
      <errorWord>保证</errorWord>
      <group>L1_Word</group>
      <groupName>字词问题</groupName>
      <ability>L2_Typo</ability>
      <abilityName>字词错误</abilityName>
      <candidateList>
        <item>以保证</item>
      </candidateList>
      <explain/>
      <paraID> E765854</paraID>
      <start>31</start>
      <end>34</end>
      <status>modified</status>
      <modifiedWord>以保证</modifiedWord>
      <trackRevisions>false</trackRevisions>
    </reviewItem>
    <reviewItem>
      <errorID>55a06c37-80ac-4a9f-be57-80bf603aae01</errorID>
      <errorWord>雨水有效收集量</errorWord>
      <group>L1_Grammar</group>
      <groupName>语法问题</groupName>
      <ability>L2_Grammar</ability>
      <abilityName>语法错误</abilityName>
      <candidateList>
        <item>雨水</item>
      </candidateList>
      <explain/>
      <paraID> E765854</paraID>
      <start>49</start>
      <end>51</end>
      <status>modified</status>
      <modifiedWord>雨水</modifiedWord>
      <trackRevisions>false</trackRevisions>
    </reviewItem>
    <reviewItem>
      <errorID>ad66cbfa-7b0f-489c-ad9a-df0f44a8c9de</errorID>
      <errorWord>项目地</errorWord>
      <group>L1_Word</group>
      <groupName>字词问题</groupName>
      <ability>L2_Typo</ability>
      <abilityName>字词错误</abilityName>
      <candidateList>
        <item>项目</item>
      </candidateList>
      <explain/>
      <paraID>6E1EBF83</paraID>
      <start>1</start>
      <end>3</end>
      <status>modified</status>
      <modifiedWord>项目</modifiedWord>
      <trackRevisions>false</trackRevisions>
    </reviewItem>
    <reviewItem>
      <errorID>4c14344e-5b0e-4b97-8ee0-13c4f73c2f5f</errorID>
      <errorWord>）</errorWord>
      <group>L1_Format</group>
      <groupName>格式问题</groupName>
      <ability>L2_HalfPunc</ability>
      <abilityName>全半角检查</abilityName>
      <candidateList>
        <item>)</item>
      </candidateList>
      <explain>文本全半角错误。</explain>
      <paraID> A45C636</paraID>
      <start>6</start>
      <end>7</end>
      <status>unmodified</status>
      <modifiedWord/>
      <trackRevisions>false</trackRevisions>
    </reviewItem>
    <reviewItem>
      <errorID>084cc44d-a507-4a3a-b2cd-d82fe87502e5</errorID>
      <errorWord>）</errorWord>
      <group>L1_Format</group>
      <groupName>格式问题</groupName>
      <ability>L2_HalfPunc</ability>
      <abilityName>全半角检查</abilityName>
      <candidateList>
        <item>)</item>
      </candidateList>
      <explain>文本全半角错误。</explain>
      <paraID>61F58809</paraID>
      <start>6</start>
      <end>7</end>
      <status>unmodified</status>
      <modifiedWord/>
      <trackRevisions>false</trackRevisions>
    </reviewItem>
    <reviewItem>
      <errorID>418026be-1832-4015-b890-fd234c57ae82</errorID>
      <errorWord>为</errorWord>
      <group>L1_Grammar</group>
      <groupName>语法问题</groupName>
      <ability>L2_Grammar</ability>
      <abilityName>语法错误</abilityName>
      <candidateList>
        <item>这些数据为</item>
      </candidateList>
      <explain/>
      <paraID>6A15BF30</paraID>
      <start>137</start>
      <end>138</end>
      <status>unmodified</status>
      <modifiedWord/>
      <trackRevisions>false</trackRevisions>
    </reviewItem>
    <reviewItem>
      <errorID>33fa4cae-064b-474e-a5d8-47df09a4ff84</errorID>
      <errorWord>-</errorWord>
      <group>L1_Format</group>
      <groupName>格式问题</groupName>
      <ability>L2_HalfPunc</ability>
      <abilityName>全半角检查</abilityName>
      <candidateList>
        <item>－</item>
      </candidateList>
      <explain>文本全半角错误。</explain>
      <paraID>3C99F295</paraID>
      <start>4</start>
      <end>5</end>
      <status>modified</status>
      <modifiedWord>－</modifiedWord>
      <trackRevisions>false</trackRevisions>
    </reviewItem>
    <reviewItem>
      <errorID>5cd7faf2-f9d1-4aaf-b600-b111841524f7</errorID>
      <errorWord>28%~33%</errorWord>
      <group>L1_Knowledge</group>
      <groupName>知识性问题</groupName>
      <ability>L2_Knowledge</ability>
      <abilityName>其他知识</abilityName>
      <candidateList>
        <item>28%～33%</item>
      </candidateList>
      <explain>1. “28%~33%”中的单位“%”仅出现在后一个数字上，容易引起歧义；根据《现代汉语标点符号数字用法规范手册》，数字表示范围两边需要使用统一的格式。2. 根据标点国标 4.13 中的规则，数字、时间或地域连接符应使用（视觉上更长的）“—”或“～”。</explain>
      <paraID>2D1882C8</paraID>
      <start>0</start>
      <end>7</end>
      <status>modified</status>
      <modifiedWord>28%～33%</modifiedWord>
      <trackRevisions>false</trackRevisions>
    </reviewItem>
    <reviewItem>
      <errorID>70cdf1ae-5a31-4728-9381-af204e095563</errorID>
      <errorWord>：</errorWord>
      <group>L1_Punc</group>
      <groupName>标点问题</groupName>
      <ability>L2_Punc</ability>
      <abilityName>标点符号检查</abilityName>
      <candidateList>
        <item>:</item>
      </candidateList>
      <explain/>
      <paraID>33772F00</paraID>
      <start>1</start>
      <end>2</end>
      <status>modified</status>
      <modifiedWord>:</modifiedWord>
      <trackRevisions>false</trackRevisions>
    </reviewItem>
    <reviewItem>
      <errorID>de8ab0a1-f874-4142-aae1-96a5290bb7b7</errorID>
      <errorWord>-</errorWord>
      <group>L1_Format</group>
      <groupName>格式问题</groupName>
      <ability>L2_HalfPunc</ability>
      <abilityName>全半角检查</abilityName>
      <candidateList>
        <item>－</item>
      </candidateList>
      <explain>文本全半角错误。</explain>
      <paraID>33772F00</paraID>
      <start>4</start>
      <end>5</end>
      <status>modified</status>
      <modifiedWord>－</modifiedWord>
      <trackRevisions>false</trackRevisions>
    </reviewItem>
    <reviewItem>
      <errorID>98377784-c7e9-4f8c-bc60-56950900f801</errorID>
      <errorWord>-</errorWord>
      <group>L1_Format</group>
      <groupName>格式问题</groupName>
      <ability>L2_HalfPunc</ability>
      <abilityName>全半角检查</abilityName>
      <candidateList>
        <item>－</item>
      </candidateList>
      <explain>文本全半角错误。</explain>
      <paraID>7F4A10C3</paraID>
      <start>4</start>
      <end>5</end>
      <status>modified</status>
      <modifiedWord>－</modifiedWord>
      <trackRevisions>false</trackRevisions>
    </reviewItem>
    <reviewItem>
      <errorID>6e90258f-366d-44cf-afcf-37624062e4d9</errorID>
      <errorWord>，</errorWord>
      <group>L1_Punc</group>
      <groupName>标点问题</groupName>
      <ability>L2_Punc</ability>
      <abilityName>标点符号检查</abilityName>
      <candidateList>
        <item>；</item>
      </candidateList>
      <explain/>
      <paraID>44D24964</paraID>
      <start>70</start>
      <end>71</end>
      <status>modified</status>
      <modifiedWord>；</modifiedWord>
      <trackRevisions>false</trackRevisions>
    </reviewItem>
    <reviewItem>
      <errorID>144a90d0-0135-4c5b-bc07-e7036a8fd83f</errorID>
      <errorWord>，即</errorWord>
      <group>L1_Word</group>
      <groupName>字词问题</groupName>
      <ability>L2_Typo</ability>
      <abilityName>字词错误</abilityName>
      <candidateList>
        <item>，</item>
      </candidateList>
      <explain/>
      <paraID>44D24964</paraID>
      <start>79</start>
      <end>80</end>
      <status>modified</status>
      <modifiedWord>，</modifiedWord>
      <trackRevisions>false</trackRevisions>
    </reviewItem>
    <reviewItem>
      <errorID>1b39c21c-375f-4c8a-a1b6-e5cf3f78f648</errorID>
      <errorWord>详见</errorWord>
      <group>L1_Punc</group>
      <groupName>标点问题</groupName>
      <ability>L2_Punc</ability>
      <abilityName>标点符号检查</abilityName>
      <candidateList>
        <item>，详见</item>
      </candidateList>
      <explain/>
      <paraID>44D24964</paraID>
      <start>126</start>
      <end>129</end>
      <status>modified</status>
      <modifiedWord>，详见</modifiedWord>
      <trackRevisions>false</trackRevisions>
    </reviewItem>
    <reviewItem>
      <errorID>ef9e2734-29ab-4202-8be9-a7bb06c873ab</errorID>
      <errorWord>》中</errorWord>
      <group>L1_Word</group>
      <groupName>字词问题</groupName>
      <ability>L2_Typo</ability>
      <abilityName>字词错误</abilityName>
      <candidateList>
        <item>》</item>
      </candidateList>
      <explain/>
      <paraID>78C14463</paraID>
      <start>36</start>
      <end>38</end>
      <status>unmodified</status>
      <modifiedWord/>
      <trackRevisions>false</trackRevisions>
    </reviewItem>
    <reviewItem>
      <errorID>9ef45832-288e-4412-b8c0-bcf6de33743b</errorID>
      <errorWord>，</errorWord>
      <group>L1_Word</group>
      <groupName>字词问题</groupName>
      <ability>L2_Typo</ability>
      <abilityName>字词错误</abilityName>
      <candidateList>
        <item>中</item>
      </candidateList>
      <explain/>
      <paraID>211CBBB3</paraID>
      <start>37</start>
      <end>38</end>
      <status>modified</status>
      <modifiedWord>中</modifiedWord>
      <trackRevisions>false</trackRevisions>
    </reviewItem>
    <reviewItem>
      <errorID>27408fe3-45e3-4fb2-af7d-1fdc0140da48</errorID>
      <errorWord>室内空气</errorWord>
      <group>L1_Word</group>
      <groupName>字词问题</groupName>
      <ability>L2_Typo</ability>
      <abilityName>字词错误</abilityName>
      <candidateList>
        <item>使室内空气</item>
      </candidateList>
      <explain/>
      <paraID>66663172</paraID>
      <start>15</start>
      <end>20</end>
      <status>modified</status>
      <modifiedWord>使室内空气</modifiedWord>
      <trackRevisions>false</trackRevisions>
    </reviewItem>
    <reviewItem>
      <errorID>77865ea0-965c-42a9-b476-fed83ad7b84c</errorID>
      <errorWord>污染达标</errorWord>
      <group>L1_Word</group>
      <groupName>字词问题</groupName>
      <ability>L2_Typo</ability>
      <abilityName>字词错误</abilityName>
      <candidateList>
        <item>污染物</item>
      </candidateList>
      <explain/>
      <paraID>66663172</paraID>
      <start>23</start>
      <end>26</end>
      <status>modified</status>
      <modifiedWord>污染物</modifiedWord>
      <trackRevisions>false</trackRevisions>
    </reviewItem>
    <reviewItem>
      <errorID>e687a255-d7da-42d5-a746-ac9ffe7e5976</errorID>
      <errorWord>造成</errorWord>
      <group>L1_Word</group>
      <groupName>字词问题</groupName>
      <ability>L2_Typo</ability>
      <abilityName>字词错误</abilityName>
      <candidateList>
        <item>的</item>
      </candidateList>
      <explain/>
      <paraID>66663172</paraID>
      <start>65</start>
      <end>66</end>
      <status>modified</status>
      <modifiedWord>的</modifiedWord>
      <trackRevisions>false</trackRevisions>
    </reviewItem>
    <reviewItem>
      <errorID>7033a2b4-4d9b-4fc0-8dff-d2149cf7d7b9</errorID>
      <errorWord>泥砂</errorWord>
      <group>L1_Word</group>
      <groupName>字词问题</groupName>
      <ability>L2_Typo</ability>
      <abilityName>字词错误</abilityName>
      <candidateList>
        <item>泥沙</item>
      </candidateList>
      <explain>存在发音相同字词的误用。</explain>
      <paraID>2B037552</paraID>
      <start>42</start>
      <end>44</end>
      <status>modified</status>
      <modifiedWord>泥沙</modifiedWord>
      <trackRevisions>false</trackRevisions>
    </reviewItem>
    <reviewItem>
      <errorID>7ef5bf1d-bdb3-433c-a5e1-244cf370d605</errorID>
      <errorWord>必须采取</errorWord>
      <group>L1_Grammar</group>
      <groupName>语法问题</groupName>
      <ability>L2_Grammar</ability>
      <abilityName>语法错误</abilityName>
      <candidateList>
        <item>必须</item>
      </candidateList>
      <explain/>
      <paraID>1CB89F84</paraID>
      <start>24</start>
      <end>26</end>
      <status>modified</status>
      <modifiedWord>必须</modifiedWord>
      <trackRevisions>false</trackRevisions>
    </reviewItem>
    <reviewItem>
      <errorID>9cb2cd63-3e8f-4864-90a3-975c8f59939a</errorID>
      <errorWord>下午14时</errorWord>
      <group>L1_Knowledge</group>
      <groupName>知识性问题</groupName>
      <ability>L2_Time</ability>
      <abilityName>日期时间</abilityName>
      <candidateList>
        <item>14时</item>
      </candidateList>
      <explain>24小时制的时间，不需要强调“下午”。</explain>
      <paraID>4B498CCF</paraID>
      <start>39</start>
      <end>42</end>
      <status>modified</status>
      <modifiedWord>14时</modifiedWord>
      <trackRevisions>false</trackRevisions>
    </reviewItem>
    <reviewItem>
      <errorID>cfa02fe1-8330-4434-8758-92956ad635c9</errorID>
      <errorWord>企业施工噪声</errorWord>
      <group>L1_Grammar</group>
      <groupName>语法问题</groupName>
      <ability>L2_Grammar</ability>
      <abilityName>语法错误</abilityName>
      <candidateList>
        <item>企业</item>
      </candidateList>
      <explain/>
      <paraID>6EC890CD</paraID>
      <start>23</start>
      <end>25</end>
      <status>modified</status>
      <modifiedWord>企业</modifiedWord>
      <trackRevisions>false</trackRevisions>
    </reviewItem>
    <reviewItem>
      <errorID>c06960f8-d5fd-4d2d-ae57-698d8b1cf224</errorID>
      <errorWord>垃圾场</errorWord>
      <group>L1_Word</group>
      <groupName>字词问题</groupName>
      <ability>L2_Typo</ability>
      <abilityName>字词错误</abilityName>
      <candidateList>
        <item>垃圾</item>
      </candidateList>
      <explain/>
      <paraID>22C73979</paraID>
      <start>20</start>
      <end>22</end>
      <status>modified</status>
      <modifiedWord>垃圾</modifiedWord>
      <trackRevisions>false</trackRevisions>
    </reviewItem>
    <reviewItem>
      <errorID>dd48d01a-b7b6-4670-8ad3-d5c7828521b8</errorID>
      <errorWord>，</errorWord>
      <group>L1_Grammar</group>
      <groupName>语法问题</groupName>
      <ability>L2_Grammar</ability>
      <abilityName>语法错误</abilityName>
      <candidateList>
        <item>的方式，</item>
      </candidateList>
      <explain/>
      <paraID>4A0A5843</paraID>
      <start>41</start>
      <end>45</end>
      <status>modified</status>
      <modifiedWord>的方式，</modifiedWord>
      <trackRevisions>false</trackRevisions>
    </reviewItem>
    <reviewItem>
      <errorID>cfa2441f-29d5-4fc7-a35f-6d3c6289f05b</errorID>
      <errorWord>统一进行处理与处置</errorWord>
      <group>L1_Grammar</group>
      <groupName>语法问题</groupName>
      <ability>L2_Grammar</ability>
      <abilityName>语法错误</abilityName>
      <candidateList>
        <item>统一处理</item>
      </candidateList>
      <explain/>
      <paraID>4A0A5843</paraID>
      <start>51</start>
      <end>55</end>
      <status>modified</status>
      <modifiedWord>统一处理</modifiedWord>
      <trackRevisions>false</trackRevisions>
    </reviewItem>
    <reviewItem>
      <errorID>a6926f63-373b-430a-bca2-bf4d000a95ea</errorID>
      <errorWord>的</errorWord>
      <group>L1_Grammar</group>
      <groupName>语法问题</groupName>
      <ability>L2_Grammar</ability>
      <abilityName>语法错误</abilityName>
      <candidateList>
        <item>产生的</item>
      </candidateList>
      <explain/>
      <paraID>144E0B4E</paraID>
      <start>21</start>
      <end>24</end>
      <status>modified</status>
      <modifiedWord>产生的</modifiedWord>
      <trackRevisions>false</trackRevisions>
    </reviewItem>
    <reviewItem>
      <errorID>d72ab08e-e6d3-4e90-b426-0e24cde58900</errorID>
      <errorWord>。</errorWord>
      <group>L1_Grammar</group>
      <groupName>语法问题</groupName>
      <ability>L2_Grammar</ability>
      <abilityName>语法错误</abilityName>
      <candidateList>
        <item>组成。</item>
      </candidateList>
      <explain/>
      <paraID>144E0B4E</paraID>
      <start>33</start>
      <end>34</end>
      <status>unmodified</status>
      <modifiedWord/>
      <trackRevisions>false</trackRevisions>
    </reviewItem>
    <reviewItem>
      <errorID>532270f4-64c5-4d53-bd97-b57ce395ba6e</errorID>
      <errorWord>,</errorWord>
      <group>L1_Format</group>
      <groupName>格式问题</groupName>
      <ability>L2_HalfPunc</ability>
      <abilityName>全半角检查</abilityName>
      <candidateList>
        <item>，</item>
      </candidateList>
      <explain>文本全半角错误。</explain>
      <paraID>4958B5B2</paraID>
      <start>92</start>
      <end>93</end>
      <status>modified</status>
      <modifiedWord>，</modifiedWord>
      <trackRevisions>false</trackRevisions>
    </reviewItem>
    <reviewItem>
      <errorID>4d87ad24-2a34-428a-9f8f-c0483a125b24</errorID>
      <errorWord>。</errorWord>
      <group>L1_Punc</group>
      <groupName>标点问题</groupName>
      <ability>L2_Punc</ability>
      <abilityName>标点符号检查</abilityName>
      <candidateList>
        <item>)。</item>
      </candidateList>
      <explain/>
      <paraID>2775DCB5</paraID>
      <start>48</start>
      <end>49</end>
      <status>unmodified</status>
      <modifiedWord/>
      <trackRevisions>false</trackRevisions>
    </reviewItem>
    <reviewItem>
      <errorID>29750727-9e82-4728-a336-97327172aa13</errorID>
      <errorWord>辆 次</errorWord>
      <group>L1_Word</group>
      <groupName>字词问题</groupName>
      <ability>L2_Typo</ability>
      <abilityName>字词错误</abilityName>
      <candidateList>
        <item>辆次</item>
      </candidateList>
      <explain/>
      <paraID>2775DCB5</paraID>
      <start>72</start>
      <end>75</end>
      <status>unmodified</status>
      <modifiedWord/>
      <trackRevisions>false</trackRevisions>
    </reviewItem>
    <reviewItem>
      <errorID>c2879975-7e49-45c2-823b-31caca8c7e6a</errorID>
      <errorWord>排</errorWord>
      <group>L1_Word</group>
      <groupName>字词问题</groupName>
      <ability>L2_Typo</ability>
      <abilityName>字词错误</abilityName>
      <candidateList>
        <item>排放</item>
      </candidateList>
      <explain/>
      <paraID>5C3D990E</paraID>
      <start>83</start>
      <end>85</end>
      <status>modified</status>
      <modifiedWord>排放</modifiedWord>
      <trackRevisions>false</trackRevisions>
    </reviewItem>
    <reviewItem>
      <errorID>0ecf3ddd-ab52-4611-acda-560ee1e1fb10</errorID>
      <errorWord>监测</errorWord>
      <group>L1_Word</group>
      <groupName>字词问题</groupName>
      <ability>L2_Typo</ability>
      <abilityName>字词错误</abilityName>
      <candidateList>
        <item>的监测</item>
      </candidateList>
      <explain/>
      <paraID>3E00EC76</paraID>
      <start>18</start>
      <end>21</end>
      <status>modified</status>
      <modifiedWord>的监测</modifiedWord>
      <trackRevisions>false</trackRevisions>
    </reviewItem>
    <reviewItem>
      <errorID>fdaddd52-3858-49ed-b7f1-b01a841c87b7</errorID>
      <errorWord>雨水中</errorWord>
      <group>L1_Word</group>
      <groupName>字词问题</groupName>
      <ability>L2_Typo</ability>
      <abilityName>字词错误</abilityName>
      <candidateList>
        <item>雨水</item>
      </candidateList>
      <explain/>
      <paraID>720C7F07</paraID>
      <start>140</start>
      <end>142</end>
      <status>modified</status>
      <modifiedWord>雨水</modifiedWord>
      <trackRevisions>false</trackRevisions>
    </reviewItem>
    <reviewItem>
      <errorID>643ce674-5acf-44dd-a5e3-e442c019bb94</errorID>
      <errorWord>沉淀池</errorWord>
      <group>L1_Word</group>
      <groupName>字词问题</groupName>
      <ability>L2_Typo</ability>
      <abilityName>字词错误</abilityName>
      <candidateList>
        <item>沉淀</item>
      </candidateList>
      <explain/>
      <paraID>720C7F07</paraID>
      <start>152</start>
      <end>154</end>
      <status>modified</status>
      <modifiedWord>沉淀</modifiedWord>
      <trackRevisions>false</trackRevisions>
    </reviewItem>
    <reviewItem>
      <errorID>81cd4ab3-ed96-4a2a-abe1-1e039bee5bdf</errorID>
      <errorWord>程</errorWord>
      <group>L1_Word</group>
      <groupName>字词问题</groupName>
      <ability>L2_Typo</ability>
      <abilityName>字词错误</abilityName>
      <candidateList>
        <item>程中</item>
      </candidateList>
      <explain/>
      <paraID>64407B55</paraID>
      <start>17</start>
      <end>19</end>
      <status>modified</status>
      <modifiedWord>程中</modifiedWord>
      <trackRevisions>false</trackRevisions>
    </reviewItem>
    <reviewItem>
      <errorID>73a22d29-7182-4160-ba97-1e5c188afba4</errorID>
      <errorWord>~</errorWord>
      <group>L1_Format</group>
      <groupName>格式问题</groupName>
      <ability>L2_HalfPunc</ability>
      <abilityName>全半角检查</abilityName>
      <candidateList>
        <item>～</item>
      </candidateList>
      <explain>文本全半角错误。</explain>
      <paraID>64407B55</paraID>
      <start>56</start>
      <end>57</end>
      <status>modified</status>
      <modifiedWord>～</modifiedWord>
      <trackRevisions>false</trackRevisions>
    </reviewItem>
    <reviewItem>
      <errorID>e855b4ea-a600-49b9-bb4d-f0ab2c8824bb</errorID>
      <errorWord>）</errorWord>
      <group>L1_Punc</group>
      <groupName>标点问题</groupName>
      <ability>L2_Punc</ability>
      <abilityName>标点符号检查</abilityName>
      <candidateList/>
      <explain>同一形式括号套用。</explain>
      <paraID>71B67FDD</paraID>
      <start>15</start>
      <end>16</end>
      <status>unmodified</status>
      <modifiedWord/>
      <trackRevisions>false</trackRevisions>
    </reviewItem>
    <reviewItem>
      <errorID>58c554e6-30b4-475f-8d3e-2013b5e40e30</errorID>
      <errorWord>内应</errorWord>
      <group>L1_Word</group>
      <groupName>字词问题</groupName>
      <ability>L2_Typo</ability>
      <abilityName>字词错误</abilityName>
      <candidateList>
        <item>应</item>
      </candidateList>
      <explain/>
      <paraID>703ABB9F</paraID>
      <start>26</start>
      <end>27</end>
      <status>modified</status>
      <modifiedWord>应</modifiedWord>
      <trackRevisions>false</trackRevisions>
    </reviewItem>
    <reviewItem>
      <errorID>3299ba8b-24f2-4426-9b44-f1502d4d8696</errorID>
      <errorWord>（</errorWord>
      <group>L1_Format</group>
      <groupName>格式问题</groupName>
      <ability>L2_HalfPunc</ability>
      <abilityName>全半角检查</abilityName>
      <candidateList>
        <item>(</item>
      </candidateList>
      <explain>文本全半角错误。</explain>
      <paraID>5D39818B</paraID>
      <start>12</start>
      <end>13</end>
      <status>unmodified</status>
      <modifiedWord/>
      <trackRevisions>false</trackRevisions>
    </reviewItem>
    <reviewItem>
      <errorID>95457a96-ba62-4450-89a2-dfc85b8f8c71</errorID>
      <errorWord>）</errorWord>
      <group>L1_Format</group>
      <groupName>格式问题</groupName>
      <ability>L2_HalfPunc</ability>
      <abilityName>全半角检查</abilityName>
      <candidateList>
        <item>)</item>
      </candidateList>
      <explain>文本全半角错误。</explain>
      <paraID>5D39818B</paraID>
      <start>14</start>
      <end>15</end>
      <status>unmodified</status>
      <modifiedWord/>
      <trackRevisions>false</trackRevisions>
    </reviewItem>
    <reviewItem>
      <errorID>2b7b7e74-6780-4ccc-b5cb-7ff00d077131</errorID>
      <errorWord>）</errorWord>
      <group>L1_Format</group>
      <groupName>格式问题</groupName>
      <ability>L2_HalfPunc</ability>
      <abilityName>全半角检查</abilityName>
      <candidateList>
        <item>)</item>
      </candidateList>
      <explain>文本全半角错误。</explain>
      <paraID>5D39818B</paraID>
      <start>22</start>
      <end>23</end>
      <status>unmodified</status>
      <modifiedWord/>
      <trackRevisions>false</trackRevisions>
    </reviewItem>
    <reviewItem>
      <errorID>787baa63-22df-4eae-87fc-9ee3d3561e83</errorID>
      <errorWord>（</errorWord>
      <group>L1_Format</group>
      <groupName>格式问题</groupName>
      <ability>L2_HalfPunc</ability>
      <abilityName>全半角检查</abilityName>
      <candidateList>
        <item>(</item>
      </candidateList>
      <explain>文本全半角错误。</explain>
      <paraID>4659ECFA</paraID>
      <start>6</start>
      <end>7</end>
      <status>unmodified</status>
      <modifiedWord/>
      <trackRevisions>false</trackRevisions>
    </reviewItem>
    <reviewItem>
      <errorID>2826a78a-763b-4a30-beb5-2abb57015aeb</errorID>
      <errorWord>）</errorWord>
      <group>L1_Format</group>
      <groupName>格式问题</groupName>
      <ability>L2_HalfPunc</ability>
      <abilityName>全半角检查</abilityName>
      <candidateList>
        <item>)</item>
      </candidateList>
      <explain>文本全半角错误。</explain>
      <paraID>4659ECFA</paraID>
      <start>8</start>
      <end>9</end>
      <status>unmodified</status>
      <modifiedWord/>
      <trackRevisions>false</trackRevisions>
    </reviewItem>
    <reviewItem>
      <errorID>81388bc3-7169-40d3-9b81-82cc719811a0</errorID>
      <errorWord>）</errorWord>
      <group>L1_Format</group>
      <groupName>格式问题</groupName>
      <ability>L2_HalfPunc</ability>
      <abilityName>全半角检查</abilityName>
      <candidateList>
        <item>)</item>
      </candidateList>
      <explain>文本全半角错误。</explain>
      <paraID>7D63DB90</paraID>
      <start>9</start>
      <end>10</end>
      <status>unmodified</status>
      <modifiedWord/>
      <trackRevisions>false</trackRevisions>
    </reviewItem>
    <reviewItem>
      <errorID>4bdeee0b-7792-4b78-8828-25e032964f96</errorID>
      <errorWord>村6组</errorWord>
      <group>L1_Word</group>
      <groupName>字词问题</groupName>
      <ability>L2_Typo</ability>
      <abilityName>字词错误</abilityName>
      <candidateList>
        <item>村六组</item>
      </candidateList>
      <explain/>
      <paraID>65D697A1</paraID>
      <start>3</start>
      <end>6</end>
      <status>modified</status>
      <modifiedWord>村六组</modifiedWord>
      <trackRevisions>false</trackRevisions>
    </reviewItem>
    <reviewItem>
      <errorID>def3455c-16ac-4c42-8bea-8d1620f9325c</errorID>
      <errorWord>村6组</errorWord>
      <group>L1_Word</group>
      <groupName>字词问题</groupName>
      <ability>L2_Typo</ability>
      <abilityName>字词错误</abilityName>
      <candidateList>
        <item>村六组</item>
      </candidateList>
      <explain/>
      <paraID>21BE2AA3</paraID>
      <start>146</start>
      <end>149</end>
      <status>modified</status>
      <modifiedWord>村六组</modifiedWord>
      <trackRevisions>false</trackRevisions>
    </reviewItem>
    <reviewItem>
      <errorID>b00aac82-dde2-4293-b3b0-6cc8174a9115</errorID>
      <errorWord>2、</errorWord>
      <group>L1_Format</group>
      <groupName>格式问题</groupName>
      <ability>L2_Ordinal</ability>
      <abilityName>序号格式</abilityName>
      <candidateList>
        <item>2.</item>
      </candidateList>
      <explain>标题顺序错误，请检查标题顺序是否合理。</explain>
      <paraID>33D72603</paraID>
      <start>0</start>
      <end>2</end>
      <status>modified</status>
      <modifiedWord>2.</modifiedWord>
      <trackRevisions>false</trackRevisions>
    </reviewItem>
    <reviewItem>
      <errorID>47055172-586b-477c-bfb3-17583322ee73</errorID>
      <errorWord>仓储</errorWord>
      <group>L1_Word</group>
      <groupName>字词问题</groupName>
      <ability>L2_Typo</ability>
      <abilityName>字词错误</abilityName>
      <candidateList>
        <item>储存</item>
      </candidateList>
      <explain/>
      <paraID>6466893E</paraID>
      <start>10</start>
      <end>12</end>
      <status>modified</status>
      <modifiedWord>储存</modifiedWord>
      <trackRevisions>false</trackRevisions>
    </reviewItem>
    <reviewItem>
      <errorID>293d7380-f609-4219-8268-dbd0e978ade9</errorID>
      <errorWord>，</errorWord>
      <group>L1_Punc</group>
      <groupName>标点问题</groupName>
      <ability>L2_Punc</ability>
      <abilityName>标点符号检查</abilityName>
      <candidateList>
        <item>、</item>
      </candidateList>
      <explain/>
      <paraID>6466893E</paraID>
      <start>28</start>
      <end>29</end>
      <status>modified</status>
      <modifiedWord>、</modifiedWord>
      <trackRevisions>false</trackRevisions>
    </reviewItem>
    <reviewItem>
      <errorID>156b7f92-4d6b-48c0-8adf-a66bf08dad0d</errorID>
      <errorWord>HJ941-2018》</errorWord>
      <group>L1_Punc</group>
      <groupName>标点问题</groupName>
      <ability>L2_Punc</ability>
      <abilityName>标点符号检查</abilityName>
      <candidateList>
        <item>》（HJ941-2018）</item>
      </candidateList>
      <explain/>
      <paraID>7B97CCFE</paraID>
      <start>50</start>
      <end>63</end>
      <status>modified</status>
      <modifiedWord>》（HJ941-2018）</modifiedWord>
      <trackRevisions>false</trackRevisions>
    </reviewItem>
    <reviewItem>
      <errorID>826b6154-a797-4550-9c73-94802e5ac380</errorID>
      <errorWord>避免</errorWord>
      <group>L1_Word</group>
      <groupName>字词问题</groupName>
      <ability>L2_Typo</ability>
      <abilityName>字词错误</abilityName>
      <candidateList>
        <item>以避免</item>
      </candidateList>
      <explain/>
      <paraID>7B97CCFE</paraID>
      <start>104</start>
      <end>107</end>
      <status>modified</status>
      <modifiedWord>以避免</modifiedWord>
      <trackRevisions>false</trackRevisions>
    </reviewItem>
    <reviewItem>
      <errorID>6af20ca1-f581-48ea-9766-8ddb935eb974</errorID>
      <errorWord>产生</errorWord>
      <group>L1_Word</group>
      <groupName>字词问题</groupName>
      <ability>L2_Typo</ability>
      <abilityName>字词错误</abilityName>
      <candidateList>
        <item>可使</item>
      </candidateList>
      <explain/>
      <paraID>73F24332</paraID>
      <start>14</start>
      <end>16</end>
      <status>modified</status>
      <modifiedWord>可使</modifiedWord>
      <trackRevisions>false</trackRevisions>
    </reviewItem>
    <reviewItem>
      <errorID>958b9d11-24fa-456d-98a0-81f24310c69f</errorID>
      <errorWord>煤尘可</errorWord>
      <group>L1_Word</group>
      <groupName>字词问题</groupName>
      <ability>L2_Typo</ability>
      <abilityName>字词错误</abilityName>
      <candidateList>
        <item>的煤尘</item>
      </candidateList>
      <explain/>
      <paraID>73F24332</paraID>
      <start>21</start>
      <end>24</end>
      <status>modified</status>
      <modifiedWord>的煤尘</modifiedWord>
      <trackRevisions>false</trackRevisions>
    </reviewItem>
    <reviewItem>
      <errorID>dd5d7277-4c91-4e06-82de-45817fed0072</errorID>
      <errorWord>大棚</errorWord>
      <group>L1_Word</group>
      <groupName>字词问题</groupName>
      <ability>L2_Typo</ability>
      <abilityName>字词错误</abilityName>
      <candidateList>
        <item>棚</item>
      </candidateList>
      <explain/>
      <paraID>2027590C</paraID>
      <start>6</start>
      <end>7</end>
      <status>modified</status>
      <modifiedWord>棚</modifiedWord>
      <trackRevisions>false</trackRevisions>
    </reviewItem>
    <reviewItem>
      <errorID>dfc4d2d1-b008-4e17-9109-95aa39e9b9f1</errorID>
      <errorWord>、</errorWord>
      <group>L1_Punc</group>
      <groupName>标点问题</groupName>
      <ability>L2_Punc</ability>
      <abilityName>标点符号检查</abilityName>
      <candidateList>
        <item/>
      </candidateList>
      <explain/>
      <paraID>2027590C</paraID>
      <start>38</start>
      <end>38</end>
      <status>modified</status>
      <modifiedWord/>
      <trackRevisions>false</trackRevisions>
    </reviewItem>
    <reviewItem>
      <errorID>5ef55130-ad69-4b29-a83b-1bd469935db4</errorID>
      <errorWord>；</errorWord>
      <group>L1_Grammar</group>
      <groupName>语法问题</groupName>
      <ability>L2_Grammar</ability>
      <abilityName>语法错误</abilityName>
      <candidateList>
        <item>标准；</item>
      </candidateList>
      <explain/>
      <paraID>50C7E143</paraID>
      <start>37</start>
      <end>40</end>
      <status>modified</status>
      <modifiedWord>标准；</modifiedWord>
      <trackRevisions>false</trackRevisions>
    </reviewItem>
    <reviewItem>
      <errorID>d346b7aa-6f11-4288-889a-853d0f25397e</errorID>
      <errorWord>提高</errorWord>
      <group>L1_Grammar</group>
      <groupName>语法问题</groupName>
      <ability>L2_Grammar</ability>
      <abilityName>语法错误</abilityName>
      <candidateList>
        <item>增强</item>
      </candidateList>
      <explain>“提高～意识”搭配不当，建议修改为“增强～意识”。</explain>
      <paraID>447C11FC</paraID>
      <start>61</start>
      <end>63</end>
      <status>modified</status>
      <modifiedWord>增强</modifiedWord>
      <trackRevisions>false</trackRevisions>
    </reviewItem>
    <reviewItem>
      <errorID>aa39b4ab-10b2-46ee-b039-05bbacf8b88d</errorID>
      <errorWord>HJ1276</errorWord>
      <group>L1_Word</group>
      <groupName>字词问题</groupName>
      <ability>L2_Typo</ability>
      <abilityName>字词错误</abilityName>
      <candidateList>
        <item>HJ 1276</item>
      </candidateList>
      <explain/>
      <paraID>2ABAFB76</paraID>
      <start>19</start>
      <end>26</end>
      <status>modified</status>
      <modifiedWord>HJ 1276</modifiedWord>
      <trackRevisions>false</trackRevisions>
    </reviewItem>
    <reviewItem>
      <errorID>8041aa4f-c4da-4a35-a0ec-a6f12f0e15d9</errorID>
      <errorWord>GB15562</errorWord>
      <group>L1_Word</group>
      <groupName>字词问题</groupName>
      <ability>L2_Typo</ability>
      <abilityName>字词错误</abilityName>
      <candidateList>
        <item>GB 15562</item>
      </candidateList>
      <explain/>
      <paraID>2ABAFB76</paraID>
      <start>56</start>
      <end>63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d95021-44e4-4150-b339-3dfd35a05f03}">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38</Pages>
  <Words>19146</Words>
  <Characters>21106</Characters>
  <Lines>153</Lines>
  <Paragraphs>43</Paragraphs>
  <TotalTime>11</TotalTime>
  <ScaleCrop>false</ScaleCrop>
  <LinksUpToDate>false</LinksUpToDate>
  <CharactersWithSpaces>21274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bulabula</cp:lastModifiedBy>
  <cp:lastPrinted>2020-12-29T02:43:00Z</cp:lastPrinted>
  <dcterms:modified xsi:type="dcterms:W3CDTF">2026-03-24T08:01:49Z</dcterms:modified>
  <dc:title>附件2</dc:title>
  <cp:revision>7254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882ED7508325472F94BBBFD9A70C09F0_13</vt:lpwstr>
  </property>
  <property fmtid="{D5CDD505-2E9C-101B-9397-08002B2CF9AE}" pid="4" name="KSOTemplateDocerSaveRecord">
    <vt:lpwstr>eyJoZGlkIjoiODViY2JkMjU3NGYzZTEwMzZmMGFkZWViYmNkYWU3NDIiLCJ1c2VySWQiOiI0MzUxOTk5NDUifQ==</vt:lpwstr>
  </property>
</Properties>
</file>