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default" w:ascii="Times New Roman" w:hAnsi="Times New Roman" w:eastAsia="宋体" w:cs="Times New Roman"/>
          <w:b/>
          <w:bCs/>
          <w:color w:val="auto"/>
          <w:sz w:val="44"/>
          <w:szCs w:val="44"/>
          <w:highlight w:val="none"/>
          <w:lang w:val="en-US" w:eastAsia="zh-CN"/>
        </w:rPr>
      </w:pPr>
    </w:p>
    <w:p>
      <w:pPr>
        <w:adjustRightInd w:val="0"/>
        <w:snapToGrid w:val="0"/>
        <w:jc w:val="center"/>
        <w:outlineLvl w:val="0"/>
        <w:rPr>
          <w:rFonts w:hint="default" w:ascii="Times New Roman" w:hAnsi="Times New Roman" w:eastAsia="宋体" w:cs="Times New Roman"/>
          <w:b/>
          <w:bCs/>
          <w:color w:val="auto"/>
          <w:sz w:val="21"/>
          <w:szCs w:val="21"/>
          <w:highlight w:val="none"/>
        </w:rPr>
      </w:pPr>
    </w:p>
    <w:p>
      <w:pPr>
        <w:pStyle w:val="2"/>
        <w:rPr>
          <w:rFonts w:hint="default"/>
          <w:color w:val="auto"/>
        </w:rPr>
      </w:pPr>
    </w:p>
    <w:p>
      <w:pPr>
        <w:adjustRightInd w:val="0"/>
        <w:snapToGrid w:val="0"/>
        <w:ind w:left="0" w:leftChars="0" w:firstLine="0" w:firstLineChars="0"/>
        <w:jc w:val="center"/>
        <w:outlineLvl w:val="0"/>
        <w:rPr>
          <w:rFonts w:hint="default" w:ascii="Times New Roman" w:hAnsi="Times New Roman" w:eastAsia="宋体" w:cs="Times New Roman"/>
          <w:b/>
          <w:bCs/>
          <w:color w:val="auto"/>
          <w:sz w:val="72"/>
          <w:szCs w:val="72"/>
          <w:highlight w:val="none"/>
        </w:rPr>
      </w:pPr>
      <w:r>
        <w:rPr>
          <w:rFonts w:hint="default" w:ascii="Times New Roman" w:hAnsi="Times New Roman" w:eastAsia="宋体" w:cs="Times New Roman"/>
          <w:b/>
          <w:bCs/>
          <w:color w:val="auto"/>
          <w:sz w:val="72"/>
          <w:szCs w:val="72"/>
          <w:highlight w:val="none"/>
        </w:rPr>
        <w:t>建设项目环境影响报告表</w:t>
      </w:r>
    </w:p>
    <w:p>
      <w:pPr>
        <w:adjustRightInd w:val="0"/>
        <w:snapToGrid w:val="0"/>
        <w:spacing w:before="192" w:beforeLines="80"/>
        <w:ind w:left="0" w:leftChars="0" w:firstLine="0" w:firstLineChars="0"/>
        <w:jc w:val="center"/>
        <w:rPr>
          <w:rFonts w:hint="default" w:ascii="Times New Roman" w:hAnsi="Times New Roman" w:eastAsia="宋体" w:cs="Times New Roman"/>
          <w:b/>
          <w:bCs/>
          <w:color w:val="auto"/>
          <w:sz w:val="48"/>
          <w:szCs w:val="48"/>
          <w:highlight w:val="none"/>
        </w:rPr>
      </w:pPr>
      <w:r>
        <w:rPr>
          <w:rFonts w:hint="default" w:ascii="Times New Roman" w:hAnsi="Times New Roman" w:eastAsia="宋体" w:cs="Times New Roman"/>
          <w:b/>
          <w:bCs/>
          <w:color w:val="auto"/>
          <w:sz w:val="48"/>
          <w:szCs w:val="48"/>
          <w:highlight w:val="none"/>
        </w:rPr>
        <w:t>（污染影响类）</w:t>
      </w:r>
    </w:p>
    <w:p>
      <w:pPr>
        <w:pStyle w:val="48"/>
        <w:ind w:left="0" w:leftChars="0" w:firstLine="0" w:firstLineChars="0"/>
        <w:jc w:val="center"/>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color w:val="auto"/>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40"/>
          <w:szCs w:val="40"/>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241" w:firstLineChars="75"/>
        <w:jc w:val="both"/>
        <w:textAlignment w:val="auto"/>
        <w:rPr>
          <w:rFonts w:hint="default" w:ascii="Times New Roman" w:hAnsi="Times New Roman" w:eastAsia="宋体" w:cs="Times New Roman"/>
          <w:b/>
          <w:bCs/>
          <w:color w:val="auto"/>
          <w:sz w:val="32"/>
          <w:szCs w:val="32"/>
          <w:highlight w:val="none"/>
          <w:u w:val="single"/>
          <w:lang w:val="en-US" w:eastAsia="zh-CN"/>
        </w:rPr>
      </w:pPr>
      <w:r>
        <w:rPr>
          <w:rFonts w:hint="default" w:ascii="Times New Roman" w:hAnsi="Times New Roman" w:eastAsia="宋体" w:cs="Times New Roman"/>
          <w:b/>
          <w:bCs/>
          <w:color w:val="auto"/>
          <w:sz w:val="32"/>
          <w:szCs w:val="32"/>
          <w:highlight w:val="none"/>
        </w:rPr>
        <w:t>项目名称：</w:t>
      </w:r>
      <w:r>
        <w:rPr>
          <w:rFonts w:hint="eastAsia" w:ascii="Times New Roman" w:hAnsi="Times New Roman" w:eastAsia="宋体" w:cs="Times New Roman"/>
          <w:b/>
          <w:bCs/>
          <w:color w:val="auto"/>
          <w:sz w:val="32"/>
          <w:szCs w:val="32"/>
          <w:highlight w:val="none"/>
          <w:u w:val="single"/>
          <w:lang w:val="en-US" w:eastAsia="zh-CN"/>
        </w:rPr>
        <w:t xml:space="preserve"> </w:t>
      </w:r>
      <w:r>
        <w:rPr>
          <w:rFonts w:hint="eastAsia" w:cs="Times New Roman"/>
          <w:b/>
          <w:bCs/>
          <w:color w:val="auto"/>
          <w:sz w:val="32"/>
          <w:szCs w:val="32"/>
          <w:highlight w:val="none"/>
          <w:u w:val="single"/>
          <w:lang w:val="en-US" w:eastAsia="zh-CN"/>
        </w:rPr>
        <w:t xml:space="preserve">           </w:t>
      </w:r>
      <w:r>
        <w:rPr>
          <w:rFonts w:hint="eastAsia" w:cs="Times New Roman"/>
          <w:b/>
          <w:bCs/>
          <w:color w:val="auto"/>
          <w:sz w:val="32"/>
          <w:szCs w:val="32"/>
          <w:u w:val="single"/>
          <w:lang w:val="en-US" w:eastAsia="zh-CN"/>
        </w:rPr>
        <w:t>面皮生产线扩建项目</w:t>
      </w:r>
      <w:r>
        <w:rPr>
          <w:rFonts w:hint="eastAsia" w:ascii="Times New Roman" w:hAnsi="Times New Roman" w:eastAsia="宋体" w:cs="Times New Roman"/>
          <w:b/>
          <w:bCs/>
          <w:color w:val="auto"/>
          <w:sz w:val="32"/>
          <w:szCs w:val="32"/>
          <w:u w:val="single"/>
          <w:lang w:val="en-US" w:eastAsia="zh-CN"/>
        </w:rPr>
        <w:t xml:space="preserve">  </w:t>
      </w:r>
      <w:r>
        <w:rPr>
          <w:rFonts w:hint="eastAsia" w:cs="Times New Roman"/>
          <w:b/>
          <w:bCs/>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241" w:firstLineChars="75"/>
        <w:jc w:val="both"/>
        <w:textAlignment w:val="auto"/>
        <w:rPr>
          <w:rFonts w:hint="default" w:ascii="Times New Roman" w:hAnsi="Times New Roman" w:eastAsia="宋体" w:cs="Times New Roman"/>
          <w:b/>
          <w:bCs/>
          <w:color w:val="auto"/>
          <w:sz w:val="32"/>
          <w:szCs w:val="32"/>
          <w:u w:val="single"/>
          <w:lang w:val="en-US" w:eastAsia="zh-CN"/>
        </w:rPr>
      </w:pPr>
      <w:r>
        <w:rPr>
          <w:rFonts w:hint="default" w:ascii="Times New Roman" w:hAnsi="Times New Roman" w:eastAsia="宋体" w:cs="Times New Roman"/>
          <w:b/>
          <w:bCs/>
          <w:color w:val="auto"/>
          <w:sz w:val="32"/>
          <w:szCs w:val="32"/>
          <w:highlight w:val="none"/>
        </w:rPr>
        <w:t>建设单位：</w:t>
      </w:r>
      <w:r>
        <w:rPr>
          <w:rFonts w:hint="default" w:ascii="Times New Roman" w:hAnsi="Times New Roman" w:eastAsia="宋体" w:cs="Times New Roman"/>
          <w:b/>
          <w:bCs/>
          <w:color w:val="auto"/>
          <w:sz w:val="32"/>
          <w:szCs w:val="32"/>
          <w:highlight w:val="none"/>
          <w:u w:val="single"/>
          <w:lang w:val="en-US" w:eastAsia="zh-CN"/>
        </w:rPr>
        <w:t xml:space="preserve"> </w:t>
      </w:r>
      <w:r>
        <w:rPr>
          <w:rFonts w:hint="eastAsia" w:ascii="Times New Roman" w:hAnsi="Times New Roman" w:eastAsia="宋体" w:cs="Times New Roman"/>
          <w:b/>
          <w:bCs/>
          <w:color w:val="auto"/>
          <w:sz w:val="32"/>
          <w:szCs w:val="32"/>
          <w:highlight w:val="none"/>
          <w:u w:val="single"/>
          <w:lang w:val="en-US" w:eastAsia="zh-CN"/>
        </w:rPr>
        <w:t xml:space="preserve"> </w:t>
      </w:r>
      <w:r>
        <w:rPr>
          <w:rFonts w:hint="eastAsia" w:cs="Times New Roman"/>
          <w:b/>
          <w:bCs/>
          <w:color w:val="auto"/>
          <w:sz w:val="32"/>
          <w:szCs w:val="32"/>
          <w:highlight w:val="none"/>
          <w:u w:val="single"/>
          <w:lang w:val="en-US" w:eastAsia="zh-CN"/>
        </w:rPr>
        <w:t xml:space="preserve">      </w:t>
      </w:r>
      <w:r>
        <w:rPr>
          <w:rFonts w:hint="eastAsia" w:ascii="Times New Roman" w:hAnsi="Times New Roman" w:eastAsia="宋体" w:cs="Times New Roman"/>
          <w:b/>
          <w:bCs/>
          <w:color w:val="auto"/>
          <w:sz w:val="32"/>
          <w:szCs w:val="32"/>
          <w:highlight w:val="none"/>
          <w:u w:val="single"/>
          <w:lang w:val="en-US" w:eastAsia="zh-CN"/>
        </w:rPr>
        <w:t xml:space="preserve"> </w:t>
      </w:r>
      <w:r>
        <w:rPr>
          <w:rFonts w:hint="eastAsia" w:cs="Times New Roman"/>
          <w:b/>
          <w:bCs/>
          <w:color w:val="auto"/>
          <w:sz w:val="32"/>
          <w:szCs w:val="32"/>
          <w:u w:val="single"/>
          <w:lang w:val="en-US" w:eastAsia="zh-CN"/>
        </w:rPr>
        <w:t>宝鸡市欣鑫源食品有限公司</w:t>
      </w:r>
      <w:r>
        <w:rPr>
          <w:rFonts w:hint="default" w:ascii="Times New Roman" w:hAnsi="Times New Roman" w:eastAsia="宋体" w:cs="Times New Roman"/>
          <w:b/>
          <w:bCs/>
          <w:color w:val="auto"/>
          <w:sz w:val="32"/>
          <w:szCs w:val="32"/>
          <w:u w:val="single"/>
          <w:lang w:val="en-US" w:eastAsia="zh-CN"/>
        </w:rPr>
        <w:t xml:space="preserve"> </w:t>
      </w:r>
      <w:r>
        <w:rPr>
          <w:rFonts w:hint="eastAsia"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241" w:firstLineChars="75"/>
        <w:textAlignment w:val="auto"/>
        <w:rPr>
          <w:rFonts w:hint="default" w:ascii="Times New Roman" w:hAnsi="Times New Roman" w:eastAsia="宋体" w:cs="Times New Roman"/>
          <w:b/>
          <w:bCs/>
          <w:color w:val="auto"/>
          <w:sz w:val="32"/>
          <w:szCs w:val="32"/>
          <w:u w:val="single"/>
          <w:lang w:val="en-US" w:eastAsia="zh-CN"/>
        </w:rPr>
      </w:pPr>
      <w:r>
        <w:rPr>
          <w:rFonts w:hint="default" w:ascii="Times New Roman" w:hAnsi="Times New Roman" w:eastAsia="宋体" w:cs="Times New Roman"/>
          <w:b/>
          <w:bCs/>
          <w:color w:val="auto"/>
          <w:sz w:val="32"/>
          <w:szCs w:val="32"/>
          <w:highlight w:val="none"/>
        </w:rPr>
        <w:t>编制日期：</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val="en-US" w:eastAsia="zh-CN"/>
        </w:rPr>
        <w:t xml:space="preserve"> 二〇二</w:t>
      </w:r>
      <w:r>
        <w:rPr>
          <w:rFonts w:hint="eastAsia" w:ascii="Times New Roman" w:hAnsi="Times New Roman" w:eastAsia="宋体" w:cs="Times New Roman"/>
          <w:b/>
          <w:bCs/>
          <w:color w:val="auto"/>
          <w:sz w:val="32"/>
          <w:szCs w:val="32"/>
          <w:u w:val="single"/>
          <w:lang w:val="en-US" w:eastAsia="zh-CN"/>
        </w:rPr>
        <w:t>五</w:t>
      </w:r>
      <w:r>
        <w:rPr>
          <w:rFonts w:hint="default" w:ascii="Times New Roman" w:hAnsi="Times New Roman" w:eastAsia="宋体" w:cs="Times New Roman"/>
          <w:b/>
          <w:bCs/>
          <w:color w:val="auto"/>
          <w:sz w:val="32"/>
          <w:szCs w:val="32"/>
          <w:u w:val="single"/>
          <w:lang w:val="en-US" w:eastAsia="zh-CN"/>
        </w:rPr>
        <w:t>年</w:t>
      </w:r>
      <w:r>
        <w:rPr>
          <w:rFonts w:hint="eastAsia" w:cs="Times New Roman"/>
          <w:b/>
          <w:bCs/>
          <w:color w:val="auto"/>
          <w:sz w:val="32"/>
          <w:szCs w:val="32"/>
          <w:u w:val="single"/>
          <w:lang w:val="en-US" w:eastAsia="zh-CN"/>
        </w:rPr>
        <w:t>十一</w:t>
      </w:r>
      <w:r>
        <w:rPr>
          <w:rFonts w:hint="default" w:ascii="Times New Roman" w:hAnsi="Times New Roman" w:eastAsia="宋体" w:cs="Times New Roman"/>
          <w:b/>
          <w:bCs/>
          <w:color w:val="auto"/>
          <w:sz w:val="32"/>
          <w:szCs w:val="32"/>
          <w:u w:val="single"/>
          <w:lang w:val="en-US" w:eastAsia="zh-CN"/>
        </w:rPr>
        <w:t xml:space="preserve">月       </w:t>
      </w:r>
      <w:r>
        <w:rPr>
          <w:rFonts w:hint="eastAsia"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u w:val="single"/>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pPr>
        <w:pStyle w:val="2"/>
        <w:keepNext w:val="0"/>
        <w:keepLines w:val="0"/>
        <w:pageBreakBefore w:val="0"/>
        <w:widowControl w:val="0"/>
        <w:kinsoku/>
        <w:wordWrap/>
        <w:overflowPunct/>
        <w:topLinePunct w:val="0"/>
        <w:autoSpaceDE/>
        <w:autoSpaceDN/>
        <w:bidi w:val="0"/>
        <w:spacing w:after="0" w:line="240" w:lineRule="atLeast"/>
        <w:ind w:left="0" w:leftChars="0" w:firstLine="0" w:firstLineChars="0"/>
        <w:jc w:val="center"/>
        <w:textAlignment w:val="auto"/>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outlineLvl w:val="9"/>
        <w:rPr>
          <w:rFonts w:hint="default" w:ascii="Times New Roman" w:hAnsi="Times New Roman" w:eastAsia="宋体" w:cs="Times New Roman"/>
          <w:b/>
          <w:bCs/>
          <w:color w:val="auto"/>
          <w:highlight w:val="none"/>
        </w:rPr>
      </w:pPr>
    </w:p>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outlineLvl w:val="9"/>
        <w:rPr>
          <w:rFonts w:hint="default" w:ascii="Times New Roman" w:hAnsi="Times New Roman" w:eastAsia="宋体" w:cs="Times New Roman"/>
          <w:b/>
          <w:bCs/>
          <w:color w:val="auto"/>
          <w:highlight w:val="none"/>
        </w:rPr>
      </w:pPr>
    </w:p>
    <w:p>
      <w:pPr>
        <w:adjustRightInd w:val="0"/>
        <w:snapToGrid w:val="0"/>
        <w:spacing w:line="288" w:lineRule="auto"/>
        <w:ind w:left="0" w:leftChars="0" w:firstLine="0" w:firstLineChars="0"/>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中华人民共和国生态环境部制</w:t>
      </w:r>
    </w:p>
    <w:p>
      <w:pPr>
        <w:pStyle w:val="2"/>
        <w:rPr>
          <w:rFonts w:hint="default" w:ascii="Times New Roman" w:hAnsi="Times New Roman" w:eastAsia="宋体" w:cs="Times New Roman"/>
          <w:b/>
          <w:bCs/>
          <w:color w:val="auto"/>
          <w:sz w:val="36"/>
          <w:szCs w:val="36"/>
          <w:highlight w:val="none"/>
        </w:rPr>
      </w:pPr>
    </w:p>
    <w:p>
      <w:pPr>
        <w:pStyle w:val="2"/>
        <w:rPr>
          <w:rFonts w:hint="default"/>
          <w:color w:val="auto"/>
        </w:rPr>
      </w:pPr>
    </w:p>
    <w:p>
      <w:pPr>
        <w:pStyle w:val="2"/>
        <w:rPr>
          <w:rFonts w:hint="eastAsia"/>
          <w:color w:val="auto"/>
          <w:lang w:eastAsia="zh-CN"/>
        </w:rPr>
        <w:sectPr>
          <w:headerReference r:id="rId3" w:type="default"/>
          <w:footerReference r:id="rId4" w:type="default"/>
          <w:pgSz w:w="11906" w:h="16838"/>
          <w:pgMar w:top="1247" w:right="1247" w:bottom="1247" w:left="1587" w:header="567" w:footer="567" w:gutter="0"/>
          <w:pgBorders>
            <w:top w:val="none" w:sz="0" w:space="0"/>
            <w:left w:val="none" w:sz="0" w:space="0"/>
            <w:bottom w:val="none" w:sz="0" w:space="0"/>
            <w:right w:val="none" w:sz="0" w:space="0"/>
          </w:pgBorders>
          <w:pgNumType w:fmt="decimal"/>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jc w:val="center"/>
        <w:textAlignment w:val="auto"/>
        <w:outlineLvl w:val="0"/>
        <w:rPr>
          <w:rFonts w:hint="default" w:ascii="Times New Roman" w:hAnsi="Times New Roman" w:eastAsia="宋体" w:cs="Times New Roman"/>
          <w:b/>
          <w:bCs/>
          <w:snapToGrid w:val="0"/>
          <w:color w:val="auto"/>
          <w:sz w:val="30"/>
          <w:szCs w:val="30"/>
          <w:highlight w:val="none"/>
        </w:rPr>
      </w:pPr>
      <w:bookmarkStart w:id="0" w:name="_Toc6906"/>
      <w:bookmarkStart w:id="1" w:name="_Toc12788"/>
      <w:bookmarkStart w:id="2" w:name="_Toc10482"/>
      <w:bookmarkStart w:id="3" w:name="_Toc9899"/>
      <w:bookmarkStart w:id="4" w:name="_Toc2696"/>
      <w:bookmarkStart w:id="5" w:name="_Toc27645"/>
      <w:bookmarkStart w:id="6" w:name="_Toc15857"/>
      <w:r>
        <w:rPr>
          <w:rFonts w:hint="eastAsia" w:ascii="黑体" w:hAnsi="黑体" w:eastAsia="黑体" w:cs="黑体"/>
          <w:b w:val="0"/>
          <w:bCs w:val="0"/>
          <w:snapToGrid w:val="0"/>
          <w:color w:val="auto"/>
          <w:sz w:val="30"/>
          <w:szCs w:val="30"/>
          <w:highlight w:val="none"/>
        </w:rPr>
        <w:t>一、建设项目基本情况</w:t>
      </w:r>
      <w:bookmarkEnd w:id="0"/>
      <w:bookmarkEnd w:id="1"/>
    </w:p>
    <w:tbl>
      <w:tblPr>
        <w:tblStyle w:val="30"/>
        <w:tblW w:w="914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2"/>
        <w:gridCol w:w="1293"/>
        <w:gridCol w:w="15"/>
        <w:gridCol w:w="2829"/>
        <w:gridCol w:w="2278"/>
        <w:gridCol w:w="2683"/>
        <w:gridCol w:w="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名称</w:t>
            </w:r>
          </w:p>
        </w:tc>
        <w:tc>
          <w:tcPr>
            <w:tcW w:w="7823" w:type="dxa"/>
            <w:gridSpan w:val="4"/>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面皮生产线扩建项目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42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项目代码</w:t>
            </w:r>
          </w:p>
        </w:tc>
        <w:tc>
          <w:tcPr>
            <w:tcW w:w="7823" w:type="dxa"/>
            <w:gridSpan w:val="4"/>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Cs w:val="21"/>
                <w:lang w:eastAsia="zh-CN"/>
              </w:rPr>
              <w:t>2509-610304-04-05-407820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建设单位</w:t>
            </w:r>
          </w:p>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联系人</w:t>
            </w:r>
          </w:p>
        </w:tc>
        <w:tc>
          <w:tcPr>
            <w:tcW w:w="2829" w:type="dxa"/>
            <w:vAlign w:val="center"/>
          </w:tcPr>
          <w:p>
            <w:pPr>
              <w:pStyle w:val="59"/>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4"/>
                <w:szCs w:val="24"/>
                <w:lang w:val="en-US" w:eastAsia="zh-CN" w:bidi="en-US"/>
              </w:rPr>
            </w:pPr>
          </w:p>
        </w:tc>
        <w:tc>
          <w:tcPr>
            <w:tcW w:w="2278" w:type="dxa"/>
            <w:vAlign w:val="center"/>
          </w:tcPr>
          <w:p>
            <w:pPr>
              <w:pStyle w:val="59"/>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2"/>
                <w:lang w:val="en-US" w:eastAsia="zh-CN" w:bidi="en-US"/>
              </w:rPr>
            </w:pPr>
            <w:r>
              <w:rPr>
                <w:rFonts w:hint="eastAsia" w:ascii="宋体" w:hAnsi="宋体" w:eastAsia="宋体" w:cs="宋体"/>
                <w:b w:val="0"/>
                <w:bCs/>
                <w:color w:val="auto"/>
                <w:kern w:val="2"/>
                <w:sz w:val="24"/>
                <w:szCs w:val="24"/>
                <w:lang w:val="en-US" w:bidi="ar-SA"/>
              </w:rPr>
              <w:t>联系方式</w:t>
            </w:r>
          </w:p>
        </w:tc>
        <w:tc>
          <w:tcPr>
            <w:tcW w:w="2716" w:type="dxa"/>
            <w:gridSpan w:val="2"/>
            <w:vAlign w:val="center"/>
          </w:tcPr>
          <w:p>
            <w:pPr>
              <w:pStyle w:val="59"/>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2"/>
                <w:lang w:val="en-US" w:eastAsia="zh-CN" w:bidi="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建设地点</w:t>
            </w:r>
          </w:p>
        </w:tc>
        <w:tc>
          <w:tcPr>
            <w:tcW w:w="7823" w:type="dxa"/>
            <w:gridSpan w:val="4"/>
            <w:vAlign w:val="center"/>
          </w:tcPr>
          <w:p>
            <w:pPr>
              <w:keepNext w:val="0"/>
              <w:keepLines w:val="0"/>
              <w:pageBreakBefore w:val="0"/>
              <w:kinsoku/>
              <w:wordWrap/>
              <w:overflowPunct/>
              <w:topLinePunct w:val="0"/>
              <w:autoSpaceDE/>
              <w:autoSpaceDN/>
              <w:bidi w:val="0"/>
              <w:spacing w:line="240" w:lineRule="atLeast"/>
              <w:ind w:firstLine="0" w:firstLine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u w:val="none"/>
                <w:lang w:eastAsia="zh-CN"/>
              </w:rPr>
              <w:t>陕西省宝鸡市</w:t>
            </w:r>
            <w:r>
              <w:rPr>
                <w:rFonts w:hint="eastAsia" w:cs="Times New Roman"/>
                <w:color w:val="auto"/>
                <w:sz w:val="24"/>
                <w:szCs w:val="24"/>
                <w:highlight w:val="none"/>
                <w:u w:val="none"/>
                <w:lang w:eastAsia="zh-CN"/>
              </w:rPr>
              <w:t>陈仓区阳平镇第六寨村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地理坐标</w:t>
            </w:r>
          </w:p>
        </w:tc>
        <w:tc>
          <w:tcPr>
            <w:tcW w:w="7823" w:type="dxa"/>
            <w:gridSpan w:val="4"/>
            <w:vAlign w:val="center"/>
          </w:tcPr>
          <w:p>
            <w:pPr>
              <w:keepNext w:val="0"/>
              <w:keepLines w:val="0"/>
              <w:pageBreakBefore w:val="0"/>
              <w:kinsoku/>
              <w:wordWrap/>
              <w:overflowPunct/>
              <w:topLinePunct w:val="0"/>
              <w:autoSpaceDE/>
              <w:autoSpaceDN/>
              <w:bidi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sz w:val="24"/>
              </w:rPr>
              <w:t>（</w:t>
            </w:r>
            <w:r>
              <w:rPr>
                <w:rFonts w:hint="default" w:ascii="Times New Roman" w:hAnsi="Times New Roman" w:eastAsia="宋体" w:cs="Times New Roman"/>
                <w:color w:val="auto"/>
                <w:spacing w:val="0"/>
                <w:sz w:val="24"/>
                <w:u w:val="single"/>
              </w:rPr>
              <w:t>107</w:t>
            </w:r>
            <w:r>
              <w:rPr>
                <w:rFonts w:hint="default" w:ascii="Times New Roman" w:hAnsi="Times New Roman" w:eastAsia="宋体" w:cs="Times New Roman"/>
                <w:color w:val="auto"/>
                <w:spacing w:val="0"/>
                <w:sz w:val="24"/>
              </w:rPr>
              <w:t>度</w:t>
            </w:r>
            <w:r>
              <w:rPr>
                <w:rFonts w:hint="eastAsia" w:ascii="Times New Roman" w:hAnsi="Times New Roman" w:eastAsia="宋体" w:cs="Times New Roman"/>
                <w:color w:val="auto"/>
                <w:spacing w:val="0"/>
                <w:sz w:val="24"/>
                <w:u w:val="single"/>
                <w:lang w:val="en-US" w:eastAsia="zh-CN"/>
              </w:rPr>
              <w:t>31</w:t>
            </w:r>
            <w:r>
              <w:rPr>
                <w:rFonts w:hint="default" w:ascii="Times New Roman" w:hAnsi="Times New Roman" w:eastAsia="宋体" w:cs="Times New Roman"/>
                <w:color w:val="auto"/>
                <w:spacing w:val="0"/>
                <w:sz w:val="24"/>
              </w:rPr>
              <w:t>分</w:t>
            </w:r>
            <w:r>
              <w:rPr>
                <w:rFonts w:hint="default" w:ascii="Times New Roman" w:hAnsi="Times New Roman" w:eastAsia="宋体" w:cs="Times New Roman"/>
                <w:color w:val="auto"/>
                <w:spacing w:val="0"/>
                <w:sz w:val="24"/>
                <w:u w:val="single"/>
              </w:rPr>
              <w:t>35.050</w:t>
            </w:r>
            <w:r>
              <w:rPr>
                <w:rFonts w:hint="default" w:ascii="Times New Roman" w:hAnsi="Times New Roman" w:eastAsia="宋体" w:cs="Times New Roman"/>
                <w:color w:val="auto"/>
                <w:spacing w:val="0"/>
                <w:sz w:val="24"/>
              </w:rPr>
              <w:t>秒，</w:t>
            </w:r>
            <w:r>
              <w:rPr>
                <w:rFonts w:hint="default" w:ascii="Times New Roman" w:hAnsi="Times New Roman" w:eastAsia="宋体" w:cs="Times New Roman"/>
                <w:color w:val="auto"/>
                <w:spacing w:val="0"/>
                <w:sz w:val="24"/>
                <w:u w:val="single"/>
              </w:rPr>
              <w:t>34</w:t>
            </w:r>
            <w:r>
              <w:rPr>
                <w:rFonts w:hint="default" w:ascii="Times New Roman" w:hAnsi="Times New Roman" w:eastAsia="宋体" w:cs="Times New Roman"/>
                <w:color w:val="auto"/>
                <w:spacing w:val="0"/>
                <w:sz w:val="24"/>
              </w:rPr>
              <w:t>度</w:t>
            </w:r>
            <w:r>
              <w:rPr>
                <w:rFonts w:hint="default" w:ascii="Times New Roman" w:hAnsi="Times New Roman" w:eastAsia="宋体" w:cs="Times New Roman"/>
                <w:color w:val="auto"/>
                <w:spacing w:val="0"/>
                <w:sz w:val="24"/>
                <w:u w:val="single"/>
              </w:rPr>
              <w:t>19</w:t>
            </w:r>
            <w:r>
              <w:rPr>
                <w:rFonts w:hint="default" w:ascii="Times New Roman" w:hAnsi="Times New Roman" w:eastAsia="宋体" w:cs="Times New Roman"/>
                <w:color w:val="auto"/>
                <w:spacing w:val="0"/>
                <w:sz w:val="24"/>
              </w:rPr>
              <w:t>分</w:t>
            </w:r>
            <w:r>
              <w:rPr>
                <w:rFonts w:hint="eastAsia" w:ascii="Times New Roman" w:hAnsi="Times New Roman" w:eastAsia="宋体" w:cs="Times New Roman"/>
                <w:color w:val="auto"/>
                <w:spacing w:val="0"/>
                <w:sz w:val="24"/>
                <w:u w:val="single"/>
                <w:lang w:val="en-US" w:eastAsia="zh-CN"/>
              </w:rPr>
              <w:t>56</w:t>
            </w:r>
            <w:r>
              <w:rPr>
                <w:rFonts w:hint="default" w:ascii="Times New Roman" w:hAnsi="Times New Roman" w:eastAsia="宋体" w:cs="Times New Roman"/>
                <w:color w:val="auto"/>
                <w:spacing w:val="0"/>
                <w:sz w:val="24"/>
                <w:u w:val="single"/>
              </w:rPr>
              <w:t>.</w:t>
            </w:r>
            <w:r>
              <w:rPr>
                <w:rFonts w:hint="eastAsia" w:ascii="Times New Roman" w:hAnsi="Times New Roman" w:eastAsia="宋体" w:cs="Times New Roman"/>
                <w:color w:val="auto"/>
                <w:spacing w:val="0"/>
                <w:sz w:val="24"/>
                <w:u w:val="single"/>
                <w:lang w:val="en-US" w:eastAsia="zh-CN"/>
              </w:rPr>
              <w:t>79</w:t>
            </w:r>
            <w:r>
              <w:rPr>
                <w:rFonts w:hint="default" w:ascii="Times New Roman" w:hAnsi="Times New Roman" w:eastAsia="宋体" w:cs="Times New Roman"/>
                <w:color w:val="auto"/>
                <w:spacing w:val="0"/>
                <w:sz w:val="24"/>
                <w:u w:val="single"/>
              </w:rPr>
              <w:t>0</w:t>
            </w:r>
            <w:r>
              <w:rPr>
                <w:rFonts w:hint="default" w:ascii="Times New Roman" w:hAnsi="Times New Roman" w:eastAsia="宋体" w:cs="Times New Roman"/>
                <w:color w:val="auto"/>
                <w:spacing w:val="0"/>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国民经济</w:t>
            </w:r>
          </w:p>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p>
        </w:tc>
        <w:tc>
          <w:tcPr>
            <w:tcW w:w="2829" w:type="dxa"/>
            <w:vAlign w:val="center"/>
          </w:tcPr>
          <w:p>
            <w:pPr>
              <w:pStyle w:val="9"/>
              <w:pageBreakBefore w:val="0"/>
              <w:kinsoku/>
              <w:wordWrap/>
              <w:overflowPunct/>
              <w:topLinePunct w:val="0"/>
              <w:bidi w:val="0"/>
              <w:spacing w:line="240" w:lineRule="auto"/>
              <w:ind w:left="0" w:leftChars="0" w:right="0" w:firstLine="0" w:firstLineChars="0"/>
              <w:jc w:val="center"/>
              <w:textAlignment w:val="auto"/>
              <w:rPr>
                <w:rFonts w:hint="default" w:ascii="Times New Roman" w:hAnsi="Times New Roman" w:cs="Times New Roman"/>
                <w:bCs/>
                <w:iCs/>
                <w:color w:val="auto"/>
                <w:sz w:val="24"/>
                <w:lang w:val="en-US" w:eastAsia="zh-CN"/>
              </w:rPr>
            </w:pPr>
            <w:r>
              <w:rPr>
                <w:rFonts w:ascii="Times New Roman" w:hAnsi="Times New Roman"/>
                <w:color w:val="auto"/>
                <w:sz w:val="24"/>
              </w:rPr>
              <w:t>C1439其他方便食品制造</w:t>
            </w:r>
          </w:p>
        </w:tc>
        <w:tc>
          <w:tcPr>
            <w:tcW w:w="2278" w:type="dxa"/>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bookmarkStart w:id="7" w:name="_Hlk49843745"/>
            <w:r>
              <w:rPr>
                <w:rFonts w:hint="default" w:ascii="Times New Roman" w:hAnsi="Times New Roman" w:eastAsia="宋体" w:cs="Times New Roman"/>
                <w:b/>
                <w:bCs/>
                <w:color w:val="auto"/>
                <w:sz w:val="24"/>
                <w:szCs w:val="24"/>
                <w:highlight w:val="none"/>
              </w:rPr>
              <w:t>建设项目</w:t>
            </w:r>
          </w:p>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bookmarkEnd w:id="7"/>
          </w:p>
        </w:tc>
        <w:tc>
          <w:tcPr>
            <w:tcW w:w="2716" w:type="dxa"/>
            <w:gridSpan w:val="2"/>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0"/>
                <w:lang w:val="en-US" w:eastAsia="zh-CN" w:bidi="ar-SA"/>
              </w:rPr>
              <w:t>21－</w:t>
            </w:r>
            <w:r>
              <w:rPr>
                <w:rFonts w:ascii="Times New Roman" w:hAnsi="Times New Roman" w:eastAsia="宋体" w:cs="Times New Roman"/>
                <w:color w:val="auto"/>
                <w:kern w:val="0"/>
                <w:sz w:val="24"/>
                <w:szCs w:val="20"/>
                <w:lang w:val="en-US" w:eastAsia="zh-CN" w:bidi="ar-SA"/>
              </w:rPr>
              <w:t>方便食品制造143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建设性质</w:t>
            </w:r>
          </w:p>
        </w:tc>
        <w:tc>
          <w:tcPr>
            <w:tcW w:w="2829" w:type="dxa"/>
            <w:vAlign w:val="center"/>
          </w:tcPr>
          <w:p>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扩建</w:t>
            </w:r>
          </w:p>
          <w:p>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2278" w:type="dxa"/>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申报情形</w:t>
            </w:r>
          </w:p>
        </w:tc>
        <w:tc>
          <w:tcPr>
            <w:tcW w:w="2716" w:type="dxa"/>
            <w:gridSpan w:val="2"/>
            <w:vAlign w:val="center"/>
          </w:tcPr>
          <w:p>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项目审批（核准/备案）部门</w:t>
            </w:r>
          </w:p>
        </w:tc>
        <w:tc>
          <w:tcPr>
            <w:tcW w:w="2829" w:type="dxa"/>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宝鸡市陈仓区发展和改革局</w:t>
            </w:r>
          </w:p>
        </w:tc>
        <w:tc>
          <w:tcPr>
            <w:tcW w:w="2278" w:type="dxa"/>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w:t>
            </w:r>
          </w:p>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备案）文号</w:t>
            </w:r>
          </w:p>
        </w:tc>
        <w:tc>
          <w:tcPr>
            <w:tcW w:w="2716" w:type="dxa"/>
            <w:gridSpan w:val="2"/>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总投资</w:t>
            </w:r>
          </w:p>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（万元）</w:t>
            </w:r>
          </w:p>
        </w:tc>
        <w:tc>
          <w:tcPr>
            <w:tcW w:w="2829" w:type="dxa"/>
            <w:vAlign w:val="center"/>
          </w:tcPr>
          <w:p>
            <w:pPr>
              <w:keepNext w:val="0"/>
              <w:keepLines w:val="0"/>
              <w:pageBreakBefore w:val="0"/>
              <w:widowControl/>
              <w:suppressLineNumbers w:val="0"/>
              <w:kinsoku/>
              <w:wordWrap/>
              <w:overflowPunct/>
              <w:topLinePunct w:val="0"/>
              <w:autoSpaceDE/>
              <w:autoSpaceDN/>
              <w:bidi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515</w:t>
            </w:r>
          </w:p>
        </w:tc>
        <w:tc>
          <w:tcPr>
            <w:tcW w:w="227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环保投资（万元）</w:t>
            </w:r>
          </w:p>
        </w:tc>
        <w:tc>
          <w:tcPr>
            <w:tcW w:w="2716" w:type="dxa"/>
            <w:gridSpan w:val="2"/>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环保投资占比（%）</w:t>
            </w:r>
          </w:p>
        </w:tc>
        <w:tc>
          <w:tcPr>
            <w:tcW w:w="2829" w:type="dxa"/>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11.3</w:t>
            </w:r>
          </w:p>
        </w:tc>
        <w:tc>
          <w:tcPr>
            <w:tcW w:w="227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施工工期</w:t>
            </w:r>
          </w:p>
        </w:tc>
        <w:tc>
          <w:tcPr>
            <w:tcW w:w="2716" w:type="dxa"/>
            <w:gridSpan w:val="2"/>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90" w:hRule="atLeast"/>
          <w:jc w:val="center"/>
        </w:trPr>
        <w:tc>
          <w:tcPr>
            <w:tcW w:w="1308" w:type="dxa"/>
            <w:gridSpan w:val="2"/>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是否开工建设</w:t>
            </w:r>
          </w:p>
        </w:tc>
        <w:tc>
          <w:tcPr>
            <w:tcW w:w="2829" w:type="dxa"/>
            <w:vAlign w:val="center"/>
          </w:tcPr>
          <w:p>
            <w:pPr>
              <w:keepNext w:val="0"/>
              <w:keepLines w:val="0"/>
              <w:pageBreakBefore w:val="0"/>
              <w:kinsoku/>
              <w:wordWrap/>
              <w:overflowPunct/>
              <w:topLinePunct w:val="0"/>
              <w:bidi w:val="0"/>
              <w:adjustRightInd w:val="0"/>
              <w:snapToGrid w:val="0"/>
              <w:spacing w:line="240" w:lineRule="atLeast"/>
              <w:ind w:left="0" w:leftChars="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否</w:t>
            </w:r>
          </w:p>
          <w:p>
            <w:pPr>
              <w:keepNext w:val="0"/>
              <w:keepLines w:val="0"/>
              <w:pageBreakBefore w:val="0"/>
              <w:kinsoku/>
              <w:wordWrap/>
              <w:overflowPunct/>
              <w:topLinePunct w:val="0"/>
              <w:bidi w:val="0"/>
              <w:adjustRightInd w:val="0"/>
              <w:snapToGrid w:val="0"/>
              <w:spacing w:line="240" w:lineRule="atLeast"/>
              <w:ind w:left="0" w:leftChars="0" w:firstLine="0" w:firstLineChars="0"/>
              <w:jc w:val="left"/>
              <w:textAlignment w:val="auto"/>
              <w:rPr>
                <w:rFonts w:hint="default" w:eastAsia="宋体"/>
                <w:color w:val="auto"/>
                <w:lang w:val="en-US" w:eastAsia="zh-CN"/>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是</w:t>
            </w:r>
            <w:r>
              <w:rPr>
                <w:rFonts w:hint="eastAsia" w:cs="Times New Roman"/>
                <w:color w:val="auto"/>
                <w:sz w:val="24"/>
                <w:szCs w:val="24"/>
                <w:highlight w:val="none"/>
                <w:u w:val="single"/>
                <w:lang w:val="en-US" w:eastAsia="zh-CN"/>
              </w:rPr>
              <w:t xml:space="preserve"> 目前所有新增设备已安装完成 </w:t>
            </w:r>
          </w:p>
        </w:tc>
        <w:tc>
          <w:tcPr>
            <w:tcW w:w="2278"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b/>
                <w:bCs/>
                <w:color w:val="auto"/>
                <w:spacing w:val="-6"/>
                <w:sz w:val="24"/>
                <w:szCs w:val="24"/>
                <w:highlight w:val="none"/>
              </w:rPr>
              <w:t>用地（用海）</w:t>
            </w:r>
          </w:p>
          <w:p>
            <w:pPr>
              <w:keepNext w:val="0"/>
              <w:keepLines w:val="0"/>
              <w:pageBreakBefore w:val="0"/>
              <w:kinsoku/>
              <w:wordWrap/>
              <w:overflowPunct/>
              <w:topLinePunct w:val="0"/>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6"/>
                <w:sz w:val="24"/>
                <w:szCs w:val="24"/>
                <w:highlight w:val="none"/>
              </w:rPr>
              <w:t>面积（m</w:t>
            </w:r>
            <w:r>
              <w:rPr>
                <w:rFonts w:hint="default" w:ascii="Times New Roman" w:hAnsi="Times New Roman" w:eastAsia="宋体" w:cs="Times New Roman"/>
                <w:b/>
                <w:bCs/>
                <w:color w:val="auto"/>
                <w:spacing w:val="-6"/>
                <w:sz w:val="24"/>
                <w:szCs w:val="24"/>
                <w:highlight w:val="none"/>
                <w:vertAlign w:val="superscript"/>
              </w:rPr>
              <w:t>2</w:t>
            </w:r>
            <w:r>
              <w:rPr>
                <w:rFonts w:hint="default" w:ascii="Times New Roman" w:hAnsi="Times New Roman" w:eastAsia="宋体" w:cs="Times New Roman"/>
                <w:b/>
                <w:bCs/>
                <w:color w:val="auto"/>
                <w:spacing w:val="-6"/>
                <w:sz w:val="24"/>
                <w:szCs w:val="24"/>
                <w:highlight w:val="none"/>
              </w:rPr>
              <w:t>）</w:t>
            </w:r>
          </w:p>
        </w:tc>
        <w:tc>
          <w:tcPr>
            <w:tcW w:w="2716" w:type="dxa"/>
            <w:gridSpan w:val="2"/>
            <w:vAlign w:val="center"/>
          </w:tcPr>
          <w:p>
            <w:pPr>
              <w:keepNext w:val="0"/>
              <w:keepLines w:val="0"/>
              <w:pageBreakBefore w:val="0"/>
              <w:kinsoku/>
              <w:wordWrap/>
              <w:overflowPunct/>
              <w:topLinePunct w:val="0"/>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专项评价设置情况</w:t>
            </w:r>
          </w:p>
        </w:tc>
        <w:tc>
          <w:tcPr>
            <w:tcW w:w="7823" w:type="dxa"/>
            <w:gridSpan w:val="4"/>
            <w:vAlign w:val="center"/>
          </w:tcPr>
          <w:p>
            <w:pPr>
              <w:keepNext w:val="0"/>
              <w:keepLines w:val="0"/>
              <w:pageBreakBefore w:val="0"/>
              <w:kinsoku/>
              <w:wordWrap/>
              <w:overflowPunct/>
              <w:topLinePunct w:val="0"/>
              <w:autoSpaceDE w:val="0"/>
              <w:autoSpaceDN w:val="0"/>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238" w:hRule="atLeast"/>
          <w:jc w:val="center"/>
        </w:trPr>
        <w:tc>
          <w:tcPr>
            <w:tcW w:w="1308"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规划情况</w:t>
            </w:r>
          </w:p>
        </w:tc>
        <w:tc>
          <w:tcPr>
            <w:tcW w:w="7823" w:type="dxa"/>
            <w:gridSpan w:val="4"/>
            <w:vAlign w:val="center"/>
          </w:tcPr>
          <w:p>
            <w:pPr>
              <w:keepNext w:val="0"/>
              <w:keepLines w:val="0"/>
              <w:pageBreakBefore w:val="0"/>
              <w:kinsoku/>
              <w:wordWrap/>
              <w:overflowPunct/>
              <w:topLinePunct w:val="0"/>
              <w:autoSpaceDE w:val="0"/>
              <w:autoSpaceDN w:val="0"/>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规划环境影响评价情况</w:t>
            </w:r>
          </w:p>
        </w:tc>
        <w:tc>
          <w:tcPr>
            <w:tcW w:w="7823" w:type="dxa"/>
            <w:gridSpan w:val="4"/>
            <w:vAlign w:val="center"/>
          </w:tcPr>
          <w:p>
            <w:pPr>
              <w:keepNext w:val="0"/>
              <w:keepLines w:val="0"/>
              <w:pageBreakBefore w:val="0"/>
              <w:kinsoku/>
              <w:wordWrap/>
              <w:overflowPunct/>
              <w:topLinePunct w:val="0"/>
              <w:autoSpaceDE w:val="0"/>
              <w:autoSpaceDN w:val="0"/>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Before w:val="1"/>
          <w:wBefore w:w="12" w:type="dxa"/>
          <w:trHeight w:val="397" w:hRule="atLeast"/>
          <w:jc w:val="center"/>
        </w:trPr>
        <w:tc>
          <w:tcPr>
            <w:tcW w:w="1308"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规划及规划环境影响评价符合性分析</w:t>
            </w:r>
          </w:p>
        </w:tc>
        <w:tc>
          <w:tcPr>
            <w:tcW w:w="7823" w:type="dxa"/>
            <w:gridSpan w:val="4"/>
            <w:vAlign w:val="center"/>
          </w:tcPr>
          <w:p>
            <w:pPr>
              <w:keepNext w:val="0"/>
              <w:keepLines w:val="0"/>
              <w:pageBreakBefore w:val="0"/>
              <w:kinsoku/>
              <w:wordWrap/>
              <w:overflowPunct/>
              <w:topLinePunct w:val="0"/>
              <w:autoSpaceDE w:val="0"/>
              <w:autoSpaceDN w:val="0"/>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Ex>
        <w:trPr>
          <w:gridAfter w:val="1"/>
          <w:wAfter w:w="33" w:type="dxa"/>
          <w:trHeight w:val="11762" w:hRule="atLeast"/>
          <w:jc w:val="center"/>
        </w:trPr>
        <w:tc>
          <w:tcPr>
            <w:tcW w:w="1305"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tc>
        <w:tc>
          <w:tcPr>
            <w:tcW w:w="7805" w:type="dxa"/>
            <w:gridSpan w:val="4"/>
            <w:vAlign w:val="top"/>
          </w:tcPr>
          <w:p>
            <w:pPr>
              <w:bidi w:val="0"/>
              <w:rPr>
                <w:rFonts w:hint="default"/>
                <w:b/>
                <w:bCs/>
                <w:color w:val="auto"/>
              </w:rPr>
            </w:pPr>
            <w:r>
              <w:rPr>
                <w:rFonts w:hint="eastAsia"/>
                <w:b/>
                <w:bCs/>
                <w:color w:val="auto"/>
                <w:lang w:val="en-US" w:eastAsia="zh-CN"/>
              </w:rPr>
              <w:t>一</w:t>
            </w:r>
            <w:r>
              <w:rPr>
                <w:rFonts w:hint="default"/>
                <w:b/>
                <w:bCs/>
                <w:color w:val="auto"/>
              </w:rPr>
              <w:t>、产业政策符合性</w:t>
            </w:r>
          </w:p>
          <w:p>
            <w:pPr>
              <w:bidi w:val="0"/>
              <w:rPr>
                <w:rFonts w:hint="default" w:ascii="Times New Roman" w:hAnsi="Times New Roman" w:eastAsia="宋体" w:cs="Times New Roman"/>
                <w:b w:val="0"/>
                <w:bCs w:val="0"/>
                <w:color w:val="auto"/>
                <w:spacing w:val="0"/>
                <w:kern w:val="21"/>
                <w:position w:val="0"/>
                <w:sz w:val="24"/>
                <w:szCs w:val="24"/>
                <w:lang w:eastAsia="zh-CN"/>
              </w:rPr>
            </w:pPr>
            <w:r>
              <w:rPr>
                <w:rFonts w:hint="default" w:ascii="Times New Roman" w:hAnsi="Times New Roman" w:eastAsia="宋体" w:cs="Times New Roman"/>
                <w:b w:val="0"/>
                <w:bCs w:val="0"/>
                <w:color w:val="auto"/>
                <w:spacing w:val="0"/>
                <w:kern w:val="21"/>
                <w:position w:val="0"/>
                <w:sz w:val="24"/>
                <w:szCs w:val="24"/>
                <w:highlight w:val="none"/>
              </w:rPr>
              <w:t>本项目为</w:t>
            </w:r>
            <w:r>
              <w:rPr>
                <w:rFonts w:ascii="Times New Roman" w:hAnsi="Times New Roman"/>
                <w:color w:val="auto"/>
                <w:sz w:val="24"/>
                <w:highlight w:val="none"/>
              </w:rPr>
              <w:t>C1439其他方便食品制造</w:t>
            </w:r>
            <w:r>
              <w:rPr>
                <w:rFonts w:hint="default" w:ascii="Times New Roman" w:hAnsi="Times New Roman" w:eastAsia="宋体" w:cs="Times New Roman"/>
                <w:b w:val="0"/>
                <w:bCs w:val="0"/>
                <w:color w:val="auto"/>
                <w:spacing w:val="0"/>
                <w:kern w:val="21"/>
                <w:position w:val="0"/>
                <w:sz w:val="24"/>
                <w:szCs w:val="24"/>
                <w:highlight w:val="none"/>
              </w:rPr>
              <w:t>，</w:t>
            </w:r>
            <w:r>
              <w:rPr>
                <w:rFonts w:hint="default" w:ascii="Times New Roman" w:hAnsi="Times New Roman" w:eastAsia="宋体" w:cs="Times New Roman"/>
                <w:b w:val="0"/>
                <w:bCs w:val="0"/>
                <w:color w:val="auto"/>
                <w:spacing w:val="0"/>
                <w:kern w:val="21"/>
                <w:position w:val="0"/>
                <w:sz w:val="24"/>
                <w:szCs w:val="24"/>
                <w:highlight w:val="none"/>
                <w:lang w:eastAsia="zh-CN"/>
              </w:rPr>
              <w:t>根据《产业结构调整指导目录（20</w:t>
            </w:r>
            <w:r>
              <w:rPr>
                <w:rFonts w:hint="eastAsia" w:ascii="Times New Roman" w:hAnsi="Times New Roman" w:eastAsia="宋体" w:cs="Times New Roman"/>
                <w:b w:val="0"/>
                <w:bCs w:val="0"/>
                <w:color w:val="auto"/>
                <w:spacing w:val="0"/>
                <w:kern w:val="21"/>
                <w:position w:val="0"/>
                <w:sz w:val="24"/>
                <w:szCs w:val="24"/>
                <w:highlight w:val="none"/>
                <w:lang w:val="en-US" w:eastAsia="zh-CN"/>
              </w:rPr>
              <w:t>24</w:t>
            </w:r>
            <w:r>
              <w:rPr>
                <w:rFonts w:hint="default" w:ascii="Times New Roman" w:hAnsi="Times New Roman" w:eastAsia="宋体" w:cs="Times New Roman"/>
                <w:b w:val="0"/>
                <w:bCs w:val="0"/>
                <w:color w:val="auto"/>
                <w:spacing w:val="0"/>
                <w:kern w:val="21"/>
                <w:position w:val="0"/>
                <w:sz w:val="24"/>
                <w:szCs w:val="24"/>
                <w:highlight w:val="none"/>
                <w:lang w:eastAsia="zh-CN"/>
              </w:rPr>
              <w:t>年本）》，项目不属于国家限制类和淘汰类的</w:t>
            </w:r>
            <w:r>
              <w:rPr>
                <w:rFonts w:hint="default" w:ascii="Times New Roman" w:hAnsi="Times New Roman" w:eastAsia="宋体" w:cs="Times New Roman"/>
                <w:b w:val="0"/>
                <w:bCs w:val="0"/>
                <w:color w:val="auto"/>
                <w:spacing w:val="0"/>
                <w:kern w:val="21"/>
                <w:position w:val="0"/>
                <w:sz w:val="24"/>
                <w:szCs w:val="24"/>
                <w:lang w:eastAsia="zh-CN"/>
              </w:rPr>
              <w:t>项目，属于允许类；同时对照</w:t>
            </w:r>
            <w:r>
              <w:rPr>
                <w:rFonts w:hint="eastAsia" w:ascii="Times New Roman" w:hAnsi="Times New Roman" w:eastAsia="宋体" w:cs="Times New Roman"/>
                <w:b w:val="0"/>
                <w:bCs w:val="0"/>
                <w:color w:val="auto"/>
                <w:spacing w:val="0"/>
                <w:kern w:val="21"/>
                <w:position w:val="0"/>
                <w:sz w:val="24"/>
                <w:szCs w:val="24"/>
                <w:lang w:eastAsia="zh-CN"/>
              </w:rPr>
              <w:t>国家发</w:t>
            </w:r>
            <w:r>
              <w:rPr>
                <w:rFonts w:hint="eastAsia" w:ascii="Times New Roman" w:hAnsi="Times New Roman" w:eastAsia="宋体" w:cs="Times New Roman"/>
                <w:b w:val="0"/>
                <w:bCs w:val="0"/>
                <w:color w:val="auto"/>
                <w:spacing w:val="0"/>
                <w:kern w:val="21"/>
                <w:position w:val="0"/>
                <w:sz w:val="24"/>
                <w:szCs w:val="24"/>
                <w:highlight w:val="none"/>
                <w:lang w:eastAsia="zh-CN"/>
              </w:rPr>
              <w:t>展改革委</w:t>
            </w:r>
            <w:r>
              <w:rPr>
                <w:rFonts w:hint="default" w:ascii="Times New Roman" w:hAnsi="Times New Roman" w:eastAsia="宋体" w:cs="Times New Roman"/>
                <w:b w:val="0"/>
                <w:bCs w:val="0"/>
                <w:color w:val="auto"/>
                <w:spacing w:val="0"/>
                <w:kern w:val="21"/>
                <w:position w:val="0"/>
                <w:sz w:val="24"/>
                <w:szCs w:val="24"/>
                <w:highlight w:val="none"/>
                <w:lang w:eastAsia="zh-CN"/>
              </w:rPr>
              <w:t>和商务部发布的《市场准入负面清单》（202</w:t>
            </w:r>
            <w:r>
              <w:rPr>
                <w:rFonts w:hint="eastAsia" w:ascii="Times New Roman" w:hAnsi="Times New Roman" w:eastAsia="宋体" w:cs="Times New Roman"/>
                <w:b w:val="0"/>
                <w:bCs w:val="0"/>
                <w:color w:val="auto"/>
                <w:spacing w:val="0"/>
                <w:kern w:val="21"/>
                <w:position w:val="0"/>
                <w:sz w:val="24"/>
                <w:szCs w:val="24"/>
                <w:highlight w:val="none"/>
                <w:lang w:val="en-US" w:eastAsia="zh-CN"/>
              </w:rPr>
              <w:t>5</w:t>
            </w:r>
            <w:r>
              <w:rPr>
                <w:rFonts w:hint="default" w:ascii="Times New Roman" w:hAnsi="Times New Roman" w:eastAsia="宋体" w:cs="Times New Roman"/>
                <w:b w:val="0"/>
                <w:bCs w:val="0"/>
                <w:color w:val="auto"/>
                <w:spacing w:val="0"/>
                <w:kern w:val="21"/>
                <w:position w:val="0"/>
                <w:sz w:val="24"/>
                <w:szCs w:val="24"/>
                <w:highlight w:val="none"/>
                <w:lang w:val="en-US" w:eastAsia="zh-CN"/>
              </w:rPr>
              <w:t>年版</w:t>
            </w:r>
            <w:r>
              <w:rPr>
                <w:rFonts w:hint="default" w:ascii="Times New Roman" w:hAnsi="Times New Roman" w:eastAsia="宋体" w:cs="Times New Roman"/>
                <w:b w:val="0"/>
                <w:bCs w:val="0"/>
                <w:color w:val="auto"/>
                <w:spacing w:val="0"/>
                <w:kern w:val="21"/>
                <w:position w:val="0"/>
                <w:sz w:val="24"/>
                <w:szCs w:val="24"/>
                <w:highlight w:val="none"/>
                <w:lang w:eastAsia="zh-CN"/>
              </w:rPr>
              <w:t>），项目不属于禁止或许可类准入类；</w:t>
            </w:r>
            <w:r>
              <w:rPr>
                <w:rFonts w:hint="default" w:ascii="Times New Roman" w:hAnsi="Times New Roman" w:eastAsia="宋体" w:cs="Times New Roman"/>
                <w:b w:val="0"/>
                <w:bCs w:val="0"/>
                <w:color w:val="auto"/>
                <w:spacing w:val="0"/>
                <w:kern w:val="21"/>
                <w:position w:val="0"/>
                <w:sz w:val="24"/>
                <w:szCs w:val="24"/>
                <w:highlight w:val="none"/>
              </w:rPr>
              <w:t>本项目已取得</w:t>
            </w:r>
            <w:r>
              <w:rPr>
                <w:rFonts w:hint="eastAsia" w:ascii="Times New Roman" w:hAnsi="Times New Roman" w:eastAsia="宋体" w:cs="Times New Roman"/>
                <w:b w:val="0"/>
                <w:bCs w:val="0"/>
                <w:color w:val="auto"/>
                <w:spacing w:val="0"/>
                <w:kern w:val="21"/>
                <w:position w:val="0"/>
                <w:sz w:val="24"/>
                <w:szCs w:val="24"/>
                <w:highlight w:val="none"/>
                <w:lang w:val="en-US" w:eastAsia="zh-CN"/>
              </w:rPr>
              <w:t>陕西省企业投资项目备案确认书，备案机关为</w:t>
            </w:r>
            <w:r>
              <w:rPr>
                <w:rFonts w:hint="eastAsia" w:cs="Times New Roman"/>
                <w:b w:val="0"/>
                <w:bCs w:val="0"/>
                <w:color w:val="auto"/>
                <w:sz w:val="24"/>
                <w:szCs w:val="24"/>
                <w:highlight w:val="none"/>
                <w:lang w:val="en-US" w:eastAsia="zh-CN"/>
              </w:rPr>
              <w:t>宝鸡市陈仓区发展和改革局</w:t>
            </w:r>
            <w:r>
              <w:rPr>
                <w:rFonts w:hint="eastAsia" w:ascii="Times New Roman" w:hAnsi="Times New Roman" w:eastAsia="宋体" w:cs="Times New Roman"/>
                <w:b w:val="0"/>
                <w:bCs w:val="0"/>
                <w:color w:val="auto"/>
                <w:spacing w:val="0"/>
                <w:kern w:val="21"/>
                <w:position w:val="0"/>
                <w:sz w:val="24"/>
                <w:szCs w:val="24"/>
                <w:highlight w:val="none"/>
                <w:lang w:eastAsia="zh-CN"/>
              </w:rPr>
              <w:t>，</w:t>
            </w:r>
            <w:r>
              <w:rPr>
                <w:rFonts w:hint="default" w:ascii="Times New Roman" w:hAnsi="Times New Roman" w:eastAsia="宋体" w:cs="Times New Roman"/>
                <w:b w:val="0"/>
                <w:bCs w:val="0"/>
                <w:color w:val="auto"/>
                <w:spacing w:val="0"/>
                <w:kern w:val="21"/>
                <w:position w:val="0"/>
                <w:sz w:val="24"/>
                <w:szCs w:val="24"/>
                <w:highlight w:val="none"/>
              </w:rPr>
              <w:t>项目代码：</w:t>
            </w:r>
            <w:r>
              <w:rPr>
                <w:rFonts w:hint="eastAsia" w:cs="Times New Roman"/>
                <w:b w:val="0"/>
                <w:bCs w:val="0"/>
                <w:color w:val="auto"/>
                <w:spacing w:val="0"/>
                <w:kern w:val="21"/>
                <w:position w:val="0"/>
                <w:sz w:val="24"/>
                <w:szCs w:val="24"/>
                <w:highlight w:val="none"/>
                <w:lang w:val="en-US" w:eastAsia="zh-CN"/>
              </w:rPr>
              <w:t>2509-610304-04-05-407820</w:t>
            </w:r>
            <w:r>
              <w:rPr>
                <w:rFonts w:hint="default" w:ascii="Times New Roman" w:hAnsi="Times New Roman" w:eastAsia="宋体" w:cs="Times New Roman"/>
                <w:b w:val="0"/>
                <w:bCs w:val="0"/>
                <w:color w:val="auto"/>
                <w:spacing w:val="0"/>
                <w:kern w:val="21"/>
                <w:position w:val="0"/>
                <w:sz w:val="24"/>
                <w:szCs w:val="24"/>
                <w:highlight w:val="none"/>
                <w:lang w:eastAsia="zh-CN"/>
              </w:rPr>
              <w:t>。</w:t>
            </w:r>
          </w:p>
          <w:p>
            <w:pPr>
              <w:bidi w:val="0"/>
              <w:rPr>
                <w:rFonts w:hint="default"/>
                <w:color w:val="auto"/>
                <w:lang w:eastAsia="zh-CN"/>
              </w:rPr>
            </w:pPr>
            <w:r>
              <w:rPr>
                <w:rFonts w:hint="default"/>
                <w:color w:val="auto"/>
              </w:rPr>
              <w:t>因此，项目符合国家和地方产业政策</w:t>
            </w:r>
            <w:r>
              <w:rPr>
                <w:rFonts w:hint="default"/>
                <w:color w:val="auto"/>
                <w:lang w:eastAsia="zh-CN"/>
              </w:rPr>
              <w:t>。</w:t>
            </w:r>
          </w:p>
          <w:p>
            <w:pPr>
              <w:bidi w:val="0"/>
              <w:rPr>
                <w:rFonts w:hint="default"/>
                <w:b/>
                <w:bCs/>
                <w:color w:val="auto"/>
              </w:rPr>
            </w:pPr>
            <w:r>
              <w:rPr>
                <w:rFonts w:hint="eastAsia"/>
                <w:b/>
                <w:bCs/>
                <w:color w:val="auto"/>
                <w:lang w:val="en-US" w:eastAsia="zh-CN"/>
              </w:rPr>
              <w:t>二、</w:t>
            </w:r>
            <w:r>
              <w:rPr>
                <w:rFonts w:hint="eastAsia"/>
                <w:b/>
                <w:bCs/>
                <w:color w:val="auto"/>
                <w:lang w:eastAsia="zh-CN"/>
              </w:rPr>
              <w:t>“</w:t>
            </w:r>
            <w:r>
              <w:rPr>
                <w:rFonts w:hint="default"/>
                <w:b/>
                <w:bCs/>
                <w:color w:val="auto"/>
              </w:rPr>
              <w:t>三线一单</w:t>
            </w:r>
            <w:r>
              <w:rPr>
                <w:rFonts w:hint="eastAsia"/>
                <w:b/>
                <w:bCs/>
                <w:color w:val="auto"/>
                <w:lang w:eastAsia="zh-CN"/>
              </w:rPr>
              <w:t>”</w:t>
            </w:r>
            <w:r>
              <w:rPr>
                <w:rFonts w:hint="default"/>
                <w:b/>
                <w:bCs/>
                <w:color w:val="auto"/>
              </w:rPr>
              <w:t>符合性分析</w:t>
            </w:r>
          </w:p>
          <w:p>
            <w:pPr>
              <w:bidi w:val="0"/>
              <w:rPr>
                <w:rFonts w:hint="default"/>
                <w:color w:val="auto"/>
                <w:highlight w:val="none"/>
              </w:rPr>
            </w:pPr>
            <w:r>
              <w:rPr>
                <w:rFonts w:hint="default"/>
                <w:color w:val="auto"/>
                <w:highlight w:val="none"/>
              </w:rPr>
              <w:t>根据</w:t>
            </w:r>
            <w:r>
              <w:rPr>
                <w:rFonts w:hint="eastAsia"/>
              </w:rPr>
              <w:t>《2023年陕西省生态环境分区管控成果动态更新实施方案》（陕区环办〔2023〕2号）、《2023年宝鸡市生态环境分区管控调整方案》（宝区环办〔2024〕1号）</w:t>
            </w:r>
            <w:r>
              <w:rPr>
                <w:rFonts w:hint="default"/>
                <w:color w:val="auto"/>
                <w:highlight w:val="none"/>
              </w:rPr>
              <w:t>要求，切实加强环境管理，落实</w:t>
            </w:r>
            <w:r>
              <w:rPr>
                <w:rFonts w:hint="eastAsia"/>
                <w:color w:val="auto"/>
                <w:highlight w:val="none"/>
                <w:lang w:eastAsia="zh-CN"/>
              </w:rPr>
              <w:t>“</w:t>
            </w:r>
            <w:r>
              <w:rPr>
                <w:rFonts w:hint="default"/>
                <w:color w:val="auto"/>
                <w:highlight w:val="none"/>
              </w:rPr>
              <w:t>生态保护红线、环境质量底线、资源利用上线和环境准入负面清单</w:t>
            </w:r>
            <w:r>
              <w:rPr>
                <w:rFonts w:hint="eastAsia"/>
                <w:color w:val="auto"/>
                <w:highlight w:val="none"/>
                <w:lang w:eastAsia="zh-CN"/>
              </w:rPr>
              <w:t>”</w:t>
            </w:r>
            <w:r>
              <w:rPr>
                <w:rFonts w:hint="default"/>
                <w:color w:val="auto"/>
                <w:highlight w:val="none"/>
              </w:rPr>
              <w:t>（简称</w:t>
            </w:r>
            <w:r>
              <w:rPr>
                <w:rFonts w:hint="eastAsia"/>
                <w:color w:val="auto"/>
                <w:highlight w:val="none"/>
                <w:lang w:eastAsia="zh-CN"/>
              </w:rPr>
              <w:t>“</w:t>
            </w:r>
            <w:r>
              <w:rPr>
                <w:rFonts w:hint="default"/>
                <w:color w:val="auto"/>
                <w:highlight w:val="none"/>
              </w:rPr>
              <w:t>三线一单</w:t>
            </w:r>
            <w:r>
              <w:rPr>
                <w:rFonts w:hint="eastAsia"/>
                <w:color w:val="auto"/>
                <w:highlight w:val="none"/>
                <w:lang w:eastAsia="zh-CN"/>
              </w:rPr>
              <w:t>”</w:t>
            </w:r>
            <w:r>
              <w:rPr>
                <w:rFonts w:hint="default"/>
                <w:color w:val="auto"/>
                <w:highlight w:val="none"/>
              </w:rPr>
              <w:t>）约束，建立项目环评审批与规划环评、项目环境管理、区域环境质量联动机制，以生态优先、分区管控、动态更新为原则，更好</w:t>
            </w:r>
            <w:r>
              <w:rPr>
                <w:rFonts w:hint="default"/>
                <w:color w:val="auto"/>
                <w:highlight w:val="none"/>
                <w:lang w:eastAsia="zh-CN"/>
              </w:rPr>
              <w:t>地</w:t>
            </w:r>
            <w:r>
              <w:rPr>
                <w:rFonts w:hint="default"/>
                <w:color w:val="auto"/>
                <w:highlight w:val="none"/>
              </w:rPr>
              <w:t>发挥环评制度从源头防范环境污染和生态破坏的作用，加快推进改善环境质量。项目与</w:t>
            </w:r>
            <w:r>
              <w:rPr>
                <w:rFonts w:hint="eastAsia"/>
                <w:color w:val="auto"/>
                <w:highlight w:val="none"/>
                <w:lang w:eastAsia="zh-CN"/>
              </w:rPr>
              <w:t>“</w:t>
            </w:r>
            <w:r>
              <w:rPr>
                <w:rFonts w:hint="default"/>
                <w:color w:val="auto"/>
                <w:highlight w:val="none"/>
              </w:rPr>
              <w:t>三线一单</w:t>
            </w:r>
            <w:r>
              <w:rPr>
                <w:rFonts w:hint="eastAsia"/>
                <w:color w:val="auto"/>
                <w:highlight w:val="none"/>
                <w:lang w:eastAsia="zh-CN"/>
              </w:rPr>
              <w:t>”</w:t>
            </w:r>
            <w:r>
              <w:rPr>
                <w:rFonts w:hint="default"/>
                <w:color w:val="auto"/>
                <w:highlight w:val="none"/>
              </w:rPr>
              <w:t>符合性分析见下表。</w:t>
            </w:r>
          </w:p>
          <w:p>
            <w:pPr>
              <w:pStyle w:val="81"/>
              <w:bidi w:val="0"/>
              <w:rPr>
                <w:rFonts w:hint="default"/>
                <w:color w:val="auto"/>
                <w:highlight w:val="none"/>
              </w:rPr>
            </w:pPr>
            <w:r>
              <w:rPr>
                <w:rFonts w:hint="default"/>
                <w:color w:val="auto"/>
                <w:highlight w:val="none"/>
              </w:rPr>
              <w:t>表</w:t>
            </w:r>
            <w:r>
              <w:rPr>
                <w:rFonts w:hint="default"/>
                <w:color w:val="auto"/>
                <w:highlight w:val="none"/>
                <w:lang w:val="en-US" w:eastAsia="zh-CN"/>
              </w:rPr>
              <w:t>1</w:t>
            </w:r>
            <w:r>
              <w:rPr>
                <w:rFonts w:hint="eastAsia"/>
                <w:color w:val="auto"/>
                <w:highlight w:val="none"/>
                <w:lang w:val="en-US" w:eastAsia="zh-CN"/>
              </w:rPr>
              <w:t>-1</w:t>
            </w:r>
            <w:r>
              <w:rPr>
                <w:rFonts w:hint="default"/>
                <w:color w:val="auto"/>
                <w:highlight w:val="none"/>
              </w:rPr>
              <w:t xml:space="preserve">   </w:t>
            </w:r>
            <w:r>
              <w:rPr>
                <w:rFonts w:hint="eastAsia"/>
                <w:color w:val="auto"/>
                <w:highlight w:val="none"/>
                <w:lang w:eastAsia="zh-CN"/>
              </w:rPr>
              <w:t>“</w:t>
            </w:r>
            <w:r>
              <w:rPr>
                <w:rFonts w:hint="default"/>
                <w:color w:val="auto"/>
                <w:highlight w:val="none"/>
                <w:lang w:eastAsia="zh-CN"/>
              </w:rPr>
              <w:t>三线一单</w:t>
            </w:r>
            <w:r>
              <w:rPr>
                <w:rFonts w:hint="eastAsia"/>
                <w:color w:val="auto"/>
                <w:highlight w:val="none"/>
                <w:lang w:eastAsia="zh-CN"/>
              </w:rPr>
              <w:t>”</w:t>
            </w:r>
            <w:r>
              <w:rPr>
                <w:rFonts w:hint="default"/>
                <w:color w:val="auto"/>
                <w:highlight w:val="none"/>
                <w:lang w:eastAsia="zh-CN"/>
              </w:rPr>
              <w:t>的符合性分析</w:t>
            </w:r>
          </w:p>
          <w:tbl>
            <w:tblPr>
              <w:tblStyle w:val="31"/>
              <w:tblW w:w="76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1"/>
              <w:gridCol w:w="5913"/>
              <w:gridCol w:w="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1" w:type="dxa"/>
                  <w:tcBorders>
                    <w:tl2br w:val="nil"/>
                    <w:tr2bl w:val="nil"/>
                  </w:tcBorders>
                  <w:vAlign w:val="center"/>
                </w:tcPr>
                <w:p>
                  <w:pPr>
                    <w:pStyle w:val="35"/>
                    <w:bidi w:val="0"/>
                    <w:rPr>
                      <w:rFonts w:hint="default"/>
                      <w:b/>
                      <w:bCs w:val="0"/>
                      <w:color w:val="auto"/>
                      <w:highlight w:val="none"/>
                    </w:rPr>
                  </w:pPr>
                  <w:r>
                    <w:rPr>
                      <w:rFonts w:hint="default"/>
                      <w:b/>
                      <w:bCs w:val="0"/>
                      <w:color w:val="auto"/>
                      <w:highlight w:val="none"/>
                    </w:rPr>
                    <w:t>相关政策名称</w:t>
                  </w:r>
                </w:p>
              </w:tc>
              <w:tc>
                <w:tcPr>
                  <w:tcW w:w="5913" w:type="dxa"/>
                  <w:tcBorders>
                    <w:tl2br w:val="nil"/>
                    <w:tr2bl w:val="nil"/>
                  </w:tcBorders>
                  <w:vAlign w:val="center"/>
                </w:tcPr>
                <w:p>
                  <w:pPr>
                    <w:pStyle w:val="35"/>
                    <w:bidi w:val="0"/>
                    <w:rPr>
                      <w:rFonts w:hint="default"/>
                      <w:b/>
                      <w:bCs w:val="0"/>
                      <w:color w:val="auto"/>
                      <w:highlight w:val="none"/>
                    </w:rPr>
                  </w:pPr>
                  <w:r>
                    <w:rPr>
                      <w:rFonts w:hint="default"/>
                      <w:b/>
                      <w:bCs w:val="0"/>
                      <w:color w:val="auto"/>
                      <w:highlight w:val="none"/>
                    </w:rPr>
                    <w:t>项目情况</w:t>
                  </w:r>
                </w:p>
              </w:tc>
              <w:tc>
                <w:tcPr>
                  <w:tcW w:w="816" w:type="dxa"/>
                  <w:tcBorders>
                    <w:tl2br w:val="nil"/>
                    <w:tr2bl w:val="nil"/>
                  </w:tcBorders>
                  <w:vAlign w:val="center"/>
                </w:tcPr>
                <w:p>
                  <w:pPr>
                    <w:pStyle w:val="35"/>
                    <w:bidi w:val="0"/>
                    <w:rPr>
                      <w:rFonts w:hint="default"/>
                      <w:b/>
                      <w:bCs w:val="0"/>
                      <w:color w:val="auto"/>
                      <w:highlight w:val="none"/>
                    </w:rPr>
                  </w:pPr>
                  <w:r>
                    <w:rPr>
                      <w:rFonts w:hint="default"/>
                      <w:b/>
                      <w:bCs w:val="0"/>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1" w:type="dxa"/>
                  <w:tcBorders>
                    <w:tl2br w:val="nil"/>
                    <w:tr2bl w:val="nil"/>
                  </w:tcBorders>
                  <w:vAlign w:val="center"/>
                </w:tcPr>
                <w:p>
                  <w:pPr>
                    <w:pStyle w:val="35"/>
                    <w:bidi w:val="0"/>
                    <w:rPr>
                      <w:rFonts w:hint="default"/>
                      <w:color w:val="auto"/>
                      <w:highlight w:val="none"/>
                    </w:rPr>
                  </w:pPr>
                  <w:r>
                    <w:rPr>
                      <w:rFonts w:hint="default"/>
                      <w:color w:val="auto"/>
                      <w:highlight w:val="none"/>
                    </w:rPr>
                    <w:t>生态保护红线</w:t>
                  </w:r>
                </w:p>
              </w:tc>
              <w:tc>
                <w:tcPr>
                  <w:tcW w:w="5913" w:type="dxa"/>
                  <w:tcBorders>
                    <w:tl2br w:val="nil"/>
                    <w:tr2bl w:val="nil"/>
                  </w:tcBorders>
                  <w:vAlign w:val="center"/>
                </w:tcPr>
                <w:p>
                  <w:pPr>
                    <w:pStyle w:val="35"/>
                    <w:bidi w:val="0"/>
                    <w:rPr>
                      <w:rFonts w:hint="default"/>
                      <w:color w:val="auto"/>
                      <w:highlight w:val="none"/>
                      <w:lang w:eastAsia="zh-CN"/>
                    </w:rPr>
                  </w:pPr>
                  <w:r>
                    <w:rPr>
                      <w:rFonts w:hint="default"/>
                      <w:color w:val="auto"/>
                      <w:highlight w:val="none"/>
                    </w:rPr>
                    <w:t>项目位于</w:t>
                  </w:r>
                  <w:r>
                    <w:rPr>
                      <w:rFonts w:hint="eastAsia"/>
                      <w:color w:val="auto"/>
                      <w:highlight w:val="none"/>
                      <w:lang w:eastAsia="zh-CN"/>
                    </w:rPr>
                    <w:t>宝鸡市陈仓区阳平镇第六寨村</w:t>
                  </w:r>
                  <w:r>
                    <w:rPr>
                      <w:rFonts w:hint="default"/>
                      <w:color w:val="auto"/>
                      <w:highlight w:val="none"/>
                    </w:rPr>
                    <w:t>，周边无自然保护区、森林公园、湿地公园、饮用水源保护区等生态保护目标，</w:t>
                  </w:r>
                  <w:r>
                    <w:rPr>
                      <w:rFonts w:hint="eastAsia"/>
                      <w:color w:val="auto"/>
                      <w:highlight w:val="none"/>
                      <w:lang w:val="en-US" w:eastAsia="zh-CN"/>
                    </w:rPr>
                    <w:t>项目用地为建设用地，</w:t>
                  </w:r>
                  <w:r>
                    <w:rPr>
                      <w:rFonts w:hint="default"/>
                      <w:color w:val="auto"/>
                      <w:highlight w:val="none"/>
                    </w:rPr>
                    <w:t>不涉及生态保护红线</w:t>
                  </w:r>
                  <w:r>
                    <w:rPr>
                      <w:rFonts w:hint="default"/>
                      <w:color w:val="auto"/>
                      <w:highlight w:val="none"/>
                      <w:lang w:eastAsia="zh-CN"/>
                    </w:rPr>
                    <w:t>。</w:t>
                  </w:r>
                </w:p>
              </w:tc>
              <w:tc>
                <w:tcPr>
                  <w:tcW w:w="816" w:type="dxa"/>
                  <w:tcBorders>
                    <w:tl2br w:val="nil"/>
                    <w:tr2bl w:val="nil"/>
                  </w:tcBorders>
                  <w:vAlign w:val="center"/>
                </w:tcPr>
                <w:p>
                  <w:pPr>
                    <w:pStyle w:val="35"/>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1" w:type="dxa"/>
                  <w:tcBorders>
                    <w:tl2br w:val="nil"/>
                    <w:tr2bl w:val="nil"/>
                  </w:tcBorders>
                  <w:vAlign w:val="center"/>
                </w:tcPr>
                <w:p>
                  <w:pPr>
                    <w:pStyle w:val="35"/>
                    <w:bidi w:val="0"/>
                    <w:rPr>
                      <w:rFonts w:hint="default"/>
                      <w:color w:val="auto"/>
                      <w:highlight w:val="none"/>
                    </w:rPr>
                  </w:pPr>
                  <w:r>
                    <w:rPr>
                      <w:rFonts w:hint="default"/>
                      <w:color w:val="auto"/>
                      <w:highlight w:val="none"/>
                    </w:rPr>
                    <w:t>环境质量底线</w:t>
                  </w:r>
                </w:p>
              </w:tc>
              <w:tc>
                <w:tcPr>
                  <w:tcW w:w="5913" w:type="dxa"/>
                  <w:tcBorders>
                    <w:tl2br w:val="nil"/>
                    <w:tr2bl w:val="nil"/>
                  </w:tcBorders>
                  <w:vAlign w:val="center"/>
                </w:tcPr>
                <w:p>
                  <w:pPr>
                    <w:pStyle w:val="35"/>
                    <w:bidi w:val="0"/>
                    <w:rPr>
                      <w:rFonts w:hint="default"/>
                      <w:color w:val="auto"/>
                      <w:highlight w:val="none"/>
                    </w:rPr>
                  </w:pPr>
                  <w:r>
                    <w:rPr>
                      <w:rFonts w:hint="default"/>
                      <w:color w:val="auto"/>
                      <w:highlight w:val="none"/>
                    </w:rPr>
                    <w:t>环境质量底线是国家和地方设置的大气、水和土壤环境质量目标，也是改善环境质量的基准线。项目所在区域</w:t>
                  </w:r>
                  <w:r>
                    <w:rPr>
                      <w:rFonts w:hint="default"/>
                      <w:color w:val="auto"/>
                      <w:highlight w:val="none"/>
                      <w:lang w:val="en-US" w:eastAsia="zh-CN"/>
                    </w:rPr>
                    <w:t>SO</w:t>
                  </w:r>
                  <w:r>
                    <w:rPr>
                      <w:rFonts w:hint="default"/>
                      <w:color w:val="auto"/>
                      <w:highlight w:val="none"/>
                      <w:vertAlign w:val="subscript"/>
                      <w:lang w:val="en-US" w:eastAsia="zh-CN"/>
                    </w:rPr>
                    <w:t>2</w:t>
                  </w:r>
                  <w:r>
                    <w:rPr>
                      <w:rFonts w:hint="default"/>
                      <w:color w:val="auto"/>
                      <w:highlight w:val="none"/>
                      <w:lang w:val="en-US" w:eastAsia="zh-CN"/>
                    </w:rPr>
                    <w:t>、NO</w:t>
                  </w:r>
                  <w:r>
                    <w:rPr>
                      <w:rFonts w:hint="default"/>
                      <w:color w:val="auto"/>
                      <w:highlight w:val="none"/>
                      <w:vertAlign w:val="subscript"/>
                      <w:lang w:val="en-US" w:eastAsia="zh-CN"/>
                    </w:rPr>
                    <w:t>2</w:t>
                  </w:r>
                  <w:r>
                    <w:rPr>
                      <w:rFonts w:hint="default"/>
                      <w:color w:val="auto"/>
                      <w:highlight w:val="none"/>
                      <w:lang w:val="en-US" w:eastAsia="zh-CN"/>
                    </w:rPr>
                    <w:t>、PM</w:t>
                  </w:r>
                  <w:r>
                    <w:rPr>
                      <w:rFonts w:hint="default"/>
                      <w:color w:val="auto"/>
                      <w:highlight w:val="none"/>
                      <w:vertAlign w:val="subscript"/>
                      <w:lang w:val="en-US" w:eastAsia="zh-CN"/>
                    </w:rPr>
                    <w:t>10</w:t>
                  </w:r>
                  <w:r>
                    <w:rPr>
                      <w:rFonts w:hint="default"/>
                      <w:color w:val="auto"/>
                      <w:highlight w:val="none"/>
                      <w:lang w:val="en-US" w:eastAsia="zh-CN"/>
                    </w:rPr>
                    <w:t>、CO、O</w:t>
                  </w:r>
                  <w:r>
                    <w:rPr>
                      <w:rFonts w:hint="default"/>
                      <w:color w:val="auto"/>
                      <w:highlight w:val="none"/>
                      <w:vertAlign w:val="subscript"/>
                      <w:lang w:val="en-US" w:eastAsia="zh-CN"/>
                    </w:rPr>
                    <w:t>3</w:t>
                  </w:r>
                  <w:r>
                    <w:rPr>
                      <w:rFonts w:hint="eastAsia"/>
                      <w:color w:val="auto"/>
                      <w:highlight w:val="none"/>
                      <w:lang w:val="en-US" w:eastAsia="zh-CN"/>
                    </w:rPr>
                    <w:t>均</w:t>
                  </w:r>
                  <w:r>
                    <w:rPr>
                      <w:rFonts w:hint="default"/>
                      <w:color w:val="auto"/>
                      <w:highlight w:val="none"/>
                      <w:lang w:val="en-US" w:eastAsia="zh-CN"/>
                    </w:rPr>
                    <w:t>满足《环境空气质量标准》（GB3095-2012）二级标准，PM</w:t>
                  </w:r>
                  <w:r>
                    <w:rPr>
                      <w:rFonts w:hint="default"/>
                      <w:color w:val="auto"/>
                      <w:highlight w:val="none"/>
                      <w:vertAlign w:val="subscript"/>
                      <w:lang w:val="en-US" w:eastAsia="zh-CN"/>
                    </w:rPr>
                    <w:t>2.5</w:t>
                  </w:r>
                  <w:r>
                    <w:rPr>
                      <w:rFonts w:hint="eastAsia"/>
                      <w:color w:val="auto"/>
                      <w:highlight w:val="none"/>
                      <w:lang w:val="en-US" w:eastAsia="zh-CN"/>
                    </w:rPr>
                    <w:t>超过</w:t>
                  </w:r>
                  <w:r>
                    <w:rPr>
                      <w:rFonts w:hint="default"/>
                      <w:color w:val="auto"/>
                      <w:highlight w:val="none"/>
                      <w:lang w:val="en-US" w:eastAsia="zh-CN"/>
                    </w:rPr>
                    <w:t>《环境空气质量标准》（GB3095-2012）二级标准</w:t>
                  </w:r>
                  <w:r>
                    <w:rPr>
                      <w:rFonts w:hint="default"/>
                      <w:color w:val="auto"/>
                      <w:highlight w:val="none"/>
                    </w:rPr>
                    <w:t>要求</w:t>
                  </w:r>
                  <w:r>
                    <w:rPr>
                      <w:rFonts w:hint="default"/>
                      <w:color w:val="auto"/>
                      <w:highlight w:val="none"/>
                      <w:lang w:eastAsia="zh-CN"/>
                    </w:rPr>
                    <w:t>，</w:t>
                  </w:r>
                  <w:r>
                    <w:rPr>
                      <w:rFonts w:hint="default"/>
                      <w:color w:val="auto"/>
                      <w:highlight w:val="none"/>
                    </w:rPr>
                    <w:t>项目所在评价区域为</w:t>
                  </w:r>
                  <w:r>
                    <w:rPr>
                      <w:rFonts w:hint="eastAsia"/>
                      <w:color w:val="auto"/>
                      <w:highlight w:val="none"/>
                      <w:lang w:val="en-US" w:eastAsia="zh-CN"/>
                    </w:rPr>
                    <w:t>不</w:t>
                  </w:r>
                  <w:r>
                    <w:rPr>
                      <w:rFonts w:hint="eastAsia"/>
                      <w:color w:val="auto"/>
                      <w:highlight w:val="none"/>
                      <w:lang w:eastAsia="zh-CN"/>
                    </w:rPr>
                    <w:t>达标区</w:t>
                  </w:r>
                  <w:r>
                    <w:rPr>
                      <w:rFonts w:hint="default"/>
                      <w:color w:val="auto"/>
                      <w:highlight w:val="none"/>
                    </w:rPr>
                    <w:t>。通过环境影响分析，采取环评要求的措施能够合理处置</w:t>
                  </w:r>
                  <w:r>
                    <w:rPr>
                      <w:rFonts w:hint="eastAsia"/>
                      <w:color w:val="auto"/>
                      <w:highlight w:val="none"/>
                      <w:lang w:val="en-US" w:eastAsia="zh-CN"/>
                    </w:rPr>
                    <w:t>各类</w:t>
                  </w:r>
                  <w:r>
                    <w:rPr>
                      <w:rFonts w:hint="default"/>
                      <w:color w:val="auto"/>
                      <w:highlight w:val="none"/>
                    </w:rPr>
                    <w:t>污染物，各类污染物对周边环境影响较小，不触及环境质量底线。</w:t>
                  </w:r>
                </w:p>
              </w:tc>
              <w:tc>
                <w:tcPr>
                  <w:tcW w:w="816" w:type="dxa"/>
                  <w:tcBorders>
                    <w:tl2br w:val="nil"/>
                    <w:tr2bl w:val="nil"/>
                  </w:tcBorders>
                  <w:vAlign w:val="center"/>
                </w:tcPr>
                <w:p>
                  <w:pPr>
                    <w:pStyle w:val="35"/>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1" w:type="dxa"/>
                  <w:tcBorders>
                    <w:tl2br w:val="nil"/>
                    <w:tr2bl w:val="nil"/>
                  </w:tcBorders>
                  <w:vAlign w:val="center"/>
                </w:tcPr>
                <w:p>
                  <w:pPr>
                    <w:pStyle w:val="35"/>
                    <w:bidi w:val="0"/>
                    <w:rPr>
                      <w:rFonts w:hint="default"/>
                      <w:color w:val="auto"/>
                      <w:highlight w:val="none"/>
                    </w:rPr>
                  </w:pPr>
                  <w:r>
                    <w:rPr>
                      <w:rFonts w:hint="default"/>
                      <w:color w:val="auto"/>
                      <w:highlight w:val="none"/>
                    </w:rPr>
                    <w:t>资源利用上线</w:t>
                  </w:r>
                </w:p>
              </w:tc>
              <w:tc>
                <w:tcPr>
                  <w:tcW w:w="5913" w:type="dxa"/>
                  <w:tcBorders>
                    <w:tl2br w:val="nil"/>
                    <w:tr2bl w:val="nil"/>
                  </w:tcBorders>
                  <w:vAlign w:val="center"/>
                </w:tcPr>
                <w:p>
                  <w:pPr>
                    <w:pStyle w:val="35"/>
                    <w:bidi w:val="0"/>
                    <w:rPr>
                      <w:rFonts w:hint="default"/>
                      <w:color w:val="auto"/>
                      <w:highlight w:val="none"/>
                    </w:rPr>
                  </w:pPr>
                  <w:r>
                    <w:rPr>
                      <w:rFonts w:hint="default"/>
                      <w:color w:val="auto"/>
                      <w:highlight w:val="none"/>
                    </w:rPr>
                    <w:t>项目</w:t>
                  </w:r>
                  <w:r>
                    <w:rPr>
                      <w:rFonts w:hint="default" w:ascii="Times New Roman" w:hAnsi="Times New Roman" w:eastAsia="宋体" w:cs="Times New Roman"/>
                      <w:b w:val="0"/>
                      <w:bCs w:val="0"/>
                      <w:color w:val="auto"/>
                      <w:kern w:val="0"/>
                      <w:sz w:val="21"/>
                      <w:szCs w:val="21"/>
                      <w:lang w:val="en-US" w:eastAsia="en-US" w:bidi="en-US"/>
                    </w:rPr>
                    <w:t>主要原料</w:t>
                  </w:r>
                  <w:r>
                    <w:rPr>
                      <w:rFonts w:hint="eastAsia" w:ascii="Times New Roman" w:hAnsi="Times New Roman" w:eastAsia="宋体" w:cs="Times New Roman"/>
                      <w:b w:val="0"/>
                      <w:bCs w:val="0"/>
                      <w:color w:val="auto"/>
                      <w:kern w:val="0"/>
                      <w:sz w:val="21"/>
                      <w:szCs w:val="21"/>
                      <w:lang w:val="en-US" w:eastAsia="zh-CN" w:bidi="en-US"/>
                    </w:rPr>
                    <w:t>均外购</w:t>
                  </w:r>
                  <w:r>
                    <w:rPr>
                      <w:rFonts w:hint="default" w:ascii="Times New Roman" w:hAnsi="Times New Roman" w:eastAsia="宋体" w:cs="Times New Roman"/>
                      <w:b w:val="0"/>
                      <w:bCs w:val="0"/>
                      <w:color w:val="auto"/>
                      <w:kern w:val="0"/>
                      <w:sz w:val="21"/>
                      <w:szCs w:val="21"/>
                      <w:lang w:val="en-US" w:eastAsia="en-US" w:bidi="en-US"/>
                    </w:rPr>
                    <w:t>，</w:t>
                  </w:r>
                  <w:r>
                    <w:rPr>
                      <w:rFonts w:hint="default"/>
                      <w:color w:val="auto"/>
                      <w:highlight w:val="none"/>
                    </w:rPr>
                    <w:t>不涉及新开采资源，不触及资源利用上线。</w:t>
                  </w:r>
                </w:p>
              </w:tc>
              <w:tc>
                <w:tcPr>
                  <w:tcW w:w="816" w:type="dxa"/>
                  <w:tcBorders>
                    <w:tl2br w:val="nil"/>
                    <w:tr2bl w:val="nil"/>
                  </w:tcBorders>
                  <w:vAlign w:val="center"/>
                </w:tcPr>
                <w:p>
                  <w:pPr>
                    <w:pStyle w:val="35"/>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1" w:type="dxa"/>
                  <w:tcBorders>
                    <w:tl2br w:val="nil"/>
                    <w:tr2bl w:val="nil"/>
                  </w:tcBorders>
                  <w:vAlign w:val="center"/>
                </w:tcPr>
                <w:p>
                  <w:pPr>
                    <w:pStyle w:val="35"/>
                    <w:bidi w:val="0"/>
                    <w:rPr>
                      <w:rFonts w:hint="default"/>
                      <w:color w:val="auto"/>
                      <w:highlight w:val="none"/>
                    </w:rPr>
                  </w:pPr>
                  <w:r>
                    <w:rPr>
                      <w:rFonts w:hint="eastAsia"/>
                      <w:color w:val="auto"/>
                      <w:highlight w:val="none"/>
                      <w:lang w:val="en-US" w:eastAsia="zh-CN"/>
                    </w:rPr>
                    <w:t>准入</w:t>
                  </w:r>
                  <w:r>
                    <w:rPr>
                      <w:rFonts w:hint="default"/>
                      <w:color w:val="auto"/>
                      <w:highlight w:val="none"/>
                    </w:rPr>
                    <w:t>清单</w:t>
                  </w:r>
                </w:p>
              </w:tc>
              <w:tc>
                <w:tcPr>
                  <w:tcW w:w="5913" w:type="dxa"/>
                  <w:tcBorders>
                    <w:tl2br w:val="nil"/>
                    <w:tr2bl w:val="nil"/>
                  </w:tcBorders>
                  <w:vAlign w:val="center"/>
                </w:tcPr>
                <w:p>
                  <w:pPr>
                    <w:pStyle w:val="35"/>
                    <w:bidi w:val="0"/>
                    <w:rPr>
                      <w:rFonts w:hint="default"/>
                      <w:color w:val="auto"/>
                      <w:highlight w:val="none"/>
                    </w:rPr>
                  </w:pPr>
                  <w:r>
                    <w:rPr>
                      <w:rFonts w:hint="default"/>
                      <w:color w:val="auto"/>
                      <w:highlight w:val="none"/>
                    </w:rPr>
                    <w:t>根据《市场准入负面清单》（202</w:t>
                  </w:r>
                  <w:r>
                    <w:rPr>
                      <w:rFonts w:hint="eastAsia"/>
                      <w:color w:val="auto"/>
                      <w:highlight w:val="none"/>
                      <w:lang w:val="en-US" w:eastAsia="zh-CN"/>
                    </w:rPr>
                    <w:t>5</w:t>
                  </w:r>
                  <w:r>
                    <w:rPr>
                      <w:rFonts w:hint="default"/>
                      <w:color w:val="auto"/>
                      <w:highlight w:val="none"/>
                    </w:rPr>
                    <w:t>年版），项目不属于文件中禁止准入类，亦不属于文件中未获得许可不得从事的项目类型。</w:t>
                  </w:r>
                </w:p>
              </w:tc>
              <w:tc>
                <w:tcPr>
                  <w:tcW w:w="816" w:type="dxa"/>
                  <w:tcBorders>
                    <w:tl2br w:val="nil"/>
                    <w:tr2bl w:val="nil"/>
                  </w:tcBorders>
                  <w:vAlign w:val="center"/>
                </w:tcPr>
                <w:p>
                  <w:pPr>
                    <w:pStyle w:val="35"/>
                    <w:bidi w:val="0"/>
                    <w:rPr>
                      <w:rFonts w:hint="default"/>
                      <w:color w:val="auto"/>
                      <w:highlight w:val="none"/>
                    </w:rPr>
                  </w:pPr>
                  <w:r>
                    <w:rPr>
                      <w:rFonts w:hint="default"/>
                      <w:color w:val="auto"/>
                      <w:highlight w:val="none"/>
                    </w:rPr>
                    <w:t>符合</w:t>
                  </w:r>
                </w:p>
              </w:tc>
            </w:tr>
          </w:tbl>
          <w:p>
            <w:pPr>
              <w:bidi w:val="0"/>
              <w:rPr>
                <w:rFonts w:hint="default"/>
                <w:color w:val="auto"/>
                <w:highlight w:val="none"/>
              </w:rPr>
            </w:pPr>
            <w:r>
              <w:rPr>
                <w:rFonts w:hint="default"/>
                <w:color w:val="auto"/>
                <w:highlight w:val="none"/>
              </w:rPr>
              <w:t>根据</w:t>
            </w:r>
            <w:r>
              <w:rPr>
                <w:rFonts w:hint="eastAsia"/>
              </w:rPr>
              <w:t>《2023年陕西省生态环境分区管控成果动态更新实施方案》（陕区环办〔2023〕2号）、《2023年宝鸡市生态环境分区管控调整方案》（宝区环办〔2024〕1号）</w:t>
            </w:r>
            <w:r>
              <w:rPr>
                <w:rFonts w:hint="default"/>
                <w:color w:val="auto"/>
                <w:highlight w:val="none"/>
                <w:lang w:eastAsia="zh-CN"/>
              </w:rPr>
              <w:t>《陕西省</w:t>
            </w:r>
            <w:r>
              <w:rPr>
                <w:rFonts w:hint="eastAsia"/>
                <w:color w:val="auto"/>
                <w:highlight w:val="none"/>
                <w:lang w:eastAsia="zh-CN"/>
              </w:rPr>
              <w:t>“</w:t>
            </w:r>
            <w:r>
              <w:rPr>
                <w:rFonts w:hint="default"/>
                <w:color w:val="auto"/>
                <w:highlight w:val="none"/>
                <w:lang w:eastAsia="zh-CN"/>
              </w:rPr>
              <w:t>三线一单</w:t>
            </w:r>
            <w:r>
              <w:rPr>
                <w:rFonts w:hint="eastAsia"/>
                <w:color w:val="auto"/>
                <w:highlight w:val="none"/>
                <w:lang w:eastAsia="zh-CN"/>
              </w:rPr>
              <w:t>”</w:t>
            </w:r>
            <w:r>
              <w:rPr>
                <w:rFonts w:hint="default"/>
                <w:color w:val="auto"/>
                <w:highlight w:val="none"/>
                <w:lang w:eastAsia="zh-CN"/>
              </w:rPr>
              <w:t>生态环境分区管控应用技术指南：</w:t>
            </w:r>
            <w:r>
              <w:rPr>
                <w:rFonts w:hint="default" w:ascii="Times New Roman" w:hAnsi="Times New Roman" w:eastAsia="宋体" w:cs="Times New Roman"/>
                <w:color w:val="auto"/>
                <w:highlight w:val="none"/>
                <w:lang w:eastAsia="zh-CN"/>
              </w:rPr>
              <w:t>环境影响评价（试行）》（陕环办发〔2022〕76号）的通知，</w:t>
            </w:r>
            <w:r>
              <w:rPr>
                <w:rFonts w:hint="eastAsia" w:ascii="Times New Roman" w:hAnsi="Times New Roman" w:eastAsia="宋体" w:cs="Times New Roman"/>
                <w:color w:val="auto"/>
                <w:highlight w:val="none"/>
                <w:lang w:val="en-US" w:eastAsia="zh-CN"/>
              </w:rPr>
              <w:t>本</w:t>
            </w:r>
            <w:r>
              <w:rPr>
                <w:rFonts w:hint="eastAsia" w:ascii="Times New Roman" w:hAnsi="Times New Roman" w:eastAsia="宋体" w:cs="Times New Roman"/>
                <w:color w:val="auto"/>
                <w:highlight w:val="none"/>
                <w:lang w:eastAsia="zh-CN"/>
              </w:rPr>
              <w:t>项目</w:t>
            </w:r>
            <w:r>
              <w:rPr>
                <w:rFonts w:hint="default" w:ascii="Times New Roman" w:hAnsi="Times New Roman" w:eastAsia="宋体" w:cs="Times New Roman"/>
                <w:color w:val="auto"/>
                <w:highlight w:val="none"/>
                <w:lang w:eastAsia="zh-CN"/>
              </w:rPr>
              <w:t>与环境管控单元比对，项目位于</w:t>
            </w:r>
            <w:r>
              <w:rPr>
                <w:rFonts w:hint="eastAsia" w:ascii="Times New Roman" w:hAnsi="Times New Roman" w:eastAsia="宋体" w:cs="Times New Roman"/>
                <w:color w:val="auto"/>
                <w:highlight w:val="none"/>
                <w:lang w:val="en-US" w:eastAsia="zh-CN"/>
              </w:rPr>
              <w:t>陈仓区重点管控单元</w:t>
            </w:r>
            <w:r>
              <w:rPr>
                <w:rFonts w:hint="default" w:ascii="Times New Roman" w:hAnsi="Times New Roman" w:eastAsia="宋体" w:cs="Times New Roman"/>
                <w:color w:val="auto"/>
                <w:highlight w:val="none"/>
                <w:lang w:eastAsia="zh-CN"/>
              </w:rPr>
              <w:t>。</w:t>
            </w:r>
          </w:p>
          <w:p>
            <w:pPr>
              <w:pStyle w:val="81"/>
              <w:bidi w:val="0"/>
              <w:rPr>
                <w:rFonts w:hint="eastAsia"/>
                <w:color w:val="auto"/>
                <w:highlight w:val="none"/>
                <w:lang w:val="en-US" w:eastAsia="zh-CN"/>
              </w:rPr>
            </w:pPr>
            <w:r>
              <w:rPr>
                <w:rFonts w:hint="default"/>
                <w:color w:val="auto"/>
                <w:highlight w:val="none"/>
              </w:rPr>
              <w:t>表</w:t>
            </w:r>
            <w:r>
              <w:rPr>
                <w:rFonts w:hint="eastAsia"/>
                <w:color w:val="auto"/>
                <w:highlight w:val="none"/>
                <w:lang w:val="en-US" w:eastAsia="zh-CN"/>
              </w:rPr>
              <w:t>1-2</w:t>
            </w:r>
            <w:r>
              <w:rPr>
                <w:rFonts w:hint="default"/>
                <w:color w:val="auto"/>
                <w:highlight w:val="none"/>
              </w:rPr>
              <w:t xml:space="preserve">  </w:t>
            </w:r>
            <w:r>
              <w:rPr>
                <w:rFonts w:hint="default"/>
                <w:color w:val="auto"/>
                <w:highlight w:val="none"/>
                <w:lang w:val="en-US" w:eastAsia="zh-CN"/>
              </w:rPr>
              <w:t xml:space="preserve"> </w:t>
            </w:r>
            <w:r>
              <w:rPr>
                <w:rFonts w:hint="default"/>
                <w:color w:val="auto"/>
                <w:highlight w:val="none"/>
                <w:lang w:eastAsia="zh-CN"/>
              </w:rPr>
              <w:t>项目</w:t>
            </w:r>
            <w:r>
              <w:rPr>
                <w:rFonts w:hint="default"/>
                <w:color w:val="auto"/>
                <w:highlight w:val="none"/>
                <w:lang w:val="en-US" w:eastAsia="zh-CN"/>
              </w:rPr>
              <w:t>与</w:t>
            </w:r>
            <w:r>
              <w:rPr>
                <w:rFonts w:hint="default"/>
                <w:color w:val="auto"/>
                <w:highlight w:val="none"/>
                <w:lang w:eastAsia="zh-CN"/>
              </w:rPr>
              <w:t>涉及的生态环境管控单元准入清单表</w:t>
            </w:r>
          </w:p>
          <w:tbl>
            <w:tblPr>
              <w:tblStyle w:val="30"/>
              <w:tblW w:w="758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342"/>
              <w:gridCol w:w="430"/>
              <w:gridCol w:w="298"/>
              <w:gridCol w:w="321"/>
              <w:gridCol w:w="417"/>
              <w:gridCol w:w="358"/>
              <w:gridCol w:w="3114"/>
              <w:gridCol w:w="1403"/>
              <w:gridCol w:w="192"/>
              <w:gridCol w:w="7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7582" w:type="dxa"/>
                  <w:gridSpan w:val="10"/>
                  <w:tcBorders>
                    <w:tl2br w:val="nil"/>
                    <w:tr2bl w:val="nil"/>
                  </w:tcBorders>
                  <w:vAlign w:val="center"/>
                </w:tcPr>
                <w:p>
                  <w:pPr>
                    <w:pStyle w:val="35"/>
                    <w:bidi w:val="0"/>
                    <w:rPr>
                      <w:rFonts w:hint="default"/>
                      <w:color w:val="auto"/>
                      <w:highlight w:val="none"/>
                      <w:lang w:val="en-US" w:eastAsia="zh-CN"/>
                    </w:rPr>
                  </w:pPr>
                  <w:r>
                    <w:rPr>
                      <w:rFonts w:hint="default"/>
                      <w:color w:val="auto"/>
                      <w:highlight w:val="none"/>
                      <w:lang w:val="en-US" w:eastAsia="zh-CN"/>
                    </w:rPr>
                    <w:t>一图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7582" w:type="dxa"/>
                  <w:gridSpan w:val="10"/>
                  <w:tcBorders>
                    <w:tl2br w:val="nil"/>
                    <w:tr2bl w:val="nil"/>
                  </w:tcBorders>
                  <w:vAlign w:val="center"/>
                </w:tcPr>
                <w:p>
                  <w:pPr>
                    <w:pStyle w:val="35"/>
                    <w:bidi w:val="0"/>
                    <w:rPr>
                      <w:rFonts w:hint="default"/>
                      <w:color w:val="auto"/>
                      <w:highlight w:val="none"/>
                      <w:lang w:val="en-US" w:eastAsia="zh-CN"/>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1405255</wp:posOffset>
                            </wp:positionH>
                            <wp:positionV relativeFrom="paragraph">
                              <wp:posOffset>1614805</wp:posOffset>
                            </wp:positionV>
                            <wp:extent cx="1072515" cy="358140"/>
                            <wp:effectExtent l="129540" t="4445" r="17145" b="266065"/>
                            <wp:wrapNone/>
                            <wp:docPr id="10" name="圆角矩形标注 10"/>
                            <wp:cNvGraphicFramePr/>
                            <a:graphic xmlns:a="http://schemas.openxmlformats.org/drawingml/2006/main">
                              <a:graphicData uri="http://schemas.microsoft.com/office/word/2010/wordprocessingShape">
                                <wps:wsp>
                                  <wps:cNvSpPr/>
                                  <wps:spPr>
                                    <a:xfrm>
                                      <a:off x="0" y="0"/>
                                      <a:ext cx="1072515" cy="358140"/>
                                    </a:xfrm>
                                    <a:prstGeom prst="wedgeRoundRectCallout">
                                      <a:avLst>
                                        <a:gd name="adj1" fmla="val -61630"/>
                                        <a:gd name="adj2" fmla="val 119503"/>
                                        <a:gd name="adj3" fmla="val 16667"/>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62" type="#_x0000_t62" style="position:absolute;left:0pt;margin-left:110.65pt;margin-top:127.15pt;height:28.2pt;width:84.45pt;z-index:251664384;v-text-anchor:middle;mso-width-relative:page;mso-height-relative:page;" filled="f" stroked="t" coordsize="21600,21600" o:gfxdata="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zjHhsdkAAAALAQAADwAAAAAAAAABACAAAAAiAAAAZHJzL2Rvd25yZXYueG1sUEsB&#10;AhQAFAAAAAgAh07iQGo/1xWfAgAAEgUAAA4AAAAAAAAAAQAgAAAAKAEAAGRycy9lMm9Eb2MueG1s&#10;UEsFBgAAAAAGAAYAWQEAADkGAAAAAA==&#10;" adj="-2512,36613,14400">
                            <v:fill on="f" focussize="0,0"/>
                            <v:stroke color="#000000 [3213]"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v:textbox>
                          </v:shape>
                        </w:pict>
                      </mc:Fallback>
                    </mc:AlternateContent>
                  </w:r>
                  <w:r>
                    <w:rPr>
                      <w:rFonts w:hint="eastAsia"/>
                      <w:color w:val="auto"/>
                    </w:rPr>
                    <w:drawing>
                      <wp:anchor distT="0" distB="0" distL="114300" distR="114300" simplePos="0" relativeHeight="251662336" behindDoc="0" locked="0" layoutInCell="1" allowOverlap="1">
                        <wp:simplePos x="0" y="0"/>
                        <wp:positionH relativeFrom="column">
                          <wp:posOffset>3930015</wp:posOffset>
                        </wp:positionH>
                        <wp:positionV relativeFrom="paragraph">
                          <wp:posOffset>11430</wp:posOffset>
                        </wp:positionV>
                        <wp:extent cx="848360" cy="848360"/>
                        <wp:effectExtent l="0" t="0" r="8890" b="8890"/>
                        <wp:wrapNone/>
                        <wp:docPr id="4" name="图片 2" descr="C:\Users\Administrator\Desktop\GH环评\风玫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esktop\GH环评\风玫瑰图.jpg"/>
                                <pic:cNvPicPr>
                                  <a:picLocks noChangeAspect="1"/>
                                </pic:cNvPicPr>
                              </pic:nvPicPr>
                              <pic:blipFill>
                                <a:blip r:embed="rId12"/>
                                <a:stretch>
                                  <a:fillRect/>
                                </a:stretch>
                              </pic:blipFill>
                              <pic:spPr>
                                <a:xfrm>
                                  <a:off x="0" y="0"/>
                                  <a:ext cx="848360" cy="848360"/>
                                </a:xfrm>
                                <a:prstGeom prst="rect">
                                  <a:avLst/>
                                </a:prstGeom>
                                <a:noFill/>
                                <a:ln>
                                  <a:noFill/>
                                </a:ln>
                              </pic:spPr>
                            </pic:pic>
                          </a:graphicData>
                        </a:graphic>
                      </wp:anchor>
                    </w:drawing>
                  </w:r>
                  <w:r>
                    <w:drawing>
                      <wp:inline distT="0" distB="0" distL="114300" distR="114300">
                        <wp:extent cx="4767580" cy="5254625"/>
                        <wp:effectExtent l="0" t="0" r="13970" b="317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3"/>
                                <a:stretch>
                                  <a:fillRect/>
                                </a:stretch>
                              </pic:blipFill>
                              <pic:spPr>
                                <a:xfrm>
                                  <a:off x="0" y="0"/>
                                  <a:ext cx="4767580" cy="5254625"/>
                                </a:xfrm>
                                <a:prstGeom prst="rect">
                                  <a:avLst/>
                                </a:prstGeom>
                                <a:noFill/>
                                <a:ln>
                                  <a:noFill/>
                                </a:ln>
                              </pic:spPr>
                            </pic:pic>
                          </a:graphicData>
                        </a:graphic>
                      </wp:inline>
                    </w:drawing>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7582" w:type="dxa"/>
                  <w:gridSpan w:val="10"/>
                  <w:tcBorders>
                    <w:tl2br w:val="nil"/>
                    <w:tr2bl w:val="nil"/>
                  </w:tcBorders>
                  <w:vAlign w:val="center"/>
                </w:tcPr>
                <w:p>
                  <w:pPr>
                    <w:pStyle w:val="35"/>
                    <w:bidi w:val="0"/>
                    <w:rPr>
                      <w:rFonts w:hint="default"/>
                      <w:color w:val="auto"/>
                      <w:highlight w:val="none"/>
                    </w:rPr>
                  </w:pPr>
                  <w:r>
                    <w:rPr>
                      <w:rFonts w:hint="default"/>
                      <w:color w:val="auto"/>
                      <w:highlight w:val="none"/>
                      <w:lang w:val="en-US" w:eastAsia="zh-CN"/>
                    </w:rPr>
                    <w:t>一表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2278" w:hRule="atLeast"/>
                <w:jc w:val="center"/>
              </w:trPr>
              <w:tc>
                <w:tcPr>
                  <w:tcW w:w="342" w:type="dxa"/>
                  <w:tcBorders>
                    <w:tl2br w:val="nil"/>
                    <w:tr2bl w:val="nil"/>
                  </w:tcBorders>
                  <w:vAlign w:val="center"/>
                </w:tcPr>
                <w:p>
                  <w:pPr>
                    <w:pStyle w:val="35"/>
                    <w:bidi w:val="0"/>
                    <w:rPr>
                      <w:rFonts w:hint="default"/>
                      <w:b/>
                      <w:bCs w:val="0"/>
                      <w:color w:val="auto"/>
                      <w:highlight w:val="none"/>
                      <w:lang w:val="en-US" w:eastAsia="zh-CN"/>
                    </w:rPr>
                  </w:pPr>
                  <w:r>
                    <w:rPr>
                      <w:rFonts w:hint="default"/>
                      <w:b/>
                      <w:bCs w:val="0"/>
                      <w:color w:val="auto"/>
                      <w:highlight w:val="none"/>
                    </w:rPr>
                    <w:t>序号</w:t>
                  </w:r>
                </w:p>
              </w:tc>
              <w:tc>
                <w:tcPr>
                  <w:tcW w:w="430" w:type="dxa"/>
                  <w:tcBorders>
                    <w:tl2br w:val="nil"/>
                    <w:tr2bl w:val="nil"/>
                  </w:tcBorders>
                  <w:vAlign w:val="center"/>
                </w:tcPr>
                <w:p>
                  <w:pPr>
                    <w:pStyle w:val="35"/>
                    <w:bidi w:val="0"/>
                    <w:rPr>
                      <w:rFonts w:hint="default"/>
                      <w:b/>
                      <w:bCs w:val="0"/>
                      <w:color w:val="auto"/>
                      <w:highlight w:val="none"/>
                    </w:rPr>
                  </w:pPr>
                  <w:r>
                    <w:rPr>
                      <w:rFonts w:hint="default"/>
                      <w:b/>
                      <w:bCs w:val="0"/>
                      <w:color w:val="auto"/>
                      <w:highlight w:val="none"/>
                    </w:rPr>
                    <w:t>环境管控</w:t>
                  </w:r>
                </w:p>
                <w:p>
                  <w:pPr>
                    <w:pStyle w:val="35"/>
                    <w:bidi w:val="0"/>
                    <w:rPr>
                      <w:rFonts w:hint="default"/>
                      <w:b/>
                      <w:bCs w:val="0"/>
                      <w:color w:val="auto"/>
                      <w:highlight w:val="none"/>
                    </w:rPr>
                  </w:pPr>
                  <w:r>
                    <w:rPr>
                      <w:rFonts w:hint="default"/>
                      <w:b/>
                      <w:bCs w:val="0"/>
                      <w:color w:val="auto"/>
                      <w:highlight w:val="none"/>
                    </w:rPr>
                    <w:t>单元</w:t>
                  </w:r>
                </w:p>
                <w:p>
                  <w:pPr>
                    <w:pStyle w:val="35"/>
                    <w:bidi w:val="0"/>
                    <w:rPr>
                      <w:rFonts w:hint="default"/>
                      <w:b/>
                      <w:bCs w:val="0"/>
                      <w:color w:val="auto"/>
                      <w:highlight w:val="none"/>
                      <w:lang w:val="en-US" w:eastAsia="zh-CN"/>
                    </w:rPr>
                  </w:pPr>
                  <w:r>
                    <w:rPr>
                      <w:rFonts w:hint="default"/>
                      <w:b/>
                      <w:bCs w:val="0"/>
                      <w:color w:val="auto"/>
                      <w:highlight w:val="none"/>
                    </w:rPr>
                    <w:t>名称</w:t>
                  </w:r>
                </w:p>
              </w:tc>
              <w:tc>
                <w:tcPr>
                  <w:tcW w:w="298" w:type="dxa"/>
                  <w:tcBorders>
                    <w:tl2br w:val="nil"/>
                    <w:tr2bl w:val="nil"/>
                  </w:tcBorders>
                  <w:vAlign w:val="center"/>
                </w:tcPr>
                <w:p>
                  <w:pPr>
                    <w:pStyle w:val="35"/>
                    <w:bidi w:val="0"/>
                    <w:rPr>
                      <w:rFonts w:hint="default"/>
                      <w:b/>
                      <w:bCs w:val="0"/>
                      <w:color w:val="auto"/>
                      <w:highlight w:val="none"/>
                      <w:lang w:val="en-US" w:eastAsia="zh-CN"/>
                    </w:rPr>
                  </w:pPr>
                  <w:r>
                    <w:rPr>
                      <w:rFonts w:hint="default"/>
                      <w:b/>
                      <w:bCs w:val="0"/>
                      <w:color w:val="auto"/>
                      <w:highlight w:val="none"/>
                    </w:rPr>
                    <w:t>区县</w:t>
                  </w:r>
                </w:p>
              </w:tc>
              <w:tc>
                <w:tcPr>
                  <w:tcW w:w="321" w:type="dxa"/>
                  <w:tcBorders>
                    <w:tl2br w:val="nil"/>
                    <w:tr2bl w:val="nil"/>
                  </w:tcBorders>
                  <w:vAlign w:val="center"/>
                </w:tcPr>
                <w:p>
                  <w:pPr>
                    <w:pStyle w:val="35"/>
                    <w:bidi w:val="0"/>
                    <w:rPr>
                      <w:rFonts w:hint="default"/>
                      <w:b/>
                      <w:bCs w:val="0"/>
                      <w:color w:val="auto"/>
                      <w:highlight w:val="none"/>
                      <w:lang w:val="en-US" w:eastAsia="zh-CN"/>
                    </w:rPr>
                  </w:pPr>
                  <w:r>
                    <w:rPr>
                      <w:rFonts w:hint="default"/>
                      <w:b/>
                      <w:bCs w:val="0"/>
                      <w:color w:val="auto"/>
                      <w:highlight w:val="none"/>
                    </w:rPr>
                    <w:t>市</w:t>
                  </w:r>
                  <w:r>
                    <w:rPr>
                      <w:rFonts w:hint="default"/>
                      <w:b/>
                      <w:bCs w:val="0"/>
                      <w:color w:val="auto"/>
                      <w:highlight w:val="none"/>
                      <w:lang w:eastAsia="zh-CN"/>
                    </w:rPr>
                    <w:t>（</w:t>
                  </w:r>
                  <w:r>
                    <w:rPr>
                      <w:rFonts w:hint="default"/>
                      <w:b/>
                      <w:bCs w:val="0"/>
                      <w:color w:val="auto"/>
                      <w:highlight w:val="none"/>
                    </w:rPr>
                    <w:t>区</w:t>
                  </w:r>
                  <w:r>
                    <w:rPr>
                      <w:rFonts w:hint="default"/>
                      <w:b/>
                      <w:bCs w:val="0"/>
                      <w:color w:val="auto"/>
                      <w:highlight w:val="none"/>
                      <w:lang w:eastAsia="zh-CN"/>
                    </w:rPr>
                    <w:t>）</w:t>
                  </w:r>
                </w:p>
              </w:tc>
              <w:tc>
                <w:tcPr>
                  <w:tcW w:w="417" w:type="dxa"/>
                  <w:tcBorders>
                    <w:tl2br w:val="nil"/>
                    <w:tr2bl w:val="nil"/>
                  </w:tcBorders>
                  <w:vAlign w:val="center"/>
                </w:tcPr>
                <w:p>
                  <w:pPr>
                    <w:pStyle w:val="35"/>
                    <w:bidi w:val="0"/>
                    <w:rPr>
                      <w:rFonts w:hint="default"/>
                      <w:b/>
                      <w:bCs w:val="0"/>
                      <w:color w:val="auto"/>
                      <w:highlight w:val="none"/>
                    </w:rPr>
                  </w:pPr>
                  <w:r>
                    <w:rPr>
                      <w:rFonts w:hint="default"/>
                      <w:b/>
                      <w:bCs w:val="0"/>
                      <w:color w:val="auto"/>
                      <w:highlight w:val="none"/>
                    </w:rPr>
                    <w:t>单元要素</w:t>
                  </w:r>
                </w:p>
                <w:p>
                  <w:pPr>
                    <w:pStyle w:val="35"/>
                    <w:bidi w:val="0"/>
                    <w:rPr>
                      <w:rFonts w:hint="default"/>
                      <w:b/>
                      <w:bCs w:val="0"/>
                      <w:color w:val="auto"/>
                      <w:highlight w:val="none"/>
                      <w:lang w:val="en-US" w:eastAsia="zh-CN"/>
                    </w:rPr>
                  </w:pPr>
                  <w:r>
                    <w:rPr>
                      <w:rFonts w:hint="default"/>
                      <w:b/>
                      <w:bCs w:val="0"/>
                      <w:color w:val="auto"/>
                      <w:highlight w:val="none"/>
                    </w:rPr>
                    <w:t>属性</w:t>
                  </w:r>
                </w:p>
              </w:tc>
              <w:tc>
                <w:tcPr>
                  <w:tcW w:w="358" w:type="dxa"/>
                  <w:tcBorders>
                    <w:tl2br w:val="nil"/>
                    <w:tr2bl w:val="nil"/>
                  </w:tcBorders>
                  <w:vAlign w:val="center"/>
                </w:tcPr>
                <w:p>
                  <w:pPr>
                    <w:pStyle w:val="35"/>
                    <w:bidi w:val="0"/>
                    <w:rPr>
                      <w:rFonts w:hint="default"/>
                      <w:b/>
                      <w:bCs w:val="0"/>
                      <w:color w:val="auto"/>
                      <w:highlight w:val="none"/>
                      <w:lang w:val="en-US" w:eastAsia="zh-CN"/>
                    </w:rPr>
                  </w:pPr>
                  <w:r>
                    <w:rPr>
                      <w:rFonts w:hint="default"/>
                      <w:b/>
                      <w:bCs w:val="0"/>
                      <w:color w:val="auto"/>
                      <w:highlight w:val="none"/>
                    </w:rPr>
                    <w:t>管控要求分类</w:t>
                  </w:r>
                </w:p>
              </w:tc>
              <w:tc>
                <w:tcPr>
                  <w:tcW w:w="3114" w:type="dxa"/>
                  <w:tcBorders>
                    <w:tl2br w:val="nil"/>
                    <w:tr2bl w:val="nil"/>
                  </w:tcBorders>
                  <w:vAlign w:val="center"/>
                </w:tcPr>
                <w:p>
                  <w:pPr>
                    <w:pStyle w:val="35"/>
                    <w:bidi w:val="0"/>
                    <w:rPr>
                      <w:rFonts w:hint="default"/>
                      <w:b/>
                      <w:bCs w:val="0"/>
                      <w:color w:val="auto"/>
                      <w:highlight w:val="none"/>
                      <w:lang w:val="en-US" w:eastAsia="zh-CN"/>
                    </w:rPr>
                  </w:pPr>
                  <w:r>
                    <w:rPr>
                      <w:rFonts w:hint="default"/>
                      <w:b/>
                      <w:bCs w:val="0"/>
                      <w:color w:val="auto"/>
                      <w:highlight w:val="none"/>
                    </w:rPr>
                    <w:t>管控要求</w:t>
                  </w:r>
                </w:p>
              </w:tc>
              <w:tc>
                <w:tcPr>
                  <w:tcW w:w="1595" w:type="dxa"/>
                  <w:gridSpan w:val="2"/>
                  <w:tcBorders>
                    <w:tl2br w:val="nil"/>
                    <w:tr2bl w:val="nil"/>
                  </w:tcBorders>
                  <w:vAlign w:val="center"/>
                </w:tcPr>
                <w:p>
                  <w:pPr>
                    <w:pStyle w:val="35"/>
                    <w:bidi w:val="0"/>
                    <w:rPr>
                      <w:rFonts w:hint="default"/>
                      <w:b/>
                      <w:bCs w:val="0"/>
                      <w:color w:val="auto"/>
                      <w:highlight w:val="none"/>
                      <w:lang w:val="en-US" w:eastAsia="zh-CN"/>
                    </w:rPr>
                  </w:pPr>
                  <w:r>
                    <w:rPr>
                      <w:rFonts w:hint="default"/>
                      <w:b/>
                      <w:bCs w:val="0"/>
                      <w:color w:val="auto"/>
                      <w:highlight w:val="none"/>
                      <w:lang w:val="en-US" w:eastAsia="zh-CN"/>
                    </w:rPr>
                    <w:t>本项目情况</w:t>
                  </w:r>
                </w:p>
              </w:tc>
              <w:tc>
                <w:tcPr>
                  <w:tcW w:w="707" w:type="dxa"/>
                  <w:tcBorders>
                    <w:tl2br w:val="nil"/>
                    <w:tr2bl w:val="nil"/>
                  </w:tcBorders>
                  <w:vAlign w:val="center"/>
                </w:tcPr>
                <w:p>
                  <w:pPr>
                    <w:pStyle w:val="35"/>
                    <w:bidi w:val="0"/>
                    <w:rPr>
                      <w:rFonts w:hint="default"/>
                      <w:b/>
                      <w:bCs w:val="0"/>
                      <w:color w:val="auto"/>
                      <w:highlight w:val="none"/>
                      <w:lang w:val="en-US" w:eastAsia="zh-CN"/>
                    </w:rPr>
                  </w:pPr>
                  <w:r>
                    <w:rPr>
                      <w:rFonts w:hint="default"/>
                      <w:b/>
                      <w:bCs w:val="0"/>
                      <w:color w:val="auto"/>
                      <w:highlight w:val="none"/>
                    </w:rPr>
                    <w:t>相符性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342" w:type="dxa"/>
                  <w:vMerge w:val="restart"/>
                  <w:tcBorders>
                    <w:tl2br w:val="nil"/>
                    <w:tr2bl w:val="nil"/>
                  </w:tcBorders>
                  <w:vAlign w:val="center"/>
                </w:tcPr>
                <w:p>
                  <w:pPr>
                    <w:pStyle w:val="35"/>
                    <w:bidi w:val="0"/>
                    <w:rPr>
                      <w:rFonts w:hint="eastAsia"/>
                      <w:color w:val="auto"/>
                      <w:highlight w:val="none"/>
                      <w:lang w:val="en-US" w:eastAsia="zh-CN"/>
                    </w:rPr>
                  </w:pPr>
                  <w:r>
                    <w:rPr>
                      <w:rFonts w:hint="eastAsia"/>
                      <w:color w:val="auto"/>
                      <w:highlight w:val="none"/>
                      <w:lang w:val="en-US" w:eastAsia="zh-CN"/>
                    </w:rPr>
                    <w:t>1</w:t>
                  </w:r>
                </w:p>
              </w:tc>
              <w:tc>
                <w:tcPr>
                  <w:tcW w:w="43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陕西省宝鸡市陈仓区重点管控单元8</w:t>
                  </w:r>
                </w:p>
              </w:tc>
              <w:tc>
                <w:tcPr>
                  <w:tcW w:w="298"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宝鸡市</w:t>
                  </w:r>
                </w:p>
              </w:tc>
              <w:tc>
                <w:tcPr>
                  <w:tcW w:w="321"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陈仓区</w:t>
                  </w:r>
                </w:p>
              </w:tc>
              <w:tc>
                <w:tcPr>
                  <w:tcW w:w="417" w:type="dxa"/>
                  <w:vMerge w:val="restart"/>
                  <w:tcBorders>
                    <w:tl2br w:val="nil"/>
                    <w:tr2bl w:val="nil"/>
                  </w:tcBorders>
                  <w:vAlign w:val="center"/>
                </w:tcPr>
                <w:p>
                  <w:pPr>
                    <w:pStyle w:val="35"/>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水环境城镇生活污染重点管控区</w:t>
                  </w:r>
                </w:p>
              </w:tc>
              <w:tc>
                <w:tcPr>
                  <w:tcW w:w="358" w:type="dxa"/>
                  <w:tcBorders>
                    <w:tl2br w:val="nil"/>
                    <w:tr2bl w:val="nil"/>
                  </w:tcBorders>
                  <w:vAlign w:val="center"/>
                </w:tcPr>
                <w:p>
                  <w:pPr>
                    <w:pStyle w:val="35"/>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空间布局约束</w:t>
                  </w:r>
                </w:p>
              </w:tc>
              <w:tc>
                <w:tcPr>
                  <w:tcW w:w="3114" w:type="dxa"/>
                  <w:tcBorders>
                    <w:tl2br w:val="nil"/>
                    <w:tr2bl w:val="nil"/>
                  </w:tcBorders>
                  <w:vAlign w:val="center"/>
                </w:tcPr>
                <w:p>
                  <w:pPr>
                    <w:pStyle w:val="35"/>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水环境城镇生活污染重点管控区：</w:t>
                  </w:r>
                </w:p>
                <w:p>
                  <w:pPr>
                    <w:pStyle w:val="35"/>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持续推进城中村、老旧城区、城乡接合部污水截流、收集和城市雨污管道新建、改建。到</w:t>
                  </w:r>
                  <w:r>
                    <w:rPr>
                      <w:rFonts w:hint="default" w:ascii="Times New Roman" w:hAnsi="Times New Roman" w:eastAsia="宋体" w:cs="Times New Roman"/>
                      <w:color w:val="auto"/>
                      <w:sz w:val="21"/>
                      <w:szCs w:val="21"/>
                      <w:lang w:val="en-US" w:eastAsia="zh-CN"/>
                    </w:rPr>
                    <w:t>2025</w:t>
                  </w:r>
                  <w:r>
                    <w:rPr>
                      <w:rFonts w:hint="eastAsia" w:ascii="Times New Roman" w:hAnsi="Times New Roman" w:eastAsia="宋体" w:cs="Times New Roman"/>
                      <w:color w:val="auto"/>
                      <w:sz w:val="21"/>
                      <w:szCs w:val="21"/>
                      <w:lang w:val="en-US" w:eastAsia="zh-CN"/>
                    </w:rPr>
                    <w:t>年底，基本实现城市和县城建成区内生活污水全收集。</w:t>
                  </w:r>
                </w:p>
              </w:tc>
              <w:tc>
                <w:tcPr>
                  <w:tcW w:w="1595" w:type="dxa"/>
                  <w:gridSpan w:val="2"/>
                  <w:tcBorders>
                    <w:tl2br w:val="nil"/>
                    <w:tr2bl w:val="nil"/>
                  </w:tcBorders>
                  <w:vAlign w:val="center"/>
                </w:tcPr>
                <w:p>
                  <w:pPr>
                    <w:pStyle w:val="35"/>
                    <w:bidi w:val="0"/>
                    <w:jc w:val="center"/>
                    <w:rPr>
                      <w:rFonts w:hint="eastAsia" w:ascii="Times New Roman" w:hAnsi="Times New Roman" w:eastAsia="宋体" w:cs="宋体"/>
                      <w:color w:val="auto"/>
                      <w:highlight w:val="none"/>
                      <w:lang w:val="en-US" w:eastAsia="zh-CN"/>
                    </w:rPr>
                  </w:pPr>
                  <w:r>
                    <w:rPr>
                      <w:rFonts w:hint="eastAsia" w:ascii="Times New Roman" w:hAnsi="Times New Roman" w:eastAsia="宋体" w:cs="Times New Roman"/>
                      <w:color w:val="auto"/>
                      <w:sz w:val="21"/>
                      <w:szCs w:val="21"/>
                      <w:lang w:val="en-US" w:eastAsia="zh-CN"/>
                    </w:rPr>
                    <w:t>水环境城镇生活污染重点管控区：</w:t>
                  </w:r>
                </w:p>
                <w:p>
                  <w:pPr>
                    <w:pStyle w:val="35"/>
                    <w:bidi w:val="0"/>
                    <w:jc w:val="center"/>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1.项目所在地不属于城镇区。</w:t>
                  </w:r>
                </w:p>
              </w:tc>
              <w:tc>
                <w:tcPr>
                  <w:tcW w:w="707" w:type="dxa"/>
                  <w:tcBorders>
                    <w:tl2br w:val="nil"/>
                    <w:tr2bl w:val="nil"/>
                  </w:tcBorders>
                  <w:vAlign w:val="center"/>
                </w:tcPr>
                <w:p>
                  <w:pPr>
                    <w:pStyle w:val="35"/>
                    <w:bidi w:val="0"/>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符合</w:t>
                  </w:r>
                  <w:r>
                    <w:rPr>
                      <w:rFonts w:hint="eastAsia"/>
                      <w:color w:val="auto"/>
                    </w:rPr>
                    <w:drawing>
                      <wp:anchor distT="0" distB="0" distL="114300" distR="114300" simplePos="0" relativeHeight="251661312" behindDoc="0" locked="0" layoutInCell="1" allowOverlap="1">
                        <wp:simplePos x="0" y="0"/>
                        <wp:positionH relativeFrom="column">
                          <wp:posOffset>3819525</wp:posOffset>
                        </wp:positionH>
                        <wp:positionV relativeFrom="paragraph">
                          <wp:posOffset>-525145</wp:posOffset>
                        </wp:positionV>
                        <wp:extent cx="1190625" cy="1190625"/>
                        <wp:effectExtent l="0" t="0" r="9525" b="9525"/>
                        <wp:wrapNone/>
                        <wp:docPr id="3" name="图片 2" descr="C:\Users\Administrator\Desktop\GH环评\风玫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GH环评\风玫瑰图.jpg"/>
                                <pic:cNvPicPr>
                                  <a:picLocks noChangeAspect="1"/>
                                </pic:cNvPicPr>
                              </pic:nvPicPr>
                              <pic:blipFill>
                                <a:blip r:embed="rId12"/>
                                <a:stretch>
                                  <a:fillRect/>
                                </a:stretch>
                              </pic:blipFill>
                              <pic:spPr>
                                <a:xfrm>
                                  <a:off x="0" y="0"/>
                                  <a:ext cx="1190625" cy="1190625"/>
                                </a:xfrm>
                                <a:prstGeom prst="rect">
                                  <a:avLst/>
                                </a:prstGeom>
                                <a:noFill/>
                                <a:ln>
                                  <a:noFill/>
                                </a:ln>
                              </pic:spPr>
                            </pic:pic>
                          </a:graphicData>
                        </a:graphic>
                      </wp:anchor>
                    </w:drawing>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342" w:type="dxa"/>
                  <w:vMerge w:val="continue"/>
                  <w:tcBorders>
                    <w:tl2br w:val="nil"/>
                    <w:tr2bl w:val="nil"/>
                  </w:tcBorders>
                  <w:vAlign w:val="center"/>
                </w:tcPr>
                <w:p>
                  <w:pPr>
                    <w:pStyle w:val="35"/>
                    <w:bidi w:val="0"/>
                    <w:rPr>
                      <w:rFonts w:hint="eastAsia"/>
                      <w:color w:val="auto"/>
                      <w:highlight w:val="none"/>
                      <w:lang w:val="en-US" w:eastAsia="zh-CN"/>
                    </w:rPr>
                  </w:pPr>
                </w:p>
              </w:tc>
              <w:tc>
                <w:tcPr>
                  <w:tcW w:w="430" w:type="dxa"/>
                  <w:vMerge w:val="continue"/>
                  <w:tcBorders>
                    <w:tl2br w:val="nil"/>
                    <w:tr2bl w:val="nil"/>
                  </w:tcBorders>
                  <w:vAlign w:val="center"/>
                </w:tcPr>
                <w:p>
                  <w:pPr>
                    <w:pStyle w:val="35"/>
                    <w:bidi w:val="0"/>
                    <w:rPr>
                      <w:rFonts w:hint="default"/>
                      <w:color w:val="auto"/>
                      <w:highlight w:val="none"/>
                    </w:rPr>
                  </w:pPr>
                </w:p>
              </w:tc>
              <w:tc>
                <w:tcPr>
                  <w:tcW w:w="298" w:type="dxa"/>
                  <w:vMerge w:val="continue"/>
                  <w:tcBorders>
                    <w:tl2br w:val="nil"/>
                    <w:tr2bl w:val="nil"/>
                  </w:tcBorders>
                  <w:vAlign w:val="center"/>
                </w:tcPr>
                <w:p>
                  <w:pPr>
                    <w:pStyle w:val="35"/>
                    <w:bidi w:val="0"/>
                    <w:rPr>
                      <w:rFonts w:hint="eastAsia"/>
                      <w:color w:val="auto"/>
                      <w:highlight w:val="none"/>
                      <w:lang w:val="en-US" w:eastAsia="zh-CN"/>
                    </w:rPr>
                  </w:pPr>
                </w:p>
              </w:tc>
              <w:tc>
                <w:tcPr>
                  <w:tcW w:w="321" w:type="dxa"/>
                  <w:vMerge w:val="continue"/>
                  <w:tcBorders>
                    <w:tl2br w:val="nil"/>
                    <w:tr2bl w:val="nil"/>
                  </w:tcBorders>
                  <w:vAlign w:val="center"/>
                </w:tcPr>
                <w:p>
                  <w:pPr>
                    <w:pStyle w:val="35"/>
                    <w:bidi w:val="0"/>
                    <w:rPr>
                      <w:rFonts w:hint="eastAsia"/>
                      <w:color w:val="auto"/>
                      <w:highlight w:val="none"/>
                      <w:lang w:val="en-US" w:eastAsia="zh-CN"/>
                    </w:rPr>
                  </w:pPr>
                </w:p>
              </w:tc>
              <w:tc>
                <w:tcPr>
                  <w:tcW w:w="417" w:type="dxa"/>
                  <w:vMerge w:val="continue"/>
                  <w:tcBorders>
                    <w:tl2br w:val="nil"/>
                    <w:tr2bl w:val="nil"/>
                  </w:tcBorders>
                  <w:vAlign w:val="center"/>
                </w:tcPr>
                <w:p>
                  <w:pPr>
                    <w:pStyle w:val="35"/>
                    <w:bidi w:val="0"/>
                    <w:jc w:val="center"/>
                    <w:rPr>
                      <w:rFonts w:hint="default" w:ascii="Times New Roman" w:hAnsi="Times New Roman" w:eastAsia="宋体" w:cs="Times New Roman"/>
                      <w:color w:val="auto"/>
                      <w:sz w:val="21"/>
                      <w:szCs w:val="21"/>
                      <w:lang w:val="en-US" w:eastAsia="zh-CN"/>
                    </w:rPr>
                  </w:pPr>
                </w:p>
              </w:tc>
              <w:tc>
                <w:tcPr>
                  <w:tcW w:w="358" w:type="dxa"/>
                  <w:tcBorders>
                    <w:tl2br w:val="nil"/>
                    <w:tr2bl w:val="nil"/>
                  </w:tcBorders>
                  <w:vAlign w:val="center"/>
                </w:tcPr>
                <w:p>
                  <w:pPr>
                    <w:pStyle w:val="35"/>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污染物排放管控</w:t>
                  </w:r>
                </w:p>
              </w:tc>
              <w:tc>
                <w:tcPr>
                  <w:tcW w:w="3114" w:type="dxa"/>
                  <w:tcBorders>
                    <w:tl2br w:val="nil"/>
                    <w:tr2bl w:val="nil"/>
                  </w:tcBorders>
                  <w:vAlign w:val="center"/>
                </w:tcPr>
                <w:p>
                  <w:pPr>
                    <w:pStyle w:val="35"/>
                    <w:bidi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水环境城镇生活污染重点管控区：</w:t>
                  </w:r>
                </w:p>
                <w:p>
                  <w:pPr>
                    <w:pStyle w:val="35"/>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加强城镇污水收集处理设施建设与提标改造。全省黄河流域城镇生活污水处理达到《陕西省黄河流域污水综合排放标准》（</w:t>
                  </w:r>
                  <w:r>
                    <w:rPr>
                      <w:rFonts w:hint="default" w:ascii="Times New Roman" w:hAnsi="Times New Roman" w:eastAsia="宋体" w:cs="Times New Roman"/>
                      <w:color w:val="auto"/>
                      <w:sz w:val="21"/>
                      <w:szCs w:val="21"/>
                      <w:highlight w:val="none"/>
                      <w:lang w:val="en-US" w:eastAsia="zh-CN"/>
                    </w:rPr>
                    <w:t>DB61/224-2018</w:t>
                  </w:r>
                  <w:r>
                    <w:rPr>
                      <w:rFonts w:hint="eastAsia" w:ascii="Times New Roman" w:hAnsi="Times New Roman" w:eastAsia="宋体" w:cs="Times New Roman"/>
                      <w:color w:val="auto"/>
                      <w:sz w:val="21"/>
                      <w:szCs w:val="21"/>
                      <w:highlight w:val="none"/>
                      <w:lang w:val="en-US" w:eastAsia="zh-CN"/>
                    </w:rPr>
                    <w:t>）排</w:t>
                  </w:r>
                  <w:r>
                    <w:rPr>
                      <w:rFonts w:hint="eastAsia" w:cs="Times New Roman"/>
                      <w:color w:val="auto"/>
                      <w:sz w:val="21"/>
                      <w:szCs w:val="21"/>
                      <w:highlight w:val="none"/>
                      <w:lang w:val="en-US" w:eastAsia="zh-CN"/>
                    </w:rPr>
                    <w:t>放标准，</w:t>
                  </w:r>
                  <w:r>
                    <w:rPr>
                      <w:rFonts w:hint="eastAsia" w:ascii="Times New Roman" w:hAnsi="Times New Roman" w:eastAsia="宋体" w:cs="Times New Roman"/>
                      <w:color w:val="auto"/>
                      <w:sz w:val="21"/>
                      <w:szCs w:val="21"/>
                      <w:highlight w:val="none"/>
                      <w:lang w:val="en-US" w:eastAsia="zh-CN"/>
                    </w:rPr>
                    <w:t>加强城镇生活污水处理，提高对生活污水的处理能力。排放限值要求。</w:t>
                  </w:r>
                </w:p>
                <w:p>
                  <w:pPr>
                    <w:pStyle w:val="35"/>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城镇新区管网建设及老旧城区管网升级改造中实行雨污分流，鼓励推进初期雨水收集、处理和资源化利用，建设人工湿地水质净化工程，对处理达标后的尾水进一步净化。</w:t>
                  </w:r>
                </w:p>
                <w:p>
                  <w:pPr>
                    <w:pStyle w:val="35"/>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污水处理厂出水用于绿化、农灌等用途的，合理确定管控要求，确保达到相应污水再生利用标准。</w:t>
                  </w:r>
                </w:p>
              </w:tc>
              <w:tc>
                <w:tcPr>
                  <w:tcW w:w="1595" w:type="dxa"/>
                  <w:gridSpan w:val="2"/>
                  <w:tcBorders>
                    <w:tl2br w:val="nil"/>
                    <w:tr2bl w:val="nil"/>
                  </w:tcBorders>
                  <w:vAlign w:val="center"/>
                </w:tcPr>
                <w:p>
                  <w:pPr>
                    <w:pStyle w:val="35"/>
                    <w:bidi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水环境城镇生活污染重点管控区：</w:t>
                  </w:r>
                </w:p>
                <w:p>
                  <w:pPr>
                    <w:pStyle w:val="35"/>
                    <w:bidi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1.本项目生产废水</w:t>
                  </w:r>
                  <w:r>
                    <w:rPr>
                      <w:rFonts w:hint="eastAsia" w:cs="Times New Roman"/>
                      <w:color w:val="auto"/>
                      <w:sz w:val="21"/>
                      <w:szCs w:val="21"/>
                      <w:highlight w:val="none"/>
                      <w:lang w:val="en-US" w:eastAsia="zh-CN"/>
                    </w:rPr>
                    <w:t>水质满足岐山县大源污水处理厂协议要求</w:t>
                  </w:r>
                  <w:r>
                    <w:rPr>
                      <w:rFonts w:hint="eastAsia" w:ascii="Times New Roman" w:hAnsi="Times New Roman" w:eastAsia="宋体" w:cs="Times New Roman"/>
                      <w:color w:val="auto"/>
                      <w:sz w:val="21"/>
                      <w:szCs w:val="21"/>
                      <w:highlight w:val="none"/>
                      <w:lang w:val="en-US" w:eastAsia="zh-CN"/>
                    </w:rPr>
                    <w:t>。</w:t>
                  </w:r>
                </w:p>
                <w:p>
                  <w:pPr>
                    <w:pStyle w:val="35"/>
                    <w:bidi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2.项目区</w:t>
                  </w:r>
                  <w:r>
                    <w:rPr>
                      <w:rFonts w:hint="eastAsia" w:cs="Times New Roman"/>
                      <w:color w:val="auto"/>
                      <w:sz w:val="21"/>
                      <w:szCs w:val="21"/>
                      <w:highlight w:val="none"/>
                      <w:lang w:val="en-US" w:eastAsia="zh-CN"/>
                    </w:rPr>
                    <w:t>不属于城镇新区，</w:t>
                  </w:r>
                  <w:r>
                    <w:rPr>
                      <w:rFonts w:hint="eastAsia" w:ascii="Times New Roman" w:hAnsi="Times New Roman" w:eastAsia="宋体" w:cs="Times New Roman"/>
                      <w:color w:val="auto"/>
                      <w:sz w:val="21"/>
                      <w:szCs w:val="21"/>
                      <w:highlight w:val="none"/>
                      <w:lang w:val="en-US" w:eastAsia="zh-CN"/>
                    </w:rPr>
                    <w:t>未建设污水管网。</w:t>
                  </w:r>
                </w:p>
                <w:p>
                  <w:pPr>
                    <w:pStyle w:val="35"/>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3.本项目</w:t>
                  </w:r>
                  <w:r>
                    <w:rPr>
                      <w:rFonts w:hint="eastAsia" w:cs="Times New Roman"/>
                      <w:color w:val="auto"/>
                      <w:sz w:val="21"/>
                      <w:szCs w:val="21"/>
                      <w:highlight w:val="none"/>
                      <w:lang w:val="en-US" w:eastAsia="zh-CN"/>
                    </w:rPr>
                    <w:t>生产废水拉运至岐山县大源污水处理厂处理，该污水处理厂出水满足相关要求。</w:t>
                  </w:r>
                </w:p>
              </w:tc>
              <w:tc>
                <w:tcPr>
                  <w:tcW w:w="707" w:type="dxa"/>
                  <w:tcBorders>
                    <w:tl2br w:val="nil"/>
                    <w:tr2bl w:val="nil"/>
                  </w:tcBorders>
                  <w:vAlign w:val="center"/>
                </w:tcPr>
                <w:p>
                  <w:pPr>
                    <w:pStyle w:val="35"/>
                    <w:bidi w:val="0"/>
                    <w:ind w:left="0" w:leftChars="0" w:right="0" w:rightChars="0" w:firstLine="0" w:firstLineChars="0"/>
                    <w:rPr>
                      <w:rFonts w:hint="default" w:ascii="Times New Roman" w:hAnsi="Times New Roman" w:eastAsia="宋体" w:cs="宋体"/>
                      <w:bCs/>
                      <w:color w:val="auto"/>
                      <w:kern w:val="0"/>
                      <w:sz w:val="21"/>
                      <w:szCs w:val="21"/>
                      <w:highlight w:val="none"/>
                      <w:lang w:val="en-US" w:eastAsia="zh-CN" w:bidi="zh-CN"/>
                    </w:rPr>
                  </w:pPr>
                  <w:r>
                    <w:rPr>
                      <w:rFonts w:hint="default"/>
                      <w:color w:val="auto"/>
                      <w:highlight w:val="none"/>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7582" w:type="dxa"/>
                  <w:gridSpan w:val="10"/>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val="en-US" w:eastAsia="zh-CN"/>
                    </w:rPr>
                    <w:t>一说明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2166" w:type="dxa"/>
                  <w:gridSpan w:val="6"/>
                  <w:tcBorders>
                    <w:tl2br w:val="nil"/>
                    <w:tr2bl w:val="nil"/>
                  </w:tcBorders>
                  <w:vAlign w:val="center"/>
                </w:tcPr>
                <w:p>
                  <w:pPr>
                    <w:pStyle w:val="35"/>
                    <w:bidi w:val="0"/>
                    <w:jc w:val="center"/>
                    <w:rPr>
                      <w:rFonts w:hint="default"/>
                      <w:b/>
                      <w:bCs w:val="0"/>
                      <w:color w:val="auto"/>
                      <w:highlight w:val="none"/>
                      <w:lang w:val="en-US" w:eastAsia="zh-CN"/>
                    </w:rPr>
                  </w:pPr>
                  <w:r>
                    <w:rPr>
                      <w:rFonts w:hint="default"/>
                      <w:b/>
                      <w:bCs w:val="0"/>
                      <w:color w:val="auto"/>
                      <w:highlight w:val="none"/>
                      <w:lang w:eastAsia="zh-CN"/>
                    </w:rPr>
                    <w:t>对照分析</w:t>
                  </w:r>
                </w:p>
              </w:tc>
              <w:tc>
                <w:tcPr>
                  <w:tcW w:w="4517" w:type="dxa"/>
                  <w:gridSpan w:val="2"/>
                  <w:tcBorders>
                    <w:tl2br w:val="nil"/>
                    <w:tr2bl w:val="nil"/>
                  </w:tcBorders>
                  <w:vAlign w:val="center"/>
                </w:tcPr>
                <w:p>
                  <w:pPr>
                    <w:pStyle w:val="35"/>
                    <w:bidi w:val="0"/>
                    <w:jc w:val="center"/>
                    <w:rPr>
                      <w:rFonts w:hint="default"/>
                      <w:b/>
                      <w:bCs w:val="0"/>
                      <w:color w:val="auto"/>
                      <w:highlight w:val="none"/>
                      <w:lang w:val="en-US" w:eastAsia="zh-CN"/>
                    </w:rPr>
                  </w:pPr>
                  <w:r>
                    <w:rPr>
                      <w:rFonts w:hint="default"/>
                      <w:b/>
                      <w:bCs w:val="0"/>
                      <w:color w:val="auto"/>
                      <w:highlight w:val="none"/>
                      <w:lang w:eastAsia="zh-CN"/>
                    </w:rPr>
                    <w:t>项目情况</w:t>
                  </w:r>
                </w:p>
              </w:tc>
              <w:tc>
                <w:tcPr>
                  <w:tcW w:w="899" w:type="dxa"/>
                  <w:gridSpan w:val="2"/>
                  <w:tcBorders>
                    <w:tl2br w:val="nil"/>
                    <w:tr2bl w:val="nil"/>
                  </w:tcBorders>
                  <w:vAlign w:val="center"/>
                </w:tcPr>
                <w:p>
                  <w:pPr>
                    <w:pStyle w:val="35"/>
                    <w:bidi w:val="0"/>
                    <w:jc w:val="center"/>
                    <w:rPr>
                      <w:rFonts w:hint="default"/>
                      <w:b/>
                      <w:bCs w:val="0"/>
                      <w:color w:val="auto"/>
                      <w:highlight w:val="none"/>
                      <w:lang w:val="en-US" w:eastAsia="zh-CN"/>
                    </w:rPr>
                  </w:pPr>
                  <w:r>
                    <w:rPr>
                      <w:rFonts w:hint="default"/>
                      <w:b/>
                      <w:bCs w:val="0"/>
                      <w:color w:val="auto"/>
                      <w:highlight w:val="none"/>
                      <w:lang w:eastAsia="zh-CN"/>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2166" w:type="dxa"/>
                  <w:gridSpan w:val="6"/>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eastAsia="zh-CN"/>
                    </w:rPr>
                    <w:t>各类生态环境敏感区对照分析</w:t>
                  </w:r>
                </w:p>
              </w:tc>
              <w:tc>
                <w:tcPr>
                  <w:tcW w:w="4517" w:type="dxa"/>
                  <w:gridSpan w:val="2"/>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eastAsia="zh-CN"/>
                    </w:rPr>
                    <w:t>根据</w:t>
                  </w:r>
                  <w:r>
                    <w:rPr>
                      <w:rFonts w:hint="eastAsia"/>
                      <w:color w:val="auto"/>
                      <w:highlight w:val="none"/>
                      <w:lang w:eastAsia="zh-CN"/>
                    </w:rPr>
                    <w:t>“</w:t>
                  </w:r>
                  <w:r>
                    <w:rPr>
                      <w:rFonts w:hint="default"/>
                      <w:color w:val="auto"/>
                      <w:highlight w:val="none"/>
                      <w:lang w:eastAsia="zh-CN"/>
                    </w:rPr>
                    <w:t>一图</w:t>
                  </w:r>
                  <w:r>
                    <w:rPr>
                      <w:rFonts w:hint="eastAsia"/>
                      <w:color w:val="auto"/>
                      <w:highlight w:val="none"/>
                      <w:lang w:eastAsia="zh-CN"/>
                    </w:rPr>
                    <w:t>”</w:t>
                  </w:r>
                  <w:r>
                    <w:rPr>
                      <w:rFonts w:hint="default"/>
                      <w:color w:val="auto"/>
                      <w:highlight w:val="none"/>
                      <w:lang w:eastAsia="zh-CN"/>
                    </w:rPr>
                    <w:t>可知，项目不涉及生态环境敏感区</w:t>
                  </w:r>
                </w:p>
              </w:tc>
              <w:tc>
                <w:tcPr>
                  <w:tcW w:w="899" w:type="dxa"/>
                  <w:gridSpan w:val="2"/>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2166" w:type="dxa"/>
                  <w:gridSpan w:val="6"/>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eastAsia="zh-CN"/>
                    </w:rPr>
                    <w:t>环境管控单元对照分析</w:t>
                  </w:r>
                </w:p>
              </w:tc>
              <w:tc>
                <w:tcPr>
                  <w:tcW w:w="4517" w:type="dxa"/>
                  <w:gridSpan w:val="2"/>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eastAsia="zh-CN"/>
                    </w:rPr>
                    <w:t>根据</w:t>
                  </w:r>
                  <w:r>
                    <w:rPr>
                      <w:rFonts w:hint="eastAsia"/>
                      <w:color w:val="auto"/>
                      <w:highlight w:val="none"/>
                      <w:lang w:eastAsia="zh-CN"/>
                    </w:rPr>
                    <w:t>“</w:t>
                  </w:r>
                  <w:r>
                    <w:rPr>
                      <w:rFonts w:hint="default"/>
                      <w:color w:val="auto"/>
                      <w:highlight w:val="none"/>
                      <w:lang w:eastAsia="zh-CN"/>
                    </w:rPr>
                    <w:t>一图</w:t>
                  </w:r>
                  <w:r>
                    <w:rPr>
                      <w:rFonts w:hint="eastAsia"/>
                      <w:color w:val="auto"/>
                      <w:highlight w:val="none"/>
                      <w:lang w:eastAsia="zh-CN"/>
                    </w:rPr>
                    <w:t>”</w:t>
                  </w:r>
                  <w:r>
                    <w:rPr>
                      <w:rFonts w:hint="default"/>
                      <w:color w:val="auto"/>
                      <w:highlight w:val="none"/>
                      <w:lang w:eastAsia="zh-CN"/>
                    </w:rPr>
                    <w:t>可知，项目位于</w:t>
                  </w:r>
                  <w:r>
                    <w:rPr>
                      <w:rFonts w:hint="default"/>
                      <w:color w:val="auto"/>
                      <w:highlight w:val="none"/>
                      <w:lang w:val="en-US" w:eastAsia="zh-CN"/>
                    </w:rPr>
                    <w:t>重点</w:t>
                  </w:r>
                  <w:r>
                    <w:rPr>
                      <w:rFonts w:hint="default"/>
                      <w:color w:val="auto"/>
                      <w:highlight w:val="none"/>
                      <w:lang w:eastAsia="zh-CN"/>
                    </w:rPr>
                    <w:t>管控单元，根据</w:t>
                  </w:r>
                  <w:r>
                    <w:rPr>
                      <w:rFonts w:hint="eastAsia"/>
                      <w:color w:val="auto"/>
                      <w:highlight w:val="none"/>
                      <w:lang w:eastAsia="zh-CN"/>
                    </w:rPr>
                    <w:t>“</w:t>
                  </w:r>
                  <w:r>
                    <w:rPr>
                      <w:rFonts w:hint="default"/>
                      <w:color w:val="auto"/>
                      <w:highlight w:val="none"/>
                      <w:lang w:eastAsia="zh-CN"/>
                    </w:rPr>
                    <w:t>一表</w:t>
                  </w:r>
                  <w:r>
                    <w:rPr>
                      <w:rFonts w:hint="eastAsia"/>
                      <w:color w:val="auto"/>
                      <w:highlight w:val="none"/>
                      <w:lang w:eastAsia="zh-CN"/>
                    </w:rPr>
                    <w:t>”</w:t>
                  </w:r>
                  <w:r>
                    <w:rPr>
                      <w:rFonts w:hint="default"/>
                      <w:color w:val="auto"/>
                      <w:highlight w:val="none"/>
                      <w:lang w:eastAsia="zh-CN"/>
                    </w:rPr>
                    <w:t>可知项目满足</w:t>
                  </w:r>
                  <w:r>
                    <w:rPr>
                      <w:rFonts w:hint="default"/>
                      <w:color w:val="auto"/>
                      <w:highlight w:val="none"/>
                      <w:lang w:val="en-US" w:eastAsia="zh-CN"/>
                    </w:rPr>
                    <w:t>重点</w:t>
                  </w:r>
                  <w:r>
                    <w:rPr>
                      <w:rFonts w:hint="default"/>
                      <w:color w:val="auto"/>
                      <w:highlight w:val="none"/>
                    </w:rPr>
                    <w:t>管控单元</w:t>
                  </w:r>
                  <w:r>
                    <w:rPr>
                      <w:rFonts w:hint="default"/>
                      <w:color w:val="auto"/>
                      <w:highlight w:val="none"/>
                      <w:lang w:eastAsia="zh-CN"/>
                    </w:rPr>
                    <w:t>管控要求</w:t>
                  </w:r>
                </w:p>
              </w:tc>
              <w:tc>
                <w:tcPr>
                  <w:tcW w:w="899" w:type="dxa"/>
                  <w:gridSpan w:val="2"/>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2166" w:type="dxa"/>
                  <w:gridSpan w:val="6"/>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eastAsia="zh-CN"/>
                    </w:rPr>
                    <w:t>未纳入环境管控单元的要素分区对照分析</w:t>
                  </w:r>
                </w:p>
              </w:tc>
              <w:tc>
                <w:tcPr>
                  <w:tcW w:w="4517" w:type="dxa"/>
                  <w:gridSpan w:val="2"/>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eastAsia="zh-CN"/>
                    </w:rPr>
                    <w:t>不涉及，无其他限制要求</w:t>
                  </w:r>
                </w:p>
              </w:tc>
              <w:tc>
                <w:tcPr>
                  <w:tcW w:w="899" w:type="dxa"/>
                  <w:gridSpan w:val="2"/>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2166" w:type="dxa"/>
                  <w:gridSpan w:val="6"/>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eastAsia="zh-CN"/>
                    </w:rPr>
                    <w:t>其他对照分析</w:t>
                  </w:r>
                </w:p>
              </w:tc>
              <w:tc>
                <w:tcPr>
                  <w:tcW w:w="4517" w:type="dxa"/>
                  <w:gridSpan w:val="2"/>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eastAsia="zh-CN"/>
                    </w:rPr>
                    <w:t>不涉及，无其他限制要求</w:t>
                  </w:r>
                </w:p>
              </w:tc>
              <w:tc>
                <w:tcPr>
                  <w:tcW w:w="899" w:type="dxa"/>
                  <w:gridSpan w:val="2"/>
                  <w:tcBorders>
                    <w:tl2br w:val="nil"/>
                    <w:tr2bl w:val="nil"/>
                  </w:tcBorders>
                  <w:vAlign w:val="center"/>
                </w:tcPr>
                <w:p>
                  <w:pPr>
                    <w:pStyle w:val="35"/>
                    <w:bidi w:val="0"/>
                    <w:jc w:val="center"/>
                    <w:rPr>
                      <w:rFonts w:hint="default"/>
                      <w:color w:val="auto"/>
                      <w:highlight w:val="none"/>
                      <w:lang w:val="en-US" w:eastAsia="zh-CN"/>
                    </w:rPr>
                  </w:pPr>
                  <w:r>
                    <w:rPr>
                      <w:rFonts w:hint="default"/>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sz w:val="24"/>
                <w:lang w:val="zh-CN" w:eastAsia="zh-CN"/>
              </w:rPr>
            </w:pPr>
            <w:r>
              <w:rPr>
                <w:rFonts w:hint="eastAsia" w:ascii="Times New Roman" w:hAnsi="Times New Roman" w:eastAsia="宋体" w:cs="Times New Roman"/>
                <w:b/>
                <w:bCs/>
                <w:color w:val="auto"/>
                <w:spacing w:val="0"/>
                <w:sz w:val="24"/>
                <w:lang w:val="en-US" w:eastAsia="zh-CN"/>
              </w:rPr>
              <w:t>三</w:t>
            </w:r>
            <w:r>
              <w:rPr>
                <w:rFonts w:hint="default" w:ascii="Times New Roman" w:hAnsi="Times New Roman" w:eastAsia="宋体" w:cs="Times New Roman"/>
                <w:b/>
                <w:bCs/>
                <w:color w:val="auto"/>
                <w:spacing w:val="0"/>
                <w:sz w:val="24"/>
                <w:lang w:val="zh-CN"/>
              </w:rPr>
              <w:t>、项目与相关生态环境保护法律法规政策、生态环境保护规划的符合</w:t>
            </w:r>
            <w:r>
              <w:rPr>
                <w:rFonts w:hint="default" w:ascii="Times New Roman" w:hAnsi="Times New Roman" w:eastAsia="宋体" w:cs="Times New Roman"/>
                <w:b/>
                <w:bCs/>
                <w:color w:val="auto"/>
                <w:spacing w:val="0"/>
                <w:sz w:val="24"/>
                <w:szCs w:val="24"/>
                <w:lang w:val="zh-CN"/>
              </w:rPr>
              <w:t>性</w:t>
            </w:r>
            <w:r>
              <w:rPr>
                <w:rStyle w:val="29"/>
                <w:rFonts w:hint="default" w:ascii="Times New Roman" w:hAnsi="Times New Roman" w:eastAsia="宋体" w:cs="Times New Roman"/>
                <w:b/>
                <w:bCs/>
                <w:color w:val="auto"/>
                <w:spacing w:val="0"/>
                <w:kern w:val="0"/>
                <w:sz w:val="24"/>
                <w:szCs w:val="24"/>
                <w:lang w:eastAsia="zh-CN"/>
              </w:rPr>
              <w:t>分析</w:t>
            </w:r>
          </w:p>
          <w:p>
            <w:pPr>
              <w:pStyle w:val="81"/>
              <w:bidi w:val="0"/>
              <w:rPr>
                <w:rFonts w:hint="default"/>
                <w:color w:val="auto"/>
                <w:lang w:val="zh-CN"/>
              </w:rPr>
            </w:pPr>
            <w:r>
              <w:rPr>
                <w:rFonts w:hint="default"/>
                <w:color w:val="auto"/>
                <w:lang w:val="zh-CN"/>
              </w:rPr>
              <w:t>表</w:t>
            </w:r>
            <w:r>
              <w:rPr>
                <w:rFonts w:hint="eastAsia"/>
                <w:color w:val="auto"/>
                <w:lang w:val="en-US" w:eastAsia="zh-CN"/>
              </w:rPr>
              <w:t>1-3</w:t>
            </w:r>
            <w:r>
              <w:rPr>
                <w:rFonts w:hint="default"/>
                <w:color w:val="auto"/>
                <w:lang w:val="zh-CN"/>
              </w:rPr>
              <w:t xml:space="preserve">   </w:t>
            </w:r>
            <w:r>
              <w:rPr>
                <w:rFonts w:hint="eastAsia"/>
                <w:color w:val="auto"/>
                <w:lang w:val="en-US" w:eastAsia="zh-CN"/>
              </w:rPr>
              <w:t>项目</w:t>
            </w:r>
            <w:r>
              <w:rPr>
                <w:rFonts w:hint="default"/>
                <w:color w:val="auto"/>
                <w:lang w:val="zh-CN"/>
              </w:rPr>
              <w:t>与相关生态环境保护法律法规政策、生态环境保护规划的符合性分析一览表</w:t>
            </w:r>
          </w:p>
          <w:tbl>
            <w:tblPr>
              <w:tblStyle w:val="30"/>
              <w:tblW w:w="76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3"/>
              <w:gridCol w:w="648"/>
              <w:gridCol w:w="3051"/>
              <w:gridCol w:w="2157"/>
              <w:gridCol w:w="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tcBorders>
                    <w:tl2br w:val="nil"/>
                    <w:tr2bl w:val="nil"/>
                  </w:tcBorders>
                  <w:vAlign w:val="center"/>
                </w:tcPr>
                <w:p>
                  <w:pPr>
                    <w:pStyle w:val="32"/>
                    <w:bidi w:val="0"/>
                    <w:jc w:val="center"/>
                    <w:rPr>
                      <w:rFonts w:hint="default"/>
                      <w:color w:val="auto"/>
                    </w:rPr>
                  </w:pPr>
                  <w:r>
                    <w:rPr>
                      <w:rFonts w:hint="default"/>
                      <w:color w:val="auto"/>
                    </w:rPr>
                    <w:t>名称</w:t>
                  </w:r>
                </w:p>
              </w:tc>
              <w:tc>
                <w:tcPr>
                  <w:tcW w:w="3699" w:type="dxa"/>
                  <w:gridSpan w:val="2"/>
                  <w:tcBorders>
                    <w:tl2br w:val="nil"/>
                    <w:tr2bl w:val="nil"/>
                  </w:tcBorders>
                  <w:vAlign w:val="center"/>
                </w:tcPr>
                <w:p>
                  <w:pPr>
                    <w:pStyle w:val="32"/>
                    <w:bidi w:val="0"/>
                    <w:jc w:val="center"/>
                    <w:rPr>
                      <w:rFonts w:hint="default"/>
                      <w:color w:val="auto"/>
                    </w:rPr>
                  </w:pPr>
                  <w:r>
                    <w:rPr>
                      <w:rFonts w:hint="default"/>
                      <w:color w:val="auto"/>
                    </w:rPr>
                    <w:t>规划内容</w:t>
                  </w:r>
                </w:p>
              </w:tc>
              <w:tc>
                <w:tcPr>
                  <w:tcW w:w="2157" w:type="dxa"/>
                  <w:tcBorders>
                    <w:tl2br w:val="nil"/>
                    <w:tr2bl w:val="nil"/>
                  </w:tcBorders>
                  <w:vAlign w:val="center"/>
                </w:tcPr>
                <w:p>
                  <w:pPr>
                    <w:pStyle w:val="32"/>
                    <w:bidi w:val="0"/>
                    <w:jc w:val="center"/>
                    <w:rPr>
                      <w:rFonts w:hint="default"/>
                      <w:color w:val="auto"/>
                    </w:rPr>
                  </w:pPr>
                  <w:r>
                    <w:rPr>
                      <w:rFonts w:hint="default"/>
                      <w:color w:val="auto"/>
                    </w:rPr>
                    <w:t>本项目</w:t>
                  </w:r>
                </w:p>
              </w:tc>
              <w:tc>
                <w:tcPr>
                  <w:tcW w:w="827" w:type="dxa"/>
                  <w:tcBorders>
                    <w:tl2br w:val="nil"/>
                    <w:tr2bl w:val="nil"/>
                  </w:tcBorders>
                  <w:vAlign w:val="center"/>
                </w:tcPr>
                <w:p>
                  <w:pPr>
                    <w:pStyle w:val="32"/>
                    <w:bidi w:val="0"/>
                    <w:jc w:val="center"/>
                    <w:rPr>
                      <w:rFonts w:hint="default"/>
                      <w:color w:val="auto"/>
                      <w:lang w:val="en-US" w:eastAsia="zh-CN"/>
                    </w:rPr>
                  </w:pPr>
                  <w:r>
                    <w:rPr>
                      <w:rFonts w:hint="eastAsia"/>
                      <w:color w:val="auto"/>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restart"/>
                  <w:tcBorders>
                    <w:tl2br w:val="nil"/>
                    <w:tr2bl w:val="nil"/>
                  </w:tcBorders>
                  <w:vAlign w:val="center"/>
                </w:tcPr>
                <w:p>
                  <w:pPr>
                    <w:pStyle w:val="32"/>
                    <w:bidi w:val="0"/>
                    <w:jc w:val="center"/>
                    <w:rPr>
                      <w:rFonts w:hint="default" w:ascii="Times New Roman" w:hAnsi="Times New Roman" w:eastAsia="宋体" w:cs="Times New Roman"/>
                      <w:color w:val="auto"/>
                    </w:rPr>
                  </w:pPr>
                  <w:r>
                    <w:rPr>
                      <w:rFonts w:hint="eastAsia" w:ascii="Times New Roman" w:hAnsi="Times New Roman" w:eastAsia="宋体" w:cs="Times New Roman"/>
                      <w:color w:val="auto"/>
                    </w:rPr>
                    <w:t>《食品生产通用卫生规范》（GB14881-2013）</w:t>
                  </w:r>
                </w:p>
              </w:tc>
              <w:tc>
                <w:tcPr>
                  <w:tcW w:w="648" w:type="dxa"/>
                  <w:vMerge w:val="restart"/>
                  <w:tcBorders>
                    <w:tl2br w:val="nil"/>
                    <w:tr2bl w:val="nil"/>
                  </w:tcBorders>
                  <w:shd w:val="clear" w:color="auto" w:fill="auto"/>
                  <w:vAlign w:val="center"/>
                </w:tcPr>
                <w:p>
                  <w:pPr>
                    <w:pStyle w:val="32"/>
                    <w:bidi w:val="0"/>
                    <w:jc w:val="center"/>
                    <w:rPr>
                      <w:rFonts w:hint="default"/>
                      <w:lang w:val="en-US" w:eastAsia="zh-CN"/>
                    </w:rPr>
                  </w:pPr>
                  <w:r>
                    <w:rPr>
                      <w:rFonts w:hint="eastAsia"/>
                    </w:rPr>
                    <w:t>选址要求</w:t>
                  </w:r>
                </w:p>
              </w:tc>
              <w:tc>
                <w:tcPr>
                  <w:tcW w:w="3051" w:type="dxa"/>
                  <w:tcBorders>
                    <w:tl2br w:val="nil"/>
                    <w:tr2bl w:val="nil"/>
                  </w:tcBorders>
                  <w:shd w:val="clear" w:color="auto" w:fill="auto"/>
                  <w:vAlign w:val="center"/>
                </w:tcPr>
                <w:p>
                  <w:pPr>
                    <w:pStyle w:val="35"/>
                    <w:bidi w:val="0"/>
                    <w:jc w:val="center"/>
                    <w:rPr>
                      <w:rFonts w:hint="eastAsia"/>
                      <w:lang w:val="en-US" w:eastAsia="zh-CN"/>
                    </w:rPr>
                  </w:pPr>
                  <w:r>
                    <w:rPr>
                      <w:rFonts w:hint="eastAsia"/>
                    </w:rPr>
                    <w:t>厂区不应选择对食品有显著污染的区域。如某地对食品安全和食品宜食用性存在明显的不利影响，且无法通过采取措施加以改善，应避免在该地址建厂。</w:t>
                  </w:r>
                </w:p>
              </w:tc>
              <w:tc>
                <w:tcPr>
                  <w:tcW w:w="2157" w:type="dxa"/>
                  <w:tcBorders>
                    <w:tl2br w:val="nil"/>
                    <w:tr2bl w:val="nil"/>
                  </w:tcBorders>
                  <w:shd w:val="clear" w:color="auto" w:fill="auto"/>
                  <w:vAlign w:val="center"/>
                </w:tcPr>
                <w:p>
                  <w:pPr>
                    <w:pStyle w:val="35"/>
                    <w:bidi w:val="0"/>
                    <w:jc w:val="center"/>
                    <w:rPr>
                      <w:rFonts w:hint="default"/>
                      <w:lang w:val="en-US" w:eastAsia="zh-CN"/>
                    </w:rPr>
                  </w:pPr>
                  <w:r>
                    <w:rPr>
                      <w:rFonts w:hint="eastAsia"/>
                      <w:lang w:val="en-US" w:eastAsia="zh-CN"/>
                    </w:rPr>
                    <w:t>本项目为改扩建项目，项目周边没有对食品有显著污染的区域。</w:t>
                  </w:r>
                </w:p>
              </w:tc>
              <w:tc>
                <w:tcPr>
                  <w:tcW w:w="827" w:type="dxa"/>
                  <w:tcBorders>
                    <w:tl2br w:val="nil"/>
                    <w:tr2bl w:val="nil"/>
                  </w:tcBorders>
                  <w:shd w:val="clear" w:color="auto" w:fill="auto"/>
                  <w:vAlign w:val="center"/>
                </w:tcPr>
                <w:p>
                  <w:pPr>
                    <w:pStyle w:val="32"/>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default"/>
                      <w:color w:val="auto"/>
                    </w:rPr>
                  </w:pPr>
                </w:p>
              </w:tc>
              <w:tc>
                <w:tcPr>
                  <w:tcW w:w="648" w:type="dxa"/>
                  <w:vMerge w:val="continue"/>
                  <w:tcBorders>
                    <w:tl2br w:val="nil"/>
                    <w:tr2bl w:val="nil"/>
                  </w:tcBorders>
                  <w:shd w:val="clear" w:color="auto" w:fill="auto"/>
                  <w:vAlign w:val="center"/>
                </w:tcPr>
                <w:p>
                  <w:pPr>
                    <w:pStyle w:val="32"/>
                    <w:bidi w:val="0"/>
                    <w:jc w:val="center"/>
                    <w:rPr>
                      <w:rFonts w:hint="default"/>
                      <w:lang w:val="en-US" w:eastAsia="zh-CN"/>
                    </w:rPr>
                  </w:pPr>
                </w:p>
              </w:tc>
              <w:tc>
                <w:tcPr>
                  <w:tcW w:w="3051" w:type="dxa"/>
                  <w:tcBorders>
                    <w:tl2br w:val="nil"/>
                    <w:tr2bl w:val="nil"/>
                  </w:tcBorders>
                  <w:shd w:val="clear" w:color="auto" w:fill="auto"/>
                  <w:vAlign w:val="center"/>
                </w:tcPr>
                <w:p>
                  <w:pPr>
                    <w:pStyle w:val="35"/>
                    <w:bidi w:val="0"/>
                    <w:jc w:val="center"/>
                    <w:rPr>
                      <w:rFonts w:hint="eastAsia"/>
                      <w:lang w:val="en-US" w:eastAsia="zh-CN"/>
                    </w:rPr>
                  </w:pPr>
                  <w:r>
                    <w:rPr>
                      <w:rFonts w:hint="eastAsia"/>
                    </w:rPr>
                    <w:t>厂区不应选择有害废弃物以及粉尘、有害气体、放射性物质和其他扩散性污染源不能有效清除的地址。</w:t>
                  </w:r>
                </w:p>
              </w:tc>
              <w:tc>
                <w:tcPr>
                  <w:tcW w:w="2157" w:type="dxa"/>
                  <w:tcBorders>
                    <w:tl2br w:val="nil"/>
                    <w:tr2bl w:val="nil"/>
                  </w:tcBorders>
                  <w:shd w:val="clear" w:color="auto" w:fill="auto"/>
                  <w:vAlign w:val="center"/>
                </w:tcPr>
                <w:p>
                  <w:pPr>
                    <w:pStyle w:val="35"/>
                    <w:bidi w:val="0"/>
                    <w:jc w:val="center"/>
                    <w:rPr>
                      <w:rFonts w:hint="eastAsia"/>
                      <w:lang w:val="en-US" w:eastAsia="zh-CN"/>
                    </w:rPr>
                  </w:pPr>
                  <w:r>
                    <w:rPr>
                      <w:rFonts w:hint="eastAsia"/>
                      <w:lang w:val="en-US" w:eastAsia="zh-CN"/>
                    </w:rPr>
                    <w:t>厂区不涉及</w:t>
                  </w:r>
                  <w:r>
                    <w:rPr>
                      <w:rFonts w:hint="eastAsia"/>
                    </w:rPr>
                    <w:t>有害废弃物以及粉尘、有害气体、放射性物质和其他扩散性污染源</w:t>
                  </w:r>
                  <w:r>
                    <w:rPr>
                      <w:rFonts w:hint="eastAsia"/>
                      <w:lang w:eastAsia="zh-CN"/>
                    </w:rPr>
                    <w:t>。</w:t>
                  </w:r>
                </w:p>
              </w:tc>
              <w:tc>
                <w:tcPr>
                  <w:tcW w:w="827" w:type="dxa"/>
                  <w:tcBorders>
                    <w:tl2br w:val="nil"/>
                    <w:tr2bl w:val="nil"/>
                  </w:tcBorders>
                  <w:shd w:val="clear" w:color="auto" w:fill="auto"/>
                  <w:vAlign w:val="center"/>
                </w:tcPr>
                <w:p>
                  <w:pPr>
                    <w:pStyle w:val="32"/>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3" w:type="dxa"/>
                  <w:vMerge w:val="continue"/>
                  <w:tcBorders>
                    <w:tl2br w:val="nil"/>
                    <w:tr2bl w:val="nil"/>
                  </w:tcBorders>
                  <w:vAlign w:val="center"/>
                </w:tcPr>
                <w:p>
                  <w:pPr>
                    <w:pStyle w:val="32"/>
                    <w:bidi w:val="0"/>
                    <w:jc w:val="center"/>
                    <w:rPr>
                      <w:rFonts w:hint="default"/>
                      <w:color w:val="auto"/>
                    </w:rPr>
                  </w:pPr>
                </w:p>
              </w:tc>
              <w:tc>
                <w:tcPr>
                  <w:tcW w:w="648" w:type="dxa"/>
                  <w:vMerge w:val="continue"/>
                  <w:tcBorders>
                    <w:tl2br w:val="nil"/>
                    <w:tr2bl w:val="nil"/>
                  </w:tcBorders>
                  <w:shd w:val="clear" w:color="auto" w:fill="auto"/>
                  <w:vAlign w:val="center"/>
                </w:tcPr>
                <w:p>
                  <w:pPr>
                    <w:pStyle w:val="32"/>
                    <w:bidi w:val="0"/>
                    <w:jc w:val="center"/>
                    <w:rPr>
                      <w:rFonts w:hint="default"/>
                      <w:lang w:val="en-US" w:eastAsia="zh-CN"/>
                    </w:rPr>
                  </w:pPr>
                </w:p>
              </w:tc>
              <w:tc>
                <w:tcPr>
                  <w:tcW w:w="3051" w:type="dxa"/>
                  <w:tcBorders>
                    <w:tl2br w:val="nil"/>
                    <w:tr2bl w:val="nil"/>
                  </w:tcBorders>
                  <w:shd w:val="clear" w:color="auto" w:fill="auto"/>
                  <w:vAlign w:val="center"/>
                </w:tcPr>
                <w:p>
                  <w:pPr>
                    <w:pStyle w:val="35"/>
                    <w:bidi w:val="0"/>
                    <w:jc w:val="center"/>
                    <w:rPr>
                      <w:rFonts w:hint="eastAsia"/>
                      <w:lang w:val="en-US" w:eastAsia="zh-CN"/>
                    </w:rPr>
                  </w:pPr>
                  <w:r>
                    <w:rPr>
                      <w:rFonts w:hint="eastAsia"/>
                    </w:rPr>
                    <w:t>厂区不宜</w:t>
                  </w:r>
                  <w:r>
                    <w:rPr>
                      <w:rFonts w:hint="eastAsia"/>
                      <w:lang w:val="en-US" w:eastAsia="zh-CN"/>
                    </w:rPr>
                    <w:t>选择</w:t>
                  </w:r>
                  <w:r>
                    <w:rPr>
                      <w:rFonts w:hint="eastAsia"/>
                    </w:rPr>
                    <w:t>易发生洪涝灾害的地区，难以避开时应设计必要的防范措施。</w:t>
                  </w:r>
                </w:p>
              </w:tc>
              <w:tc>
                <w:tcPr>
                  <w:tcW w:w="2157" w:type="dxa"/>
                  <w:tcBorders>
                    <w:tl2br w:val="nil"/>
                    <w:tr2bl w:val="nil"/>
                  </w:tcBorders>
                  <w:shd w:val="clear" w:color="auto" w:fill="auto"/>
                  <w:vAlign w:val="center"/>
                </w:tcPr>
                <w:p>
                  <w:pPr>
                    <w:pStyle w:val="35"/>
                    <w:bidi w:val="0"/>
                    <w:jc w:val="center"/>
                    <w:rPr>
                      <w:rFonts w:hint="eastAsia"/>
                      <w:lang w:val="en-US" w:eastAsia="zh-CN"/>
                    </w:rPr>
                  </w:pPr>
                  <w:r>
                    <w:rPr>
                      <w:rFonts w:hint="eastAsia"/>
                      <w:lang w:val="en-US" w:eastAsia="zh-CN"/>
                    </w:rPr>
                    <w:t>项目厂区不涉及</w:t>
                  </w:r>
                  <w:r>
                    <w:rPr>
                      <w:rFonts w:hint="eastAsia"/>
                    </w:rPr>
                    <w:t>易发生洪涝灾害的地区</w:t>
                  </w:r>
                  <w:r>
                    <w:rPr>
                      <w:rFonts w:hint="eastAsia"/>
                      <w:lang w:eastAsia="zh-CN"/>
                    </w:rPr>
                    <w:t>。</w:t>
                  </w:r>
                </w:p>
              </w:tc>
              <w:tc>
                <w:tcPr>
                  <w:tcW w:w="827" w:type="dxa"/>
                  <w:tcBorders>
                    <w:tl2br w:val="nil"/>
                    <w:tr2bl w:val="nil"/>
                  </w:tcBorders>
                  <w:shd w:val="clear" w:color="auto" w:fill="auto"/>
                  <w:vAlign w:val="center"/>
                </w:tcPr>
                <w:p>
                  <w:pPr>
                    <w:pStyle w:val="32"/>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default"/>
                      <w:color w:val="auto"/>
                    </w:rPr>
                  </w:pPr>
                </w:p>
              </w:tc>
              <w:tc>
                <w:tcPr>
                  <w:tcW w:w="648" w:type="dxa"/>
                  <w:vMerge w:val="restart"/>
                  <w:tcBorders>
                    <w:tl2br w:val="nil"/>
                    <w:tr2bl w:val="nil"/>
                  </w:tcBorders>
                  <w:shd w:val="clear" w:color="auto" w:fill="auto"/>
                  <w:vAlign w:val="center"/>
                </w:tcPr>
                <w:p>
                  <w:pPr>
                    <w:pStyle w:val="32"/>
                    <w:bidi w:val="0"/>
                    <w:jc w:val="center"/>
                    <w:rPr>
                      <w:rFonts w:hint="default"/>
                      <w:lang w:val="en-US" w:eastAsia="zh-CN"/>
                    </w:rPr>
                  </w:pPr>
                  <w:r>
                    <w:rPr>
                      <w:rFonts w:hint="eastAsia"/>
                    </w:rPr>
                    <w:t>厂区环境要求</w:t>
                  </w:r>
                </w:p>
              </w:tc>
              <w:tc>
                <w:tcPr>
                  <w:tcW w:w="3051" w:type="dxa"/>
                  <w:tcBorders>
                    <w:tl2br w:val="nil"/>
                    <w:tr2bl w:val="nil"/>
                  </w:tcBorders>
                  <w:shd w:val="clear" w:color="auto" w:fill="auto"/>
                  <w:vAlign w:val="center"/>
                </w:tcPr>
                <w:p>
                  <w:pPr>
                    <w:pStyle w:val="35"/>
                    <w:bidi w:val="0"/>
                    <w:jc w:val="center"/>
                    <w:rPr>
                      <w:rFonts w:hint="eastAsia"/>
                      <w:lang w:val="en-US" w:eastAsia="zh-CN"/>
                    </w:rPr>
                  </w:pPr>
                  <w:r>
                    <w:rPr>
                      <w:rFonts w:hint="eastAsia"/>
                    </w:rPr>
                    <w:t>应考虑环境给食品生产带来的潜在污染风险，并采取适当的措施将其降至最低水平。</w:t>
                  </w:r>
                </w:p>
              </w:tc>
              <w:tc>
                <w:tcPr>
                  <w:tcW w:w="2157" w:type="dxa"/>
                  <w:tcBorders>
                    <w:tl2br w:val="nil"/>
                    <w:tr2bl w:val="nil"/>
                  </w:tcBorders>
                  <w:shd w:val="clear" w:color="auto" w:fill="auto"/>
                  <w:vAlign w:val="center"/>
                </w:tcPr>
                <w:p>
                  <w:pPr>
                    <w:pStyle w:val="35"/>
                    <w:bidi w:val="0"/>
                    <w:jc w:val="center"/>
                    <w:rPr>
                      <w:rFonts w:hint="eastAsia"/>
                      <w:lang w:val="en-US" w:eastAsia="zh-CN"/>
                    </w:rPr>
                  </w:pPr>
                  <w:r>
                    <w:rPr>
                      <w:rFonts w:hint="eastAsia"/>
                    </w:rPr>
                    <w:t>项目厂区</w:t>
                  </w:r>
                  <w:r>
                    <w:rPr>
                      <w:rFonts w:hint="eastAsia"/>
                      <w:lang w:val="en-US" w:eastAsia="zh-CN"/>
                    </w:rPr>
                    <w:t>内</w:t>
                  </w:r>
                  <w:r>
                    <w:rPr>
                      <w:rFonts w:hint="eastAsia"/>
                    </w:rPr>
                    <w:t>环境没有给本项目带来污染的潜在风险源。</w:t>
                  </w:r>
                </w:p>
              </w:tc>
              <w:tc>
                <w:tcPr>
                  <w:tcW w:w="827" w:type="dxa"/>
                  <w:tcBorders>
                    <w:tl2br w:val="nil"/>
                    <w:tr2bl w:val="nil"/>
                  </w:tcBorders>
                  <w:shd w:val="clear" w:color="auto" w:fill="auto"/>
                  <w:vAlign w:val="center"/>
                </w:tcPr>
                <w:p>
                  <w:pPr>
                    <w:pStyle w:val="32"/>
                    <w:bidi w:val="0"/>
                    <w:jc w:val="center"/>
                    <w:rPr>
                      <w:rFonts w:hint="eastAsia"/>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default"/>
                      <w:color w:val="auto"/>
                    </w:rPr>
                  </w:pPr>
                </w:p>
              </w:tc>
              <w:tc>
                <w:tcPr>
                  <w:tcW w:w="648" w:type="dxa"/>
                  <w:vMerge w:val="continue"/>
                  <w:tcBorders>
                    <w:tl2br w:val="nil"/>
                    <w:tr2bl w:val="nil"/>
                  </w:tcBorders>
                  <w:shd w:val="clear" w:color="auto" w:fill="auto"/>
                  <w:vAlign w:val="center"/>
                </w:tcPr>
                <w:p>
                  <w:pPr>
                    <w:pStyle w:val="32"/>
                    <w:bidi w:val="0"/>
                    <w:jc w:val="center"/>
                    <w:rPr>
                      <w:rFonts w:hint="default"/>
                      <w:lang w:val="en-US" w:eastAsia="zh-CN"/>
                    </w:rPr>
                  </w:pPr>
                </w:p>
              </w:tc>
              <w:tc>
                <w:tcPr>
                  <w:tcW w:w="3051" w:type="dxa"/>
                  <w:tcBorders>
                    <w:tl2br w:val="nil"/>
                    <w:tr2bl w:val="nil"/>
                  </w:tcBorders>
                  <w:shd w:val="clear" w:color="auto" w:fill="auto"/>
                  <w:vAlign w:val="center"/>
                </w:tcPr>
                <w:p>
                  <w:pPr>
                    <w:pStyle w:val="35"/>
                    <w:bidi w:val="0"/>
                    <w:jc w:val="center"/>
                    <w:rPr>
                      <w:rFonts w:hint="eastAsia"/>
                      <w:lang w:val="en-US" w:eastAsia="zh-CN"/>
                    </w:rPr>
                  </w:pPr>
                  <w:r>
                    <w:rPr>
                      <w:rFonts w:hint="eastAsia"/>
                    </w:rPr>
                    <w:t>厂区应合理布局，各功能区划分明显，并有适当的分离和分隔措施，</w:t>
                  </w:r>
                  <w:r>
                    <w:rPr>
                      <w:rFonts w:hint="eastAsia"/>
                      <w:lang w:eastAsia="zh-CN"/>
                    </w:rPr>
                    <w:t>防止</w:t>
                  </w:r>
                  <w:r>
                    <w:rPr>
                      <w:rFonts w:hint="eastAsia"/>
                    </w:rPr>
                    <w:t>交叉污染。</w:t>
                  </w:r>
                </w:p>
              </w:tc>
              <w:tc>
                <w:tcPr>
                  <w:tcW w:w="2157" w:type="dxa"/>
                  <w:tcBorders>
                    <w:tl2br w:val="nil"/>
                    <w:tr2bl w:val="nil"/>
                  </w:tcBorders>
                  <w:shd w:val="clear" w:color="auto" w:fill="auto"/>
                  <w:vAlign w:val="center"/>
                </w:tcPr>
                <w:p>
                  <w:pPr>
                    <w:pStyle w:val="35"/>
                    <w:bidi w:val="0"/>
                    <w:jc w:val="center"/>
                    <w:rPr>
                      <w:rFonts w:hint="eastAsia"/>
                      <w:lang w:val="en-US" w:eastAsia="zh-CN"/>
                    </w:rPr>
                  </w:pPr>
                  <w:r>
                    <w:rPr>
                      <w:rFonts w:hint="eastAsia"/>
                    </w:rPr>
                    <w:t>厂区主要由生产车间、库房及办公生活楼组成，各功能区划分明显，项目设置全封闭式生产车间，生产车间内各区域分区设置单独的密闭室，不会造成交叉污染。</w:t>
                  </w:r>
                </w:p>
              </w:tc>
              <w:tc>
                <w:tcPr>
                  <w:tcW w:w="827" w:type="dxa"/>
                  <w:tcBorders>
                    <w:tl2br w:val="nil"/>
                    <w:tr2bl w:val="nil"/>
                  </w:tcBorders>
                  <w:shd w:val="clear" w:color="auto" w:fill="auto"/>
                  <w:vAlign w:val="center"/>
                </w:tcPr>
                <w:p>
                  <w:pPr>
                    <w:pStyle w:val="32"/>
                    <w:bidi w:val="0"/>
                    <w:jc w:val="center"/>
                    <w:rPr>
                      <w:rFonts w:hint="eastAsia"/>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default"/>
                      <w:color w:val="auto"/>
                    </w:rPr>
                  </w:pPr>
                </w:p>
              </w:tc>
              <w:tc>
                <w:tcPr>
                  <w:tcW w:w="648" w:type="dxa"/>
                  <w:vMerge w:val="continue"/>
                  <w:tcBorders>
                    <w:tl2br w:val="nil"/>
                    <w:tr2bl w:val="nil"/>
                  </w:tcBorders>
                  <w:shd w:val="clear" w:color="auto" w:fill="auto"/>
                  <w:vAlign w:val="center"/>
                </w:tcPr>
                <w:p>
                  <w:pPr>
                    <w:pStyle w:val="32"/>
                    <w:bidi w:val="0"/>
                    <w:jc w:val="center"/>
                    <w:rPr>
                      <w:rFonts w:hint="default"/>
                      <w:lang w:val="en-US" w:eastAsia="zh-CN"/>
                    </w:rPr>
                  </w:pPr>
                </w:p>
              </w:tc>
              <w:tc>
                <w:tcPr>
                  <w:tcW w:w="3051" w:type="dxa"/>
                  <w:tcBorders>
                    <w:tl2br w:val="nil"/>
                    <w:tr2bl w:val="nil"/>
                  </w:tcBorders>
                  <w:shd w:val="clear" w:color="auto" w:fill="auto"/>
                  <w:vAlign w:val="center"/>
                </w:tcPr>
                <w:p>
                  <w:pPr>
                    <w:pStyle w:val="35"/>
                    <w:bidi w:val="0"/>
                    <w:jc w:val="center"/>
                    <w:rPr>
                      <w:rFonts w:hint="eastAsia"/>
                      <w:lang w:val="en-US" w:eastAsia="zh-CN"/>
                    </w:rPr>
                  </w:pPr>
                  <w:r>
                    <w:rPr>
                      <w:rFonts w:hint="eastAsia"/>
                    </w:rPr>
                    <w:t>厂区内的道路应铺设混凝土、沥青或者其他硬质材料；空地应采取必要措施，如铺设水泥、地砖或铺设草坪等方式，保持环境清洁，</w:t>
                  </w:r>
                  <w:r>
                    <w:rPr>
                      <w:rFonts w:hint="eastAsia"/>
                      <w:lang w:eastAsia="zh-CN"/>
                    </w:rPr>
                    <w:t>防止</w:t>
                  </w:r>
                  <w:r>
                    <w:rPr>
                      <w:rFonts w:hint="eastAsia"/>
                    </w:rPr>
                    <w:t>正常天气下扬尘和积水等现象的发生。</w:t>
                  </w:r>
                </w:p>
              </w:tc>
              <w:tc>
                <w:tcPr>
                  <w:tcW w:w="2157" w:type="dxa"/>
                  <w:tcBorders>
                    <w:tl2br w:val="nil"/>
                    <w:tr2bl w:val="nil"/>
                  </w:tcBorders>
                  <w:shd w:val="clear" w:color="auto" w:fill="auto"/>
                  <w:vAlign w:val="center"/>
                </w:tcPr>
                <w:p>
                  <w:pPr>
                    <w:pStyle w:val="35"/>
                    <w:bidi w:val="0"/>
                    <w:jc w:val="center"/>
                    <w:rPr>
                      <w:rFonts w:hint="eastAsia"/>
                      <w:lang w:val="en-US" w:eastAsia="zh-CN"/>
                    </w:rPr>
                  </w:pPr>
                  <w:r>
                    <w:rPr>
                      <w:rFonts w:hint="eastAsia"/>
                    </w:rPr>
                    <w:t>项目厂区</w:t>
                  </w:r>
                  <w:r>
                    <w:rPr>
                      <w:rFonts w:hint="eastAsia"/>
                      <w:lang w:val="en-US" w:eastAsia="zh-CN"/>
                    </w:rPr>
                    <w:t>内道路已铺设混凝土，空地已采取必要措施铺设水泥。</w:t>
                  </w:r>
                </w:p>
              </w:tc>
              <w:tc>
                <w:tcPr>
                  <w:tcW w:w="827" w:type="dxa"/>
                  <w:tcBorders>
                    <w:tl2br w:val="nil"/>
                    <w:tr2bl w:val="nil"/>
                  </w:tcBorders>
                  <w:shd w:val="clear" w:color="auto" w:fill="auto"/>
                  <w:vAlign w:val="center"/>
                </w:tcPr>
                <w:p>
                  <w:pPr>
                    <w:pStyle w:val="32"/>
                    <w:bidi w:val="0"/>
                    <w:jc w:val="center"/>
                    <w:rPr>
                      <w:rFonts w:hint="eastAsia"/>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default"/>
                      <w:color w:val="auto"/>
                    </w:rPr>
                  </w:pPr>
                </w:p>
              </w:tc>
              <w:tc>
                <w:tcPr>
                  <w:tcW w:w="648" w:type="dxa"/>
                  <w:vMerge w:val="continue"/>
                  <w:tcBorders>
                    <w:tl2br w:val="nil"/>
                    <w:tr2bl w:val="nil"/>
                  </w:tcBorders>
                  <w:shd w:val="clear" w:color="auto" w:fill="auto"/>
                  <w:vAlign w:val="center"/>
                </w:tcPr>
                <w:p>
                  <w:pPr>
                    <w:pStyle w:val="32"/>
                    <w:bidi w:val="0"/>
                    <w:jc w:val="center"/>
                    <w:rPr>
                      <w:rFonts w:hint="default"/>
                      <w:lang w:val="en-US" w:eastAsia="zh-CN"/>
                    </w:rPr>
                  </w:pPr>
                </w:p>
              </w:tc>
              <w:tc>
                <w:tcPr>
                  <w:tcW w:w="3051" w:type="dxa"/>
                  <w:tcBorders>
                    <w:tl2br w:val="nil"/>
                    <w:tr2bl w:val="nil"/>
                  </w:tcBorders>
                  <w:shd w:val="clear" w:color="auto" w:fill="auto"/>
                  <w:vAlign w:val="center"/>
                </w:tcPr>
                <w:p>
                  <w:pPr>
                    <w:pStyle w:val="35"/>
                    <w:bidi w:val="0"/>
                    <w:jc w:val="center"/>
                    <w:rPr>
                      <w:rFonts w:hint="eastAsia"/>
                      <w:lang w:val="en-US" w:eastAsia="zh-CN"/>
                    </w:rPr>
                  </w:pPr>
                  <w:r>
                    <w:rPr>
                      <w:rFonts w:hint="eastAsia"/>
                    </w:rPr>
                    <w:t>厂区绿化应与生产车间保持适当距离，植被应定期维护，以防止虫害的</w:t>
                  </w:r>
                  <w:r>
                    <w:rPr>
                      <w:rFonts w:hint="eastAsia"/>
                      <w:lang w:eastAsia="zh-CN"/>
                    </w:rPr>
                    <w:t>滋生</w:t>
                  </w:r>
                  <w:r>
                    <w:rPr>
                      <w:rFonts w:hint="eastAsia"/>
                    </w:rPr>
                    <w:t>。</w:t>
                  </w:r>
                </w:p>
              </w:tc>
              <w:tc>
                <w:tcPr>
                  <w:tcW w:w="2157" w:type="dxa"/>
                  <w:tcBorders>
                    <w:tl2br w:val="nil"/>
                    <w:tr2bl w:val="nil"/>
                  </w:tcBorders>
                  <w:shd w:val="clear" w:color="auto" w:fill="auto"/>
                  <w:vAlign w:val="center"/>
                </w:tcPr>
                <w:p>
                  <w:pPr>
                    <w:pStyle w:val="35"/>
                    <w:bidi w:val="0"/>
                    <w:jc w:val="center"/>
                    <w:rPr>
                      <w:rFonts w:hint="eastAsia"/>
                      <w:lang w:val="en-US" w:eastAsia="zh-CN"/>
                    </w:rPr>
                  </w:pPr>
                  <w:r>
                    <w:rPr>
                      <w:rFonts w:hint="eastAsia"/>
                    </w:rPr>
                    <w:t>项目厂区绿化与生产车间保持距离，生产车间均为全封闭车间，能够有效</w:t>
                  </w:r>
                  <w:r>
                    <w:rPr>
                      <w:rFonts w:hint="eastAsia"/>
                      <w:lang w:eastAsia="zh-CN"/>
                    </w:rPr>
                    <w:t>防止</w:t>
                  </w:r>
                  <w:r>
                    <w:rPr>
                      <w:rFonts w:hint="eastAsia"/>
                    </w:rPr>
                    <w:t>虫害的</w:t>
                  </w:r>
                  <w:r>
                    <w:rPr>
                      <w:rFonts w:hint="eastAsia"/>
                      <w:lang w:eastAsia="zh-CN"/>
                    </w:rPr>
                    <w:t>滋生</w:t>
                  </w:r>
                  <w:r>
                    <w:rPr>
                      <w:rFonts w:hint="eastAsia"/>
                    </w:rPr>
                    <w:t>。</w:t>
                  </w:r>
                </w:p>
              </w:tc>
              <w:tc>
                <w:tcPr>
                  <w:tcW w:w="827" w:type="dxa"/>
                  <w:tcBorders>
                    <w:tl2br w:val="nil"/>
                    <w:tr2bl w:val="nil"/>
                  </w:tcBorders>
                  <w:shd w:val="clear" w:color="auto" w:fill="auto"/>
                  <w:vAlign w:val="center"/>
                </w:tcPr>
                <w:p>
                  <w:pPr>
                    <w:pStyle w:val="32"/>
                    <w:bidi w:val="0"/>
                    <w:jc w:val="center"/>
                    <w:rPr>
                      <w:rFonts w:hint="eastAsia"/>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default"/>
                      <w:color w:val="auto"/>
                    </w:rPr>
                  </w:pPr>
                </w:p>
              </w:tc>
              <w:tc>
                <w:tcPr>
                  <w:tcW w:w="648" w:type="dxa"/>
                  <w:vMerge w:val="continue"/>
                  <w:tcBorders>
                    <w:tl2br w:val="nil"/>
                    <w:tr2bl w:val="nil"/>
                  </w:tcBorders>
                  <w:shd w:val="clear" w:color="auto" w:fill="auto"/>
                  <w:vAlign w:val="center"/>
                </w:tcPr>
                <w:p>
                  <w:pPr>
                    <w:pStyle w:val="32"/>
                    <w:bidi w:val="0"/>
                    <w:jc w:val="center"/>
                    <w:rPr>
                      <w:rFonts w:hint="default"/>
                      <w:lang w:val="en-US" w:eastAsia="zh-CN"/>
                    </w:rPr>
                  </w:pPr>
                </w:p>
              </w:tc>
              <w:tc>
                <w:tcPr>
                  <w:tcW w:w="3051" w:type="dxa"/>
                  <w:tcBorders>
                    <w:tl2br w:val="nil"/>
                    <w:tr2bl w:val="nil"/>
                  </w:tcBorders>
                  <w:shd w:val="clear" w:color="auto" w:fill="auto"/>
                  <w:vAlign w:val="center"/>
                </w:tcPr>
                <w:p>
                  <w:pPr>
                    <w:pStyle w:val="35"/>
                    <w:bidi w:val="0"/>
                    <w:jc w:val="center"/>
                    <w:rPr>
                      <w:rFonts w:hint="eastAsia"/>
                      <w:lang w:val="en-US" w:eastAsia="zh-CN"/>
                    </w:rPr>
                  </w:pPr>
                  <w:r>
                    <w:rPr>
                      <w:rFonts w:hint="eastAsia"/>
                    </w:rPr>
                    <w:t>厂区应有适当的排水系统。</w:t>
                  </w:r>
                </w:p>
              </w:tc>
              <w:tc>
                <w:tcPr>
                  <w:tcW w:w="2157" w:type="dxa"/>
                  <w:tcBorders>
                    <w:tl2br w:val="nil"/>
                    <w:tr2bl w:val="nil"/>
                  </w:tcBorders>
                  <w:shd w:val="clear" w:color="auto" w:fill="auto"/>
                  <w:vAlign w:val="center"/>
                </w:tcPr>
                <w:p>
                  <w:pPr>
                    <w:pStyle w:val="35"/>
                    <w:bidi w:val="0"/>
                    <w:jc w:val="center"/>
                    <w:rPr>
                      <w:rFonts w:hint="eastAsia"/>
                      <w:lang w:val="en-US" w:eastAsia="zh-CN"/>
                    </w:rPr>
                  </w:pPr>
                  <w:r>
                    <w:rPr>
                      <w:rFonts w:hint="eastAsia"/>
                    </w:rPr>
                    <w:t>项目雨污分流，</w:t>
                  </w:r>
                  <w:r>
                    <w:rPr>
                      <w:rFonts w:hint="eastAsia"/>
                      <w:lang w:val="en-US" w:eastAsia="zh-CN"/>
                    </w:rPr>
                    <w:t>厂区分别设有生活污水及生产废水管线。</w:t>
                  </w:r>
                </w:p>
              </w:tc>
              <w:tc>
                <w:tcPr>
                  <w:tcW w:w="827" w:type="dxa"/>
                  <w:tcBorders>
                    <w:tl2br w:val="nil"/>
                    <w:tr2bl w:val="nil"/>
                  </w:tcBorders>
                  <w:shd w:val="clear" w:color="auto" w:fill="auto"/>
                  <w:vAlign w:val="center"/>
                </w:tcPr>
                <w:p>
                  <w:pPr>
                    <w:pStyle w:val="32"/>
                    <w:bidi w:val="0"/>
                    <w:jc w:val="center"/>
                    <w:rPr>
                      <w:rFonts w:hint="eastAsia"/>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default"/>
                      <w:color w:val="auto"/>
                    </w:rPr>
                  </w:pPr>
                </w:p>
              </w:tc>
              <w:tc>
                <w:tcPr>
                  <w:tcW w:w="648" w:type="dxa"/>
                  <w:vMerge w:val="continue"/>
                  <w:tcBorders>
                    <w:tl2br w:val="nil"/>
                    <w:tr2bl w:val="nil"/>
                  </w:tcBorders>
                  <w:shd w:val="clear" w:color="auto" w:fill="auto"/>
                  <w:vAlign w:val="center"/>
                </w:tcPr>
                <w:p>
                  <w:pPr>
                    <w:pStyle w:val="32"/>
                    <w:bidi w:val="0"/>
                    <w:jc w:val="center"/>
                    <w:rPr>
                      <w:rFonts w:hint="default"/>
                      <w:lang w:val="en-US" w:eastAsia="zh-CN"/>
                    </w:rPr>
                  </w:pPr>
                </w:p>
              </w:tc>
              <w:tc>
                <w:tcPr>
                  <w:tcW w:w="3051" w:type="dxa"/>
                  <w:tcBorders>
                    <w:tl2br w:val="nil"/>
                    <w:tr2bl w:val="nil"/>
                  </w:tcBorders>
                  <w:shd w:val="clear" w:color="auto" w:fill="auto"/>
                  <w:vAlign w:val="center"/>
                </w:tcPr>
                <w:p>
                  <w:pPr>
                    <w:pStyle w:val="35"/>
                    <w:bidi w:val="0"/>
                    <w:jc w:val="center"/>
                    <w:rPr>
                      <w:rFonts w:hint="eastAsia"/>
                      <w:lang w:val="en-US" w:eastAsia="zh-CN"/>
                    </w:rPr>
                  </w:pPr>
                  <w:r>
                    <w:rPr>
                      <w:rFonts w:hint="eastAsia"/>
                    </w:rPr>
                    <w:t>宿舍、食堂、职工娱乐设施等生活区应与生产区保持适当距离或分隔。</w:t>
                  </w:r>
                </w:p>
              </w:tc>
              <w:tc>
                <w:tcPr>
                  <w:tcW w:w="2157" w:type="dxa"/>
                  <w:tcBorders>
                    <w:tl2br w:val="nil"/>
                    <w:tr2bl w:val="nil"/>
                  </w:tcBorders>
                  <w:shd w:val="clear" w:color="auto" w:fill="auto"/>
                  <w:vAlign w:val="center"/>
                </w:tcPr>
                <w:p>
                  <w:pPr>
                    <w:pStyle w:val="35"/>
                    <w:bidi w:val="0"/>
                    <w:jc w:val="center"/>
                    <w:rPr>
                      <w:rFonts w:hint="eastAsia"/>
                      <w:lang w:val="en-US" w:eastAsia="zh-CN"/>
                    </w:rPr>
                  </w:pPr>
                  <w:r>
                    <w:rPr>
                      <w:rFonts w:hint="eastAsia"/>
                    </w:rPr>
                    <w:t>项目生产区与办公生活区分隔设置。</w:t>
                  </w:r>
                </w:p>
              </w:tc>
              <w:tc>
                <w:tcPr>
                  <w:tcW w:w="827" w:type="dxa"/>
                  <w:tcBorders>
                    <w:tl2br w:val="nil"/>
                    <w:tr2bl w:val="nil"/>
                  </w:tcBorders>
                  <w:shd w:val="clear" w:color="auto" w:fill="auto"/>
                  <w:vAlign w:val="center"/>
                </w:tcPr>
                <w:p>
                  <w:pPr>
                    <w:pStyle w:val="32"/>
                    <w:bidi w:val="0"/>
                    <w:jc w:val="center"/>
                    <w:rPr>
                      <w:rFonts w:hint="eastAsia"/>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restart"/>
                  <w:tcBorders>
                    <w:tl2br w:val="nil"/>
                    <w:tr2bl w:val="nil"/>
                  </w:tcBorders>
                  <w:vAlign w:val="center"/>
                </w:tcPr>
                <w:p>
                  <w:pPr>
                    <w:pStyle w:val="82"/>
                    <w:ind w:firstLine="0" w:firstLineChars="0"/>
                    <w:jc w:val="center"/>
                    <w:rPr>
                      <w:rFonts w:hint="eastAsia" w:eastAsia="宋体"/>
                      <w:color w:val="auto"/>
                      <w:lang w:eastAsia="zh-CN"/>
                    </w:rPr>
                  </w:pPr>
                  <w:r>
                    <w:rPr>
                      <w:rFonts w:hint="eastAsia"/>
                      <w:color w:val="auto"/>
                      <w:lang w:eastAsia="zh-CN"/>
                    </w:rPr>
                    <w:t>《</w:t>
                  </w:r>
                  <w:r>
                    <w:rPr>
                      <w:rFonts w:hint="eastAsia" w:ascii="Times New Roman" w:hAnsi="Times New Roman" w:eastAsia="宋体" w:cs="Times New Roman"/>
                      <w:color w:val="auto"/>
                      <w:highlight w:val="none"/>
                      <w:lang w:val="en-US" w:eastAsia="zh-CN"/>
                    </w:rPr>
                    <w:t>空气质量持续改善行动计划</w:t>
                  </w:r>
                  <w:r>
                    <w:rPr>
                      <w:rFonts w:hint="eastAsia"/>
                      <w:color w:val="auto"/>
                      <w:lang w:eastAsia="zh-CN"/>
                    </w:rPr>
                    <w:t>》</w:t>
                  </w:r>
                </w:p>
              </w:tc>
              <w:tc>
                <w:tcPr>
                  <w:tcW w:w="3699" w:type="dxa"/>
                  <w:gridSpan w:val="2"/>
                  <w:tcBorders>
                    <w:tl2br w:val="nil"/>
                    <w:tr2bl w:val="nil"/>
                  </w:tcBorders>
                  <w:vAlign w:val="center"/>
                </w:tcPr>
                <w:p>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2157" w:type="dxa"/>
                  <w:tcBorders>
                    <w:tl2br w:val="nil"/>
                    <w:tr2bl w:val="nil"/>
                  </w:tcBorders>
                  <w:vAlign w:val="center"/>
                </w:tcPr>
                <w:p>
                  <w:pPr>
                    <w:pStyle w:val="32"/>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本项目不属于</w:t>
                  </w:r>
                  <w:r>
                    <w:rPr>
                      <w:rFonts w:hint="default" w:ascii="Times New Roman" w:hAnsi="Times New Roman" w:eastAsia="宋体" w:cs="Times New Roman"/>
                      <w:color w:val="auto"/>
                      <w:lang w:val="en-US" w:eastAsia="zh-CN"/>
                    </w:rPr>
                    <w:t>高耗能、高排放、低水平项目</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项目严格落实国家产业规划、产业政策、生态环境分区管控方案、规划环评、项目环评、节能审查、产能置换、重点污染物总量控制、污染物排放区域削减、碳排放达峰目标等相关要求</w:t>
                  </w:r>
                  <w:r>
                    <w:rPr>
                      <w:rFonts w:hint="eastAsia" w:ascii="Times New Roman" w:hAnsi="Times New Roman" w:eastAsia="宋体" w:cs="Times New Roman"/>
                      <w:color w:val="auto"/>
                      <w:lang w:val="en-US" w:eastAsia="zh-CN"/>
                    </w:rPr>
                    <w:t>。</w:t>
                  </w:r>
                </w:p>
              </w:tc>
              <w:tc>
                <w:tcPr>
                  <w:tcW w:w="827" w:type="dxa"/>
                  <w:tcBorders>
                    <w:tl2br w:val="nil"/>
                    <w:tr2bl w:val="nil"/>
                  </w:tcBorders>
                  <w:vAlign w:val="center"/>
                </w:tcPr>
                <w:p>
                  <w:pPr>
                    <w:pStyle w:val="32"/>
                    <w:bidi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3" w:type="dxa"/>
                  <w:vMerge w:val="continue"/>
                  <w:tcBorders>
                    <w:tl2br w:val="nil"/>
                    <w:tr2bl w:val="nil"/>
                  </w:tcBorders>
                  <w:vAlign w:val="center"/>
                </w:tcPr>
                <w:p>
                  <w:pPr>
                    <w:pStyle w:val="32"/>
                    <w:bidi w:val="0"/>
                    <w:jc w:val="center"/>
                    <w:rPr>
                      <w:rFonts w:hint="default"/>
                      <w:color w:val="auto"/>
                    </w:rPr>
                  </w:pPr>
                </w:p>
              </w:tc>
              <w:tc>
                <w:tcPr>
                  <w:tcW w:w="3699" w:type="dxa"/>
                  <w:gridSpan w:val="2"/>
                  <w:tcBorders>
                    <w:tl2br w:val="nil"/>
                    <w:tr2bl w:val="nil"/>
                  </w:tcBorders>
                  <w:vAlign w:val="center"/>
                </w:tcPr>
                <w:p>
                  <w:pPr>
                    <w:pStyle w:val="82"/>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2157" w:type="dxa"/>
                  <w:tcBorders>
                    <w:tl2br w:val="nil"/>
                    <w:tr2bl w:val="nil"/>
                  </w:tcBorders>
                  <w:vAlign w:val="center"/>
                </w:tcPr>
                <w:p>
                  <w:pPr>
                    <w:pStyle w:val="82"/>
                    <w:ind w:firstLine="0" w:firstLineChars="0"/>
                    <w:jc w:val="center"/>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本项目生产过程蒸汽由天然气锅炉提供，属于清洁能源。</w:t>
                  </w:r>
                </w:p>
              </w:tc>
              <w:tc>
                <w:tcPr>
                  <w:tcW w:w="827" w:type="dxa"/>
                  <w:tcBorders>
                    <w:tl2br w:val="nil"/>
                    <w:tr2bl w:val="nil"/>
                  </w:tcBorders>
                  <w:vAlign w:val="center"/>
                </w:tcPr>
                <w:p>
                  <w:pPr>
                    <w:pStyle w:val="32"/>
                    <w:bidi w:val="0"/>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restart"/>
                  <w:tcBorders>
                    <w:tl2br w:val="nil"/>
                    <w:tr2bl w:val="nil"/>
                  </w:tcBorders>
                  <w:vAlign w:val="center"/>
                </w:tcPr>
                <w:p>
                  <w:pPr>
                    <w:pStyle w:val="32"/>
                    <w:bidi w:val="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《陕西省“十四五”生态环境保护规划》（陕政办发〔2021〕25号）</w:t>
                  </w:r>
                </w:p>
              </w:tc>
              <w:tc>
                <w:tcPr>
                  <w:tcW w:w="3699" w:type="dxa"/>
                  <w:gridSpan w:val="2"/>
                  <w:tcBorders>
                    <w:tl2br w:val="nil"/>
                    <w:tr2bl w:val="nil"/>
                  </w:tcBorders>
                  <w:vAlign w:val="center"/>
                </w:tcPr>
                <w:p>
                  <w:pPr>
                    <w:pStyle w:val="35"/>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深入推进大宗固体废物污染防治。加强固体废物源头减量和资源化利用，推广固体废物资源化、无害化处理处置新技术，创新大宗固体废物协同利用机制，最大限度减少填埋量。建立健全固体废物信息化监管体系，加大固体废物走私打击力度。加强建筑垃圾分类处理和回收利用。促进主要农业废弃物全量利用。开展非正规固体废物堆存场所排查整治。推进“无废城市”建设。到2025年，新增大宗固体废物综合利用率达到60％，存量大宗固体废物有序减少。</w:t>
                  </w:r>
                </w:p>
              </w:tc>
              <w:tc>
                <w:tcPr>
                  <w:tcW w:w="2157" w:type="dxa"/>
                  <w:tcBorders>
                    <w:tl2br w:val="nil"/>
                    <w:tr2bl w:val="nil"/>
                  </w:tcBorders>
                  <w:vAlign w:val="center"/>
                </w:tcPr>
                <w:p>
                  <w:pPr>
                    <w:pStyle w:val="35"/>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项目一般固废均按要求进行暂存并妥善处置</w:t>
                  </w:r>
                  <w:r>
                    <w:rPr>
                      <w:rFonts w:hint="default" w:ascii="Times New Roman" w:hAnsi="Times New Roman" w:eastAsia="宋体" w:cs="Times New Roman"/>
                      <w:color w:val="auto"/>
                      <w:highlight w:val="none"/>
                      <w:lang w:val="en-US" w:eastAsia="zh-CN"/>
                    </w:rPr>
                    <w:t>。固体废物均可合理化处置</w:t>
                  </w:r>
                  <w:r>
                    <w:rPr>
                      <w:rFonts w:hint="default" w:ascii="Times New Roman" w:hAnsi="Times New Roman" w:cs="Times New Roman"/>
                      <w:color w:val="auto"/>
                      <w:highlight w:val="none"/>
                      <w:lang w:val="en-US" w:eastAsia="zh-CN"/>
                    </w:rPr>
                    <w:t>满足“减量化、资源化、无害化”的原则</w:t>
                  </w:r>
                  <w:r>
                    <w:rPr>
                      <w:rFonts w:hint="eastAsia" w:ascii="Times New Roman" w:hAnsi="Times New Roman" w:cs="Times New Roman"/>
                      <w:color w:val="auto"/>
                      <w:highlight w:val="none"/>
                      <w:lang w:val="en-US" w:eastAsia="zh-CN"/>
                    </w:rPr>
                    <w:t>。</w:t>
                  </w:r>
                </w:p>
              </w:tc>
              <w:tc>
                <w:tcPr>
                  <w:tcW w:w="827" w:type="dxa"/>
                  <w:tcBorders>
                    <w:tl2br w:val="nil"/>
                    <w:tr2bl w:val="nil"/>
                  </w:tcBorders>
                  <w:vAlign w:val="center"/>
                </w:tcPr>
                <w:p>
                  <w:pPr>
                    <w:pStyle w:val="32"/>
                    <w:bidi w:val="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eastAsia"/>
                      <w:color w:val="auto"/>
                      <w:lang w:val="en-US" w:eastAsia="zh-CN"/>
                    </w:rPr>
                  </w:pPr>
                </w:p>
              </w:tc>
              <w:tc>
                <w:tcPr>
                  <w:tcW w:w="3699" w:type="dxa"/>
                  <w:gridSpan w:val="2"/>
                  <w:tcBorders>
                    <w:tl2br w:val="nil"/>
                    <w:tr2bl w:val="nil"/>
                  </w:tcBorders>
                  <w:vAlign w:val="center"/>
                </w:tcPr>
                <w:p>
                  <w:pPr>
                    <w:pStyle w:val="35"/>
                    <w:jc w:val="center"/>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lang w:val="en-US" w:eastAsia="zh-CN"/>
                    </w:rPr>
                    <w:t>开展餐饮油烟、恶臭异味专项治理。深入推进餐饮油烟污染治理，严格执行居民楼附近餐饮服务单位布局管理。拟开设餐饮服务的建筑应设计建设专用烟道。城市建成区产生油烟的餐饮服务单位全部安装油烟净化装置并保持正常运行和定期维护，推动大城市和有条件的地区实施治理设施第三方运维管理、运行状态监控。</w:t>
                  </w:r>
                </w:p>
              </w:tc>
              <w:tc>
                <w:tcPr>
                  <w:tcW w:w="2157" w:type="dxa"/>
                  <w:tcBorders>
                    <w:tl2br w:val="nil"/>
                    <w:tr2bl w:val="nil"/>
                  </w:tcBorders>
                  <w:vAlign w:val="center"/>
                </w:tcPr>
                <w:p>
                  <w:pPr>
                    <w:pStyle w:val="35"/>
                    <w:ind w:firstLine="0" w:firstLineChars="0"/>
                    <w:jc w:val="center"/>
                    <w:rPr>
                      <w:rFonts w:hint="default" w:ascii="Times New Roman" w:hAnsi="Times New Roman" w:cs="Times New Roman"/>
                      <w:color w:val="auto"/>
                      <w:highlight w:val="none"/>
                      <w:lang w:val="en-US" w:eastAsia="zh-CN"/>
                    </w:rPr>
                  </w:pPr>
                  <w:r>
                    <w:rPr>
                      <w:rFonts w:hint="eastAsia" w:eastAsia="宋体" w:cs="Times New Roman"/>
                      <w:color w:val="auto"/>
                      <w:spacing w:val="0"/>
                      <w:position w:val="0"/>
                      <w:sz w:val="21"/>
                      <w:szCs w:val="21"/>
                      <w:highlight w:val="none"/>
                      <w:lang w:val="en-US" w:eastAsia="zh-CN"/>
                    </w:rPr>
                    <w:t>本项目生产过程产生油烟，油烟经油烟净化器处理后高空排放。</w:t>
                  </w:r>
                </w:p>
              </w:tc>
              <w:tc>
                <w:tcPr>
                  <w:tcW w:w="827" w:type="dxa"/>
                  <w:tcBorders>
                    <w:tl2br w:val="nil"/>
                    <w:tr2bl w:val="nil"/>
                  </w:tcBorders>
                  <w:vAlign w:val="center"/>
                </w:tcPr>
                <w:p>
                  <w:pPr>
                    <w:pStyle w:val="32"/>
                    <w:bidi w:val="0"/>
                    <w:jc w:val="center"/>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94" w:hRule="atLeast"/>
                <w:jc w:val="center"/>
              </w:trPr>
              <w:tc>
                <w:tcPr>
                  <w:tcW w:w="923" w:type="dxa"/>
                  <w:vMerge w:val="continue"/>
                  <w:tcBorders>
                    <w:tl2br w:val="nil"/>
                    <w:tr2bl w:val="nil"/>
                  </w:tcBorders>
                  <w:vAlign w:val="center"/>
                </w:tcPr>
                <w:p>
                  <w:pPr>
                    <w:pStyle w:val="32"/>
                    <w:bidi w:val="0"/>
                    <w:jc w:val="center"/>
                    <w:rPr>
                      <w:rFonts w:hint="eastAsia"/>
                      <w:color w:val="auto"/>
                      <w:lang w:val="en-US" w:eastAsia="zh-CN"/>
                    </w:rPr>
                  </w:pPr>
                </w:p>
              </w:tc>
              <w:tc>
                <w:tcPr>
                  <w:tcW w:w="369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
                    </w:rPr>
                    <w:t>持续深化水污染治理：持续推进工业污水治理，引导工业企业污水近零排放，降低污染负荷。</w:t>
                  </w:r>
                </w:p>
              </w:tc>
              <w:tc>
                <w:tcPr>
                  <w:tcW w:w="21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本项目生产</w:t>
                  </w:r>
                  <w:r>
                    <w:rPr>
                      <w:rFonts w:hint="eastAsia" w:cs="Times New Roman"/>
                      <w:color w:val="auto"/>
                      <w:kern w:val="0"/>
                      <w:sz w:val="21"/>
                      <w:szCs w:val="21"/>
                      <w:lang w:val="en-US" w:eastAsia="zh-CN" w:bidi="ar"/>
                    </w:rPr>
                    <w:t>过程废水优先循环利用，无法利用的定期拉运至污水处理厂</w:t>
                  </w:r>
                  <w:r>
                    <w:rPr>
                      <w:rFonts w:hint="eastAsia" w:ascii="Times New Roman" w:hAnsi="Times New Roman" w:eastAsia="宋体" w:cs="Times New Roman"/>
                      <w:color w:val="auto"/>
                      <w:kern w:val="0"/>
                      <w:sz w:val="21"/>
                      <w:szCs w:val="21"/>
                      <w:lang w:val="en-US" w:eastAsia="zh-CN" w:bidi="ar"/>
                    </w:rPr>
                    <w:t>。</w:t>
                  </w:r>
                </w:p>
              </w:tc>
              <w:tc>
                <w:tcPr>
                  <w:tcW w:w="827" w:type="dxa"/>
                  <w:tcBorders>
                    <w:tl2br w:val="nil"/>
                    <w:tr2bl w:val="nil"/>
                  </w:tcBorders>
                  <w:vAlign w:val="center"/>
                </w:tcPr>
                <w:p>
                  <w:pPr>
                    <w:pStyle w:val="12"/>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923" w:type="dxa"/>
                  <w:vMerge w:val="restart"/>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《陕西省水污染防治工作方案》</w:t>
                  </w:r>
                </w:p>
              </w:tc>
              <w:tc>
                <w:tcPr>
                  <w:tcW w:w="3699" w:type="dxa"/>
                  <w:gridSpan w:val="2"/>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严格环境准入政策。根据流域水质目标和主体功能区规划要求，严格区域环境准入条件，细化功能分区，实施差别化环境准入政策。关中地区严格控制新建、扩建化学制浆造纸、化工、印染、果汁和淀粉加工等高耗水、高污染项目。</w:t>
                  </w:r>
                </w:p>
              </w:tc>
              <w:tc>
                <w:tcPr>
                  <w:tcW w:w="2157"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本项目不属于关中地区严格控制新建、扩建化学制浆造纸、化工、印染、果汁和淀粉加工等高耗水、高污染项目。</w:t>
                  </w:r>
                </w:p>
              </w:tc>
              <w:tc>
                <w:tcPr>
                  <w:tcW w:w="8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92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eastAsia" w:ascii="Times New Roman" w:hAnsi="Times New Roman" w:eastAsia="宋体" w:cs="Times New Roman"/>
                      <w:color w:val="auto"/>
                      <w:kern w:val="0"/>
                      <w:sz w:val="21"/>
                      <w:szCs w:val="21"/>
                      <w:lang w:val="en-US" w:eastAsia="zh-CN" w:bidi="ar"/>
                    </w:rPr>
                  </w:pPr>
                </w:p>
              </w:tc>
              <w:tc>
                <w:tcPr>
                  <w:tcW w:w="3699" w:type="dxa"/>
                  <w:gridSpan w:val="2"/>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优化空间布局。合理确定发展布局、结构和规模。充分考虑水资源、水环境承载能力，以水定城、以水定地、以水定人、以水定产。在符合城乡规划和土地利用总体规划的前提下，重大项目原则上布局在优化开发区和重点开发区。鼓励发展节水高效现代农业、低耗水高新技术产业以及生态保护型旅游业，严格控制高耗水、高污染行业发展，新建、改建、扩建重点行业建设项目实行主要污染物排放减量置换。渭河、延河、无定河、汉江、丹江、嘉陵江等六条主要河流干流沿岸，要严格控制石油加工、化学原料和化学制品制造、医药制造、化学纤维制造、有色金属冶炼、纺织印染等项目，合理布局生产装置及危险化学品仓储等设施，防范环境风险。</w:t>
                  </w:r>
                </w:p>
              </w:tc>
              <w:tc>
                <w:tcPr>
                  <w:tcW w:w="2157"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不属于高耗水、高污染行业。项目不属于石油加工、化学原料和化学制品制造、医药制造、化学纤维制造、有色金属冶炼、纺织印染等项目。项目严格控制生产过程用水量，废水经岐山县大源污水处理厂处理后达标排放。</w:t>
                  </w:r>
                </w:p>
              </w:tc>
              <w:tc>
                <w:tcPr>
                  <w:tcW w:w="8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923" w:type="dxa"/>
                  <w:vMerge w:val="restart"/>
                  <w:tcBorders>
                    <w:tl2br w:val="nil"/>
                    <w:tr2bl w:val="nil"/>
                  </w:tcBorders>
                  <w:shd w:val="clear" w:color="auto" w:fill="FFFFFF"/>
                  <w:vAlign w:val="center"/>
                </w:tcPr>
                <w:p>
                  <w:pPr>
                    <w:pStyle w:val="35"/>
                    <w:ind w:left="-24" w:leftChars="-10" w:right="-24" w:rightChars="-10" w:firstLine="0" w:firstLineChars="0"/>
                    <w:jc w:val="center"/>
                    <w:rPr>
                      <w:rFonts w:hint="eastAsia"/>
                      <w:color w:val="auto"/>
                      <w:lang w:val="en-US" w:eastAsia="zh-CN"/>
                    </w:rPr>
                  </w:pPr>
                  <w:r>
                    <w:rPr>
                      <w:rFonts w:hint="eastAsia" w:ascii="Times New Roman" w:hAnsi="Times New Roman" w:eastAsia="宋体" w:cs="Times New Roman"/>
                      <w:color w:val="auto"/>
                      <w:highlight w:val="none"/>
                      <w:lang w:eastAsia="zh-CN"/>
                    </w:rPr>
                    <w:t>《宝鸡市水污染防治工作方案》</w:t>
                  </w:r>
                </w:p>
              </w:tc>
              <w:tc>
                <w:tcPr>
                  <w:tcW w:w="3699" w:type="dxa"/>
                  <w:gridSpan w:val="2"/>
                  <w:tcBorders>
                    <w:tl2br w:val="nil"/>
                    <w:tr2bl w:val="nil"/>
                  </w:tcBorders>
                  <w:shd w:val="clear" w:color="auto" w:fill="FFFFFF"/>
                  <w:vAlign w:val="center"/>
                </w:tcPr>
                <w:p>
                  <w:pPr>
                    <w:pStyle w:val="35"/>
                    <w:ind w:left="-24" w:leftChars="-10" w:right="-24" w:rightChars="-10" w:firstLine="0" w:firstLineChars="0"/>
                    <w:jc w:val="center"/>
                    <w:rPr>
                      <w:rFonts w:hint="default" w:ascii="Times New Roman" w:hAnsi="Times New Roman" w:eastAsia="宋体" w:cs="Times New Roman"/>
                      <w:bCs/>
                      <w:color w:val="auto"/>
                      <w:kern w:val="0"/>
                      <w:sz w:val="21"/>
                      <w:szCs w:val="32"/>
                      <w:lang w:val="en-US" w:eastAsia="zh-CN" w:bidi="ar-SA"/>
                    </w:rPr>
                  </w:pPr>
                  <w:r>
                    <w:rPr>
                      <w:rFonts w:hint="eastAsia" w:ascii="Times New Roman" w:hAnsi="Times New Roman" w:eastAsia="宋体" w:cs="Times New Roman"/>
                      <w:color w:val="auto"/>
                      <w:szCs w:val="32"/>
                    </w:rPr>
                    <w:t>整治重点行业。制定造纸、有色金属（铅、锌等）、农副食品加工、原料药制造、电镀、煤化工（煤制甲醇）、果汁等行业专项治理方案，实施清洁生产审核，淘汰落后工艺。</w:t>
                  </w:r>
                </w:p>
              </w:tc>
              <w:tc>
                <w:tcPr>
                  <w:tcW w:w="2157" w:type="dxa"/>
                  <w:tcBorders>
                    <w:tl2br w:val="nil"/>
                    <w:tr2bl w:val="nil"/>
                  </w:tcBorders>
                  <w:shd w:val="clear" w:color="auto" w:fill="FFFFFF"/>
                  <w:vAlign w:val="center"/>
                </w:tcPr>
                <w:p>
                  <w:pPr>
                    <w:pStyle w:val="35"/>
                    <w:ind w:left="-24" w:leftChars="-10" w:right="-24" w:rightChars="-10" w:firstLine="0" w:firstLineChars="0"/>
                    <w:jc w:val="center"/>
                    <w:rPr>
                      <w:rFonts w:hint="eastAsia" w:ascii="Times New Roman" w:hAnsi="Times New Roman" w:eastAsia="宋体" w:cs="Times New Roman"/>
                      <w:bCs/>
                      <w:color w:val="auto"/>
                      <w:kern w:val="0"/>
                      <w:sz w:val="21"/>
                      <w:szCs w:val="32"/>
                      <w:lang w:val="en-US" w:eastAsia="zh-CN" w:bidi="ar-SA"/>
                    </w:rPr>
                  </w:pPr>
                  <w:r>
                    <w:rPr>
                      <w:rFonts w:hint="eastAsia" w:ascii="Times New Roman" w:hAnsi="Times New Roman" w:eastAsia="宋体" w:cs="Times New Roman"/>
                      <w:color w:val="auto"/>
                      <w:szCs w:val="32"/>
                      <w:lang w:val="en-US" w:eastAsia="zh-CN"/>
                    </w:rPr>
                    <w:t>本项目不属于</w:t>
                  </w:r>
                  <w:r>
                    <w:rPr>
                      <w:rFonts w:hint="eastAsia" w:ascii="Times New Roman" w:hAnsi="Times New Roman" w:eastAsia="宋体" w:cs="Times New Roman"/>
                      <w:color w:val="auto"/>
                      <w:szCs w:val="32"/>
                    </w:rPr>
                    <w:t>造纸、有色金属（铅、锌等）、农副食品加工、原料药制造、电镀、煤化工（煤制甲醇）、果汁等行业</w:t>
                  </w:r>
                  <w:r>
                    <w:rPr>
                      <w:rFonts w:hint="eastAsia" w:ascii="Times New Roman" w:hAnsi="Times New Roman" w:eastAsia="宋体" w:cs="Times New Roman"/>
                      <w:color w:val="auto"/>
                      <w:szCs w:val="32"/>
                      <w:lang w:eastAsia="zh-CN"/>
                    </w:rPr>
                    <w:t>，</w:t>
                  </w:r>
                  <w:r>
                    <w:rPr>
                      <w:rFonts w:hint="eastAsia" w:ascii="Times New Roman" w:hAnsi="Times New Roman" w:eastAsia="宋体" w:cs="Times New Roman"/>
                      <w:color w:val="auto"/>
                      <w:szCs w:val="32"/>
                      <w:lang w:val="en-US" w:eastAsia="zh-CN"/>
                    </w:rPr>
                    <w:t>无淘汰落后工艺。</w:t>
                  </w:r>
                </w:p>
              </w:tc>
              <w:tc>
                <w:tcPr>
                  <w:tcW w:w="827" w:type="dxa"/>
                  <w:tcBorders>
                    <w:tl2br w:val="nil"/>
                    <w:tr2bl w:val="nil"/>
                  </w:tcBorders>
                  <w:shd w:val="clear" w:color="auto" w:fill="FFFFFF"/>
                  <w:vAlign w:val="center"/>
                </w:tcPr>
                <w:p>
                  <w:pPr>
                    <w:pStyle w:val="35"/>
                    <w:ind w:left="-24" w:leftChars="-10" w:right="-24" w:rightChars="-1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923" w:type="dxa"/>
                  <w:vMerge w:val="continue"/>
                  <w:tcBorders>
                    <w:tl2br w:val="nil"/>
                    <w:tr2bl w:val="nil"/>
                  </w:tcBorders>
                  <w:vAlign w:val="center"/>
                </w:tcPr>
                <w:p>
                  <w:pPr>
                    <w:pStyle w:val="32"/>
                    <w:bidi w:val="0"/>
                    <w:jc w:val="center"/>
                    <w:rPr>
                      <w:rFonts w:hint="eastAsia"/>
                      <w:color w:val="auto"/>
                      <w:lang w:val="en-US" w:eastAsia="zh-CN"/>
                    </w:rPr>
                  </w:pPr>
                </w:p>
              </w:tc>
              <w:tc>
                <w:tcPr>
                  <w:tcW w:w="3699" w:type="dxa"/>
                  <w:gridSpan w:val="2"/>
                  <w:tcBorders>
                    <w:tl2br w:val="nil"/>
                    <w:tr2bl w:val="nil"/>
                  </w:tcBorders>
                  <w:shd w:val="clear" w:color="auto" w:fill="FFFFFF"/>
                  <w:vAlign w:val="center"/>
                </w:tcPr>
                <w:p>
                  <w:pPr>
                    <w:pStyle w:val="35"/>
                    <w:ind w:left="-24" w:leftChars="-10" w:right="-24" w:rightChars="-10" w:firstLine="0" w:firstLineChars="0"/>
                    <w:jc w:val="center"/>
                    <w:rPr>
                      <w:rFonts w:hint="default" w:ascii="Times New Roman" w:hAnsi="Times New Roman" w:eastAsia="宋体" w:cs="Times New Roman"/>
                      <w:bCs/>
                      <w:color w:val="auto"/>
                      <w:kern w:val="0"/>
                      <w:sz w:val="21"/>
                      <w:szCs w:val="32"/>
                      <w:lang w:val="en-US" w:eastAsia="zh-CN" w:bidi="ar-SA"/>
                    </w:rPr>
                  </w:pPr>
                  <w:r>
                    <w:rPr>
                      <w:rFonts w:hint="eastAsia" w:ascii="Times New Roman" w:hAnsi="Times New Roman" w:eastAsia="宋体" w:cs="Times New Roman"/>
                      <w:color w:val="auto"/>
                      <w:szCs w:val="32"/>
                    </w:rPr>
                    <w:t>集中治理工业集聚区水污染。强化高新技术开发区、经济技术开发区、工业园区等工业集聚区污染治理。集聚区内工业废水必须经预处理达到集中处理要求后，方可进入污水集中处理设施。</w:t>
                  </w:r>
                </w:p>
              </w:tc>
              <w:tc>
                <w:tcPr>
                  <w:tcW w:w="2157" w:type="dxa"/>
                  <w:tcBorders>
                    <w:tl2br w:val="nil"/>
                    <w:tr2bl w:val="nil"/>
                  </w:tcBorders>
                  <w:shd w:val="clear" w:color="auto" w:fill="FFFFFF"/>
                  <w:vAlign w:val="center"/>
                </w:tcPr>
                <w:p>
                  <w:pPr>
                    <w:pStyle w:val="35"/>
                    <w:ind w:left="-24" w:leftChars="-10" w:right="-24" w:rightChars="-10" w:firstLine="0" w:firstLineChars="0"/>
                    <w:jc w:val="center"/>
                    <w:rPr>
                      <w:rFonts w:hint="default" w:ascii="Times New Roman" w:hAnsi="Times New Roman" w:eastAsia="宋体" w:cs="Times New Roman"/>
                      <w:bCs/>
                      <w:color w:val="auto"/>
                      <w:kern w:val="0"/>
                      <w:sz w:val="21"/>
                      <w:szCs w:val="32"/>
                      <w:lang w:val="en-US" w:eastAsia="zh-CN" w:bidi="ar-SA"/>
                    </w:rPr>
                  </w:pPr>
                  <w:r>
                    <w:rPr>
                      <w:rFonts w:hint="eastAsia" w:ascii="Times New Roman" w:hAnsi="Times New Roman" w:eastAsia="宋体" w:cs="Times New Roman"/>
                      <w:color w:val="auto"/>
                      <w:szCs w:val="32"/>
                      <w:lang w:val="en-US" w:eastAsia="zh-CN"/>
                    </w:rPr>
                    <w:t>本项目生产废水拉运至岐山大源污水处理厂，均满足岐山大源污水处理厂纳管标准。</w:t>
                  </w:r>
                </w:p>
              </w:tc>
              <w:tc>
                <w:tcPr>
                  <w:tcW w:w="827" w:type="dxa"/>
                  <w:tcBorders>
                    <w:tl2br w:val="nil"/>
                    <w:tr2bl w:val="nil"/>
                  </w:tcBorders>
                  <w:shd w:val="clear" w:color="auto" w:fill="FFFFFF"/>
                  <w:vAlign w:val="center"/>
                </w:tcPr>
                <w:p>
                  <w:pPr>
                    <w:pStyle w:val="35"/>
                    <w:ind w:left="-24" w:leftChars="-10" w:right="-24" w:rightChars="-1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923" w:type="dxa"/>
                  <w:vMerge w:val="continue"/>
                  <w:tcBorders>
                    <w:tl2br w:val="nil"/>
                    <w:tr2bl w:val="nil"/>
                  </w:tcBorders>
                  <w:vAlign w:val="center"/>
                </w:tcPr>
                <w:p>
                  <w:pPr>
                    <w:pStyle w:val="32"/>
                    <w:bidi w:val="0"/>
                    <w:jc w:val="center"/>
                    <w:rPr>
                      <w:rFonts w:hint="eastAsia"/>
                      <w:color w:val="auto"/>
                      <w:lang w:val="en-US" w:eastAsia="zh-CN"/>
                    </w:rPr>
                  </w:pPr>
                </w:p>
              </w:tc>
              <w:tc>
                <w:tcPr>
                  <w:tcW w:w="3699" w:type="dxa"/>
                  <w:gridSpan w:val="2"/>
                  <w:tcBorders>
                    <w:tl2br w:val="nil"/>
                    <w:tr2bl w:val="nil"/>
                  </w:tcBorders>
                  <w:shd w:val="clear" w:color="auto" w:fill="FFFFFF"/>
                  <w:vAlign w:val="center"/>
                </w:tcPr>
                <w:p>
                  <w:pPr>
                    <w:pStyle w:val="35"/>
                    <w:ind w:left="-24" w:leftChars="-10" w:right="-24" w:rightChars="-10" w:firstLine="0" w:firstLineChars="0"/>
                    <w:jc w:val="center"/>
                    <w:rPr>
                      <w:rFonts w:hint="eastAsia" w:ascii="Times New Roman" w:hAnsi="Times New Roman" w:eastAsia="宋体" w:cs="Times New Roman"/>
                      <w:bCs/>
                      <w:color w:val="auto"/>
                      <w:kern w:val="0"/>
                      <w:sz w:val="21"/>
                      <w:szCs w:val="32"/>
                      <w:lang w:val="en-US" w:eastAsia="zh-CN" w:bidi="ar-SA"/>
                    </w:rPr>
                  </w:pPr>
                  <w:r>
                    <w:rPr>
                      <w:rFonts w:hint="eastAsia" w:ascii="Times New Roman" w:hAnsi="Times New Roman" w:eastAsia="宋体" w:cs="Times New Roman"/>
                      <w:color w:val="auto"/>
                      <w:szCs w:val="32"/>
                    </w:rPr>
                    <w:t>严格环境准入政策。根据流域水质目标和主体功能区规划要求，严格环境准入条件，细化功能分区，实施差别化环境准入政策。渭河流域禁止新建、扩建化学制浆造纸、化工、印染、果汁和淀粉加工等高耗水、高污染项目</w:t>
                  </w:r>
                  <w:r>
                    <w:rPr>
                      <w:rFonts w:hint="eastAsia" w:ascii="Times New Roman" w:hAnsi="Times New Roman" w:eastAsia="宋体" w:cs="Times New Roman"/>
                      <w:color w:val="auto"/>
                      <w:szCs w:val="32"/>
                      <w:lang w:eastAsia="zh-CN"/>
                    </w:rPr>
                    <w:t>。</w:t>
                  </w:r>
                </w:p>
              </w:tc>
              <w:tc>
                <w:tcPr>
                  <w:tcW w:w="2157" w:type="dxa"/>
                  <w:tcBorders>
                    <w:tl2br w:val="nil"/>
                    <w:tr2bl w:val="nil"/>
                  </w:tcBorders>
                  <w:shd w:val="clear" w:color="auto" w:fill="FFFFFF"/>
                  <w:vAlign w:val="center"/>
                </w:tcPr>
                <w:p>
                  <w:pPr>
                    <w:pStyle w:val="35"/>
                    <w:ind w:left="-24" w:leftChars="-10" w:right="-24" w:rightChars="-10" w:firstLine="0" w:firstLineChars="0"/>
                    <w:jc w:val="center"/>
                    <w:rPr>
                      <w:rFonts w:hint="eastAsia" w:ascii="Times New Roman" w:hAnsi="Times New Roman" w:eastAsia="宋体" w:cs="Times New Roman"/>
                      <w:bCs/>
                      <w:color w:val="auto"/>
                      <w:kern w:val="0"/>
                      <w:sz w:val="21"/>
                      <w:szCs w:val="32"/>
                      <w:lang w:val="en-US" w:eastAsia="zh-CN" w:bidi="ar-SA"/>
                    </w:rPr>
                  </w:pPr>
                  <w:r>
                    <w:rPr>
                      <w:rFonts w:hint="eastAsia" w:ascii="Times New Roman" w:hAnsi="Times New Roman" w:eastAsia="宋体" w:cs="Times New Roman"/>
                      <w:color w:val="auto"/>
                      <w:kern w:val="0"/>
                      <w:sz w:val="21"/>
                      <w:szCs w:val="21"/>
                      <w:lang w:val="en-US" w:eastAsia="zh-CN" w:bidi="ar"/>
                    </w:rPr>
                    <w:t>本项目不属于关中地区严格控制新建、扩建化学制浆造纸、化工、印染、果汁和淀粉加工等高耗水、高污染项目。</w:t>
                  </w:r>
                </w:p>
              </w:tc>
              <w:tc>
                <w:tcPr>
                  <w:tcW w:w="827" w:type="dxa"/>
                  <w:tcBorders>
                    <w:tl2br w:val="nil"/>
                    <w:tr2bl w:val="nil"/>
                  </w:tcBorders>
                  <w:shd w:val="clear" w:color="auto" w:fill="FFFFFF"/>
                  <w:vAlign w:val="center"/>
                </w:tcPr>
                <w:p>
                  <w:pPr>
                    <w:pStyle w:val="35"/>
                    <w:ind w:left="-24" w:leftChars="-10" w:right="-24" w:rightChars="-1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923" w:type="dxa"/>
                  <w:vMerge w:val="continue"/>
                  <w:tcBorders>
                    <w:tl2br w:val="nil"/>
                    <w:tr2bl w:val="nil"/>
                  </w:tcBorders>
                  <w:vAlign w:val="center"/>
                </w:tcPr>
                <w:p>
                  <w:pPr>
                    <w:pStyle w:val="32"/>
                    <w:bidi w:val="0"/>
                    <w:jc w:val="center"/>
                    <w:rPr>
                      <w:rFonts w:hint="eastAsia"/>
                      <w:color w:val="auto"/>
                      <w:lang w:val="en-US" w:eastAsia="zh-CN"/>
                    </w:rPr>
                  </w:pPr>
                </w:p>
              </w:tc>
              <w:tc>
                <w:tcPr>
                  <w:tcW w:w="3699" w:type="dxa"/>
                  <w:gridSpan w:val="2"/>
                  <w:tcBorders>
                    <w:tl2br w:val="nil"/>
                    <w:tr2bl w:val="nil"/>
                  </w:tcBorders>
                  <w:shd w:val="clear" w:color="auto" w:fill="FFFFFF"/>
                  <w:vAlign w:val="center"/>
                </w:tcPr>
                <w:p>
                  <w:pPr>
                    <w:pStyle w:val="35"/>
                    <w:ind w:left="-24" w:leftChars="-10" w:right="-24" w:rightChars="-10" w:firstLine="0" w:firstLineChars="0"/>
                    <w:jc w:val="center"/>
                    <w:rPr>
                      <w:rFonts w:hint="default" w:ascii="Times New Roman" w:hAnsi="Times New Roman" w:eastAsia="宋体" w:cs="Times New Roman"/>
                      <w:bCs/>
                      <w:color w:val="auto"/>
                      <w:kern w:val="0"/>
                      <w:sz w:val="21"/>
                      <w:szCs w:val="32"/>
                      <w:lang w:val="en-US" w:eastAsia="zh-CN" w:bidi="ar-SA"/>
                    </w:rPr>
                  </w:pPr>
                  <w:r>
                    <w:rPr>
                      <w:rFonts w:hint="eastAsia" w:ascii="Times New Roman" w:hAnsi="Times New Roman" w:eastAsia="宋体" w:cs="Times New Roman"/>
                      <w:color w:val="auto"/>
                      <w:szCs w:val="32"/>
                    </w:rPr>
                    <w:t>优化空间布局。合理确定发展布局、结构和规模。依据我市所在生态功能区，充分考虑水资源、水环境承载能力等要求，做到以水定城、以水定地、以水定人、以水定产。在符合城乡规划和土地利用总体规划的前提下，重大项目原则上布局在优化开发区和重点开发区。鼓励发展节水高效现代农业、低耗水高新技术产业以及生态环保型旅游业，严格控制高耗水、高污染行业发展，新建、改建、扩建重点行业建设项目实行主要污染物排放减量置换。渭河、嘉陵江等主要河流干流沿岸，要严格控制化学原料和化学制品制造、医药制造、有色金属冶炼等项目，合理布局生产装置及危险化学品仓储等设施，防范环境风险。</w:t>
                  </w:r>
                </w:p>
              </w:tc>
              <w:tc>
                <w:tcPr>
                  <w:tcW w:w="2157" w:type="dxa"/>
                  <w:tcBorders>
                    <w:tl2br w:val="nil"/>
                    <w:tr2bl w:val="nil"/>
                  </w:tcBorders>
                  <w:shd w:val="clear" w:color="auto" w:fill="FFFFFF"/>
                  <w:vAlign w:val="center"/>
                </w:tcPr>
                <w:p>
                  <w:pPr>
                    <w:pStyle w:val="35"/>
                    <w:ind w:left="-24" w:leftChars="-10" w:right="-24" w:rightChars="-10" w:firstLine="0" w:firstLineChars="0"/>
                    <w:jc w:val="center"/>
                    <w:rPr>
                      <w:rFonts w:hint="default" w:ascii="Times New Roman" w:hAnsi="Times New Roman" w:eastAsia="宋体" w:cs="Times New Roman"/>
                      <w:bCs/>
                      <w:color w:val="auto"/>
                      <w:kern w:val="0"/>
                      <w:sz w:val="21"/>
                      <w:szCs w:val="32"/>
                      <w:lang w:val="en-US" w:eastAsia="zh-CN" w:bidi="ar-SA"/>
                    </w:rPr>
                  </w:pPr>
                  <w:r>
                    <w:rPr>
                      <w:rFonts w:hint="eastAsia" w:ascii="Times New Roman" w:hAnsi="Times New Roman" w:eastAsia="宋体" w:cs="Times New Roman"/>
                      <w:color w:val="auto"/>
                      <w:szCs w:val="32"/>
                      <w:lang w:val="en-US" w:eastAsia="zh-CN"/>
                    </w:rPr>
                    <w:t>本项目不属于</w:t>
                  </w:r>
                  <w:r>
                    <w:rPr>
                      <w:rFonts w:hint="eastAsia" w:ascii="Times New Roman" w:hAnsi="Times New Roman" w:eastAsia="宋体" w:cs="Times New Roman"/>
                      <w:color w:val="auto"/>
                      <w:szCs w:val="32"/>
                    </w:rPr>
                    <w:t>高耗水、高污染行业</w:t>
                  </w:r>
                  <w:r>
                    <w:rPr>
                      <w:rFonts w:hint="eastAsia" w:ascii="Times New Roman" w:hAnsi="Times New Roman" w:eastAsia="宋体" w:cs="Times New Roman"/>
                      <w:color w:val="auto"/>
                      <w:szCs w:val="32"/>
                      <w:lang w:eastAsia="zh-CN"/>
                    </w:rPr>
                    <w:t>。</w:t>
                  </w:r>
                  <w:r>
                    <w:rPr>
                      <w:rFonts w:hint="eastAsia" w:ascii="Times New Roman" w:hAnsi="Times New Roman" w:eastAsia="宋体" w:cs="Times New Roman"/>
                      <w:color w:val="auto"/>
                      <w:szCs w:val="32"/>
                      <w:lang w:val="en-US" w:eastAsia="zh-CN"/>
                    </w:rPr>
                    <w:t>项目不属于</w:t>
                  </w:r>
                  <w:r>
                    <w:rPr>
                      <w:rFonts w:hint="eastAsia" w:ascii="Times New Roman" w:hAnsi="Times New Roman" w:eastAsia="宋体" w:cs="Times New Roman"/>
                      <w:color w:val="auto"/>
                      <w:szCs w:val="32"/>
                    </w:rPr>
                    <w:t>石油加工、化学原料和化学制品制造、医药制造、化学纤维制造、有色金属冶炼、纺织印染等项目</w:t>
                  </w:r>
                  <w:r>
                    <w:rPr>
                      <w:rFonts w:hint="eastAsia" w:ascii="Times New Roman" w:hAnsi="Times New Roman" w:eastAsia="宋体" w:cs="Times New Roman"/>
                      <w:color w:val="auto"/>
                      <w:szCs w:val="32"/>
                      <w:lang w:eastAsia="zh-CN"/>
                    </w:rPr>
                    <w:t>。</w:t>
                  </w:r>
                  <w:r>
                    <w:rPr>
                      <w:rFonts w:hint="eastAsia" w:cs="Times New Roman"/>
                      <w:color w:val="auto"/>
                      <w:szCs w:val="32"/>
                      <w:lang w:val="en-US" w:eastAsia="zh-CN"/>
                    </w:rPr>
                    <w:t>项目严格控制生产过程用水量，废水经岐山县大源污水处理厂处理后达标排放。</w:t>
                  </w:r>
                </w:p>
              </w:tc>
              <w:tc>
                <w:tcPr>
                  <w:tcW w:w="827" w:type="dxa"/>
                  <w:tcBorders>
                    <w:tl2br w:val="nil"/>
                    <w:tr2bl w:val="nil"/>
                  </w:tcBorders>
                  <w:shd w:val="clear" w:color="auto" w:fill="FFFFFF"/>
                  <w:vAlign w:val="center"/>
                </w:tcPr>
                <w:p>
                  <w:pPr>
                    <w:pStyle w:val="35"/>
                    <w:ind w:left="-24" w:leftChars="-10" w:right="-24" w:rightChars="-1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restart"/>
                  <w:tcBorders>
                    <w:tl2br w:val="nil"/>
                    <w:tr2bl w:val="nil"/>
                  </w:tcBorders>
                  <w:vAlign w:val="center"/>
                </w:tcPr>
                <w:p>
                  <w:pPr>
                    <w:pStyle w:val="32"/>
                    <w:bidi w:val="0"/>
                    <w:jc w:val="center"/>
                    <w:rPr>
                      <w:rFonts w:hint="eastAsia"/>
                      <w:color w:val="auto"/>
                      <w:lang w:val="en-US" w:eastAsia="zh-CN"/>
                    </w:rPr>
                  </w:pPr>
                  <w:r>
                    <w:rPr>
                      <w:rFonts w:hint="eastAsia" w:ascii="Times New Roman" w:hAnsi="Times New Roman" w:eastAsia="宋体" w:cs="Times New Roman"/>
                      <w:color w:val="auto"/>
                      <w:lang w:val="en-US" w:eastAsia="zh-CN"/>
                    </w:rPr>
                    <w:t>《陕西省大气污染治理专项行动方案（2023-2027）》（陕发〔2023〕4号）</w:t>
                  </w:r>
                </w:p>
              </w:tc>
              <w:tc>
                <w:tcPr>
                  <w:tcW w:w="3699" w:type="dxa"/>
                  <w:gridSpan w:val="2"/>
                  <w:tcBorders>
                    <w:tl2br w:val="nil"/>
                    <w:tr2bl w:val="nil"/>
                  </w:tcBorders>
                  <w:vAlign w:val="center"/>
                </w:tcPr>
                <w:p>
                  <w:pPr>
                    <w:pStyle w:val="32"/>
                    <w:bidi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rPr>
                    <w:t>关中地区市辖区及开发区范围内新、改、扩建涉气重点行业企业应达到环保绩效A级、绩效引领性水平，</w:t>
                  </w:r>
                  <w:r>
                    <w:rPr>
                      <w:rFonts w:hint="eastAsia"/>
                      <w:color w:val="auto"/>
                      <w:highlight w:val="none"/>
                      <w:lang w:eastAsia="zh-CN"/>
                    </w:rPr>
                    <w:t>宝鸡市</w:t>
                  </w:r>
                  <w:r>
                    <w:rPr>
                      <w:rFonts w:hint="eastAsia"/>
                      <w:color w:val="auto"/>
                      <w:highlight w:val="none"/>
                    </w:rPr>
                    <w:t>、咸阳市、渭南市的其他区域应达到环保绩效B</w:t>
                  </w:r>
                  <w:r>
                    <w:rPr>
                      <w:rFonts w:hint="eastAsia"/>
                      <w:color w:val="auto"/>
                      <w:highlight w:val="none"/>
                      <w:lang w:eastAsia="zh-CN"/>
                    </w:rPr>
                    <w:t>级以上</w:t>
                  </w:r>
                  <w:r>
                    <w:rPr>
                      <w:rFonts w:hint="eastAsia"/>
                      <w:color w:val="auto"/>
                      <w:highlight w:val="none"/>
                    </w:rPr>
                    <w:t>水平。</w:t>
                  </w:r>
                </w:p>
              </w:tc>
              <w:tc>
                <w:tcPr>
                  <w:tcW w:w="2157" w:type="dxa"/>
                  <w:tcBorders>
                    <w:tl2br w:val="nil"/>
                    <w:tr2bl w:val="nil"/>
                  </w:tcBorders>
                  <w:vAlign w:val="center"/>
                </w:tcPr>
                <w:p>
                  <w:pPr>
                    <w:pStyle w:val="12"/>
                    <w:spacing w:line="240" w:lineRule="auto"/>
                    <w:ind w:left="0" w:leftChars="0" w:firstLine="0" w:firstLineChars="0"/>
                    <w:jc w:val="center"/>
                    <w:rPr>
                      <w:rFonts w:hint="eastAsia" w:ascii="Times New Roman" w:hAnsi="Times New Roman" w:eastAsia="宋体" w:cs="Times New Roman"/>
                      <w:color w:val="auto"/>
                      <w:kern w:val="0"/>
                      <w:sz w:val="21"/>
                      <w:szCs w:val="21"/>
                      <w:lang w:val="en-US" w:eastAsia="zh-CN" w:bidi="ar"/>
                    </w:rPr>
                  </w:pPr>
                  <w:r>
                    <w:rPr>
                      <w:color w:val="auto"/>
                    </w:rPr>
                    <w:t>根据《关于进一步加强关中地区涉气重点行业项目环评管理的通知》和《重污染天气重点行业应急减排措施制定技术指南》（2020年修订版），本项目不属于重点行业。</w:t>
                  </w:r>
                </w:p>
              </w:tc>
              <w:tc>
                <w:tcPr>
                  <w:tcW w:w="827" w:type="dxa"/>
                  <w:tcBorders>
                    <w:tl2br w:val="nil"/>
                    <w:tr2bl w:val="nil"/>
                  </w:tcBorders>
                  <w:vAlign w:val="center"/>
                </w:tcPr>
                <w:p>
                  <w:pPr>
                    <w:pStyle w:val="12"/>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eastAsia" w:ascii="Times New Roman" w:hAnsi="Times New Roman" w:eastAsia="宋体" w:cs="Times New Roman"/>
                      <w:color w:val="auto"/>
                      <w:lang w:val="en-US" w:eastAsia="zh-CN"/>
                    </w:rPr>
                  </w:pPr>
                </w:p>
              </w:tc>
              <w:tc>
                <w:tcPr>
                  <w:tcW w:w="3699" w:type="dxa"/>
                  <w:gridSpan w:val="2"/>
                  <w:tcBorders>
                    <w:tl2br w:val="nil"/>
                    <w:tr2bl w:val="nil"/>
                  </w:tcBorders>
                  <w:vAlign w:val="center"/>
                </w:tcPr>
                <w:p>
                  <w:pPr>
                    <w:pStyle w:val="12"/>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产业发展结构调整。关中地区严禁新增钢铁、焦化、水泥熟料、平板玻璃、电解铝、氧化铝、煤化工产能，合理控制煤制油气产能规模，严控新增炼油产能。</w:t>
                  </w:r>
                </w:p>
              </w:tc>
              <w:tc>
                <w:tcPr>
                  <w:tcW w:w="2157" w:type="dxa"/>
                  <w:tcBorders>
                    <w:tl2br w:val="nil"/>
                    <w:tr2bl w:val="nil"/>
                  </w:tcBorders>
                  <w:vAlign w:val="center"/>
                </w:tcPr>
                <w:p>
                  <w:pPr>
                    <w:pStyle w:val="35"/>
                    <w:bidi w:val="0"/>
                    <w:ind w:left="-24" w:leftChars="-10" w:right="-24" w:rightChars="-10" w:firstLine="0" w:firstLineChars="0"/>
                    <w:jc w:val="center"/>
                    <w:rPr>
                      <w:rFonts w:hint="eastAsia" w:ascii="Times New Roman" w:hAnsi="Times New Roman" w:eastAsia="宋体" w:cs="Times New Roman"/>
                      <w:bCs/>
                      <w:color w:val="auto"/>
                      <w:kern w:val="0"/>
                      <w:sz w:val="21"/>
                      <w:szCs w:val="21"/>
                      <w:lang w:val="en-US" w:eastAsia="zh-CN" w:bidi="ar"/>
                    </w:rPr>
                  </w:pPr>
                  <w:r>
                    <w:rPr>
                      <w:rFonts w:hint="eastAsia" w:ascii="Times New Roman" w:hAnsi="Times New Roman" w:eastAsia="宋体"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w:t>
                  </w:r>
                  <w:r>
                    <w:rPr>
                      <w:rFonts w:hint="default" w:ascii="Times New Roman" w:hAnsi="Times New Roman" w:eastAsia="宋体" w:cs="Times New Roman"/>
                      <w:color w:val="auto"/>
                      <w:kern w:val="0"/>
                      <w:sz w:val="21"/>
                      <w:szCs w:val="21"/>
                      <w:lang w:val="en-US" w:eastAsia="zh-CN" w:bidi="ar"/>
                    </w:rPr>
                    <w:t>不属于钢铁、焦化、水泥熟料、平板玻璃、电解铝、氧化铝、煤化工等相关产业</w:t>
                  </w:r>
                  <w:r>
                    <w:rPr>
                      <w:rFonts w:hint="eastAsia" w:eastAsia="宋体" w:cs="Times New Roman"/>
                      <w:color w:val="auto"/>
                      <w:kern w:val="0"/>
                      <w:sz w:val="21"/>
                      <w:szCs w:val="21"/>
                      <w:lang w:val="en-US" w:eastAsia="zh-CN" w:bidi="ar"/>
                    </w:rPr>
                    <w:t>。</w:t>
                  </w:r>
                </w:p>
              </w:tc>
              <w:tc>
                <w:tcPr>
                  <w:tcW w:w="827" w:type="dxa"/>
                  <w:tcBorders>
                    <w:tl2br w:val="nil"/>
                    <w:tr2bl w:val="nil"/>
                  </w:tcBorders>
                  <w:vAlign w:val="center"/>
                </w:tcPr>
                <w:p>
                  <w:pPr>
                    <w:pStyle w:val="12"/>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tcBorders>
                    <w:tl2br w:val="nil"/>
                    <w:tr2bl w:val="nil"/>
                  </w:tcBorders>
                  <w:vAlign w:val="center"/>
                </w:tcPr>
                <w:p>
                  <w:pPr>
                    <w:pStyle w:val="12"/>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《陕西省噪声污染防治行动计划（2023</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2025年）》</w:t>
                  </w:r>
                </w:p>
              </w:tc>
              <w:tc>
                <w:tcPr>
                  <w:tcW w:w="3699" w:type="dxa"/>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强化工业园区噪声管控。鼓励工业园区进行噪声污染分区管控，优化设备布局和物流运输路线，采用低噪声设备和运输工具。推动有高噪声设备的工业企业项目和噪声重点排污企业进入工业或产业园区，严控向乡村居住区域转移。</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推进工业噪声实施排污许可管理。</w:t>
                  </w:r>
                  <w:r>
                    <w:rPr>
                      <w:rFonts w:hint="eastAsia" w:ascii="Times New Roman" w:hAnsi="Times New Roman" w:eastAsia="宋体" w:cs="Times New Roman"/>
                      <w:color w:val="auto"/>
                      <w:sz w:val="21"/>
                      <w:szCs w:val="21"/>
                      <w:highlight w:val="none"/>
                      <w:lang w:eastAsia="zh-CN"/>
                    </w:rPr>
                    <w:t>根据</w:t>
                  </w:r>
                  <w:r>
                    <w:rPr>
                      <w:rFonts w:hint="default" w:ascii="Times New Roman" w:hAnsi="Times New Roman" w:eastAsia="宋体" w:cs="Times New Roman"/>
                      <w:color w:val="auto"/>
                      <w:sz w:val="21"/>
                      <w:szCs w:val="21"/>
                      <w:highlight w:val="none"/>
                      <w:lang w:eastAsia="zh-CN"/>
                    </w:rPr>
                    <w:t>工业噪声排污许可证申请与核发技术规范，依法开展工业噪声排污许可证核发及排污登记工作，严格执行排污许可证、环评及批复文件的噪声排放管理要求；实行排污许可管理的单位依证排污，按照规定开展自行监测并向社会公开。</w:t>
                  </w:r>
                </w:p>
              </w:tc>
              <w:tc>
                <w:tcPr>
                  <w:tcW w:w="2157" w:type="dxa"/>
                  <w:tcBorders>
                    <w:tl2br w:val="nil"/>
                    <w:tr2bl w:val="nil"/>
                  </w:tcBorders>
                  <w:vAlign w:val="center"/>
                </w:tcPr>
                <w:p>
                  <w:pPr>
                    <w:pStyle w:val="59"/>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本项目通过</w:t>
                  </w:r>
                  <w:r>
                    <w:rPr>
                      <w:rFonts w:hint="default" w:ascii="Times New Roman" w:hAnsi="Times New Roman" w:cs="Times New Roman"/>
                      <w:color w:val="auto"/>
                      <w:kern w:val="2"/>
                      <w:sz w:val="21"/>
                      <w:szCs w:val="21"/>
                      <w:lang w:val="en-US" w:eastAsia="zh-CN" w:bidi="ar-SA"/>
                    </w:rPr>
                    <w:t>合理布局，高噪声设备尽可能远离声环境保护目标。选用低噪声设备，低噪声工艺；采取声学控制措施，如对</w:t>
                  </w:r>
                  <w:r>
                    <w:rPr>
                      <w:rFonts w:hint="eastAsia" w:ascii="Times New Roman" w:hAnsi="Times New Roman" w:cs="Times New Roman"/>
                      <w:color w:val="auto"/>
                      <w:kern w:val="2"/>
                      <w:sz w:val="21"/>
                      <w:szCs w:val="21"/>
                      <w:lang w:val="en-US" w:eastAsia="zh-CN" w:bidi="ar-SA"/>
                    </w:rPr>
                    <w:t>噪声源强较大的设备</w:t>
                  </w:r>
                  <w:r>
                    <w:rPr>
                      <w:rFonts w:hint="default" w:ascii="Times New Roman" w:hAnsi="Times New Roman" w:cs="Times New Roman"/>
                      <w:color w:val="auto"/>
                      <w:kern w:val="2"/>
                      <w:sz w:val="21"/>
                      <w:szCs w:val="21"/>
                      <w:lang w:val="en-US" w:eastAsia="zh-CN" w:bidi="ar-SA"/>
                    </w:rPr>
                    <w:t>声源采用吸声、减振等措施，对</w:t>
                  </w:r>
                  <w:r>
                    <w:rPr>
                      <w:rFonts w:hint="eastAsia" w:ascii="Times New Roman" w:hAnsi="Times New Roman" w:cs="Times New Roman"/>
                      <w:color w:val="auto"/>
                      <w:kern w:val="2"/>
                      <w:sz w:val="21"/>
                      <w:szCs w:val="21"/>
                      <w:lang w:val="en-US" w:eastAsia="zh-CN" w:bidi="ar-SA"/>
                    </w:rPr>
                    <w:t>设备定期</w:t>
                  </w:r>
                  <w:r>
                    <w:rPr>
                      <w:rFonts w:hint="default" w:ascii="Times New Roman" w:hAnsi="Times New Roman" w:cs="Times New Roman"/>
                      <w:color w:val="auto"/>
                      <w:kern w:val="2"/>
                      <w:sz w:val="21"/>
                      <w:szCs w:val="21"/>
                      <w:lang w:val="en-US" w:eastAsia="zh-CN" w:bidi="ar-SA"/>
                    </w:rPr>
                    <w:t>维护保养。</w:t>
                  </w:r>
                  <w:r>
                    <w:rPr>
                      <w:rFonts w:hint="eastAsia" w:ascii="Times New Roman" w:hAnsi="Times New Roman" w:cs="Times New Roman"/>
                      <w:color w:val="auto"/>
                      <w:kern w:val="2"/>
                      <w:sz w:val="21"/>
                      <w:szCs w:val="21"/>
                      <w:lang w:val="en-US" w:eastAsia="zh-CN" w:bidi="ar-SA"/>
                    </w:rPr>
                    <w:t>本次环评要求项目</w:t>
                  </w:r>
                  <w:r>
                    <w:rPr>
                      <w:rFonts w:hint="default" w:ascii="Times New Roman" w:hAnsi="Times New Roman" w:cs="Times New Roman"/>
                      <w:color w:val="auto"/>
                      <w:kern w:val="2"/>
                      <w:sz w:val="21"/>
                      <w:szCs w:val="21"/>
                      <w:lang w:val="en-US" w:eastAsia="zh-CN" w:bidi="ar-SA"/>
                    </w:rPr>
                    <w:t>严格按照</w:t>
                  </w:r>
                  <w:r>
                    <w:rPr>
                      <w:rFonts w:hint="default" w:ascii="Times New Roman" w:hAnsi="Times New Roman" w:eastAsia="宋体" w:cs="Times New Roman"/>
                      <w:color w:val="auto"/>
                      <w:sz w:val="21"/>
                      <w:szCs w:val="21"/>
                      <w:highlight w:val="none"/>
                      <w:lang w:eastAsia="zh-CN"/>
                    </w:rPr>
                    <w:t>工业噪声排污许可证申请与核发技术规范，</w:t>
                  </w:r>
                  <w:r>
                    <w:rPr>
                      <w:rFonts w:hint="default" w:ascii="Times New Roman" w:hAnsi="Times New Roman" w:cs="Times New Roman"/>
                      <w:color w:val="auto"/>
                      <w:kern w:val="2"/>
                      <w:sz w:val="21"/>
                      <w:szCs w:val="21"/>
                      <w:lang w:val="en-US" w:eastAsia="zh-CN" w:bidi="ar-SA"/>
                    </w:rPr>
                    <w:t>按照规定开展自行监测并向社会公开。</w:t>
                  </w:r>
                </w:p>
              </w:tc>
              <w:tc>
                <w:tcPr>
                  <w:tcW w:w="827" w:type="dxa"/>
                  <w:tcBorders>
                    <w:tl2br w:val="nil"/>
                    <w:tr2bl w:val="nil"/>
                  </w:tcBorders>
                  <w:vAlign w:val="center"/>
                </w:tcPr>
                <w:p>
                  <w:pPr>
                    <w:pStyle w:val="12"/>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restart"/>
                  <w:tcBorders>
                    <w:tl2br w:val="nil"/>
                    <w:tr2bl w:val="nil"/>
                  </w:tcBorders>
                  <w:vAlign w:val="center"/>
                </w:tcPr>
                <w:p>
                  <w:pPr>
                    <w:pStyle w:val="32"/>
                    <w:bidi w:val="0"/>
                    <w:jc w:val="center"/>
                    <w:rPr>
                      <w:rFonts w:hint="default"/>
                      <w:color w:val="auto"/>
                    </w:rPr>
                  </w:pPr>
                  <w:r>
                    <w:rPr>
                      <w:rFonts w:hint="default" w:ascii="Times New Roman" w:hAnsi="Times New Roman" w:cs="Times New Roman"/>
                      <w:color w:val="auto"/>
                    </w:rPr>
                    <w:t>《宝鸡市</w:t>
                  </w:r>
                  <w:r>
                    <w:rPr>
                      <w:rFonts w:hint="default" w:ascii="Times New Roman" w:hAnsi="Times New Roman" w:cs="Times New Roman"/>
                      <w:color w:val="auto"/>
                      <w:lang w:eastAsia="zh-CN"/>
                    </w:rPr>
                    <w:t>“</w:t>
                  </w:r>
                  <w:r>
                    <w:rPr>
                      <w:rFonts w:hint="default" w:ascii="Times New Roman" w:hAnsi="Times New Roman" w:cs="Times New Roman"/>
                      <w:color w:val="auto"/>
                    </w:rPr>
                    <w:t>十</w:t>
                  </w:r>
                  <w:r>
                    <w:rPr>
                      <w:rFonts w:hint="default" w:ascii="Times New Roman" w:hAnsi="Times New Roman" w:cs="Times New Roman"/>
                      <w:color w:val="auto"/>
                      <w:lang w:val="en-US" w:eastAsia="zh-CN"/>
                    </w:rPr>
                    <w:t>四</w:t>
                  </w:r>
                  <w:r>
                    <w:rPr>
                      <w:rFonts w:hint="default" w:ascii="Times New Roman" w:hAnsi="Times New Roman" w:cs="Times New Roman"/>
                      <w:color w:val="auto"/>
                    </w:rPr>
                    <w:t>五</w:t>
                  </w:r>
                  <w:r>
                    <w:rPr>
                      <w:rFonts w:hint="default" w:ascii="Times New Roman" w:hAnsi="Times New Roman" w:cs="Times New Roman"/>
                      <w:color w:val="auto"/>
                      <w:lang w:eastAsia="zh-CN"/>
                    </w:rPr>
                    <w:t>”</w:t>
                  </w:r>
                  <w:r>
                    <w:rPr>
                      <w:rFonts w:hint="default" w:ascii="Times New Roman" w:hAnsi="Times New Roman" w:cs="Times New Roman"/>
                      <w:color w:val="auto"/>
                    </w:rPr>
                    <w:t>生态环境保护规划》</w:t>
                  </w:r>
                </w:p>
              </w:tc>
              <w:tc>
                <w:tcPr>
                  <w:tcW w:w="369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加强工业污染治理持续实施重点行业提标改造。降低电力、水泥、玻璃、石油、化工、有色金属、纺织印染、建材等行业大气污染排放。实施宝鸡鸿瑞建材有限公司等6家工业企业污染源治理、千阳县非煤矿山无组织排放治理和工业企业扬尘源无组织排放治理等项目。严格执行重点行业主要大气污染物排放标准，倒逼相关企业对烟粉尘、二氧化硫、氮氧化物等主要污染物治理设施进行提标改造。加强焦化、石化、水泥等行业无组织排放监督管理，采取高效扬尘管控措施，有效防止起尘。</w:t>
                  </w:r>
                </w:p>
              </w:tc>
              <w:tc>
                <w:tcPr>
                  <w:tcW w:w="21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项目</w:t>
                  </w:r>
                  <w:r>
                    <w:rPr>
                      <w:rFonts w:hint="eastAsia" w:ascii="Times New Roman" w:hAnsi="Times New Roman" w:eastAsia="宋体" w:cs="Times New Roman"/>
                      <w:color w:val="auto"/>
                      <w:kern w:val="0"/>
                      <w:sz w:val="21"/>
                      <w:szCs w:val="21"/>
                      <w:lang w:val="en-US" w:eastAsia="zh-CN" w:bidi="ar"/>
                    </w:rPr>
                    <w:t>严格落实扬尘污染治理措施，加强无组织排放监督管理，采取高效扬尘管控措施。</w:t>
                  </w:r>
                </w:p>
              </w:tc>
              <w:tc>
                <w:tcPr>
                  <w:tcW w:w="8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default" w:ascii="Times New Roman" w:hAnsi="Times New Roman" w:cs="Times New Roman"/>
                      <w:color w:val="auto"/>
                    </w:rPr>
                  </w:pPr>
                </w:p>
              </w:tc>
              <w:tc>
                <w:tcPr>
                  <w:tcW w:w="369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强化涉固体废物建设项目</w:t>
                  </w:r>
                  <w:r>
                    <w:rPr>
                      <w:rFonts w:hint="eastAsia" w:ascii="Times New Roman" w:hAnsi="Times New Roman" w:eastAsia="宋体" w:cs="Times New Roman"/>
                      <w:color w:val="auto"/>
                      <w:kern w:val="0"/>
                      <w:sz w:val="21"/>
                      <w:szCs w:val="21"/>
                      <w:lang w:val="en-US" w:eastAsia="zh-CN" w:bidi="ar"/>
                    </w:rPr>
                    <w:t>的环</w:t>
                  </w:r>
                  <w:r>
                    <w:rPr>
                      <w:rFonts w:hint="default" w:ascii="Times New Roman" w:hAnsi="Times New Roman" w:eastAsia="宋体" w:cs="Times New Roman"/>
                      <w:color w:val="auto"/>
                      <w:kern w:val="0"/>
                      <w:sz w:val="21"/>
                      <w:szCs w:val="21"/>
                      <w:lang w:val="en-US" w:eastAsia="zh-CN" w:bidi="ar"/>
                    </w:rPr>
                    <w:t>境准入管理，从源头杜绝工业固体废物产生量大且综合利率低，难以实现经济效益、环境效益和社会效益相协调的项目落地。</w:t>
                  </w:r>
                </w:p>
              </w:tc>
              <w:tc>
                <w:tcPr>
                  <w:tcW w:w="21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本项目</w:t>
                  </w:r>
                  <w:r>
                    <w:rPr>
                      <w:rFonts w:hint="eastAsia" w:ascii="Times New Roman" w:hAnsi="Times New Roman" w:eastAsia="宋体" w:cs="Times New Roman"/>
                      <w:color w:val="auto"/>
                      <w:kern w:val="0"/>
                      <w:sz w:val="21"/>
                      <w:szCs w:val="21"/>
                      <w:lang w:val="en-US" w:eastAsia="zh-CN" w:bidi="ar"/>
                    </w:rPr>
                    <w:t>一般固体废物均综合利用，</w:t>
                  </w:r>
                  <w:r>
                    <w:rPr>
                      <w:rFonts w:hint="default" w:ascii="Times New Roman" w:hAnsi="Times New Roman" w:eastAsia="宋体" w:cs="Times New Roman"/>
                      <w:color w:val="auto"/>
                      <w:kern w:val="0"/>
                      <w:sz w:val="21"/>
                      <w:szCs w:val="21"/>
                      <w:lang w:val="en-US" w:eastAsia="zh-CN" w:bidi="ar"/>
                    </w:rPr>
                    <w:t>实现一般固废“资源化”利用，严格落实本评价提出的措施后，固体废物</w:t>
                  </w:r>
                  <w:r>
                    <w:rPr>
                      <w:rFonts w:hint="eastAsia" w:ascii="Times New Roman" w:hAnsi="Times New Roman" w:eastAsia="宋体" w:cs="Times New Roman"/>
                      <w:color w:val="auto"/>
                      <w:kern w:val="0"/>
                      <w:sz w:val="21"/>
                      <w:szCs w:val="21"/>
                      <w:lang w:val="en-US" w:eastAsia="zh-CN" w:bidi="ar"/>
                    </w:rPr>
                    <w:t>利用</w:t>
                  </w:r>
                  <w:r>
                    <w:rPr>
                      <w:rFonts w:hint="default" w:ascii="Times New Roman" w:hAnsi="Times New Roman" w:eastAsia="宋体" w:cs="Times New Roman"/>
                      <w:color w:val="auto"/>
                      <w:kern w:val="0"/>
                      <w:sz w:val="21"/>
                      <w:szCs w:val="21"/>
                      <w:lang w:val="en-US" w:eastAsia="zh-CN" w:bidi="ar"/>
                    </w:rPr>
                    <w:t>率达100%。</w:t>
                  </w:r>
                </w:p>
              </w:tc>
              <w:tc>
                <w:tcPr>
                  <w:tcW w:w="827" w:type="dxa"/>
                  <w:tcBorders>
                    <w:tl2br w:val="nil"/>
                    <w:tr2bl w:val="nil"/>
                  </w:tcBorders>
                  <w:vAlign w:val="center"/>
                </w:tcPr>
                <w:p>
                  <w:pPr>
                    <w:pStyle w:val="12"/>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restart"/>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宝鸡市环境空气质量限期达标规划</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position w:val="0"/>
                      <w:sz w:val="21"/>
                      <w:szCs w:val="21"/>
                      <w:highlight w:val="none"/>
                      <w:lang w:val="en-US" w:eastAsia="zh-CN"/>
                    </w:rPr>
                    <w:t>（2023</w:t>
                  </w:r>
                  <w:r>
                    <w:rPr>
                      <w:rFonts w:hint="eastAsia" w:ascii="Times New Roman" w:hAnsi="Times New Roman" w:eastAsia="宋体"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2030年）</w:t>
                  </w:r>
                  <w:r>
                    <w:rPr>
                      <w:rFonts w:hint="eastAsia" w:ascii="Times New Roman" w:hAnsi="Times New Roman" w:eastAsia="宋体" w:cs="Times New Roman"/>
                      <w:color w:val="auto"/>
                      <w:spacing w:val="0"/>
                      <w:position w:val="0"/>
                      <w:sz w:val="21"/>
                      <w:szCs w:val="21"/>
                      <w:highlight w:val="none"/>
                      <w:lang w:val="en-US" w:eastAsia="zh-CN"/>
                    </w:rPr>
                    <w:t>》</w:t>
                  </w:r>
                </w:p>
              </w:tc>
              <w:tc>
                <w:tcPr>
                  <w:tcW w:w="3699"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zh-CN" w:eastAsia="zh-CN" w:bidi="ar"/>
                    </w:rPr>
                    <w:t>科学规划产业布局</w:t>
                  </w:r>
                  <w:r>
                    <w:rPr>
                      <w:rFonts w:hint="eastAsia"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zh-CN" w:eastAsia="zh-CN" w:bidi="ar"/>
                    </w:rPr>
                    <w:t>严格落实国家产业规划、产业政策、“三线一单”、规划环评以及产能置换、煤炭消费减量替代、区域污染物削减等要求，严禁不符合规定的项目建设。严格执行高耗能、高污染和资源型行业准入条件，明确各县（区）资源能源集约利用、单位GDP污染物排放、单位GDP建设用地使用面积等指标要求，严格控制高耗能、高污染项目建设，推动地区产业高质量发展。严把重大建设项目环境影响评价、节能评估准入关口，严格执行主要污染物总量等量或倍量削减要求，以总量定项目和产能，从源头预防大气环境污染。</w:t>
                  </w:r>
                </w:p>
              </w:tc>
              <w:tc>
                <w:tcPr>
                  <w:tcW w:w="215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本项目符合</w:t>
                  </w:r>
                  <w:r>
                    <w:rPr>
                      <w:rFonts w:hint="default" w:ascii="Times New Roman" w:hAnsi="Times New Roman" w:eastAsia="宋体" w:cs="Times New Roman"/>
                      <w:color w:val="auto"/>
                      <w:kern w:val="0"/>
                      <w:sz w:val="21"/>
                      <w:szCs w:val="21"/>
                      <w:lang w:val="zh-CN" w:eastAsia="zh-CN" w:bidi="ar"/>
                    </w:rPr>
                    <w:t>国家产业规划、产业政策、“三线一单”</w:t>
                  </w:r>
                  <w:r>
                    <w:rPr>
                      <w:rFonts w:hint="eastAsia" w:ascii="Times New Roman" w:hAnsi="Times New Roman" w:eastAsia="宋体" w:cs="Times New Roman"/>
                      <w:color w:val="auto"/>
                      <w:kern w:val="0"/>
                      <w:sz w:val="21"/>
                      <w:szCs w:val="21"/>
                      <w:lang w:val="en-US" w:eastAsia="zh-CN" w:bidi="ar"/>
                    </w:rPr>
                    <w:t>等政策，项目不属于</w:t>
                  </w:r>
                  <w:r>
                    <w:rPr>
                      <w:rFonts w:hint="default" w:ascii="Times New Roman" w:hAnsi="Times New Roman" w:eastAsia="宋体" w:cs="Times New Roman"/>
                      <w:color w:val="auto"/>
                      <w:kern w:val="0"/>
                      <w:sz w:val="21"/>
                      <w:szCs w:val="21"/>
                      <w:lang w:val="zh-CN" w:eastAsia="zh-CN" w:bidi="ar"/>
                    </w:rPr>
                    <w:t>高耗能、高污染和资源型行业</w:t>
                  </w:r>
                  <w:r>
                    <w:rPr>
                      <w:rFonts w:hint="eastAsia" w:ascii="Times New Roman" w:hAnsi="Times New Roman" w:eastAsia="宋体" w:cs="Times New Roman"/>
                      <w:color w:val="auto"/>
                      <w:kern w:val="0"/>
                      <w:sz w:val="21"/>
                      <w:szCs w:val="21"/>
                      <w:lang w:val="zh-CN" w:eastAsia="zh-CN" w:bidi="ar"/>
                    </w:rPr>
                    <w:t>，</w:t>
                  </w:r>
                  <w:r>
                    <w:rPr>
                      <w:rFonts w:hint="eastAsia" w:ascii="Times New Roman" w:hAnsi="Times New Roman" w:eastAsia="宋体" w:cs="Times New Roman"/>
                      <w:color w:val="auto"/>
                      <w:kern w:val="0"/>
                      <w:sz w:val="21"/>
                      <w:szCs w:val="21"/>
                      <w:lang w:val="en-US" w:eastAsia="zh-CN" w:bidi="ar"/>
                    </w:rPr>
                    <w:t>项目不涉及</w:t>
                  </w:r>
                  <w:r>
                    <w:rPr>
                      <w:rFonts w:hint="default" w:ascii="Times New Roman" w:hAnsi="Times New Roman" w:eastAsia="宋体" w:cs="Times New Roman"/>
                      <w:color w:val="auto"/>
                      <w:kern w:val="0"/>
                      <w:sz w:val="21"/>
                      <w:szCs w:val="21"/>
                      <w:lang w:val="zh-CN" w:eastAsia="zh-CN" w:bidi="ar"/>
                    </w:rPr>
                    <w:t>主要污染物总量等量或倍量削减</w:t>
                  </w:r>
                  <w:r>
                    <w:rPr>
                      <w:rFonts w:hint="eastAsia" w:ascii="Times New Roman" w:hAnsi="Times New Roman" w:eastAsia="宋体" w:cs="Times New Roman"/>
                      <w:color w:val="auto"/>
                      <w:kern w:val="0"/>
                      <w:sz w:val="21"/>
                      <w:szCs w:val="21"/>
                      <w:lang w:val="zh-CN" w:eastAsia="zh-CN" w:bidi="ar"/>
                    </w:rPr>
                    <w:t>。</w:t>
                  </w:r>
                </w:p>
              </w:tc>
              <w:tc>
                <w:tcPr>
                  <w:tcW w:w="8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pacing w:val="0"/>
                      <w:positio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32"/>
                    <w:bidi w:val="0"/>
                    <w:jc w:val="center"/>
                    <w:rPr>
                      <w:rFonts w:hint="default" w:ascii="Times New Roman" w:hAnsi="Times New Roman" w:cs="Times New Roman"/>
                      <w:color w:val="auto"/>
                    </w:rPr>
                  </w:pPr>
                </w:p>
              </w:tc>
              <w:tc>
                <w:tcPr>
                  <w:tcW w:w="3699"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zh-CN" w:eastAsia="zh-CN" w:bidi="ar"/>
                    </w:rPr>
                    <w:t>坚决遏制“两高”项目盲目发展。严格能耗、环保、质量、安全、技术等综合标准，严禁新增钢铁、焦化、水泥熟料、平板玻璃、电解铝、氧化铝、煤化工产能，合理控制煤制油气产能规模，严控新增炼油产能。不得违规新增化工园区。严格执行《产业结构调整指导目录》，坚决遏制“两高”项目盲目发展。市辖区及开发区新、改、扩建涉气重点行业企业应达到环保绩效A级、绩效引领性水平。</w:t>
                  </w:r>
                </w:p>
              </w:tc>
              <w:tc>
                <w:tcPr>
                  <w:tcW w:w="215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根据《陕西省“两高”项目管理暂行目录（2022年版）》（陕发改环资〔2022〕110号）不属于“两高”项目。</w:t>
                  </w:r>
                  <w:r>
                    <w:rPr>
                      <w:rFonts w:hint="default" w:ascii="Times New Roman" w:hAnsi="Times New Roman" w:eastAsia="宋体" w:cs="Times New Roman"/>
                      <w:color w:val="auto"/>
                      <w:kern w:val="0"/>
                      <w:sz w:val="21"/>
                      <w:szCs w:val="21"/>
                      <w:lang w:val="zh-CN" w:eastAsia="zh-CN" w:bidi="ar"/>
                    </w:rPr>
                    <w:t>根据《关于进一步加强关中地区涉气重点行业项目环评管理的通知》和《重污染天气重点行业应急减排措施制定技术指南》（2020年修订版），本项目不属于重点行业。</w:t>
                  </w:r>
                </w:p>
              </w:tc>
              <w:tc>
                <w:tcPr>
                  <w:tcW w:w="827" w:type="dxa"/>
                  <w:tcBorders>
                    <w:tl2br w:val="nil"/>
                    <w:tr2bl w:val="nil"/>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restart"/>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《宝鸡市大气污染治理专项行动方案（2023-2027年）》（宝陈发〔2023〕8号）</w:t>
                  </w:r>
                </w:p>
              </w:tc>
              <w:tc>
                <w:tcPr>
                  <w:tcW w:w="3699" w:type="dxa"/>
                  <w:gridSpan w:val="2"/>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产业发展结构调整。严禁新增钢铁、焦化、水泥熟料、平板玻璃、电解铝、氧化铝、煤化工产能</w:t>
                  </w:r>
                  <w:r>
                    <w:rPr>
                      <w:rFonts w:hint="eastAsia"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合理控制煤制油气产能规模</w:t>
                  </w:r>
                  <w:r>
                    <w:rPr>
                      <w:rFonts w:hint="eastAsia"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严控新增炼油产能。不得违规新增化工园区。严格执行《产业结构调整指导目录》</w:t>
                  </w:r>
                  <w:r>
                    <w:rPr>
                      <w:rFonts w:hint="eastAsia" w:ascii="Times New Roman" w:hAnsi="Times New Roman" w:eastAsia="宋体"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坚决遏制“两高”项目盲目发展</w:t>
                  </w:r>
                  <w:r>
                    <w:rPr>
                      <w:rFonts w:hint="eastAsia" w:ascii="Times New Roman" w:hAnsi="Times New Roman" w:eastAsia="宋体"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严格落实国家产业规划、产业政策、“三线一单”、规划环评以及产能置换、煤炭消费减量替代、区域污染物削减等要求</w:t>
                  </w:r>
                  <w:r>
                    <w:rPr>
                      <w:rFonts w:hint="eastAsia" w:ascii="Times New Roman" w:hAnsi="Times New Roman" w:eastAsia="宋体"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严禁不符合规定的项目建设。</w:t>
                  </w:r>
                </w:p>
              </w:tc>
              <w:tc>
                <w:tcPr>
                  <w:tcW w:w="2157" w:type="dxa"/>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本项目不涉及</w:t>
                  </w:r>
                  <w:r>
                    <w:rPr>
                      <w:rFonts w:hint="default" w:ascii="Times New Roman" w:hAnsi="Times New Roman" w:eastAsia="宋体" w:cs="Times New Roman"/>
                      <w:color w:val="auto"/>
                      <w:spacing w:val="0"/>
                      <w:position w:val="0"/>
                      <w:sz w:val="21"/>
                      <w:szCs w:val="21"/>
                      <w:highlight w:val="none"/>
                      <w:lang w:val="en-US" w:eastAsia="zh-CN"/>
                    </w:rPr>
                    <w:t>新增钢铁、焦化、水泥熟料、平板玻璃、电解铝、氧化铝、煤化工产能</w:t>
                  </w:r>
                  <w:r>
                    <w:rPr>
                      <w:rFonts w:hint="eastAsia" w:cs="Times New Roman"/>
                      <w:color w:val="auto"/>
                      <w:spacing w:val="0"/>
                      <w:position w:val="0"/>
                      <w:sz w:val="21"/>
                      <w:szCs w:val="21"/>
                      <w:highlight w:val="none"/>
                      <w:lang w:val="en-US" w:eastAsia="zh-CN"/>
                    </w:rPr>
                    <w:t>。项目满足</w:t>
                  </w:r>
                  <w:r>
                    <w:rPr>
                      <w:rFonts w:hint="default" w:ascii="Times New Roman" w:hAnsi="Times New Roman" w:eastAsia="宋体" w:cs="Times New Roman"/>
                      <w:color w:val="auto"/>
                      <w:spacing w:val="0"/>
                      <w:position w:val="0"/>
                      <w:sz w:val="21"/>
                      <w:szCs w:val="21"/>
                      <w:highlight w:val="none"/>
                      <w:lang w:val="en-US" w:eastAsia="zh-CN"/>
                    </w:rPr>
                    <w:t>《产业结构调整指导目录》</w:t>
                  </w:r>
                  <w:r>
                    <w:rPr>
                      <w:rFonts w:hint="eastAsia"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“三线一单”</w:t>
                  </w:r>
                  <w:r>
                    <w:rPr>
                      <w:rFonts w:hint="eastAsia" w:cs="Times New Roman"/>
                      <w:color w:val="auto"/>
                      <w:spacing w:val="0"/>
                      <w:position w:val="0"/>
                      <w:sz w:val="21"/>
                      <w:szCs w:val="21"/>
                      <w:highlight w:val="none"/>
                      <w:lang w:val="en-US" w:eastAsia="zh-CN"/>
                    </w:rPr>
                    <w:t>等要求。</w:t>
                  </w:r>
                </w:p>
              </w:tc>
              <w:tc>
                <w:tcPr>
                  <w:tcW w:w="827" w:type="dxa"/>
                  <w:tcBorders>
                    <w:tl2br w:val="nil"/>
                    <w:tr2bl w:val="nil"/>
                  </w:tcBorders>
                  <w:shd w:val="clear" w:color="auto" w:fill="auto"/>
                  <w:vAlign w:val="center"/>
                </w:tcPr>
                <w:p>
                  <w:pPr>
                    <w:pStyle w:val="12"/>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3699" w:type="dxa"/>
                  <w:gridSpan w:val="2"/>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市辖区及开发区新、改、扩建涉气重点行业企业应达到环保绩效A级、绩效引领性水平。</w:t>
                  </w:r>
                </w:p>
              </w:tc>
              <w:tc>
                <w:tcPr>
                  <w:tcW w:w="2157" w:type="dxa"/>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根据《关于进一步加强关中地区涉气重点行业项目环评管理的通知》和《重污染天气重点行业应急减排措施制定技术指南》（2020年修订版），本项目不属于重点行业。</w:t>
                  </w:r>
                </w:p>
              </w:tc>
              <w:tc>
                <w:tcPr>
                  <w:tcW w:w="827" w:type="dxa"/>
                  <w:tcBorders>
                    <w:tl2br w:val="nil"/>
                    <w:tr2bl w:val="nil"/>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3699" w:type="dxa"/>
                  <w:gridSpan w:val="2"/>
                  <w:tcBorders>
                    <w:tl2br w:val="nil"/>
                    <w:tr2bl w:val="nil"/>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lang w:val="en-US" w:eastAsia="zh-CN"/>
                    </w:rPr>
                    <w:t>加大餐饮油烟治理。产生油烟的餐饮服务单位全部安装油烟</w:t>
                  </w:r>
                  <w:r>
                    <w:rPr>
                      <w:rFonts w:hint="eastAsia" w:ascii="Times New Roman" w:hAnsi="Times New Roman" w:eastAsia="宋体" w:cs="Times New Roman"/>
                      <w:color w:val="auto"/>
                      <w:spacing w:val="0"/>
                      <w:position w:val="0"/>
                      <w:sz w:val="21"/>
                      <w:szCs w:val="21"/>
                      <w:highlight w:val="none"/>
                      <w:lang w:val="en-US" w:eastAsia="zh-CN"/>
                    </w:rPr>
                    <w:t>净化装置并定期维护，经整改仍无法达标排放油烟的限期调整经营状态。新建商住楼必须设置专用烟道，配套安装高效油烟净化设施。城市建成区全面禁止露天烧烤。严查不正常使用油烟净化设施、超标排放油烟问题。</w:t>
                  </w:r>
                </w:p>
              </w:tc>
              <w:tc>
                <w:tcPr>
                  <w:tcW w:w="2157" w:type="dxa"/>
                  <w:tcBorders>
                    <w:tl2br w:val="nil"/>
                    <w:tr2bl w:val="nil"/>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eastAsia="宋体" w:cs="Times New Roman"/>
                      <w:color w:val="auto"/>
                      <w:spacing w:val="0"/>
                      <w:position w:val="0"/>
                      <w:sz w:val="21"/>
                      <w:szCs w:val="21"/>
                      <w:highlight w:val="none"/>
                      <w:lang w:val="en-US" w:eastAsia="zh-CN"/>
                    </w:rPr>
                    <w:t>本项目生产过程产生油烟，油烟经油烟净化器处理后高空排放。环评要求建设单位定期对油烟净化设施进行维护</w:t>
                  </w:r>
                  <w:r>
                    <w:rPr>
                      <w:rFonts w:hint="eastAsia" w:cs="Times New Roman"/>
                      <w:color w:val="auto"/>
                      <w:spacing w:val="0"/>
                      <w:position w:val="0"/>
                      <w:sz w:val="21"/>
                      <w:szCs w:val="21"/>
                      <w:highlight w:val="none"/>
                      <w:lang w:val="en-US" w:eastAsia="zh-CN"/>
                    </w:rPr>
                    <w:t>，确保达标排放</w:t>
                  </w:r>
                  <w:r>
                    <w:rPr>
                      <w:rFonts w:hint="eastAsia" w:eastAsia="宋体" w:cs="Times New Roman"/>
                      <w:color w:val="auto"/>
                      <w:spacing w:val="0"/>
                      <w:position w:val="0"/>
                      <w:sz w:val="21"/>
                      <w:szCs w:val="21"/>
                      <w:highlight w:val="none"/>
                      <w:lang w:val="en-US" w:eastAsia="zh-CN"/>
                    </w:rPr>
                    <w:t>。</w:t>
                  </w:r>
                </w:p>
              </w:tc>
              <w:tc>
                <w:tcPr>
                  <w:tcW w:w="827" w:type="dxa"/>
                  <w:tcBorders>
                    <w:tl2br w:val="nil"/>
                    <w:tr2bl w:val="nil"/>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color w:val="auto"/>
                      <w:spacing w:val="0"/>
                      <w:kern w:val="2"/>
                      <w:position w:val="0"/>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restart"/>
                  <w:tcBorders>
                    <w:tl2br w:val="nil"/>
                    <w:tr2bl w:val="nil"/>
                  </w:tcBorders>
                  <w:vAlign w:val="center"/>
                </w:tcPr>
                <w:p>
                  <w:pPr>
                    <w:pStyle w:val="32"/>
                    <w:bidi w:val="0"/>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lang w:val="en-US" w:eastAsia="zh-CN"/>
                    </w:rPr>
                    <w:t>《陈仓区大气污染治理专项行动方案（2023-2027）》（宝陈发〔2023〕6号）</w:t>
                  </w:r>
                </w:p>
              </w:tc>
              <w:tc>
                <w:tcPr>
                  <w:tcW w:w="3699" w:type="dxa"/>
                  <w:gridSpan w:val="2"/>
                  <w:tcBorders>
                    <w:tl2br w:val="nil"/>
                    <w:tr2bl w:val="nil"/>
                  </w:tcBorders>
                  <w:vAlign w:val="center"/>
                </w:tcPr>
                <w:p>
                  <w:pPr>
                    <w:pStyle w:val="35"/>
                    <w:ind w:left="-24" w:leftChars="-10" w:right="-24" w:rightChars="-1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lang w:val="en-US" w:eastAsia="zh-CN"/>
                    </w:rPr>
                    <w:t>产业发展结构调整。严禁新增钢铁、焦化、水泥熟料、平板玻璃、电解铝、氧化铝、煤化工产能。不得新增化工园区。严格执行《产业结构调整指导目录》，坚决遏制“两高”项目盲目发展，严格落实国家产业规划、产业政策、“三线一单”、规划环评以及产能置换、煤炭消费减量替代、区域污染物削减等要求严禁不符合规定的项目建设。</w:t>
                  </w:r>
                </w:p>
              </w:tc>
              <w:tc>
                <w:tcPr>
                  <w:tcW w:w="2157" w:type="dxa"/>
                  <w:tcBorders>
                    <w:tl2br w:val="nil"/>
                    <w:tr2bl w:val="nil"/>
                  </w:tcBorders>
                  <w:vAlign w:val="center"/>
                </w:tcPr>
                <w:p>
                  <w:pPr>
                    <w:pStyle w:val="35"/>
                    <w:ind w:left="-24" w:leftChars="-10" w:right="-24" w:rightChars="-1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本项目不属于</w:t>
                  </w:r>
                  <w:r>
                    <w:rPr>
                      <w:rFonts w:hint="default" w:ascii="Times New Roman" w:hAnsi="Times New Roman" w:eastAsia="宋体" w:cs="Times New Roman"/>
                      <w:color w:val="auto"/>
                      <w:lang w:val="en-US" w:eastAsia="zh-CN"/>
                    </w:rPr>
                    <w:t>严禁新增钢铁、焦化、水泥熟料、平板玻璃、电解铝、氧化铝、煤化工产能</w:t>
                  </w:r>
                  <w:r>
                    <w:rPr>
                      <w:rFonts w:hint="eastAsia" w:ascii="Times New Roman" w:hAnsi="Times New Roman" w:eastAsia="宋体" w:cs="Times New Roman"/>
                      <w:color w:val="auto"/>
                      <w:lang w:val="en-US" w:eastAsia="zh-CN"/>
                    </w:rPr>
                    <w:t>，项目不属于</w:t>
                  </w:r>
                  <w:r>
                    <w:rPr>
                      <w:rFonts w:hint="default" w:ascii="Times New Roman" w:hAnsi="Times New Roman" w:eastAsia="宋体" w:cs="Times New Roman"/>
                      <w:color w:val="auto"/>
                      <w:lang w:val="en-US" w:eastAsia="zh-CN"/>
                    </w:rPr>
                    <w:t>“两高”项目</w:t>
                  </w:r>
                  <w:r>
                    <w:rPr>
                      <w:rFonts w:hint="eastAsia" w:ascii="Times New Roman" w:hAnsi="Times New Roman" w:eastAsia="宋体" w:cs="Times New Roman"/>
                      <w:color w:val="auto"/>
                      <w:lang w:val="en-US" w:eastAsia="zh-CN"/>
                    </w:rPr>
                    <w:t>，满足</w:t>
                  </w:r>
                  <w:r>
                    <w:rPr>
                      <w:rFonts w:hint="default" w:ascii="Times New Roman" w:hAnsi="Times New Roman" w:eastAsia="宋体" w:cs="Times New Roman"/>
                      <w:color w:val="auto"/>
                      <w:lang w:val="en-US" w:eastAsia="zh-CN"/>
                    </w:rPr>
                    <w:t>国家产业规划、产业政策、“三线一单”</w:t>
                  </w:r>
                  <w:r>
                    <w:rPr>
                      <w:rFonts w:hint="eastAsia" w:ascii="Times New Roman" w:hAnsi="Times New Roman" w:eastAsia="宋体" w:cs="Times New Roman"/>
                      <w:color w:val="auto"/>
                      <w:lang w:val="en-US" w:eastAsia="zh-CN"/>
                    </w:rPr>
                    <w:t>等要求。</w:t>
                  </w:r>
                </w:p>
              </w:tc>
              <w:tc>
                <w:tcPr>
                  <w:tcW w:w="827" w:type="dxa"/>
                  <w:tcBorders>
                    <w:tl2br w:val="nil"/>
                    <w:tr2bl w:val="nil"/>
                  </w:tcBorders>
                  <w:vAlign w:val="center"/>
                </w:tcPr>
                <w:p>
                  <w:pPr>
                    <w:pStyle w:val="32"/>
                    <w:bidi w:val="0"/>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3" w:type="dxa"/>
                  <w:vMerge w:val="continue"/>
                  <w:tcBorders>
                    <w:tl2br w:val="nil"/>
                    <w:tr2bl w:val="nil"/>
                  </w:tcBorders>
                  <w:vAlign w:val="center"/>
                </w:tcPr>
                <w:p>
                  <w:pPr>
                    <w:pStyle w:val="32"/>
                    <w:bidi w:val="0"/>
                    <w:ind w:firstLine="0" w:firstLineChars="0"/>
                    <w:jc w:val="center"/>
                    <w:rPr>
                      <w:rFonts w:hint="eastAsia" w:ascii="Times New Roman" w:hAnsi="Times New Roman" w:eastAsia="宋体" w:cs="Times New Roman"/>
                      <w:color w:val="auto"/>
                      <w:lang w:val="en-US" w:eastAsia="zh-CN"/>
                    </w:rPr>
                  </w:pPr>
                </w:p>
              </w:tc>
              <w:tc>
                <w:tcPr>
                  <w:tcW w:w="3699" w:type="dxa"/>
                  <w:gridSpan w:val="2"/>
                  <w:tcBorders>
                    <w:tl2br w:val="nil"/>
                    <w:tr2bl w:val="nil"/>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lang w:val="en-US" w:eastAsia="zh-CN"/>
                    </w:rPr>
                    <w:t>新、改、扩建涉气重点行业企业应达到环保绩效A级、绩效引领性水平。</w:t>
                  </w:r>
                </w:p>
              </w:tc>
              <w:tc>
                <w:tcPr>
                  <w:tcW w:w="2157" w:type="dxa"/>
                  <w:tcBorders>
                    <w:tl2br w:val="nil"/>
                    <w:tr2bl w:val="nil"/>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lang w:val="en-US" w:eastAsia="zh-CN"/>
                    </w:rPr>
                    <w:t>根据《关于进一步加强关中地区涉气重点行业项目环评管理的通知》和《重污染天气重点行业应急减排措施制定技术指南》（2020年修订版），本项目不属于重点行业。</w:t>
                  </w:r>
                </w:p>
              </w:tc>
              <w:tc>
                <w:tcPr>
                  <w:tcW w:w="827" w:type="dxa"/>
                  <w:tcBorders>
                    <w:tl2br w:val="nil"/>
                    <w:tr2bl w:val="nil"/>
                  </w:tcBorders>
                  <w:shd w:val="clear" w:color="auto" w:fill="auto"/>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23" w:type="dxa"/>
                  <w:vMerge w:val="continue"/>
                  <w:tcBorders>
                    <w:tl2br w:val="nil"/>
                    <w:tr2bl w:val="nil"/>
                  </w:tcBorders>
                  <w:vAlign w:val="center"/>
                </w:tcPr>
                <w:p>
                  <w:pPr>
                    <w:pStyle w:val="82"/>
                    <w:ind w:firstLine="0" w:firstLineChars="0"/>
                    <w:jc w:val="center"/>
                    <w:rPr>
                      <w:rFonts w:hint="eastAsia" w:ascii="Times New Roman" w:hAnsi="Times New Roman" w:eastAsia="宋体" w:cs="Times New Roman"/>
                      <w:color w:val="auto"/>
                      <w:highlight w:val="none"/>
                      <w:lang w:val="en-US" w:eastAsia="zh-CN"/>
                    </w:rPr>
                  </w:pPr>
                </w:p>
              </w:tc>
              <w:tc>
                <w:tcPr>
                  <w:tcW w:w="3699" w:type="dxa"/>
                  <w:gridSpan w:val="2"/>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加大餐饮油烟治理。产生油烟的餐饮服务单位全部安装油烟</w:t>
                  </w:r>
                  <w:r>
                    <w:rPr>
                      <w:rFonts w:hint="eastAsia" w:ascii="Times New Roman" w:hAnsi="Times New Roman" w:eastAsia="宋体" w:cs="Times New Roman"/>
                      <w:color w:val="auto"/>
                      <w:spacing w:val="0"/>
                      <w:position w:val="0"/>
                      <w:sz w:val="21"/>
                      <w:szCs w:val="21"/>
                      <w:highlight w:val="none"/>
                      <w:lang w:val="en-US" w:eastAsia="zh-CN"/>
                    </w:rPr>
                    <w:t>净化装置并定期维护，经整改仍无法达标排放油烟的限期调整经营状态。新建商住楼必须设置专用烟道，配套安装高效油烟净化设施。城市建成区全面禁止露天烧烤。严查不正常使用油烟净化设施、超标排放油烟问题。</w:t>
                  </w:r>
                </w:p>
              </w:tc>
              <w:tc>
                <w:tcPr>
                  <w:tcW w:w="2157" w:type="dxa"/>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本项目生产过程产生油烟，油烟经油烟净化器处理后高空排放。环评要求建设单位定期对油烟净化设施进行维护</w:t>
                  </w:r>
                  <w:r>
                    <w:rPr>
                      <w:rFonts w:hint="eastAsia" w:cs="Times New Roman"/>
                      <w:color w:val="auto"/>
                      <w:spacing w:val="0"/>
                      <w:position w:val="0"/>
                      <w:sz w:val="21"/>
                      <w:szCs w:val="21"/>
                      <w:highlight w:val="none"/>
                      <w:lang w:val="en-US" w:eastAsia="zh-CN"/>
                    </w:rPr>
                    <w:t>，确保达标排放</w:t>
                  </w:r>
                  <w:r>
                    <w:rPr>
                      <w:rFonts w:hint="eastAsia" w:eastAsia="宋体" w:cs="Times New Roman"/>
                      <w:color w:val="auto"/>
                      <w:spacing w:val="0"/>
                      <w:position w:val="0"/>
                      <w:sz w:val="21"/>
                      <w:szCs w:val="21"/>
                      <w:highlight w:val="none"/>
                      <w:lang w:val="en-US" w:eastAsia="zh-CN"/>
                    </w:rPr>
                    <w:t>。</w:t>
                  </w:r>
                </w:p>
              </w:tc>
              <w:tc>
                <w:tcPr>
                  <w:tcW w:w="827" w:type="dxa"/>
                  <w:tcBorders>
                    <w:tl2br w:val="nil"/>
                    <w:tr2bl w:val="nil"/>
                  </w:tcBorders>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color w:val="auto"/>
                      <w:spacing w:val="0"/>
                      <w:kern w:val="2"/>
                      <w:position w:val="0"/>
                      <w:sz w:val="21"/>
                      <w:szCs w:val="21"/>
                      <w:highlight w:val="none"/>
                      <w:lang w:val="en-US" w:eastAsia="zh-CN" w:bidi="ar-SA"/>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rPr>
              <w:t>、选址合理性分析</w:t>
            </w:r>
          </w:p>
          <w:p>
            <w:pPr>
              <w:pStyle w:val="16"/>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（1）用地合理性分析</w:t>
            </w:r>
          </w:p>
          <w:p>
            <w:pPr>
              <w:pStyle w:val="4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lang w:val="zh-CN" w:bidi="zh-CN"/>
              </w:rPr>
              <w:t>项目位于</w:t>
            </w:r>
            <w:r>
              <w:rPr>
                <w:rFonts w:hint="eastAsia" w:ascii="Times New Roman" w:hAnsi="Times New Roman" w:eastAsia="宋体" w:cs="Times New Roman"/>
                <w:color w:val="auto"/>
                <w:sz w:val="24"/>
                <w:szCs w:val="24"/>
                <w:highlight w:val="none"/>
                <w:lang w:val="en-US" w:eastAsia="zh-CN"/>
              </w:rPr>
              <w:t>陕西省宝鸡市</w:t>
            </w:r>
            <w:r>
              <w:rPr>
                <w:rFonts w:hint="eastAsia" w:ascii="Times New Roman" w:eastAsia="宋体" w:cs="Times New Roman"/>
                <w:color w:val="auto"/>
                <w:sz w:val="24"/>
                <w:szCs w:val="24"/>
                <w:highlight w:val="none"/>
                <w:lang w:val="en-US" w:eastAsia="zh-CN"/>
              </w:rPr>
              <w:t>陈仓区阳平镇第六寨村</w:t>
            </w:r>
            <w:r>
              <w:rPr>
                <w:rFonts w:hint="default" w:ascii="Times New Roman" w:hAnsi="Times New Roman" w:eastAsia="宋体" w:cs="Times New Roman"/>
                <w:color w:val="auto"/>
                <w:sz w:val="24"/>
                <w:szCs w:val="24"/>
                <w:highlight w:val="none"/>
                <w:lang w:val="zh-CN"/>
              </w:rPr>
              <w:t>，</w:t>
            </w:r>
            <w:r>
              <w:rPr>
                <w:rFonts w:hint="eastAsia" w:ascii="Times New Roman" w:eastAsia="宋体" w:cs="Times New Roman"/>
                <w:color w:val="auto"/>
                <w:sz w:val="24"/>
                <w:szCs w:val="24"/>
                <w:highlight w:val="none"/>
                <w:lang w:val="en-US" w:eastAsia="zh-CN"/>
              </w:rPr>
              <w:t>本项目为扩建项目，不新增用地，</w:t>
            </w:r>
            <w:r>
              <w:rPr>
                <w:rFonts w:hint="default" w:ascii="Times New Roman" w:hAnsi="Times New Roman" w:eastAsia="宋体" w:cs="Times New Roman"/>
                <w:color w:val="auto"/>
                <w:sz w:val="24"/>
                <w:szCs w:val="24"/>
                <w:highlight w:val="none"/>
                <w:lang w:val="zh-CN"/>
              </w:rPr>
              <w:t>用地性质为</w:t>
            </w:r>
            <w:r>
              <w:rPr>
                <w:rFonts w:hint="eastAsia" w:ascii="Times New Roman" w:eastAsia="宋体" w:cs="Times New Roman"/>
                <w:color w:val="auto"/>
                <w:sz w:val="24"/>
                <w:szCs w:val="24"/>
                <w:highlight w:val="none"/>
                <w:lang w:val="en-US" w:eastAsia="zh-CN"/>
              </w:rPr>
              <w:t>建设用地，</w:t>
            </w:r>
            <w:r>
              <w:rPr>
                <w:rFonts w:hint="eastAsia" w:ascii="Times New Roman" w:hAnsi="Times New Roman" w:eastAsia="宋体" w:cs="Times New Roman"/>
                <w:color w:val="auto"/>
                <w:sz w:val="24"/>
                <w:szCs w:val="24"/>
                <w:highlight w:val="none"/>
                <w:lang w:val="en-US" w:eastAsia="zh-CN"/>
              </w:rPr>
              <w:t>项目符合区域</w:t>
            </w:r>
            <w:r>
              <w:rPr>
                <w:rFonts w:hint="eastAsia" w:ascii="Times New Roman" w:eastAsia="宋体" w:cs="Times New Roman"/>
                <w:color w:val="auto"/>
                <w:sz w:val="24"/>
                <w:szCs w:val="24"/>
                <w:highlight w:val="none"/>
                <w:lang w:val="en-US" w:eastAsia="zh-CN"/>
              </w:rPr>
              <w:t>土地利用</w:t>
            </w:r>
            <w:r>
              <w:rPr>
                <w:rFonts w:hint="eastAsia" w:ascii="Times New Roman" w:hAnsi="Times New Roman" w:eastAsia="宋体" w:cs="Times New Roman"/>
                <w:color w:val="auto"/>
                <w:sz w:val="24"/>
                <w:szCs w:val="24"/>
                <w:highlight w:val="none"/>
                <w:lang w:val="en-US" w:eastAsia="zh-CN"/>
              </w:rPr>
              <w:t>规划。</w:t>
            </w:r>
            <w:r>
              <w:rPr>
                <w:rFonts w:hint="eastAsia" w:ascii="Times New Roman" w:hAnsi="Times New Roman" w:eastAsia="宋体" w:cs="Times New Roman"/>
                <w:b w:val="0"/>
                <w:bCs w:val="0"/>
                <w:color w:val="auto"/>
                <w:kern w:val="0"/>
                <w:sz w:val="24"/>
                <w:szCs w:val="24"/>
                <w:highlight w:val="none"/>
                <w:lang w:val="en-US" w:eastAsia="zh-CN" w:bidi="ar"/>
              </w:rPr>
              <w:t>综上，项目用地</w:t>
            </w:r>
            <w:r>
              <w:rPr>
                <w:rFonts w:hint="default" w:ascii="Times New Roman" w:hAnsi="Times New Roman" w:eastAsia="宋体" w:cs="Times New Roman"/>
                <w:b w:val="0"/>
                <w:bCs w:val="0"/>
                <w:color w:val="auto"/>
                <w:kern w:val="0"/>
                <w:sz w:val="24"/>
                <w:szCs w:val="24"/>
                <w:highlight w:val="none"/>
                <w:lang w:val="en-US" w:eastAsia="zh-CN" w:bidi="ar"/>
              </w:rPr>
              <w:t>符合要求。</w:t>
            </w:r>
          </w:p>
          <w:p>
            <w:pPr>
              <w:pStyle w:val="16"/>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（2）</w:t>
            </w:r>
            <w:r>
              <w:rPr>
                <w:rFonts w:hint="eastAsia" w:ascii="Times New Roman" w:hAnsi="Times New Roman" w:cs="Times New Roman"/>
                <w:b w:val="0"/>
                <w:bCs w:val="0"/>
                <w:color w:val="auto"/>
                <w:kern w:val="2"/>
                <w:sz w:val="24"/>
                <w:szCs w:val="24"/>
                <w:highlight w:val="none"/>
                <w:u w:val="none"/>
                <w:lang w:val="en-US" w:eastAsia="zh-CN" w:bidi="ar-SA"/>
              </w:rPr>
              <w:t>周围</w:t>
            </w:r>
            <w:r>
              <w:rPr>
                <w:rFonts w:hint="eastAsia" w:ascii="Times New Roman" w:hAnsi="Times New Roman" w:eastAsia="宋体" w:cs="Times New Roman"/>
                <w:b w:val="0"/>
                <w:bCs w:val="0"/>
                <w:color w:val="auto"/>
                <w:kern w:val="2"/>
                <w:sz w:val="24"/>
                <w:szCs w:val="24"/>
                <w:highlight w:val="none"/>
                <w:u w:val="none"/>
                <w:lang w:val="en-US" w:eastAsia="zh-CN" w:bidi="ar-SA"/>
              </w:rPr>
              <w:t>环境</w:t>
            </w:r>
            <w:r>
              <w:rPr>
                <w:rFonts w:hint="eastAsia" w:ascii="Times New Roman" w:hAnsi="Times New Roman" w:cs="Times New Roman"/>
                <w:b w:val="0"/>
                <w:bCs w:val="0"/>
                <w:color w:val="auto"/>
                <w:kern w:val="2"/>
                <w:sz w:val="24"/>
                <w:szCs w:val="24"/>
                <w:highlight w:val="none"/>
                <w:u w:val="none"/>
                <w:lang w:val="en-US" w:eastAsia="zh-CN" w:bidi="ar-SA"/>
              </w:rPr>
              <w:t>合理性分析</w:t>
            </w:r>
          </w:p>
          <w:p>
            <w:pPr>
              <w:pStyle w:val="16"/>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本项目所在地给排水、供电、消防等公用设施完善，</w:t>
            </w:r>
            <w:r>
              <w:rPr>
                <w:rFonts w:hint="default" w:ascii="Times New Roman" w:hAnsi="Times New Roman" w:eastAsia="宋体" w:cs="Times New Roman"/>
                <w:color w:val="auto"/>
                <w:sz w:val="24"/>
                <w:szCs w:val="24"/>
                <w:lang w:val="zh-CN"/>
              </w:rPr>
              <w:t>可满足企业生产运营需求。</w:t>
            </w:r>
          </w:p>
          <w:p>
            <w:pPr>
              <w:pStyle w:val="16"/>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color w:val="auto"/>
                <w:spacing w:val="0"/>
                <w:sz w:val="24"/>
                <w:lang w:val="zh-CN"/>
              </w:rPr>
              <w:t>项目东侧</w:t>
            </w:r>
            <w:r>
              <w:rPr>
                <w:rFonts w:hint="eastAsia" w:ascii="Times New Roman" w:hAnsi="Times New Roman" w:eastAsia="宋体" w:cs="Times New Roman"/>
                <w:color w:val="auto"/>
                <w:spacing w:val="0"/>
                <w:sz w:val="24"/>
                <w:lang w:val="en-US" w:eastAsia="zh-CN"/>
              </w:rPr>
              <w:t>为农田</w:t>
            </w:r>
            <w:r>
              <w:rPr>
                <w:rFonts w:hint="eastAsia" w:cs="Times New Roman"/>
                <w:color w:val="auto"/>
                <w:spacing w:val="0"/>
                <w:sz w:val="24"/>
                <w:lang w:val="en-US" w:eastAsia="zh-CN"/>
              </w:rPr>
              <w:t>及住户，南侧为农田及庙，西侧为住户</w:t>
            </w:r>
            <w:r>
              <w:rPr>
                <w:rFonts w:hint="eastAsia" w:cs="Times New Roman"/>
                <w:color w:val="auto"/>
                <w:spacing w:val="0"/>
                <w:sz w:val="24"/>
                <w:lang w:val="zh-CN"/>
              </w:rPr>
              <w:t>，</w:t>
            </w:r>
            <w:r>
              <w:rPr>
                <w:rFonts w:hint="default" w:ascii="Times New Roman" w:hAnsi="Times New Roman" w:eastAsia="宋体" w:cs="Times New Roman"/>
                <w:color w:val="auto"/>
                <w:spacing w:val="0"/>
                <w:sz w:val="24"/>
                <w:lang w:val="zh-CN"/>
              </w:rPr>
              <w:t>北侧为</w:t>
            </w:r>
            <w:r>
              <w:rPr>
                <w:rFonts w:hint="eastAsia" w:cs="Times New Roman"/>
                <w:color w:val="auto"/>
                <w:spacing w:val="0"/>
                <w:sz w:val="24"/>
                <w:lang w:val="en-US" w:eastAsia="zh-CN"/>
              </w:rPr>
              <w:t>第六寨村村委会</w:t>
            </w:r>
            <w:r>
              <w:rPr>
                <w:rFonts w:hint="default" w:ascii="Times New Roman" w:hAnsi="Times New Roman" w:eastAsia="宋体" w:cs="Times New Roman"/>
                <w:color w:val="auto"/>
                <w:spacing w:val="0"/>
                <w:sz w:val="24"/>
                <w:lang w:val="zh-CN"/>
              </w:rPr>
              <w:t>。</w:t>
            </w:r>
            <w:r>
              <w:rPr>
                <w:rFonts w:hint="default" w:ascii="Times New Roman" w:hAnsi="Times New Roman" w:eastAsia="宋体" w:cs="Times New Roman"/>
                <w:b w:val="0"/>
                <w:bCs w:val="0"/>
                <w:color w:val="auto"/>
                <w:kern w:val="2"/>
                <w:sz w:val="24"/>
                <w:szCs w:val="24"/>
                <w:highlight w:val="none"/>
                <w:u w:val="none"/>
                <w:lang w:val="en-US" w:eastAsia="zh-CN" w:bidi="ar-SA"/>
              </w:rPr>
              <w:t>项目所在地不在水源保护区、风景名胜区、森林公园等环境敏感区范围内，</w:t>
            </w:r>
            <w:r>
              <w:rPr>
                <w:rFonts w:hint="eastAsia" w:ascii="Times New Roman" w:hAnsi="Times New Roman" w:eastAsia="宋体" w:cs="Times New Roman"/>
                <w:b w:val="0"/>
                <w:bCs w:val="0"/>
                <w:color w:val="auto"/>
                <w:kern w:val="2"/>
                <w:sz w:val="24"/>
                <w:szCs w:val="24"/>
                <w:highlight w:val="none"/>
                <w:u w:val="none"/>
                <w:lang w:val="en-US" w:eastAsia="zh-CN" w:bidi="ar-SA"/>
              </w:rPr>
              <w:t>占地</w:t>
            </w:r>
            <w:r>
              <w:rPr>
                <w:rFonts w:hint="default" w:ascii="Times New Roman" w:hAnsi="Times New Roman" w:eastAsia="宋体" w:cs="Times New Roman"/>
                <w:b w:val="0"/>
                <w:bCs w:val="0"/>
                <w:color w:val="auto"/>
                <w:kern w:val="2"/>
                <w:sz w:val="24"/>
                <w:szCs w:val="24"/>
                <w:highlight w:val="none"/>
                <w:u w:val="none"/>
                <w:lang w:val="en-US" w:eastAsia="zh-CN" w:bidi="ar-SA"/>
              </w:rPr>
              <w:t>不涉及基本农田，无较大的环境制约因素。在采取相应的污染物防治措施后，项目施工期、运行期间各类污染物均能达标排放，对环境的影响可以接受。因此，在严格落实本报告提出的环保措施后，项目的建设和运行不会对外环境产生较大影响。</w:t>
            </w:r>
          </w:p>
          <w:p>
            <w:pPr>
              <w:pStyle w:val="16"/>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kern w:val="2"/>
                <w:sz w:val="24"/>
                <w:szCs w:val="24"/>
                <w:highlight w:val="none"/>
                <w:u w:val="none"/>
                <w:lang w:val="en-US" w:eastAsia="zh-CN" w:bidi="ar-SA"/>
              </w:rPr>
            </w:pPr>
            <w:r>
              <w:rPr>
                <w:rFonts w:hint="eastAsia" w:ascii="Times New Roman" w:hAnsi="Times New Roman" w:cs="Times New Roman"/>
                <w:b w:val="0"/>
                <w:bCs w:val="0"/>
                <w:color w:val="auto"/>
                <w:kern w:val="2"/>
                <w:sz w:val="24"/>
                <w:szCs w:val="24"/>
                <w:highlight w:val="none"/>
                <w:u w:val="none"/>
                <w:lang w:val="en-US" w:eastAsia="zh-CN" w:bidi="ar-SA"/>
              </w:rPr>
              <w:t>（3）污染物达标排放分析。</w:t>
            </w:r>
          </w:p>
          <w:p>
            <w:pPr>
              <w:pStyle w:val="16"/>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kern w:val="2"/>
                <w:sz w:val="24"/>
                <w:szCs w:val="24"/>
                <w:highlight w:val="none"/>
                <w:u w:val="none"/>
                <w:lang w:val="en-US" w:eastAsia="zh-CN" w:bidi="ar-SA"/>
              </w:rPr>
            </w:pPr>
            <w:r>
              <w:rPr>
                <w:rFonts w:hint="eastAsia" w:ascii="Times New Roman" w:hAnsi="Times New Roman" w:cs="Times New Roman"/>
                <w:b w:val="0"/>
                <w:bCs w:val="0"/>
                <w:color w:val="auto"/>
                <w:kern w:val="2"/>
                <w:sz w:val="24"/>
                <w:szCs w:val="24"/>
                <w:highlight w:val="none"/>
                <w:u w:val="none"/>
                <w:lang w:val="en-US" w:eastAsia="zh-CN" w:bidi="ar-SA"/>
              </w:rPr>
              <w:t>根据本项目工程分析，针对生产环节可能产生的各种污染提出了防治措施，严格实施环评提出的各项措施后，废气、废水及噪声均能达标排放，固体废物做到了合理处置：从环境影响角度分析对周围环境造成的影响小。</w:t>
            </w:r>
          </w:p>
          <w:p>
            <w:pPr>
              <w:bidi w:val="0"/>
              <w:jc w:val="both"/>
              <w:rPr>
                <w:rFonts w:hint="default"/>
                <w:b/>
                <w:bCs/>
                <w:color w:val="auto"/>
              </w:rPr>
            </w:pPr>
            <w:r>
              <w:rPr>
                <w:rFonts w:hint="default"/>
                <w:color w:val="auto"/>
              </w:rPr>
              <w:t>因此，在严格落实本</w:t>
            </w:r>
            <w:r>
              <w:rPr>
                <w:rFonts w:hint="eastAsia"/>
                <w:color w:val="auto"/>
                <w:lang w:val="en-US" w:eastAsia="zh-CN"/>
              </w:rPr>
              <w:t>环评</w:t>
            </w:r>
            <w:r>
              <w:rPr>
                <w:rFonts w:hint="default"/>
                <w:color w:val="auto"/>
              </w:rPr>
              <w:t>提出的环保措施后，项目的建设和运行不会对外环境产生较大影响，从满足环境质量目标要求分析，项目选址是可行。</w:t>
            </w:r>
          </w:p>
          <w:p>
            <w:pPr>
              <w:bidi w:val="0"/>
              <w:jc w:val="both"/>
              <w:rPr>
                <w:rFonts w:hint="default"/>
                <w:b/>
                <w:bCs/>
                <w:color w:val="auto"/>
              </w:rPr>
            </w:pPr>
          </w:p>
          <w:p>
            <w:pPr>
              <w:pStyle w:val="12"/>
              <w:rPr>
                <w:rFonts w:hint="default"/>
                <w:b/>
                <w:bCs/>
                <w:color w:val="auto"/>
              </w:rPr>
            </w:pPr>
          </w:p>
          <w:p>
            <w:pPr>
              <w:rPr>
                <w:rFonts w:hint="default"/>
              </w:rPr>
            </w:pPr>
          </w:p>
          <w:p>
            <w:pPr>
              <w:pStyle w:val="2"/>
              <w:ind w:left="0" w:leftChars="0" w:firstLine="0" w:firstLineChars="0"/>
              <w:rPr>
                <w:rFonts w:hint="default"/>
                <w:color w:val="auto"/>
              </w:rPr>
            </w:pPr>
          </w:p>
        </w:tc>
      </w:tr>
    </w:tbl>
    <w:p>
      <w:pPr>
        <w:pStyle w:val="2"/>
        <w:rPr>
          <w:color w:val="auto"/>
        </w:r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firstLine="0" w:firstLineChars="0"/>
        <w:jc w:val="center"/>
        <w:textAlignment w:val="auto"/>
        <w:outlineLvl w:val="0"/>
        <w:rPr>
          <w:rFonts w:hint="eastAsia" w:ascii="黑体" w:hAnsi="黑体" w:eastAsia="黑体" w:cs="黑体"/>
          <w:b w:val="0"/>
          <w:bCs w:val="0"/>
          <w:snapToGrid w:val="0"/>
          <w:color w:val="auto"/>
          <w:sz w:val="30"/>
          <w:szCs w:val="30"/>
          <w:highlight w:val="none"/>
        </w:rPr>
      </w:pPr>
      <w:r>
        <w:rPr>
          <w:rFonts w:hint="eastAsia" w:ascii="黑体" w:hAnsi="黑体" w:eastAsia="黑体" w:cs="黑体"/>
          <w:b w:val="0"/>
          <w:bCs w:val="0"/>
          <w:snapToGrid w:val="0"/>
          <w:color w:val="auto"/>
          <w:sz w:val="30"/>
          <w:szCs w:val="30"/>
          <w:highlight w:val="none"/>
        </w:rPr>
        <w:br w:type="page"/>
      </w:r>
      <w:r>
        <w:rPr>
          <w:rFonts w:hint="eastAsia" w:ascii="黑体" w:hAnsi="黑体" w:eastAsia="黑体" w:cs="黑体"/>
          <w:b w:val="0"/>
          <w:bCs w:val="0"/>
          <w:snapToGrid w:val="0"/>
          <w:color w:val="auto"/>
          <w:sz w:val="30"/>
          <w:szCs w:val="30"/>
          <w:highlight w:val="none"/>
        </w:rPr>
        <w:t>二、建设项目工程分析</w:t>
      </w:r>
    </w:p>
    <w:bookmarkEnd w:id="2"/>
    <w:bookmarkEnd w:id="3"/>
    <w:tbl>
      <w:tblPr>
        <w:tblStyle w:val="30"/>
        <w:tblW w:w="89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2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建设内容</w:t>
            </w:r>
          </w:p>
        </w:tc>
        <w:tc>
          <w:tcPr>
            <w:tcW w:w="8213" w:type="dxa"/>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lang w:val="en-US" w:eastAsia="zh-CN"/>
              </w:rPr>
              <w:t>项目由来</w:t>
            </w:r>
          </w:p>
          <w:p>
            <w:pPr>
              <w:bidi w:val="0"/>
              <w:jc w:val="both"/>
              <w:rPr>
                <w:rFonts w:hint="default"/>
                <w:color w:val="auto"/>
                <w:highlight w:val="none"/>
                <w:lang w:val="en-US" w:eastAsia="zh-CN"/>
              </w:rPr>
            </w:pPr>
            <w:r>
              <w:rPr>
                <w:rFonts w:hint="eastAsia"/>
                <w:color w:val="auto"/>
                <w:highlight w:val="none"/>
                <w:lang w:val="en-US" w:eastAsia="zh-CN"/>
              </w:rPr>
              <w:t>宝鸡市欣鑫源食品有限公司于2010年建成，主要生产擀面皮、面筋、调料包、油泼辣子及脱水菜。由于擀面皮等市场需求量增加，而脱水菜需求减少，因此宝鸡市欣鑫源食品有限公司拟投资515万元，增加擀面皮、面筋、调料包、油泼辣子相应的设备及产能，不再生产脱水菜。擀面皮生产线不再自制浆液，改为外购浆液后直接发酵。</w:t>
            </w:r>
          </w:p>
          <w:p>
            <w:pPr>
              <w:bidi w:val="0"/>
              <w:rPr>
                <w:rFonts w:hint="default" w:ascii="Times New Roman" w:hAnsi="Times New Roman" w:eastAsia="宋体" w:cs="Times New Roman"/>
                <w:bCs/>
                <w:iCs/>
                <w:color w:val="auto"/>
                <w:szCs w:val="24"/>
                <w:highlight w:val="none"/>
                <w:lang w:val="zh-CN" w:eastAsia="zh-CN"/>
              </w:rPr>
            </w:pPr>
            <w:r>
              <w:rPr>
                <w:rFonts w:hint="default" w:ascii="Times New Roman" w:hAnsi="Times New Roman" w:eastAsia="宋体" w:cs="Times New Roman"/>
                <w:color w:val="auto"/>
                <w:lang w:val="zh-CN" w:eastAsia="zh-CN"/>
              </w:rPr>
              <w:t>根据《中华人民共和国环境影响评</w:t>
            </w:r>
            <w:r>
              <w:rPr>
                <w:rFonts w:hint="default" w:ascii="Times New Roman" w:hAnsi="Times New Roman" w:eastAsia="宋体" w:cs="Times New Roman"/>
                <w:bCs/>
                <w:iCs/>
                <w:color w:val="auto"/>
                <w:szCs w:val="24"/>
                <w:highlight w:val="none"/>
                <w:lang w:val="zh-CN" w:eastAsia="zh-CN"/>
              </w:rPr>
              <w:t>价法》（2018年12月29日修正）、《建设项目环境保护管理条例》（国务院令第682号2017年10月1日）和《建设项目环境影响评价分类管理名录》（部令第</w:t>
            </w:r>
            <w:r>
              <w:rPr>
                <w:rFonts w:hint="default" w:ascii="Times New Roman" w:hAnsi="Times New Roman" w:eastAsia="宋体" w:cs="Times New Roman"/>
                <w:bCs/>
                <w:iCs/>
                <w:color w:val="auto"/>
                <w:szCs w:val="24"/>
                <w:highlight w:val="none"/>
                <w:lang w:eastAsia="zh-CN"/>
              </w:rPr>
              <w:t>16号</w:t>
            </w:r>
            <w:r>
              <w:rPr>
                <w:rFonts w:hint="default" w:ascii="Times New Roman" w:hAnsi="Times New Roman" w:eastAsia="宋体" w:cs="Times New Roman"/>
                <w:bCs/>
                <w:iCs/>
                <w:color w:val="auto"/>
                <w:szCs w:val="24"/>
                <w:highlight w:val="none"/>
                <w:lang w:val="zh-CN" w:eastAsia="zh-CN"/>
              </w:rPr>
              <w:t>）相关规定，</w:t>
            </w:r>
            <w:r>
              <w:rPr>
                <w:rFonts w:hint="default" w:ascii="Times New Roman" w:hAnsi="Times New Roman" w:eastAsia="宋体" w:cs="Times New Roman"/>
                <w:color w:val="auto"/>
                <w:spacing w:val="0"/>
                <w:sz w:val="24"/>
                <w:lang w:val="zh-CN"/>
              </w:rPr>
              <w:t>本项目属于</w:t>
            </w:r>
            <w:r>
              <w:rPr>
                <w:rFonts w:hint="eastAsia" w:ascii="Times New Roman" w:hAnsi="Times New Roman" w:eastAsia="宋体" w:cs="Times New Roman"/>
                <w:color w:val="auto"/>
                <w:sz w:val="24"/>
                <w:szCs w:val="24"/>
                <w:highlight w:val="none"/>
                <w:lang w:val="zh-CN" w:eastAsia="zh-CN"/>
              </w:rPr>
              <w:t>“</w:t>
            </w:r>
            <w:r>
              <w:rPr>
                <w:rFonts w:hint="eastAsia" w:cs="Times New Roman"/>
                <w:color w:val="auto"/>
                <w:sz w:val="24"/>
                <w:szCs w:val="24"/>
                <w:highlight w:val="none"/>
                <w:lang w:val="en-US" w:eastAsia="zh-CN"/>
              </w:rPr>
              <w:t>十一</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食品制造业</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中</w:t>
            </w:r>
            <w:r>
              <w:rPr>
                <w:rFonts w:hint="eastAsia" w:ascii="Times New Roman" w:hAnsi="Times New Roman" w:eastAsia="宋体" w:cs="Times New Roman"/>
                <w:color w:val="auto"/>
                <w:sz w:val="24"/>
                <w:szCs w:val="24"/>
                <w:highlight w:val="none"/>
                <w:lang w:val="zh-CN" w:eastAsia="zh-CN"/>
              </w:rPr>
              <w:t>“</w:t>
            </w:r>
            <w:r>
              <w:rPr>
                <w:rFonts w:hint="eastAsia" w:cs="Times New Roman"/>
                <w:color w:val="auto"/>
                <w:sz w:val="24"/>
                <w:szCs w:val="24"/>
                <w:highlight w:val="none"/>
                <w:lang w:val="en-US" w:eastAsia="zh-CN"/>
              </w:rPr>
              <w:t>21.方便食品制造143</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en-US" w:eastAsia="zh-CN"/>
              </w:rPr>
              <w:t>需</w:t>
            </w:r>
            <w:r>
              <w:rPr>
                <w:rFonts w:hint="eastAsia" w:ascii="宋体" w:hAnsi="宋体" w:cs="宋体"/>
                <w:color w:val="auto"/>
                <w:kern w:val="0"/>
                <w:sz w:val="24"/>
                <w:szCs w:val="24"/>
                <w:highlight w:val="none"/>
                <w:lang w:val="en-US" w:eastAsia="zh-CN" w:bidi="ar"/>
              </w:rPr>
              <w:t>编制</w:t>
            </w:r>
            <w:r>
              <w:rPr>
                <w:rFonts w:hint="eastAsia" w:ascii="宋体" w:hAnsi="宋体" w:eastAsia="宋体" w:cs="宋体"/>
                <w:color w:val="auto"/>
                <w:kern w:val="0"/>
                <w:sz w:val="24"/>
                <w:szCs w:val="24"/>
                <w:highlight w:val="none"/>
                <w:lang w:val="en-US" w:eastAsia="zh-CN" w:bidi="ar"/>
              </w:rPr>
              <w:t>建设项目环境影响报告表</w:t>
            </w:r>
            <w:r>
              <w:rPr>
                <w:rFonts w:hint="eastAsia" w:ascii="Times New Roman" w:hAnsi="Times New Roman" w:eastAsia="宋体" w:cs="Times New Roman"/>
                <w:color w:val="auto"/>
                <w:sz w:val="24"/>
                <w:szCs w:val="24"/>
                <w:highlight w:val="none"/>
                <w:lang w:val="en-US" w:eastAsia="zh-CN"/>
              </w:rPr>
              <w:t>。</w:t>
            </w:r>
          </w:p>
          <w:p>
            <w:pPr>
              <w:numPr>
                <w:ilvl w:val="0"/>
                <w:numId w:val="0"/>
              </w:numPr>
              <w:bidi w:val="0"/>
              <w:ind w:leftChars="200"/>
              <w:rPr>
                <w:rFonts w:hint="default"/>
                <w:b/>
                <w:bCs/>
                <w:color w:val="auto"/>
                <w:lang w:val="en-US" w:eastAsia="zh-CN"/>
              </w:rPr>
            </w:pPr>
            <w:r>
              <w:rPr>
                <w:rFonts w:hint="eastAsia"/>
                <w:b/>
                <w:bCs/>
                <w:color w:val="auto"/>
                <w:lang w:val="en-US" w:eastAsia="zh-CN"/>
              </w:rPr>
              <w:t>二、</w:t>
            </w:r>
            <w:r>
              <w:rPr>
                <w:rFonts w:hint="default"/>
                <w:b/>
                <w:bCs/>
                <w:color w:val="auto"/>
                <w:lang w:val="en-US" w:eastAsia="zh-CN"/>
              </w:rPr>
              <w:t>项目概况</w:t>
            </w:r>
          </w:p>
          <w:p>
            <w:pPr>
              <w:bidi w:val="0"/>
              <w:rPr>
                <w:rFonts w:hint="default"/>
                <w:color w:val="auto"/>
                <w:lang w:eastAsia="zh-CN"/>
              </w:rPr>
            </w:pPr>
            <w:r>
              <w:rPr>
                <w:rFonts w:hint="default"/>
                <w:color w:val="auto"/>
                <w:lang w:eastAsia="zh-CN"/>
              </w:rPr>
              <w:t>项目名称：</w:t>
            </w:r>
            <w:r>
              <w:rPr>
                <w:rFonts w:hint="eastAsia"/>
                <w:color w:val="auto"/>
                <w:lang w:val="en-US" w:eastAsia="zh-CN"/>
              </w:rPr>
              <w:t>面皮生产线扩建项目</w:t>
            </w:r>
          </w:p>
          <w:p>
            <w:pPr>
              <w:bidi w:val="0"/>
              <w:rPr>
                <w:rFonts w:hint="eastAsia" w:eastAsia="宋体"/>
                <w:color w:val="auto"/>
                <w:lang w:val="en-US" w:eastAsia="zh-CN"/>
              </w:rPr>
            </w:pPr>
            <w:r>
              <w:rPr>
                <w:rFonts w:hint="default"/>
                <w:color w:val="auto"/>
              </w:rPr>
              <w:t>建设性质：</w:t>
            </w:r>
            <w:r>
              <w:rPr>
                <w:rFonts w:hint="eastAsia"/>
                <w:color w:val="auto"/>
                <w:lang w:val="en-US" w:eastAsia="zh-CN"/>
              </w:rPr>
              <w:t>扩建</w:t>
            </w:r>
          </w:p>
          <w:p>
            <w:pPr>
              <w:bidi w:val="0"/>
              <w:rPr>
                <w:rFonts w:hint="default"/>
                <w:color w:val="auto"/>
                <w:lang w:val="en-US" w:eastAsia="zh-CN"/>
              </w:rPr>
            </w:pPr>
            <w:r>
              <w:rPr>
                <w:rFonts w:hint="default"/>
                <w:color w:val="auto"/>
                <w:lang w:eastAsia="zh-CN"/>
              </w:rPr>
              <w:t>建设单位：</w:t>
            </w:r>
            <w:r>
              <w:rPr>
                <w:rFonts w:hint="eastAsia"/>
                <w:color w:val="auto"/>
                <w:lang w:val="en-US" w:eastAsia="zh-CN"/>
              </w:rPr>
              <w:t>宝鸡市欣鑫源食品有限公司</w:t>
            </w:r>
          </w:p>
          <w:p>
            <w:pPr>
              <w:bidi w:val="0"/>
              <w:rPr>
                <w:rFonts w:hint="default"/>
                <w:color w:val="auto"/>
                <w:lang w:val="en-US"/>
              </w:rPr>
            </w:pPr>
            <w:r>
              <w:rPr>
                <w:rFonts w:hint="default"/>
                <w:color w:val="auto"/>
              </w:rPr>
              <w:t>建设地点：</w:t>
            </w:r>
            <w:r>
              <w:rPr>
                <w:rFonts w:hint="eastAsia"/>
                <w:color w:val="auto"/>
                <w:lang w:val="en-US" w:eastAsia="zh-CN"/>
              </w:rPr>
              <w:t>陕西省宝鸡市陈仓区阳平镇第六寨村</w:t>
            </w:r>
          </w:p>
          <w:p>
            <w:pPr>
              <w:bidi w:val="0"/>
              <w:rPr>
                <w:rFonts w:hint="default" w:eastAsia="宋体"/>
                <w:color w:val="auto"/>
                <w:lang w:val="en-US" w:eastAsia="zh-CN"/>
              </w:rPr>
            </w:pPr>
            <w:r>
              <w:rPr>
                <w:rFonts w:hint="default"/>
                <w:color w:val="auto"/>
              </w:rPr>
              <w:t>建设内容</w:t>
            </w:r>
            <w:r>
              <w:rPr>
                <w:rFonts w:hint="default"/>
                <w:color w:val="auto"/>
                <w:lang w:eastAsia="zh-CN"/>
              </w:rPr>
              <w:t>及规模</w:t>
            </w:r>
            <w:r>
              <w:rPr>
                <w:rFonts w:hint="default"/>
                <w:color w:val="auto"/>
              </w:rPr>
              <w:t>：</w:t>
            </w:r>
            <w:r>
              <w:rPr>
                <w:rFonts w:hint="eastAsia"/>
                <w:color w:val="auto"/>
                <w:lang w:val="en-US" w:eastAsia="zh-CN"/>
              </w:rPr>
              <w:t>本项目对现有生产线进行扩建，</w:t>
            </w:r>
            <w:r>
              <w:rPr>
                <w:rFonts w:hint="eastAsia" w:ascii="Times New Roman" w:hAnsi="Times New Roman" w:eastAsia="宋体" w:cs="Times New Roman"/>
                <w:color w:val="auto"/>
                <w:szCs w:val="21"/>
                <w:highlight w:val="none"/>
                <w:lang w:val="en-US" w:eastAsia="zh-CN"/>
              </w:rPr>
              <w:t>在现有生产线基础上增加面皮机、包装机等设备，建成后擀面皮产能增加至4800t/a，面筋产能增加至360t/a，调料包产能增加至1320t/a，油泼辣子产能增加至960t/a。</w:t>
            </w:r>
          </w:p>
          <w:p>
            <w:pPr>
              <w:bidi w:val="0"/>
              <w:rPr>
                <w:rFonts w:hint="default"/>
                <w:color w:val="auto"/>
              </w:rPr>
            </w:pPr>
            <w:r>
              <w:rPr>
                <w:rFonts w:hint="default"/>
                <w:color w:val="auto"/>
              </w:rPr>
              <w:t>地理位置与四邻关系</w:t>
            </w:r>
            <w:r>
              <w:rPr>
                <w:rFonts w:hint="default"/>
                <w:color w:val="auto"/>
                <w:lang w:eastAsia="zh-CN"/>
              </w:rPr>
              <w:t>：</w:t>
            </w:r>
            <w:r>
              <w:rPr>
                <w:rFonts w:hint="default" w:ascii="Times New Roman" w:hAnsi="Times New Roman" w:eastAsia="宋体" w:cs="Times New Roman"/>
                <w:color w:val="auto"/>
                <w:spacing w:val="0"/>
                <w:sz w:val="24"/>
              </w:rPr>
              <w:t>项目位于</w:t>
            </w:r>
            <w:r>
              <w:rPr>
                <w:rFonts w:hint="eastAsia" w:ascii="Times New Roman" w:hAnsi="Times New Roman" w:eastAsia="宋体" w:cs="Times New Roman"/>
                <w:color w:val="auto"/>
                <w:spacing w:val="0"/>
                <w:sz w:val="24"/>
                <w:lang w:val="zh-CN"/>
              </w:rPr>
              <w:t>宝鸡市</w:t>
            </w:r>
            <w:r>
              <w:rPr>
                <w:rFonts w:hint="eastAsia" w:cs="Times New Roman"/>
                <w:color w:val="auto"/>
                <w:spacing w:val="0"/>
                <w:sz w:val="24"/>
                <w:lang w:val="zh-CN"/>
              </w:rPr>
              <w:t>陈仓区阳平镇第六寨村</w:t>
            </w:r>
            <w:r>
              <w:rPr>
                <w:rFonts w:hint="default" w:ascii="Times New Roman" w:hAnsi="Times New Roman" w:eastAsia="宋体" w:cs="Times New Roman"/>
                <w:color w:val="auto"/>
                <w:spacing w:val="0"/>
                <w:sz w:val="24"/>
              </w:rPr>
              <w:t>，</w:t>
            </w:r>
            <w:r>
              <w:rPr>
                <w:rFonts w:hint="default" w:ascii="Times New Roman" w:hAnsi="Times New Roman" w:eastAsia="宋体" w:cs="Times New Roman"/>
                <w:color w:val="auto"/>
                <w:spacing w:val="0"/>
                <w:sz w:val="24"/>
                <w:lang w:val="zh-CN"/>
              </w:rPr>
              <w:t>项目东侧</w:t>
            </w:r>
            <w:r>
              <w:rPr>
                <w:rFonts w:hint="eastAsia" w:ascii="Times New Roman" w:hAnsi="Times New Roman" w:eastAsia="宋体" w:cs="Times New Roman"/>
                <w:color w:val="auto"/>
                <w:spacing w:val="0"/>
                <w:sz w:val="24"/>
                <w:lang w:val="en-US" w:eastAsia="zh-CN"/>
              </w:rPr>
              <w:t>为农田</w:t>
            </w:r>
            <w:r>
              <w:rPr>
                <w:rFonts w:hint="eastAsia" w:cs="Times New Roman"/>
                <w:color w:val="auto"/>
                <w:spacing w:val="0"/>
                <w:sz w:val="24"/>
                <w:lang w:val="en-US" w:eastAsia="zh-CN"/>
              </w:rPr>
              <w:t>及住户，南侧为农田及庙，西侧为住户</w:t>
            </w:r>
            <w:r>
              <w:rPr>
                <w:rFonts w:hint="eastAsia" w:cs="Times New Roman"/>
                <w:color w:val="auto"/>
                <w:spacing w:val="0"/>
                <w:sz w:val="24"/>
                <w:lang w:val="zh-CN"/>
              </w:rPr>
              <w:t>，</w:t>
            </w:r>
            <w:r>
              <w:rPr>
                <w:rFonts w:hint="default" w:ascii="Times New Roman" w:hAnsi="Times New Roman" w:eastAsia="宋体" w:cs="Times New Roman"/>
                <w:color w:val="auto"/>
                <w:spacing w:val="0"/>
                <w:sz w:val="24"/>
                <w:lang w:val="zh-CN"/>
              </w:rPr>
              <w:t>北侧为</w:t>
            </w:r>
            <w:r>
              <w:rPr>
                <w:rFonts w:hint="eastAsia" w:cs="Times New Roman"/>
                <w:color w:val="auto"/>
                <w:spacing w:val="0"/>
                <w:sz w:val="24"/>
                <w:lang w:val="en-US" w:eastAsia="zh-CN"/>
              </w:rPr>
              <w:t>第六寨村村委会</w:t>
            </w:r>
            <w:r>
              <w:rPr>
                <w:rFonts w:hint="default" w:ascii="Times New Roman" w:hAnsi="Times New Roman" w:eastAsia="宋体" w:cs="Times New Roman"/>
                <w:color w:val="auto"/>
                <w:spacing w:val="0"/>
                <w:sz w:val="24"/>
                <w:lang w:val="zh-CN"/>
              </w:rPr>
              <w:t>。</w:t>
            </w:r>
            <w:r>
              <w:rPr>
                <w:rFonts w:hint="default"/>
                <w:color w:val="auto"/>
              </w:rPr>
              <w:t>项目地理位置图见附图1，项目四邻关系见附图</w:t>
            </w:r>
            <w:r>
              <w:rPr>
                <w:rFonts w:hint="eastAsia"/>
                <w:color w:val="auto"/>
                <w:lang w:val="en-US" w:eastAsia="zh-CN"/>
              </w:rPr>
              <w:t>3</w:t>
            </w:r>
            <w:r>
              <w:rPr>
                <w:rFonts w:hint="default"/>
                <w:color w:val="auto"/>
              </w:rPr>
              <w:t>。</w:t>
            </w:r>
          </w:p>
          <w:p>
            <w:pPr>
              <w:pStyle w:val="81"/>
              <w:bidi w:val="0"/>
              <w:rPr>
                <w:rFonts w:hint="default"/>
                <w:color w:val="auto"/>
              </w:rPr>
            </w:pPr>
            <w:r>
              <w:rPr>
                <w:rFonts w:hint="default"/>
                <w:color w:val="auto"/>
              </w:rPr>
              <w:t>表</w:t>
            </w:r>
            <w:r>
              <w:rPr>
                <w:rFonts w:hint="default"/>
                <w:color w:val="auto"/>
                <w:lang w:val="en-US" w:eastAsia="zh-CN"/>
              </w:rPr>
              <w:t>2-</w:t>
            </w:r>
            <w:r>
              <w:rPr>
                <w:rFonts w:hint="eastAsia"/>
                <w:color w:val="auto"/>
                <w:lang w:val="en-US" w:eastAsia="zh-CN"/>
              </w:rPr>
              <w:t>1</w:t>
            </w:r>
            <w:r>
              <w:rPr>
                <w:rFonts w:hint="default"/>
                <w:color w:val="auto"/>
              </w:rPr>
              <w:t xml:space="preserve">  </w:t>
            </w:r>
            <w:r>
              <w:rPr>
                <w:rFonts w:hint="default"/>
                <w:color w:val="auto"/>
                <w:lang w:val="en-US" w:eastAsia="zh-CN"/>
              </w:rPr>
              <w:t xml:space="preserve"> 项目</w:t>
            </w:r>
            <w:r>
              <w:rPr>
                <w:rFonts w:hint="default"/>
                <w:color w:val="auto"/>
              </w:rPr>
              <w:t>工程组成一览表</w:t>
            </w:r>
          </w:p>
          <w:tbl>
            <w:tblPr>
              <w:tblStyle w:val="31"/>
              <w:tblW w:w="801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7"/>
              <w:gridCol w:w="350"/>
              <w:gridCol w:w="927"/>
              <w:gridCol w:w="5072"/>
              <w:gridCol w:w="10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844" w:type="dxa"/>
                  <w:gridSpan w:val="3"/>
                  <w:tcBorders>
                    <w:tl2br w:val="nil"/>
                    <w:tr2bl w:val="nil"/>
                  </w:tcBorders>
                  <w:vAlign w:val="center"/>
                </w:tcPr>
                <w:p>
                  <w:pPr>
                    <w:pStyle w:val="32"/>
                    <w:keepNext w:val="0"/>
                    <w:keepLines w:val="0"/>
                    <w:pageBreakBefore w:val="0"/>
                    <w:widowControl w:val="0"/>
                    <w:kinsoku/>
                    <w:wordWrap/>
                    <w:overflowPunct/>
                    <w:topLinePunct w:val="0"/>
                    <w:bidi w:val="0"/>
                    <w:ind w:left="-89" w:leftChars="-37" w:right="-89" w:rightChars="-37"/>
                    <w:rPr>
                      <w:rFonts w:hint="default" w:ascii="Times New Roman" w:hAnsi="Times New Roman" w:cs="Times New Roman"/>
                      <w:b/>
                      <w:bCs/>
                      <w:color w:val="auto"/>
                    </w:rPr>
                  </w:pPr>
                  <w:r>
                    <w:rPr>
                      <w:rFonts w:hint="default" w:ascii="Times New Roman" w:hAnsi="Times New Roman" w:cs="Times New Roman"/>
                      <w:b/>
                      <w:bCs/>
                      <w:color w:val="auto"/>
                    </w:rPr>
                    <w:t>项目组成</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ind w:left="-89" w:leftChars="-37" w:right="-89" w:rightChars="-37"/>
                    <w:rPr>
                      <w:rFonts w:hint="default" w:ascii="Times New Roman" w:hAnsi="Times New Roman" w:eastAsia="宋体" w:cs="Times New Roman"/>
                      <w:b/>
                      <w:bCs/>
                      <w:color w:val="auto"/>
                      <w:lang w:val="en-US" w:eastAsia="zh-CN"/>
                    </w:rPr>
                  </w:pPr>
                  <w:r>
                    <w:rPr>
                      <w:rFonts w:hint="eastAsia" w:cs="Times New Roman"/>
                      <w:b/>
                      <w:bCs/>
                      <w:color w:val="auto"/>
                      <w:lang w:val="en-US" w:eastAsia="zh-CN"/>
                    </w:rPr>
                    <w:t>项目</w:t>
                  </w:r>
                  <w:r>
                    <w:rPr>
                      <w:rFonts w:hint="eastAsia" w:ascii="Times New Roman" w:hAnsi="Times New Roman" w:cs="Times New Roman"/>
                      <w:b/>
                      <w:bCs/>
                      <w:color w:val="auto"/>
                      <w:lang w:val="en-US" w:eastAsia="zh-CN"/>
                    </w:rPr>
                    <w:t>建设内容</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ind w:left="-89" w:leftChars="-37" w:right="-89" w:rightChars="-37"/>
                    <w:rPr>
                      <w:rFonts w:hint="default" w:cs="Times New Roman"/>
                      <w:b/>
                      <w:bCs/>
                      <w:color w:val="auto"/>
                      <w:lang w:val="en-US" w:eastAsia="zh-CN"/>
                    </w:rPr>
                  </w:pPr>
                  <w:r>
                    <w:rPr>
                      <w:rFonts w:hint="eastAsia" w:cs="Times New Roman"/>
                      <w:b/>
                      <w:bCs/>
                      <w:color w:val="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tcBorders>
                    <w:tl2br w:val="nil"/>
                    <w:tr2bl w:val="nil"/>
                  </w:tcBorders>
                  <w:vAlign w:val="center"/>
                </w:tcPr>
                <w:p>
                  <w:pPr>
                    <w:pStyle w:val="62"/>
                    <w:keepNext w:val="0"/>
                    <w:keepLines w:val="0"/>
                    <w:pageBreakBefore w:val="0"/>
                    <w:widowControl w:val="0"/>
                    <w:kinsoku/>
                    <w:wordWrap/>
                    <w:overflowPunct/>
                    <w:topLinePunct w:val="0"/>
                    <w:bidi w:val="0"/>
                    <w:snapToGrid/>
                    <w:spacing w:line="240" w:lineRule="auto"/>
                    <w:ind w:left="-89" w:leftChars="-37" w:right="-89" w:rightChars="-37" w:firstLine="0" w:firstLineChars="0"/>
                    <w:jc w:val="center"/>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主体工程</w:t>
                  </w:r>
                </w:p>
              </w:tc>
              <w:tc>
                <w:tcPr>
                  <w:tcW w:w="1277" w:type="dxa"/>
                  <w:gridSpan w:val="2"/>
                  <w:tcBorders>
                    <w:tl2br w:val="nil"/>
                    <w:tr2bl w:val="nil"/>
                  </w:tcBorders>
                  <w:vAlign w:val="center"/>
                </w:tcPr>
                <w:p>
                  <w:pPr>
                    <w:pStyle w:val="62"/>
                    <w:keepNext w:val="0"/>
                    <w:keepLines w:val="0"/>
                    <w:pageBreakBefore w:val="0"/>
                    <w:widowControl w:val="0"/>
                    <w:kinsoku/>
                    <w:wordWrap/>
                    <w:overflowPunct/>
                    <w:topLinePunct w:val="0"/>
                    <w:bidi w:val="0"/>
                    <w:snapToGrid/>
                    <w:spacing w:line="240" w:lineRule="auto"/>
                    <w:ind w:left="-89" w:leftChars="-37" w:right="-89" w:rightChars="-37" w:firstLine="0" w:firstLineChars="0"/>
                    <w:jc w:val="center"/>
                    <w:rPr>
                      <w:rFonts w:hint="default"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highlight w:val="none"/>
                      <w:lang w:val="en-US" w:eastAsia="zh-CN"/>
                    </w:rPr>
                    <w:t>生产车间</w:t>
                  </w:r>
                </w:p>
              </w:tc>
              <w:tc>
                <w:tcPr>
                  <w:tcW w:w="5072" w:type="dxa"/>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before="0" w:after="0" w:line="240" w:lineRule="auto"/>
                    <w:ind w:left="-89" w:leftChars="-37" w:right="-89" w:rightChars="-37"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层</w:t>
                  </w:r>
                  <w:r>
                    <w:rPr>
                      <w:rFonts w:hint="default" w:ascii="Times New Roman" w:hAnsi="Times New Roman" w:eastAsia="宋体" w:cs="Times New Roman"/>
                      <w:color w:val="auto"/>
                      <w:sz w:val="21"/>
                      <w:szCs w:val="21"/>
                      <w:highlight w:val="none"/>
                      <w:vertAlign w:val="baseline"/>
                      <w:lang w:val="en-US" w:eastAsia="zh-CN"/>
                    </w:rPr>
                    <w:t>钢结构</w:t>
                  </w:r>
                  <w:r>
                    <w:rPr>
                      <w:rFonts w:hint="default" w:ascii="Times New Roman" w:hAnsi="Times New Roman" w:eastAsia="宋体" w:cs="Times New Roman"/>
                      <w:color w:val="auto"/>
                      <w:sz w:val="21"/>
                      <w:szCs w:val="21"/>
                      <w:highlight w:val="none"/>
                      <w:lang w:val="en-US" w:eastAsia="zh-CN"/>
                    </w:rPr>
                    <w:t>，建筑面积</w:t>
                  </w:r>
                  <w:r>
                    <w:rPr>
                      <w:rFonts w:hint="eastAsia" w:cs="Times New Roman"/>
                      <w:color w:val="auto"/>
                      <w:sz w:val="21"/>
                      <w:szCs w:val="21"/>
                      <w:highlight w:val="none"/>
                      <w:lang w:val="en-US" w:eastAsia="zh-CN"/>
                    </w:rPr>
                    <w:t>48</w:t>
                  </w:r>
                  <w:r>
                    <w:rPr>
                      <w:rFonts w:hint="default" w:ascii="Times New Roman" w:hAnsi="Times New Roman"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，车间总高为12m。</w:t>
                  </w:r>
                  <w:r>
                    <w:rPr>
                      <w:rFonts w:hint="eastAsia" w:ascii="Times New Roman" w:hAnsi="Times New Roman" w:eastAsia="宋体" w:cs="Times New Roman"/>
                      <w:color w:val="auto"/>
                      <w:sz w:val="21"/>
                      <w:szCs w:val="21"/>
                      <w:highlight w:val="none"/>
                      <w:vertAlign w:val="baseline"/>
                      <w:lang w:val="en-US" w:eastAsia="zh-CN"/>
                    </w:rPr>
                    <w:t>在现有生产车间增加面皮机包装机等设备</w:t>
                  </w:r>
                  <w:r>
                    <w:rPr>
                      <w:rFonts w:hint="eastAsia" w:cs="Times New Roman"/>
                      <w:color w:val="auto"/>
                      <w:sz w:val="21"/>
                      <w:szCs w:val="21"/>
                      <w:highlight w:val="none"/>
                      <w:vertAlign w:val="baseline"/>
                      <w:lang w:val="en-US" w:eastAsia="zh-CN"/>
                    </w:rPr>
                    <w:t>及油烟净化器。</w:t>
                  </w:r>
                </w:p>
              </w:tc>
              <w:tc>
                <w:tcPr>
                  <w:tcW w:w="1095" w:type="dxa"/>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before="0" w:after="0" w:line="240" w:lineRule="auto"/>
                    <w:ind w:left="-89" w:leftChars="-37" w:right="-89" w:rightChars="-37"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依托现有车间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restart"/>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r>
                    <w:rPr>
                      <w:rFonts w:hint="default" w:ascii="Times New Roman" w:hAnsi="Times New Roman" w:cs="Times New Roman"/>
                      <w:color w:val="auto"/>
                    </w:rPr>
                    <w:t>辅助工程</w:t>
                  </w:r>
                </w:p>
              </w:tc>
              <w:tc>
                <w:tcPr>
                  <w:tcW w:w="1277" w:type="dxa"/>
                  <w:gridSpan w:val="2"/>
                  <w:tcBorders>
                    <w:tl2br w:val="nil"/>
                    <w:tr2bl w:val="nil"/>
                  </w:tcBorders>
                  <w:vAlign w:val="center"/>
                </w:tcPr>
                <w:p>
                  <w:pPr>
                    <w:pStyle w:val="62"/>
                    <w:keepNext w:val="0"/>
                    <w:keepLines w:val="0"/>
                    <w:pageBreakBefore w:val="0"/>
                    <w:widowControl w:val="0"/>
                    <w:kinsoku/>
                    <w:wordWrap/>
                    <w:overflowPunct/>
                    <w:topLinePunct w:val="0"/>
                    <w:bidi w:val="0"/>
                    <w:adjustRightInd/>
                    <w:snapToGrid/>
                    <w:spacing w:before="0" w:after="0" w:line="240" w:lineRule="auto"/>
                    <w:ind w:left="-89" w:leftChars="-37" w:right="-89" w:rightChars="-37" w:firstLine="0" w:firstLineChars="0"/>
                    <w:textAlignment w:val="auto"/>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rPr>
                    <w:t>办公区</w:t>
                  </w:r>
                </w:p>
              </w:tc>
              <w:tc>
                <w:tcPr>
                  <w:tcW w:w="5072" w:type="dxa"/>
                  <w:tcBorders>
                    <w:tl2br w:val="nil"/>
                    <w:tr2bl w:val="nil"/>
                  </w:tcBorders>
                  <w:vAlign w:val="center"/>
                </w:tcPr>
                <w:p>
                  <w:pPr>
                    <w:pStyle w:val="62"/>
                    <w:keepNext w:val="0"/>
                    <w:keepLines w:val="0"/>
                    <w:pageBreakBefore w:val="0"/>
                    <w:widowControl w:val="0"/>
                    <w:kinsoku/>
                    <w:wordWrap/>
                    <w:overflowPunct/>
                    <w:topLinePunct w:val="0"/>
                    <w:bidi w:val="0"/>
                    <w:adjustRightInd/>
                    <w:snapToGrid/>
                    <w:spacing w:before="0" w:after="0" w:line="240" w:lineRule="auto"/>
                    <w:ind w:left="-89" w:leftChars="-37" w:right="-89" w:rightChars="-37" w:firstLine="0" w:firstLineChars="0"/>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位于</w:t>
                  </w:r>
                  <w:r>
                    <w:rPr>
                      <w:rFonts w:hint="eastAsia" w:cs="Times New Roman"/>
                      <w:color w:val="auto"/>
                      <w:spacing w:val="0"/>
                      <w:szCs w:val="21"/>
                      <w:lang w:val="en-US" w:eastAsia="zh-CN"/>
                    </w:rPr>
                    <w:t>厂区</w:t>
                  </w:r>
                  <w:r>
                    <w:rPr>
                      <w:rFonts w:hint="default" w:ascii="Times New Roman" w:hAnsi="Times New Roman" w:eastAsia="宋体" w:cs="Times New Roman"/>
                      <w:color w:val="auto"/>
                      <w:spacing w:val="0"/>
                      <w:szCs w:val="21"/>
                      <w:lang w:eastAsia="zh-CN"/>
                    </w:rPr>
                    <w:t>西侧</w:t>
                  </w:r>
                  <w:r>
                    <w:rPr>
                      <w:rFonts w:hint="default" w:ascii="Times New Roman" w:hAnsi="Times New Roman" w:eastAsia="宋体" w:cs="Times New Roman"/>
                      <w:color w:val="auto"/>
                      <w:spacing w:val="0"/>
                      <w:szCs w:val="21"/>
                    </w:rPr>
                    <w:t>，建筑面积</w:t>
                  </w:r>
                  <w:r>
                    <w:rPr>
                      <w:rFonts w:hint="eastAsia" w:cs="Times New Roman"/>
                      <w:color w:val="auto"/>
                      <w:spacing w:val="0"/>
                      <w:szCs w:val="21"/>
                      <w:lang w:val="en-US" w:eastAsia="zh-CN"/>
                    </w:rPr>
                    <w:t>180</w:t>
                  </w:r>
                  <w:r>
                    <w:rPr>
                      <w:rFonts w:hint="default" w:ascii="Times New Roman" w:hAnsi="Times New Roman" w:eastAsia="宋体" w:cs="Times New Roman"/>
                      <w:color w:val="auto"/>
                      <w:spacing w:val="0"/>
                      <w:szCs w:val="21"/>
                    </w:rPr>
                    <w:t>m</w:t>
                  </w:r>
                  <w:r>
                    <w:rPr>
                      <w:rFonts w:hint="default" w:ascii="Times New Roman" w:hAnsi="Times New Roman" w:eastAsia="宋体" w:cs="Times New Roman"/>
                      <w:color w:val="auto"/>
                      <w:spacing w:val="0"/>
                      <w:szCs w:val="21"/>
                      <w:vertAlign w:val="superscript"/>
                    </w:rPr>
                    <w:t>2</w:t>
                  </w:r>
                  <w:r>
                    <w:rPr>
                      <w:rFonts w:hint="default" w:ascii="Times New Roman" w:hAnsi="Times New Roman" w:eastAsia="宋体" w:cs="Times New Roman"/>
                      <w:color w:val="auto"/>
                      <w:spacing w:val="0"/>
                      <w:szCs w:val="21"/>
                    </w:rPr>
                    <w:t>，主要用于办公、休息。</w:t>
                  </w:r>
                </w:p>
              </w:tc>
              <w:tc>
                <w:tcPr>
                  <w:tcW w:w="1095" w:type="dxa"/>
                  <w:tcBorders>
                    <w:tl2br w:val="nil"/>
                    <w:tr2bl w:val="nil"/>
                  </w:tcBorders>
                  <w:vAlign w:val="center"/>
                </w:tcPr>
                <w:p>
                  <w:pPr>
                    <w:pStyle w:val="62"/>
                    <w:keepNext w:val="0"/>
                    <w:keepLines w:val="0"/>
                    <w:pageBreakBefore w:val="0"/>
                    <w:widowControl w:val="0"/>
                    <w:kinsoku/>
                    <w:wordWrap/>
                    <w:overflowPunct/>
                    <w:topLinePunct w:val="0"/>
                    <w:bidi w:val="0"/>
                    <w:adjustRightInd/>
                    <w:snapToGrid/>
                    <w:spacing w:before="0" w:after="0" w:line="240" w:lineRule="auto"/>
                    <w:ind w:left="-89" w:leftChars="-37" w:right="-89" w:rightChars="-37" w:firstLine="0" w:firstLineChars="0"/>
                    <w:textAlignment w:val="auto"/>
                    <w:rPr>
                      <w:rFonts w:hint="eastAsia"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1277"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snapToGrid/>
                    <w:ind w:left="-89" w:leftChars="-37" w:right="-89" w:rightChars="-37"/>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化验室</w:t>
                  </w:r>
                </w:p>
              </w:tc>
              <w:tc>
                <w:tcPr>
                  <w:tcW w:w="5072" w:type="dxa"/>
                  <w:tcBorders>
                    <w:tl2br w:val="nil"/>
                    <w:tr2bl w:val="nil"/>
                  </w:tcBorders>
                  <w:vAlign w:val="center"/>
                </w:tcPr>
                <w:p>
                  <w:pPr>
                    <w:pStyle w:val="62"/>
                    <w:keepNext w:val="0"/>
                    <w:keepLines w:val="0"/>
                    <w:pageBreakBefore w:val="0"/>
                    <w:widowControl w:val="0"/>
                    <w:kinsoku/>
                    <w:wordWrap/>
                    <w:overflowPunct/>
                    <w:topLinePunct w:val="0"/>
                    <w:bidi w:val="0"/>
                    <w:adjustRightInd/>
                    <w:snapToGrid/>
                    <w:spacing w:before="0" w:after="0" w:line="240" w:lineRule="auto"/>
                    <w:ind w:left="-89" w:leftChars="-37" w:right="-89" w:rightChars="-37" w:firstLine="0" w:firstLineChars="0"/>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位于厂区西侧，建筑面积80</w:t>
                  </w:r>
                  <w:r>
                    <w:rPr>
                      <w:rFonts w:hint="default" w:ascii="Times New Roman" w:hAnsi="Times New Roman" w:eastAsia="宋体" w:cs="Times New Roman"/>
                      <w:color w:val="auto"/>
                      <w:spacing w:val="0"/>
                      <w:szCs w:val="21"/>
                    </w:rPr>
                    <w:t>m</w:t>
                  </w:r>
                  <w:r>
                    <w:rPr>
                      <w:rFonts w:hint="default" w:ascii="Times New Roman" w:hAnsi="Times New Roman" w:eastAsia="宋体" w:cs="Times New Roman"/>
                      <w:color w:val="auto"/>
                      <w:spacing w:val="0"/>
                      <w:szCs w:val="21"/>
                      <w:vertAlign w:val="superscript"/>
                    </w:rPr>
                    <w:t>2</w:t>
                  </w:r>
                  <w:r>
                    <w:rPr>
                      <w:rFonts w:hint="eastAsia" w:cs="Times New Roman"/>
                      <w:color w:val="auto"/>
                      <w:spacing w:val="0"/>
                      <w:szCs w:val="21"/>
                      <w:lang w:val="en-US" w:eastAsia="zh-CN"/>
                    </w:rPr>
                    <w:t>，主要对面皮产品进行抽检</w:t>
                  </w:r>
                  <w:r>
                    <w:rPr>
                      <w:rFonts w:hint="eastAsia"/>
                      <w:lang w:eastAsia="zh-CN"/>
                    </w:rPr>
                    <w:t>，</w:t>
                  </w:r>
                  <w:r>
                    <w:rPr>
                      <w:rFonts w:hint="eastAsia"/>
                      <w:lang w:val="en-US" w:eastAsia="zh-CN"/>
                    </w:rPr>
                    <w:t>用于检测微生物指标等</w:t>
                  </w:r>
                  <w:r>
                    <w:rPr>
                      <w:rFonts w:hint="eastAsia" w:cs="Times New Roman"/>
                      <w:color w:val="auto"/>
                      <w:spacing w:val="0"/>
                      <w:szCs w:val="21"/>
                      <w:lang w:val="en-US" w:eastAsia="zh-CN"/>
                    </w:rPr>
                    <w:t>。</w:t>
                  </w:r>
                </w:p>
              </w:tc>
              <w:tc>
                <w:tcPr>
                  <w:tcW w:w="1095" w:type="dxa"/>
                  <w:tcBorders>
                    <w:tl2br w:val="nil"/>
                    <w:tr2bl w:val="nil"/>
                  </w:tcBorders>
                  <w:vAlign w:val="center"/>
                </w:tcPr>
                <w:p>
                  <w:pPr>
                    <w:pStyle w:val="62"/>
                    <w:keepNext w:val="0"/>
                    <w:keepLines w:val="0"/>
                    <w:pageBreakBefore w:val="0"/>
                    <w:widowControl w:val="0"/>
                    <w:kinsoku/>
                    <w:wordWrap/>
                    <w:overflowPunct/>
                    <w:topLinePunct w:val="0"/>
                    <w:bidi w:val="0"/>
                    <w:adjustRightInd/>
                    <w:snapToGrid/>
                    <w:spacing w:before="0" w:after="0" w:line="240" w:lineRule="auto"/>
                    <w:ind w:left="-89" w:leftChars="-37" w:right="-89" w:rightChars="-37" w:firstLine="0" w:firstLineChars="0"/>
                    <w:textAlignment w:val="auto"/>
                    <w:rPr>
                      <w:rFonts w:hint="default" w:cs="Times New Roman"/>
                      <w:color w:val="auto"/>
                      <w:spacing w:val="0"/>
                      <w:szCs w:val="21"/>
                      <w:lang w:val="en-US" w:eastAsia="zh-CN"/>
                    </w:rPr>
                  </w:pPr>
                  <w:r>
                    <w:rPr>
                      <w:rFonts w:hint="eastAsia" w:cs="Times New Roman"/>
                      <w:color w:val="auto"/>
                      <w:spacing w:val="0"/>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restart"/>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储运工程</w:t>
                  </w:r>
                </w:p>
              </w:tc>
              <w:tc>
                <w:tcPr>
                  <w:tcW w:w="1277" w:type="dxa"/>
                  <w:gridSpan w:val="2"/>
                  <w:tcBorders>
                    <w:tl2br w:val="nil"/>
                    <w:tr2bl w:val="nil"/>
                  </w:tcBorders>
                  <w:vAlign w:val="center"/>
                </w:tcPr>
                <w:p>
                  <w:pPr>
                    <w:pStyle w:val="62"/>
                    <w:keepNext w:val="0"/>
                    <w:keepLines w:val="0"/>
                    <w:pageBreakBefore w:val="0"/>
                    <w:widowControl w:val="0"/>
                    <w:kinsoku/>
                    <w:wordWrap/>
                    <w:overflowPunct/>
                    <w:topLinePunct w:val="0"/>
                    <w:bidi w:val="0"/>
                    <w:snapToGrid/>
                    <w:spacing w:before="0" w:after="0" w:line="240" w:lineRule="auto"/>
                    <w:ind w:left="-89" w:leftChars="-37" w:right="-89" w:rightChars="-37" w:firstLine="0" w:firstLineChars="0"/>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库房</w:t>
                  </w:r>
                </w:p>
              </w:tc>
              <w:tc>
                <w:tcPr>
                  <w:tcW w:w="5072" w:type="dxa"/>
                  <w:tcBorders>
                    <w:tl2br w:val="nil"/>
                    <w:tr2bl w:val="nil"/>
                  </w:tcBorders>
                  <w:vAlign w:val="center"/>
                </w:tcPr>
                <w:p>
                  <w:pPr>
                    <w:pStyle w:val="62"/>
                    <w:keepNext w:val="0"/>
                    <w:keepLines w:val="0"/>
                    <w:pageBreakBefore w:val="0"/>
                    <w:widowControl w:val="0"/>
                    <w:kinsoku/>
                    <w:wordWrap/>
                    <w:overflowPunct/>
                    <w:topLinePunct w:val="0"/>
                    <w:bidi w:val="0"/>
                    <w:snapToGrid/>
                    <w:spacing w:before="0" w:after="0" w:line="240" w:lineRule="auto"/>
                    <w:ind w:left="-89" w:leftChars="-37" w:right="-89" w:rightChars="-37" w:firstLine="0" w:firstLineChars="0"/>
                    <w:rPr>
                      <w:rFonts w:hint="default" w:ascii="Times New Roman" w:hAnsi="Times New Roman" w:eastAsia="宋体"/>
                      <w:color w:val="auto"/>
                      <w:kern w:val="44"/>
                      <w:sz w:val="21"/>
                      <w:szCs w:val="24"/>
                      <w:lang w:val="en-US" w:eastAsia="zh-CN" w:bidi="ar-SA"/>
                    </w:rPr>
                  </w:pPr>
                  <w:r>
                    <w:rPr>
                      <w:rFonts w:hint="eastAsia"/>
                      <w:color w:val="auto"/>
                      <w:kern w:val="44"/>
                      <w:sz w:val="21"/>
                      <w:szCs w:val="24"/>
                      <w:lang w:val="en-US" w:eastAsia="zh-CN" w:bidi="ar-SA"/>
                    </w:rPr>
                    <w:t>办公区北侧，</w:t>
                  </w:r>
                  <w:r>
                    <w:rPr>
                      <w:rFonts w:hint="eastAsia" w:cs="Times New Roman"/>
                      <w:color w:val="auto"/>
                      <w:spacing w:val="0"/>
                      <w:szCs w:val="21"/>
                      <w:lang w:val="en-US" w:eastAsia="zh-CN"/>
                    </w:rPr>
                    <w:t>建筑面积140</w:t>
                  </w:r>
                  <w:r>
                    <w:rPr>
                      <w:rFonts w:hint="default" w:ascii="Times New Roman" w:hAnsi="Times New Roman" w:eastAsia="宋体" w:cs="Times New Roman"/>
                      <w:color w:val="auto"/>
                      <w:spacing w:val="0"/>
                      <w:szCs w:val="21"/>
                    </w:rPr>
                    <w:t>m</w:t>
                  </w:r>
                  <w:r>
                    <w:rPr>
                      <w:rFonts w:hint="default" w:ascii="Times New Roman" w:hAnsi="Times New Roman" w:eastAsia="宋体" w:cs="Times New Roman"/>
                      <w:color w:val="auto"/>
                      <w:spacing w:val="0"/>
                      <w:szCs w:val="21"/>
                      <w:vertAlign w:val="superscript"/>
                    </w:rPr>
                    <w:t>2</w:t>
                  </w:r>
                  <w:r>
                    <w:rPr>
                      <w:rFonts w:hint="eastAsia" w:cs="Times New Roman"/>
                      <w:color w:val="auto"/>
                      <w:spacing w:val="0"/>
                      <w:szCs w:val="21"/>
                      <w:lang w:val="en-US" w:eastAsia="zh-CN"/>
                    </w:rPr>
                    <w:t>，</w:t>
                  </w:r>
                  <w:r>
                    <w:rPr>
                      <w:rFonts w:hint="eastAsia"/>
                      <w:color w:val="auto"/>
                      <w:kern w:val="44"/>
                      <w:sz w:val="21"/>
                      <w:szCs w:val="24"/>
                      <w:lang w:val="en-US" w:eastAsia="zh-CN" w:bidi="ar-SA"/>
                    </w:rPr>
                    <w:t>用于储存原料等。</w:t>
                  </w:r>
                </w:p>
              </w:tc>
              <w:tc>
                <w:tcPr>
                  <w:tcW w:w="1095" w:type="dxa"/>
                  <w:tcBorders>
                    <w:tl2br w:val="nil"/>
                    <w:tr2bl w:val="nil"/>
                  </w:tcBorders>
                  <w:vAlign w:val="center"/>
                </w:tcPr>
                <w:p>
                  <w:pPr>
                    <w:pStyle w:val="62"/>
                    <w:keepNext w:val="0"/>
                    <w:keepLines w:val="0"/>
                    <w:pageBreakBefore w:val="0"/>
                    <w:widowControl w:val="0"/>
                    <w:kinsoku/>
                    <w:wordWrap/>
                    <w:overflowPunct/>
                    <w:topLinePunct w:val="0"/>
                    <w:bidi w:val="0"/>
                    <w:snapToGrid/>
                    <w:spacing w:before="0" w:after="0" w:line="240" w:lineRule="auto"/>
                    <w:ind w:left="-89" w:leftChars="-37" w:right="-89" w:rightChars="-37" w:firstLine="0" w:firstLineChars="0"/>
                    <w:rPr>
                      <w:rFonts w:hint="default"/>
                      <w:color w:val="auto"/>
                      <w:kern w:val="44"/>
                      <w:sz w:val="21"/>
                      <w:szCs w:val="24"/>
                      <w:lang w:val="en-US" w:eastAsia="zh-CN" w:bidi="ar-SA"/>
                    </w:rPr>
                  </w:pPr>
                  <w:r>
                    <w:rPr>
                      <w:rFonts w:hint="eastAsia"/>
                      <w:color w:val="auto"/>
                      <w:kern w:val="44"/>
                      <w:sz w:val="21"/>
                      <w:szCs w:val="24"/>
                      <w:lang w:val="en-US" w:eastAsia="zh-CN" w:bidi="ar-SA"/>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lang w:val="en-US" w:eastAsia="zh-CN"/>
                    </w:rPr>
                  </w:pPr>
                </w:p>
              </w:tc>
              <w:tc>
                <w:tcPr>
                  <w:tcW w:w="1277" w:type="dxa"/>
                  <w:gridSpan w:val="2"/>
                  <w:tcBorders>
                    <w:tl2br w:val="nil"/>
                    <w:tr2bl w:val="nil"/>
                  </w:tcBorders>
                  <w:shd w:val="clear" w:color="auto" w:fill="auto"/>
                  <w:vAlign w:val="center"/>
                </w:tcPr>
                <w:p>
                  <w:pPr>
                    <w:pStyle w:val="32"/>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color w:val="auto"/>
                    </w:rPr>
                    <w:t>运输</w:t>
                  </w:r>
                </w:p>
              </w:tc>
              <w:tc>
                <w:tcPr>
                  <w:tcW w:w="5072" w:type="dxa"/>
                  <w:tcBorders>
                    <w:tl2br w:val="nil"/>
                    <w:tr2bl w:val="nil"/>
                  </w:tcBorders>
                  <w:shd w:val="clear" w:color="auto" w:fill="auto"/>
                  <w:vAlign w:val="center"/>
                </w:tcPr>
                <w:p>
                  <w:pPr>
                    <w:pStyle w:val="32"/>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color w:val="auto"/>
                    </w:rPr>
                    <w:t>自购</w:t>
                  </w:r>
                  <w:r>
                    <w:rPr>
                      <w:rFonts w:hint="eastAsia"/>
                      <w:color w:val="auto"/>
                    </w:rPr>
                    <w:t>符合国六排放标准的</w:t>
                  </w:r>
                  <w:r>
                    <w:rPr>
                      <w:color w:val="auto"/>
                    </w:rPr>
                    <w:t>车辆运输</w:t>
                  </w:r>
                  <w:r>
                    <w:rPr>
                      <w:rFonts w:hint="eastAsia"/>
                      <w:color w:val="auto"/>
                    </w:rPr>
                    <w:t>。</w:t>
                  </w:r>
                </w:p>
              </w:tc>
              <w:tc>
                <w:tcPr>
                  <w:tcW w:w="1095" w:type="dxa"/>
                  <w:tcBorders>
                    <w:tl2br w:val="nil"/>
                    <w:tr2bl w:val="nil"/>
                  </w:tcBorders>
                  <w:shd w:val="clear" w:color="auto" w:fill="auto"/>
                  <w:vAlign w:val="center"/>
                </w:tcPr>
                <w:p>
                  <w:pPr>
                    <w:pStyle w:val="32"/>
                    <w:ind w:left="-48" w:leftChars="-20" w:right="-48" w:rightChars="-20" w:firstLine="0" w:firstLineChars="0"/>
                    <w:rPr>
                      <w:color w:val="auto"/>
                    </w:rPr>
                  </w:pPr>
                  <w:r>
                    <w:rPr>
                      <w:rFonts w:hint="eastAsia" w:cs="Times New Roman"/>
                      <w:color w:val="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restart"/>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r>
                    <w:rPr>
                      <w:rFonts w:hint="default" w:ascii="Times New Roman" w:hAnsi="Times New Roman" w:cs="Times New Roman"/>
                      <w:color w:val="auto"/>
                    </w:rPr>
                    <w:t>公用工程</w:t>
                  </w:r>
                </w:p>
              </w:tc>
              <w:tc>
                <w:tcPr>
                  <w:tcW w:w="1277" w:type="dxa"/>
                  <w:gridSpan w:val="2"/>
                  <w:tcBorders>
                    <w:tl2br w:val="nil"/>
                    <w:tr2bl w:val="nil"/>
                  </w:tcBorders>
                  <w:vAlign w:val="center"/>
                </w:tcPr>
                <w:p>
                  <w:pPr>
                    <w:pStyle w:val="62"/>
                    <w:keepNext w:val="0"/>
                    <w:keepLines w:val="0"/>
                    <w:pageBreakBefore w:val="0"/>
                    <w:widowControl w:val="0"/>
                    <w:kinsoku/>
                    <w:wordWrap/>
                    <w:overflowPunct/>
                    <w:topLinePunct w:val="0"/>
                    <w:bidi w:val="0"/>
                    <w:snapToGrid/>
                    <w:spacing w:before="0" w:after="0" w:line="240" w:lineRule="auto"/>
                    <w:ind w:left="-89" w:leftChars="-37" w:right="-89" w:rightChars="-37" w:firstLine="0" w:firstLineChars="0"/>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val="en-US" w:eastAsia="zh-CN"/>
                    </w:rPr>
                    <w:t>供水</w:t>
                  </w:r>
                </w:p>
              </w:tc>
              <w:tc>
                <w:tcPr>
                  <w:tcW w:w="5072" w:type="dxa"/>
                  <w:tcBorders>
                    <w:tl2br w:val="nil"/>
                    <w:tr2bl w:val="nil"/>
                  </w:tcBorders>
                  <w:vAlign w:val="center"/>
                </w:tcPr>
                <w:p>
                  <w:pPr>
                    <w:pStyle w:val="62"/>
                    <w:keepNext w:val="0"/>
                    <w:keepLines w:val="0"/>
                    <w:pageBreakBefore w:val="0"/>
                    <w:widowControl w:val="0"/>
                    <w:kinsoku/>
                    <w:wordWrap/>
                    <w:overflowPunct/>
                    <w:topLinePunct w:val="0"/>
                    <w:bidi w:val="0"/>
                    <w:snapToGrid/>
                    <w:spacing w:before="0" w:after="0" w:line="240" w:lineRule="auto"/>
                    <w:ind w:left="-89" w:leftChars="-37" w:right="-89" w:rightChars="-37" w:firstLine="0" w:firstLineChars="0"/>
                    <w:rPr>
                      <w:rFonts w:hint="default"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由厂区自建井提供。</w:t>
                  </w:r>
                </w:p>
              </w:tc>
              <w:tc>
                <w:tcPr>
                  <w:tcW w:w="1095" w:type="dxa"/>
                  <w:tcBorders>
                    <w:tl2br w:val="nil"/>
                    <w:tr2bl w:val="nil"/>
                  </w:tcBorders>
                  <w:vAlign w:val="center"/>
                </w:tcPr>
                <w:p>
                  <w:pPr>
                    <w:pStyle w:val="62"/>
                    <w:keepNext w:val="0"/>
                    <w:keepLines w:val="0"/>
                    <w:pageBreakBefore w:val="0"/>
                    <w:widowControl w:val="0"/>
                    <w:kinsoku/>
                    <w:wordWrap/>
                    <w:overflowPunct/>
                    <w:topLinePunct w:val="0"/>
                    <w:bidi w:val="0"/>
                    <w:snapToGrid/>
                    <w:spacing w:before="0" w:after="0" w:line="240" w:lineRule="auto"/>
                    <w:ind w:left="-89" w:leftChars="-37" w:right="-89" w:rightChars="-37" w:firstLine="0" w:firstLineChars="0"/>
                    <w:rPr>
                      <w:rFonts w:hint="eastAsia" w:ascii="Times New Roman" w:hAnsi="Times New Roman" w:eastAsia="宋体" w:cs="Times New Roman"/>
                      <w:color w:val="auto"/>
                      <w:spacing w:val="0"/>
                      <w:szCs w:val="21"/>
                      <w:lang w:val="en-US" w:eastAsia="zh-CN"/>
                    </w:rPr>
                  </w:pPr>
                  <w:r>
                    <w:rPr>
                      <w:rFonts w:hint="eastAsia" w:cs="Times New Roman"/>
                      <w:color w:val="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1277" w:type="dxa"/>
                  <w:gridSpan w:val="2"/>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排水</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eastAsia="宋体" w:cs="Times New Roman"/>
                      <w:color w:val="auto"/>
                      <w:kern w:val="44"/>
                      <w:sz w:val="21"/>
                      <w:szCs w:val="20"/>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项目不新增生活污水，</w:t>
                  </w:r>
                  <w:r>
                    <w:rPr>
                      <w:rFonts w:hint="eastAsia" w:cs="Times New Roman"/>
                      <w:color w:val="auto"/>
                      <w:kern w:val="44"/>
                      <w:sz w:val="21"/>
                      <w:szCs w:val="21"/>
                      <w:highlight w:val="none"/>
                      <w:lang w:val="en-US" w:eastAsia="zh-CN" w:bidi="ar-SA"/>
                    </w:rPr>
                    <w:t>生产废水拉运至岐山县大源污水处理厂处理</w:t>
                  </w:r>
                  <w:r>
                    <w:rPr>
                      <w:rFonts w:hint="eastAsia" w:eastAsia="宋体" w:cs="Times New Roman"/>
                      <w:color w:val="auto"/>
                      <w:kern w:val="44"/>
                      <w:sz w:val="21"/>
                      <w:szCs w:val="21"/>
                      <w:highlight w:val="none"/>
                      <w:lang w:val="en-US" w:eastAsia="zh-CN" w:bidi="ar-SA"/>
                    </w:rPr>
                    <w:t>。</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kern w:val="44"/>
                      <w:sz w:val="21"/>
                      <w:szCs w:val="21"/>
                      <w:highlight w:val="none"/>
                      <w:lang w:val="en-US" w:eastAsia="zh-CN" w:bidi="ar-SA"/>
                    </w:rPr>
                  </w:pPr>
                  <w:r>
                    <w:rPr>
                      <w:rFonts w:hint="eastAsia" w:cs="Times New Roman"/>
                      <w:color w:val="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1277" w:type="dxa"/>
                  <w:gridSpan w:val="2"/>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cs="Times New Roman"/>
                      <w:color w:val="auto"/>
                    </w:rPr>
                  </w:pPr>
                  <w:r>
                    <w:rPr>
                      <w:rFonts w:hint="default" w:ascii="Times New Roman" w:hAnsi="Times New Roman" w:cs="Times New Roman"/>
                      <w:color w:val="auto"/>
                    </w:rPr>
                    <w:t>供电</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kern w:val="44"/>
                      <w:sz w:val="21"/>
                      <w:szCs w:val="20"/>
                      <w:highlight w:val="none"/>
                      <w:lang w:val="en-US" w:eastAsia="zh-CN" w:bidi="ar-SA"/>
                    </w:rPr>
                  </w:pPr>
                  <w:r>
                    <w:rPr>
                      <w:rFonts w:hint="default" w:ascii="Times New Roman" w:hAnsi="Times New Roman" w:eastAsia="宋体" w:cs="Times New Roman"/>
                      <w:color w:val="auto"/>
                      <w:kern w:val="44"/>
                      <w:sz w:val="21"/>
                      <w:szCs w:val="20"/>
                      <w:highlight w:val="none"/>
                      <w:lang w:val="en-US" w:eastAsia="zh-CN" w:bidi="ar-SA"/>
                    </w:rPr>
                    <w:t>由当地供电系统供给。</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kern w:val="44"/>
                      <w:sz w:val="21"/>
                      <w:szCs w:val="20"/>
                      <w:highlight w:val="none"/>
                      <w:lang w:val="en-US" w:eastAsia="zh-CN" w:bidi="ar-SA"/>
                    </w:rPr>
                  </w:pPr>
                  <w:r>
                    <w:rPr>
                      <w:rFonts w:hint="eastAsia" w:cs="Times New Roman"/>
                      <w:color w:val="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127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ind w:left="-24" w:leftChars="-10" w:right="-24" w:rightChars="-1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食堂</w:t>
                  </w:r>
                </w:p>
              </w:tc>
              <w:tc>
                <w:tcPr>
                  <w:tcW w:w="5072"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ind w:left="-24" w:leftChars="-10" w:right="-24" w:rightChars="-1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位于厂区内北侧，</w:t>
                  </w:r>
                  <w:r>
                    <w:rPr>
                      <w:rFonts w:hint="default" w:ascii="Times New Roman" w:hAnsi="Times New Roman" w:eastAsia="宋体" w:cs="Times New Roman"/>
                      <w:color w:val="auto"/>
                      <w:kern w:val="0"/>
                      <w:sz w:val="21"/>
                      <w:szCs w:val="21"/>
                      <w:lang w:val="en-US" w:eastAsia="zh-CN" w:bidi="ar-SA"/>
                    </w:rPr>
                    <w:t>建</w:t>
                  </w:r>
                  <w:r>
                    <w:rPr>
                      <w:rFonts w:hint="default" w:ascii="Times New Roman" w:hAnsi="Times New Roman" w:eastAsia="宋体" w:cs="Times New Roman"/>
                      <w:b w:val="0"/>
                      <w:bCs w:val="0"/>
                      <w:color w:val="auto"/>
                      <w:sz w:val="21"/>
                      <w:szCs w:val="21"/>
                      <w:lang w:val="en-US" w:eastAsia="zh-CN"/>
                    </w:rPr>
                    <w:t>筑面积</w:t>
                  </w:r>
                  <w:r>
                    <w:rPr>
                      <w:rFonts w:hint="eastAsia" w:cs="Times New Roman"/>
                      <w:b w:val="0"/>
                      <w:bCs w:val="0"/>
                      <w:color w:val="auto"/>
                      <w:sz w:val="21"/>
                      <w:szCs w:val="21"/>
                      <w:lang w:val="en-US" w:eastAsia="zh-CN"/>
                    </w:rPr>
                    <w:t>30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lang w:val="en-US" w:eastAsia="zh-CN"/>
                    </w:rPr>
                    <w:t>，用于员工就餐。</w:t>
                  </w: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ind w:left="-24" w:leftChars="-10" w:right="-24" w:rightChars="-1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1277" w:type="dxa"/>
                  <w:gridSpan w:val="2"/>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供暖制冷</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cs="Times New Roman"/>
                      <w:color w:val="auto"/>
                    </w:rPr>
                  </w:pPr>
                  <w:r>
                    <w:rPr>
                      <w:rFonts w:hint="default" w:ascii="Times New Roman" w:hAnsi="Times New Roman" w:cs="Times New Roman"/>
                      <w:color w:val="auto"/>
                    </w:rPr>
                    <w:t>办公供暖制冷采用分体空调</w:t>
                  </w:r>
                  <w:r>
                    <w:rPr>
                      <w:rFonts w:hint="default" w:ascii="Times New Roman" w:hAnsi="Times New Roman" w:cs="Times New Roman"/>
                      <w:color w:val="auto"/>
                      <w:lang w:eastAsia="zh-CN"/>
                    </w:rPr>
                    <w:t>。</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cs="Times New Roman"/>
                      <w:color w:val="auto"/>
                    </w:rPr>
                  </w:pPr>
                  <w:r>
                    <w:rPr>
                      <w:rFonts w:hint="eastAsia" w:cs="Times New Roman"/>
                      <w:color w:val="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1277" w:type="dxa"/>
                  <w:gridSpan w:val="2"/>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热源</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生产过程热源为天然气蒸汽锅炉。</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lang w:val="en-US" w:eastAsia="zh-CN"/>
                    </w:rPr>
                  </w:pPr>
                  <w:r>
                    <w:rPr>
                      <w:rFonts w:hint="eastAsia" w:cs="Times New Roman"/>
                      <w:color w:val="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restart"/>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r>
                    <w:rPr>
                      <w:rFonts w:hint="default" w:ascii="Times New Roman" w:hAnsi="Times New Roman" w:cs="Times New Roman"/>
                      <w:color w:val="auto"/>
                    </w:rPr>
                    <w:t>环保工程</w:t>
                  </w:r>
                </w:p>
              </w:tc>
              <w:tc>
                <w:tcPr>
                  <w:tcW w:w="350" w:type="dxa"/>
                  <w:vMerge w:val="restart"/>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cs="Times New Roman"/>
                      <w:color w:val="0000FF"/>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927"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cs="Times New Roman"/>
                      <w:color w:val="auto"/>
                      <w:lang w:val="en-US" w:eastAsia="zh-CN"/>
                    </w:rPr>
                  </w:pPr>
                  <w:r>
                    <w:rPr>
                      <w:rFonts w:hint="eastAsia" w:cs="Times New Roman"/>
                      <w:color w:val="auto"/>
                      <w:lang w:val="en-US" w:eastAsia="zh-CN"/>
                    </w:rPr>
                    <w:t>天然气锅炉废气</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cs="Times New Roman"/>
                      <w:color w:val="auto"/>
                      <w:lang w:val="en-US" w:eastAsia="zh-CN"/>
                    </w:rPr>
                  </w:pPr>
                  <w:r>
                    <w:rPr>
                      <w:rFonts w:hint="eastAsia" w:cs="Times New Roman"/>
                      <w:color w:val="auto"/>
                      <w:lang w:val="en-US" w:eastAsia="zh-CN"/>
                    </w:rPr>
                    <w:t>经低氮燃烧后由15m排气筒DA001有组织排放。</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cs="Times New Roman"/>
                      <w:color w:val="auto"/>
                      <w:lang w:val="en-US" w:eastAsia="zh-CN"/>
                    </w:rPr>
                  </w:pPr>
                  <w:r>
                    <w:rPr>
                      <w:rFonts w:hint="eastAsia" w:cs="Times New Roman"/>
                      <w:color w:val="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350"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sz w:val="21"/>
                      <w:szCs w:val="21"/>
                      <w:highlight w:val="none"/>
                      <w:lang w:val="en-US" w:eastAsia="zh-CN"/>
                    </w:rPr>
                  </w:pPr>
                </w:p>
              </w:tc>
              <w:tc>
                <w:tcPr>
                  <w:tcW w:w="927"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油烟废气</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集气罩收集后分别经两套油烟净化器处理后由排气筒DA002及DA003有组织排放。</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cs="Times New Roman"/>
                      <w:color w:val="auto"/>
                      <w:sz w:val="21"/>
                      <w:szCs w:val="21"/>
                      <w:highlight w:val="none"/>
                      <w:lang w:val="en-US" w:eastAsia="zh-CN"/>
                    </w:rPr>
                  </w:pPr>
                  <w:r>
                    <w:rPr>
                      <w:rFonts w:hint="eastAsia" w:cs="Times New Roman"/>
                      <w:color w:val="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350"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cs="Times New Roman"/>
                      <w:color w:val="0000FF"/>
                      <w:lang w:val="en-US" w:eastAsia="zh-CN"/>
                    </w:rPr>
                  </w:pPr>
                </w:p>
              </w:tc>
              <w:tc>
                <w:tcPr>
                  <w:tcW w:w="927"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热油锅天然气燃烧废气</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无组织排放。</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350"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cs="Times New Roman"/>
                      <w:color w:val="0000FF"/>
                      <w:lang w:val="en-US" w:eastAsia="zh-CN"/>
                    </w:rPr>
                  </w:pPr>
                  <w:r>
                    <w:rPr>
                      <w:rFonts w:hint="eastAsia" w:ascii="Times New Roman" w:hAnsi="Times New Roman" w:eastAsia="宋体" w:cs="Times New Roman"/>
                      <w:color w:val="auto"/>
                      <w:sz w:val="21"/>
                      <w:szCs w:val="21"/>
                      <w:highlight w:val="none"/>
                      <w:lang w:val="en-US" w:eastAsia="zh-CN"/>
                    </w:rPr>
                    <w:t>废水</w:t>
                  </w:r>
                </w:p>
              </w:tc>
              <w:tc>
                <w:tcPr>
                  <w:tcW w:w="927"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cs="Times New Roman"/>
                      <w:color w:val="auto"/>
                      <w:lang w:val="en-US" w:eastAsia="zh-CN"/>
                    </w:rPr>
                  </w:pPr>
                  <w:r>
                    <w:rPr>
                      <w:rFonts w:hint="eastAsia" w:cs="Times New Roman"/>
                      <w:color w:val="auto"/>
                      <w:lang w:val="en-US" w:eastAsia="zh-CN"/>
                    </w:rPr>
                    <w:t>生产废水</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cs="Times New Roman"/>
                      <w:color w:val="auto"/>
                      <w:lang w:val="en-US" w:eastAsia="zh-CN"/>
                    </w:rPr>
                  </w:pPr>
                  <w:r>
                    <w:rPr>
                      <w:rFonts w:hint="eastAsia" w:cs="Times New Roman"/>
                      <w:color w:val="auto"/>
                      <w:lang w:val="en-US" w:eastAsia="zh-CN"/>
                    </w:rPr>
                    <w:t>生产废水在厂区专用储存罐暂存后定期拉运至岐山县大源污水处理厂。</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cs="Times New Roman"/>
                      <w:color w:val="auto"/>
                      <w:lang w:val="en-US" w:eastAsia="zh-CN"/>
                    </w:rPr>
                  </w:pPr>
                  <w:r>
                    <w:rPr>
                      <w:rFonts w:hint="eastAsia" w:cs="Times New Roman"/>
                      <w:color w:val="auto"/>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1277" w:type="dxa"/>
                  <w:gridSpan w:val="2"/>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cs="Times New Roman"/>
                      <w:color w:val="auto"/>
                      <w:lang w:val="en-US" w:eastAsia="zh-CN"/>
                    </w:rPr>
                  </w:pPr>
                  <w:r>
                    <w:rPr>
                      <w:rFonts w:hint="default" w:ascii="Times New Roman" w:hAnsi="Times New Roman" w:eastAsia="宋体" w:cs="Times New Roman"/>
                      <w:color w:val="auto"/>
                      <w:spacing w:val="0"/>
                      <w:szCs w:val="21"/>
                    </w:rPr>
                    <w:t>噪声</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cs="Times New Roman"/>
                      <w:color w:val="auto"/>
                      <w:lang w:val="en-US" w:eastAsia="zh-CN"/>
                    </w:rPr>
                  </w:pPr>
                  <w:r>
                    <w:rPr>
                      <w:rFonts w:hint="default" w:ascii="Times New Roman" w:hAnsi="Times New Roman" w:eastAsia="宋体" w:cs="Times New Roman"/>
                      <w:color w:val="auto"/>
                      <w:sz w:val="21"/>
                      <w:szCs w:val="21"/>
                    </w:rPr>
                    <w:t>生产设备均布置于车间内，基础减振，挠性连接</w:t>
                  </w:r>
                  <w:r>
                    <w:rPr>
                      <w:rFonts w:hint="eastAsia"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风机</w:t>
                  </w:r>
                  <w:r>
                    <w:rPr>
                      <w:rFonts w:hint="default" w:ascii="Times New Roman" w:hAnsi="Times New Roman" w:eastAsia="宋体" w:cs="Times New Roman"/>
                      <w:color w:val="auto"/>
                      <w:sz w:val="21"/>
                      <w:szCs w:val="21"/>
                      <w:lang w:val="en-US" w:eastAsia="zh-CN"/>
                    </w:rPr>
                    <w:t>均设置隔声箱，</w:t>
                  </w:r>
                  <w:r>
                    <w:rPr>
                      <w:rFonts w:hint="eastAsia" w:ascii="Times New Roman" w:hAnsi="Times New Roman" w:eastAsia="宋体" w:cs="Times New Roman"/>
                      <w:color w:val="auto"/>
                      <w:sz w:val="21"/>
                      <w:szCs w:val="21"/>
                      <w:lang w:val="en-US" w:eastAsia="zh-CN"/>
                    </w:rPr>
                    <w:t>对风机底座</w:t>
                  </w:r>
                  <w:r>
                    <w:rPr>
                      <w:rFonts w:hint="default" w:ascii="Times New Roman" w:hAnsi="Times New Roman" w:eastAsia="宋体" w:cs="Times New Roman"/>
                      <w:color w:val="auto"/>
                      <w:sz w:val="21"/>
                      <w:szCs w:val="21"/>
                      <w:lang w:val="en-US" w:eastAsia="zh-CN"/>
                    </w:rPr>
                    <w:t>基础减振</w:t>
                  </w:r>
                  <w:r>
                    <w:rPr>
                      <w:rFonts w:hint="eastAsia" w:ascii="Times New Roman" w:hAnsi="Times New Roman" w:eastAsia="宋体" w:cs="Times New Roman"/>
                      <w:color w:val="auto"/>
                      <w:sz w:val="21"/>
                      <w:szCs w:val="21"/>
                      <w:lang w:val="en-US" w:eastAsia="zh-CN"/>
                    </w:rPr>
                    <w:t>。</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350" w:type="dxa"/>
                  <w:vMerge w:val="restart"/>
                  <w:tcBorders>
                    <w:tl2br w:val="nil"/>
                    <w:tr2bl w:val="nil"/>
                  </w:tcBorders>
                  <w:shd w:val="clear" w:color="auto" w:fill="auto"/>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firstLine="0" w:firstLineChars="0"/>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eastAsia="zh-CN"/>
                    </w:rPr>
                    <w:t>固体废物</w:t>
                  </w:r>
                </w:p>
              </w:tc>
              <w:tc>
                <w:tcPr>
                  <w:tcW w:w="927" w:type="dxa"/>
                  <w:tcBorders>
                    <w:tl2br w:val="nil"/>
                    <w:tr2bl w:val="nil"/>
                  </w:tcBorders>
                  <w:shd w:val="clear" w:color="auto" w:fill="auto"/>
                  <w:vAlign w:val="center"/>
                </w:tcPr>
                <w:p>
                  <w:pPr>
                    <w:pStyle w:val="35"/>
                    <w:keepNext w:val="0"/>
                    <w:keepLines w:val="0"/>
                    <w:pageBreakBefore w:val="0"/>
                    <w:widowControl w:val="0"/>
                    <w:kinsoku/>
                    <w:wordWrap/>
                    <w:overflowPunct/>
                    <w:topLinePunct w:val="0"/>
                    <w:bidi w:val="0"/>
                    <w:snapToGrid/>
                    <w:spacing w:line="240" w:lineRule="auto"/>
                    <w:ind w:left="-89" w:leftChars="-37" w:right="-89" w:rightChars="-37" w:firstLine="0" w:firstLineChars="0"/>
                    <w:rPr>
                      <w:rFonts w:hint="eastAsia" w:ascii="Times New Roman" w:hAnsi="Times New Roman" w:eastAsia="宋体" w:cs="Times New Roman"/>
                      <w:bCs/>
                      <w:color w:val="auto"/>
                      <w:kern w:val="0"/>
                      <w:sz w:val="21"/>
                      <w:szCs w:val="21"/>
                      <w:lang w:val="en-US" w:eastAsia="zh-CN" w:bidi="ar-SA"/>
                    </w:rPr>
                  </w:pPr>
                  <w:r>
                    <w:rPr>
                      <w:rFonts w:hint="default"/>
                      <w:color w:val="auto"/>
                    </w:rPr>
                    <w:t>一般固废</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cs="Times New Roman"/>
                      <w:color w:val="auto"/>
                      <w:lang w:val="en-US" w:eastAsia="zh-CN"/>
                    </w:rPr>
                  </w:pPr>
                  <w:r>
                    <w:rPr>
                      <w:rFonts w:hint="eastAsia" w:cs="Times New Roman"/>
                      <w:color w:val="auto"/>
                      <w:lang w:val="en-US" w:eastAsia="zh-CN"/>
                    </w:rPr>
                    <w:t>暂存于车间一般固废暂存区，定期外售综合利用。</w:t>
                  </w:r>
                </w:p>
              </w:tc>
              <w:tc>
                <w:tcPr>
                  <w:tcW w:w="1095" w:type="dxa"/>
                  <w:tcBorders>
                    <w:tl2br w:val="nil"/>
                    <w:tr2bl w:val="nil"/>
                  </w:tcBorders>
                  <w:shd w:val="clear" w:color="auto" w:fill="auto"/>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67"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line="240" w:lineRule="auto"/>
                    <w:ind w:left="-89" w:leftChars="-37" w:right="-89" w:rightChars="-37"/>
                    <w:rPr>
                      <w:rFonts w:hint="default" w:ascii="Times New Roman" w:hAnsi="Times New Roman" w:cs="Times New Roman"/>
                      <w:color w:val="auto"/>
                    </w:rPr>
                  </w:pPr>
                </w:p>
              </w:tc>
              <w:tc>
                <w:tcPr>
                  <w:tcW w:w="350" w:type="dxa"/>
                  <w:vMerge w:val="continue"/>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eastAsia" w:ascii="Times New Roman" w:hAnsi="Times New Roman" w:cs="Times New Roman"/>
                      <w:color w:val="0000FF"/>
                      <w:lang w:val="en-US" w:eastAsia="zh-CN"/>
                    </w:rPr>
                  </w:pPr>
                </w:p>
              </w:tc>
              <w:tc>
                <w:tcPr>
                  <w:tcW w:w="927" w:type="dxa"/>
                  <w:tcBorders>
                    <w:tl2br w:val="nil"/>
                    <w:tr2bl w:val="nil"/>
                  </w:tcBorders>
                  <w:shd w:val="clear" w:color="auto" w:fill="auto"/>
                  <w:vAlign w:val="center"/>
                </w:tcPr>
                <w:p>
                  <w:pPr>
                    <w:pStyle w:val="35"/>
                    <w:keepNext w:val="0"/>
                    <w:keepLines w:val="0"/>
                    <w:pageBreakBefore w:val="0"/>
                    <w:widowControl w:val="0"/>
                    <w:kinsoku/>
                    <w:wordWrap/>
                    <w:overflowPunct/>
                    <w:topLinePunct w:val="0"/>
                    <w:bidi w:val="0"/>
                    <w:snapToGrid/>
                    <w:spacing w:line="240" w:lineRule="auto"/>
                    <w:ind w:left="-89" w:leftChars="-37" w:right="-89" w:rightChars="-37" w:firstLine="0" w:firstLineChars="0"/>
                    <w:rPr>
                      <w:rFonts w:hint="eastAsia" w:ascii="Times New Roman" w:hAnsi="Times New Roman" w:eastAsia="宋体" w:cs="Times New Roman"/>
                      <w:bCs/>
                      <w:color w:val="auto"/>
                      <w:kern w:val="0"/>
                      <w:sz w:val="21"/>
                      <w:szCs w:val="21"/>
                      <w:lang w:val="en-US" w:eastAsia="zh-CN" w:bidi="ar-SA"/>
                    </w:rPr>
                  </w:pPr>
                  <w:r>
                    <w:rPr>
                      <w:rFonts w:hint="default"/>
                      <w:color w:val="auto"/>
                    </w:rPr>
                    <w:t>危险废物</w:t>
                  </w:r>
                </w:p>
              </w:tc>
              <w:tc>
                <w:tcPr>
                  <w:tcW w:w="5072"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ascii="Times New Roman" w:hAnsi="Times New Roman" w:cs="Times New Roman"/>
                      <w:color w:val="auto"/>
                      <w:lang w:val="en-US" w:eastAsia="zh-CN"/>
                    </w:rPr>
                  </w:pPr>
                  <w:r>
                    <w:rPr>
                      <w:rFonts w:hint="eastAsia" w:cs="Times New Roman"/>
                      <w:color w:val="auto"/>
                      <w:lang w:val="en-US" w:eastAsia="zh-CN"/>
                    </w:rPr>
                    <w:t>暂存于危废贮存库，定期交由陕西天行环保科技有限公司处置。</w:t>
                  </w:r>
                </w:p>
              </w:tc>
              <w:tc>
                <w:tcPr>
                  <w:tcW w:w="1095" w:type="dxa"/>
                  <w:tcBorders>
                    <w:tl2br w:val="nil"/>
                    <w:tr2bl w:val="nil"/>
                  </w:tcBorders>
                  <w:vAlign w:val="center"/>
                </w:tcPr>
                <w:p>
                  <w:pPr>
                    <w:pStyle w:val="32"/>
                    <w:keepNext w:val="0"/>
                    <w:keepLines w:val="0"/>
                    <w:pageBreakBefore w:val="0"/>
                    <w:widowControl w:val="0"/>
                    <w:kinsoku/>
                    <w:wordWrap/>
                    <w:overflowPunct/>
                    <w:topLinePunct w:val="0"/>
                    <w:bidi w:val="0"/>
                    <w:snapToGrid/>
                    <w:spacing w:before="0" w:after="0" w:line="240" w:lineRule="auto"/>
                    <w:ind w:left="-89" w:leftChars="-37" w:right="-89" w:rightChars="-37"/>
                    <w:rPr>
                      <w:rFonts w:hint="default" w:cs="Times New Roman"/>
                      <w:color w:val="auto"/>
                      <w:lang w:val="en-US" w:eastAsia="zh-CN"/>
                    </w:rPr>
                  </w:pPr>
                  <w:r>
                    <w:rPr>
                      <w:rFonts w:hint="eastAsia" w:cs="Times New Roman"/>
                      <w:color w:val="auto"/>
                      <w:lang w:val="en-US" w:eastAsia="zh-CN"/>
                    </w:rPr>
                    <w:t>依托现有</w:t>
                  </w:r>
                </w:p>
              </w:tc>
            </w:tr>
          </w:tbl>
          <w:p>
            <w:pPr>
              <w:bidi w:val="0"/>
              <w:rPr>
                <w:rFonts w:hint="default"/>
                <w:b/>
                <w:bCs/>
                <w:color w:val="auto"/>
                <w:lang w:eastAsia="zh-CN"/>
              </w:rPr>
            </w:pPr>
            <w:r>
              <w:rPr>
                <w:rFonts w:hint="default"/>
                <w:b/>
                <w:bCs/>
                <w:color w:val="auto"/>
                <w:lang w:val="en-US" w:eastAsia="zh-CN"/>
              </w:rPr>
              <w:t>三</w:t>
            </w:r>
            <w:r>
              <w:rPr>
                <w:rFonts w:hint="default"/>
                <w:b/>
                <w:bCs/>
                <w:color w:val="auto"/>
                <w:lang w:eastAsia="zh-CN"/>
              </w:rPr>
              <w:t>、主要产品及产能</w:t>
            </w:r>
          </w:p>
          <w:p>
            <w:pPr>
              <w:bidi w:val="0"/>
              <w:rPr>
                <w:rFonts w:hint="default"/>
                <w:color w:val="auto"/>
              </w:rPr>
            </w:pPr>
            <w:r>
              <w:rPr>
                <w:rFonts w:hint="default"/>
                <w:color w:val="auto"/>
              </w:rPr>
              <w:t>本项目产品方案见表</w:t>
            </w:r>
            <w:r>
              <w:rPr>
                <w:rFonts w:hint="default"/>
                <w:color w:val="auto"/>
                <w:lang w:val="en-US" w:eastAsia="zh-CN"/>
              </w:rPr>
              <w:t>2-</w:t>
            </w:r>
            <w:r>
              <w:rPr>
                <w:rFonts w:hint="eastAsia"/>
                <w:color w:val="auto"/>
                <w:lang w:val="en-US" w:eastAsia="zh-CN"/>
              </w:rPr>
              <w:t>2</w:t>
            </w:r>
            <w:r>
              <w:rPr>
                <w:rFonts w:hint="default"/>
                <w:color w:val="auto"/>
              </w:rPr>
              <w:t>。</w:t>
            </w:r>
          </w:p>
          <w:p>
            <w:pPr>
              <w:pStyle w:val="81"/>
              <w:bidi w:val="0"/>
              <w:rPr>
                <w:rFonts w:hint="default"/>
                <w:color w:val="auto"/>
              </w:rPr>
            </w:pPr>
            <w:r>
              <w:rPr>
                <w:rFonts w:hint="default"/>
                <w:color w:val="auto"/>
              </w:rPr>
              <w:t>表</w:t>
            </w:r>
            <w:r>
              <w:rPr>
                <w:rFonts w:hint="default"/>
                <w:color w:val="auto"/>
                <w:lang w:val="en-US" w:eastAsia="zh-CN"/>
              </w:rPr>
              <w:t>2-</w:t>
            </w:r>
            <w:r>
              <w:rPr>
                <w:rFonts w:hint="eastAsia"/>
                <w:color w:val="auto"/>
                <w:lang w:val="en-US" w:eastAsia="zh-CN"/>
              </w:rPr>
              <w:t>2</w:t>
            </w:r>
            <w:r>
              <w:rPr>
                <w:rFonts w:hint="default"/>
                <w:color w:val="auto"/>
              </w:rPr>
              <w:t xml:space="preserve">   项目产品方案一览表</w:t>
            </w:r>
          </w:p>
          <w:tbl>
            <w:tblPr>
              <w:tblStyle w:val="31"/>
              <w:tblW w:w="801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1250"/>
              <w:gridCol w:w="1064"/>
              <w:gridCol w:w="1091"/>
              <w:gridCol w:w="1036"/>
              <w:gridCol w:w="1885"/>
            </w:tblGrid>
            <w:tr>
              <w:tblPrEx>
                <w:tblLayout w:type="fixed"/>
                <w:tblCellMar>
                  <w:top w:w="0" w:type="dxa"/>
                  <w:left w:w="108" w:type="dxa"/>
                  <w:bottom w:w="0" w:type="dxa"/>
                  <w:right w:w="108" w:type="dxa"/>
                </w:tblCellMar>
              </w:tblPrEx>
              <w:trPr>
                <w:trHeight w:val="397" w:hRule="atLeast"/>
                <w:jc w:val="center"/>
              </w:trPr>
              <w:tc>
                <w:tcPr>
                  <w:tcW w:w="1689"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lang w:val="en-US" w:eastAsia="zh-CN" w:bidi="ar-SA"/>
                    </w:rPr>
                  </w:pPr>
                  <w:r>
                    <w:rPr>
                      <w:rFonts w:hint="eastAsia" w:ascii="Times New Roman" w:hAnsi="Times New Roman" w:eastAsia="宋体" w:cs="Times New Roman"/>
                      <w:color w:val="auto"/>
                      <w:spacing w:val="0"/>
                      <w:kern w:val="44"/>
                      <w:sz w:val="21"/>
                      <w:szCs w:val="21"/>
                      <w:lang w:val="en-US" w:eastAsia="zh-CN" w:bidi="ar-SA"/>
                    </w:rPr>
                    <w:t>生产线</w:t>
                  </w:r>
                </w:p>
              </w:tc>
              <w:tc>
                <w:tcPr>
                  <w:tcW w:w="1250"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lang w:val="en-US" w:eastAsia="zh-CN" w:bidi="ar-SA"/>
                    </w:rPr>
                  </w:pPr>
                  <w:r>
                    <w:rPr>
                      <w:rFonts w:hint="default" w:ascii="Times New Roman" w:hAnsi="Times New Roman" w:eastAsia="宋体" w:cs="Times New Roman"/>
                      <w:color w:val="auto"/>
                      <w:spacing w:val="0"/>
                      <w:szCs w:val="21"/>
                    </w:rPr>
                    <w:t>产品名称</w:t>
                  </w:r>
                </w:p>
              </w:tc>
              <w:tc>
                <w:tcPr>
                  <w:tcW w:w="1064"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textAlignment w:val="auto"/>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szCs w:val="21"/>
                      <w:lang w:val="en-US" w:eastAsia="zh-CN"/>
                    </w:rPr>
                    <w:t>现有年产量</w:t>
                  </w:r>
                </w:p>
              </w:tc>
              <w:tc>
                <w:tcPr>
                  <w:tcW w:w="1091"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扩建项目年产量</w:t>
                  </w:r>
                </w:p>
              </w:tc>
              <w:tc>
                <w:tcPr>
                  <w:tcW w:w="1036"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扩建后产量</w:t>
                  </w:r>
                </w:p>
              </w:tc>
              <w:tc>
                <w:tcPr>
                  <w:tcW w:w="1885"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ascii="Times New Roman" w:hAnsi="Times New Roman" w:eastAsia="宋体" w:cs="Times New Roman"/>
                      <w:color w:val="auto"/>
                      <w:spacing w:val="0"/>
                      <w:kern w:val="44"/>
                      <w:sz w:val="21"/>
                      <w:szCs w:val="21"/>
                      <w:lang w:val="en-US" w:eastAsia="zh-CN" w:bidi="ar-SA"/>
                    </w:rPr>
                  </w:pPr>
                  <w:r>
                    <w:rPr>
                      <w:rFonts w:hint="eastAsia" w:ascii="Times New Roman" w:hAnsi="Times New Roman" w:eastAsia="宋体" w:cs="Times New Roman"/>
                      <w:color w:val="auto"/>
                      <w:spacing w:val="0"/>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9"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擀面皮生产线</w:t>
                  </w:r>
                </w:p>
              </w:tc>
              <w:tc>
                <w:tcPr>
                  <w:tcW w:w="1250"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72" w:leftChars="-30" w:right="-72" w:rightChars="-30" w:firstLine="0" w:firstLineChars="0"/>
                    <w:jc w:val="center"/>
                    <w:textAlignment w:val="auto"/>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擀面皮</w:t>
                  </w:r>
                </w:p>
              </w:tc>
              <w:tc>
                <w:tcPr>
                  <w:tcW w:w="1064"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384t/a</w:t>
                  </w:r>
                </w:p>
              </w:tc>
              <w:tc>
                <w:tcPr>
                  <w:tcW w:w="1091"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4416t/a</w:t>
                  </w:r>
                </w:p>
              </w:tc>
              <w:tc>
                <w:tcPr>
                  <w:tcW w:w="1036" w:type="dxa"/>
                  <w:tcBorders>
                    <w:tl2br w:val="nil"/>
                    <w:tr2bl w:val="nil"/>
                  </w:tcBorders>
                  <w:shd w:val="clear" w:color="auto" w:fill="auto"/>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4800t/a</w:t>
                  </w:r>
                </w:p>
              </w:tc>
              <w:tc>
                <w:tcPr>
                  <w:tcW w:w="1885"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200g/份，8万份/d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9"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面筋生产线</w:t>
                  </w:r>
                </w:p>
              </w:tc>
              <w:tc>
                <w:tcPr>
                  <w:tcW w:w="1250"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面筋</w:t>
                  </w:r>
                </w:p>
              </w:tc>
              <w:tc>
                <w:tcPr>
                  <w:tcW w:w="1064"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57t/a</w:t>
                  </w:r>
                </w:p>
              </w:tc>
              <w:tc>
                <w:tcPr>
                  <w:tcW w:w="1091"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303t/a</w:t>
                  </w:r>
                </w:p>
              </w:tc>
              <w:tc>
                <w:tcPr>
                  <w:tcW w:w="1036" w:type="dxa"/>
                  <w:tcBorders>
                    <w:tl2br w:val="nil"/>
                    <w:tr2bl w:val="nil"/>
                  </w:tcBorders>
                  <w:shd w:val="clear" w:color="auto" w:fill="auto"/>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360t/a</w:t>
                  </w:r>
                </w:p>
              </w:tc>
              <w:tc>
                <w:tcPr>
                  <w:tcW w:w="1885"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15g/份，8万份/d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9"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调料包生产线</w:t>
                  </w:r>
                </w:p>
              </w:tc>
              <w:tc>
                <w:tcPr>
                  <w:tcW w:w="1250"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调料包</w:t>
                  </w:r>
                </w:p>
              </w:tc>
              <w:tc>
                <w:tcPr>
                  <w:tcW w:w="1064"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85</w:t>
                  </w:r>
                  <w:r>
                    <w:rPr>
                      <w:rFonts w:hint="eastAsia" w:cs="Times New Roman"/>
                      <w:color w:val="auto"/>
                      <w:spacing w:val="0"/>
                      <w:kern w:val="44"/>
                      <w:sz w:val="21"/>
                      <w:szCs w:val="21"/>
                      <w:lang w:val="en-US" w:eastAsia="zh-CN" w:bidi="ar-SA"/>
                    </w:rPr>
                    <w:t>t/a</w:t>
                  </w:r>
                </w:p>
              </w:tc>
              <w:tc>
                <w:tcPr>
                  <w:tcW w:w="1091"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cs="Times New Roman"/>
                      <w:color w:val="auto"/>
                      <w:spacing w:val="0"/>
                      <w:szCs w:val="21"/>
                      <w:lang w:val="en-US" w:eastAsia="zh-CN"/>
                    </w:rPr>
                  </w:pPr>
                  <w:r>
                    <w:rPr>
                      <w:rFonts w:hint="eastAsia" w:cs="Times New Roman"/>
                      <w:color w:val="auto"/>
                      <w:spacing w:val="0"/>
                      <w:kern w:val="44"/>
                      <w:sz w:val="21"/>
                      <w:szCs w:val="21"/>
                      <w:lang w:val="en-US" w:eastAsia="zh-CN" w:bidi="ar-SA"/>
                    </w:rPr>
                    <w:t>1235t/a</w:t>
                  </w:r>
                </w:p>
              </w:tc>
              <w:tc>
                <w:tcPr>
                  <w:tcW w:w="1036" w:type="dxa"/>
                  <w:tcBorders>
                    <w:tl2br w:val="nil"/>
                    <w:tr2bl w:val="nil"/>
                  </w:tcBorders>
                  <w:shd w:val="clear" w:color="auto" w:fill="auto"/>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ascii="Times New Roman" w:hAnsi="Times New Roman" w:eastAsia="宋体" w:cs="Times New Roman"/>
                      <w:color w:val="auto"/>
                      <w:spacing w:val="0"/>
                      <w:kern w:val="44"/>
                      <w:sz w:val="21"/>
                      <w:szCs w:val="21"/>
                      <w:lang w:val="en-US" w:eastAsia="zh-CN" w:bidi="ar-SA"/>
                    </w:rPr>
                  </w:pPr>
                  <w:r>
                    <w:rPr>
                      <w:rFonts w:hint="eastAsia" w:cs="Times New Roman"/>
                      <w:color w:val="auto"/>
                      <w:spacing w:val="0"/>
                      <w:szCs w:val="21"/>
                      <w:lang w:val="en-US" w:eastAsia="zh-CN"/>
                    </w:rPr>
                    <w:t>1320t/a</w:t>
                  </w:r>
                </w:p>
              </w:tc>
              <w:tc>
                <w:tcPr>
                  <w:tcW w:w="1885"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55g/份，8万份/d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9"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油泼辣子生产线</w:t>
                  </w:r>
                </w:p>
              </w:tc>
              <w:tc>
                <w:tcPr>
                  <w:tcW w:w="1250"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cs="Times New Roman"/>
                      <w:color w:val="auto"/>
                      <w:spacing w:val="0"/>
                      <w:szCs w:val="21"/>
                      <w:lang w:val="en-US" w:eastAsia="zh-CN"/>
                    </w:rPr>
                  </w:pPr>
                  <w:r>
                    <w:rPr>
                      <w:rFonts w:hint="eastAsia" w:cs="Times New Roman"/>
                      <w:color w:val="auto"/>
                      <w:spacing w:val="0"/>
                      <w:szCs w:val="21"/>
                      <w:lang w:val="en-US" w:eastAsia="zh-CN"/>
                    </w:rPr>
                    <w:t>油泼辣子</w:t>
                  </w:r>
                </w:p>
              </w:tc>
              <w:tc>
                <w:tcPr>
                  <w:tcW w:w="1064"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cs="Times New Roman"/>
                      <w:color w:val="auto"/>
                      <w:spacing w:val="0"/>
                      <w:szCs w:val="21"/>
                      <w:lang w:val="en-US" w:eastAsia="zh-CN"/>
                    </w:rPr>
                  </w:pPr>
                  <w:r>
                    <w:rPr>
                      <w:rFonts w:hint="eastAsia" w:cs="Times New Roman"/>
                      <w:color w:val="auto"/>
                      <w:spacing w:val="0"/>
                      <w:szCs w:val="21"/>
                      <w:lang w:val="en-US" w:eastAsia="zh-CN"/>
                    </w:rPr>
                    <w:t>78</w:t>
                  </w:r>
                  <w:r>
                    <w:rPr>
                      <w:rFonts w:hint="eastAsia" w:cs="Times New Roman"/>
                      <w:color w:val="auto"/>
                      <w:spacing w:val="0"/>
                      <w:kern w:val="44"/>
                      <w:sz w:val="21"/>
                      <w:szCs w:val="21"/>
                      <w:lang w:val="en-US" w:eastAsia="zh-CN" w:bidi="ar-SA"/>
                    </w:rPr>
                    <w:t>t/a</w:t>
                  </w:r>
                </w:p>
              </w:tc>
              <w:tc>
                <w:tcPr>
                  <w:tcW w:w="1091"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cs="Times New Roman"/>
                      <w:color w:val="auto"/>
                      <w:spacing w:val="0"/>
                      <w:szCs w:val="21"/>
                      <w:lang w:val="en-US" w:eastAsia="zh-CN"/>
                    </w:rPr>
                  </w:pPr>
                  <w:r>
                    <w:rPr>
                      <w:rFonts w:hint="eastAsia" w:cs="Times New Roman"/>
                      <w:color w:val="auto"/>
                      <w:spacing w:val="0"/>
                      <w:kern w:val="44"/>
                      <w:sz w:val="21"/>
                      <w:szCs w:val="21"/>
                      <w:lang w:val="en-US" w:eastAsia="zh-CN" w:bidi="ar-SA"/>
                    </w:rPr>
                    <w:t>882t/a</w:t>
                  </w:r>
                </w:p>
              </w:tc>
              <w:tc>
                <w:tcPr>
                  <w:tcW w:w="1036" w:type="dxa"/>
                  <w:tcBorders>
                    <w:tl2br w:val="nil"/>
                    <w:tr2bl w:val="nil"/>
                  </w:tcBorders>
                  <w:shd w:val="clear" w:color="auto" w:fill="auto"/>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ascii="Times New Roman" w:hAnsi="Times New Roman" w:eastAsia="宋体" w:cs="Times New Roman"/>
                      <w:color w:val="auto"/>
                      <w:spacing w:val="0"/>
                      <w:kern w:val="44"/>
                      <w:sz w:val="21"/>
                      <w:szCs w:val="21"/>
                      <w:lang w:val="en-US" w:eastAsia="zh-CN" w:bidi="ar-SA"/>
                    </w:rPr>
                  </w:pPr>
                  <w:r>
                    <w:rPr>
                      <w:rFonts w:hint="eastAsia" w:cs="Times New Roman"/>
                      <w:color w:val="auto"/>
                      <w:spacing w:val="0"/>
                      <w:szCs w:val="21"/>
                      <w:lang w:val="en-US" w:eastAsia="zh-CN"/>
                    </w:rPr>
                    <w:t>960t/a</w:t>
                  </w:r>
                </w:p>
              </w:tc>
              <w:tc>
                <w:tcPr>
                  <w:tcW w:w="1885"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eastAsia" w:ascii="Times New Roman" w:hAnsi="Times New Roman" w:eastAsia="宋体" w:cs="Times New Roman"/>
                      <w:color w:val="auto"/>
                      <w:spacing w:val="0"/>
                      <w:kern w:val="44"/>
                      <w:sz w:val="21"/>
                      <w:szCs w:val="21"/>
                      <w:lang w:val="en-US" w:eastAsia="zh-CN" w:bidi="ar-SA"/>
                    </w:rPr>
                  </w:pPr>
                  <w:r>
                    <w:rPr>
                      <w:rFonts w:hint="eastAsia" w:cs="Times New Roman"/>
                      <w:color w:val="auto"/>
                      <w:spacing w:val="0"/>
                      <w:kern w:val="44"/>
                      <w:sz w:val="21"/>
                      <w:szCs w:val="21"/>
                      <w:lang w:val="en-US" w:eastAsia="zh-CN" w:bidi="ar-SA"/>
                    </w:rPr>
                    <w:t>40g/份，8万份/d</w:t>
                  </w:r>
                </w:p>
              </w:tc>
            </w:tr>
          </w:tbl>
          <w:p>
            <w:pPr>
              <w:bidi w:val="0"/>
              <w:ind w:left="0" w:leftChars="0" w:firstLine="0" w:firstLineChars="0"/>
              <w:rPr>
                <w:rFonts w:hint="eastAsia" w:cs="Times New Roman"/>
                <w:b/>
                <w:bCs/>
                <w:color w:val="auto"/>
                <w:spacing w:val="0"/>
                <w:kern w:val="44"/>
                <w:sz w:val="21"/>
                <w:szCs w:val="21"/>
                <w:lang w:val="en-US" w:eastAsia="zh-CN" w:bidi="ar-SA"/>
              </w:rPr>
            </w:pPr>
            <w:r>
              <w:rPr>
                <w:rFonts w:hint="eastAsia" w:cs="Times New Roman"/>
                <w:b/>
                <w:bCs/>
                <w:color w:val="auto"/>
                <w:spacing w:val="0"/>
                <w:kern w:val="44"/>
                <w:sz w:val="21"/>
                <w:szCs w:val="21"/>
                <w:lang w:val="en-US" w:eastAsia="zh-CN" w:bidi="ar-SA"/>
              </w:rPr>
              <w:t>注：擀面皮、面筋、调料包、油泼辣子最终统一包装为整袋的面皮出售。</w:t>
            </w:r>
          </w:p>
          <w:p>
            <w:pPr>
              <w:bidi w:val="0"/>
              <w:rPr>
                <w:rFonts w:hint="default"/>
                <w:b/>
                <w:bCs/>
                <w:color w:val="auto"/>
                <w:lang w:eastAsia="zh-CN"/>
              </w:rPr>
            </w:pPr>
            <w:r>
              <w:rPr>
                <w:rFonts w:hint="default"/>
                <w:b/>
                <w:bCs/>
                <w:color w:val="auto"/>
                <w:lang w:val="en-US" w:eastAsia="zh-CN"/>
              </w:rPr>
              <w:t>四</w:t>
            </w:r>
            <w:r>
              <w:rPr>
                <w:rFonts w:hint="default"/>
                <w:b/>
                <w:bCs/>
                <w:color w:val="auto"/>
                <w:lang w:eastAsia="zh-CN"/>
              </w:rPr>
              <w:t>、主要生产设施</w:t>
            </w:r>
          </w:p>
          <w:p>
            <w:pPr>
              <w:bidi w:val="0"/>
              <w:rPr>
                <w:rFonts w:hint="default"/>
                <w:color w:val="auto"/>
                <w:lang w:val="en-US" w:eastAsia="zh-CN"/>
              </w:rPr>
            </w:pPr>
            <w:r>
              <w:rPr>
                <w:rFonts w:hint="default"/>
                <w:color w:val="auto"/>
                <w:lang w:val="en-US" w:eastAsia="zh-CN"/>
              </w:rPr>
              <w:t>本项目主要生产设施见表</w:t>
            </w:r>
            <w:r>
              <w:rPr>
                <w:rFonts w:hint="eastAsia"/>
                <w:color w:val="auto"/>
                <w:lang w:val="en-US" w:eastAsia="zh-CN"/>
              </w:rPr>
              <w:t>2-3。</w:t>
            </w:r>
          </w:p>
          <w:p>
            <w:pPr>
              <w:pStyle w:val="81"/>
              <w:bidi w:val="0"/>
              <w:rPr>
                <w:rFonts w:hint="default"/>
                <w:color w:val="auto"/>
                <w:lang w:val="en-US" w:eastAsia="zh-CN"/>
              </w:rPr>
            </w:pPr>
            <w:r>
              <w:rPr>
                <w:rFonts w:hint="default"/>
                <w:color w:val="auto"/>
                <w:lang w:val="en-US" w:eastAsia="zh-CN"/>
              </w:rPr>
              <w:t>表</w:t>
            </w:r>
            <w:r>
              <w:rPr>
                <w:rFonts w:hint="eastAsia"/>
                <w:color w:val="auto"/>
                <w:lang w:val="en-US" w:eastAsia="zh-CN"/>
              </w:rPr>
              <w:t>2-3</w:t>
            </w:r>
            <w:r>
              <w:rPr>
                <w:rFonts w:hint="default"/>
                <w:color w:val="auto"/>
                <w:lang w:val="en-US" w:eastAsia="zh-CN"/>
              </w:rPr>
              <w:t xml:space="preserve">   主要生产设施一览表</w:t>
            </w:r>
          </w:p>
          <w:tbl>
            <w:tblPr>
              <w:tblStyle w:val="30"/>
              <w:tblW w:w="800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918"/>
              <w:gridCol w:w="1154"/>
              <w:gridCol w:w="1034"/>
              <w:gridCol w:w="1169"/>
              <w:gridCol w:w="1064"/>
              <w:gridCol w:w="11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default"/>
                      <w:b/>
                      <w:bCs w:val="0"/>
                    </w:rPr>
                  </w:pPr>
                  <w:r>
                    <w:rPr>
                      <w:rFonts w:hint="default"/>
                      <w:b/>
                      <w:bCs w:val="0"/>
                    </w:rPr>
                    <w:t>序号</w:t>
                  </w:r>
                </w:p>
              </w:tc>
              <w:tc>
                <w:tcPr>
                  <w:tcW w:w="1918" w:type="dxa"/>
                  <w:tcBorders>
                    <w:tl2br w:val="nil"/>
                    <w:tr2bl w:val="nil"/>
                  </w:tcBorders>
                  <w:vAlign w:val="center"/>
                </w:tcPr>
                <w:p>
                  <w:pPr>
                    <w:pStyle w:val="35"/>
                    <w:bidi w:val="0"/>
                    <w:rPr>
                      <w:rFonts w:hint="default"/>
                      <w:b/>
                      <w:bCs w:val="0"/>
                    </w:rPr>
                  </w:pPr>
                  <w:r>
                    <w:rPr>
                      <w:rFonts w:hint="default"/>
                      <w:b/>
                      <w:bCs w:val="0"/>
                    </w:rPr>
                    <w:t>设备名称</w:t>
                  </w:r>
                </w:p>
              </w:tc>
              <w:tc>
                <w:tcPr>
                  <w:tcW w:w="1154" w:type="dxa"/>
                  <w:tcBorders>
                    <w:tl2br w:val="nil"/>
                    <w:tr2bl w:val="nil"/>
                  </w:tcBorders>
                  <w:vAlign w:val="center"/>
                </w:tcPr>
                <w:p>
                  <w:pPr>
                    <w:pStyle w:val="35"/>
                    <w:bidi w:val="0"/>
                    <w:rPr>
                      <w:rFonts w:hint="default"/>
                      <w:b/>
                      <w:bCs w:val="0"/>
                    </w:rPr>
                  </w:pPr>
                  <w:r>
                    <w:rPr>
                      <w:rFonts w:hint="default"/>
                      <w:b/>
                      <w:bCs w:val="0"/>
                    </w:rPr>
                    <w:t>型号</w:t>
                  </w:r>
                </w:p>
              </w:tc>
              <w:tc>
                <w:tcPr>
                  <w:tcW w:w="1034" w:type="dxa"/>
                  <w:tcBorders>
                    <w:tl2br w:val="nil"/>
                    <w:tr2bl w:val="nil"/>
                  </w:tcBorders>
                  <w:vAlign w:val="center"/>
                </w:tcPr>
                <w:p>
                  <w:pPr>
                    <w:pStyle w:val="35"/>
                    <w:bidi w:val="0"/>
                    <w:rPr>
                      <w:rFonts w:hint="default"/>
                      <w:b/>
                      <w:bCs w:val="0"/>
                      <w:lang w:eastAsia="zh-CN"/>
                    </w:rPr>
                  </w:pPr>
                  <w:r>
                    <w:rPr>
                      <w:rFonts w:hint="default"/>
                      <w:b/>
                      <w:bCs w:val="0"/>
                      <w:lang w:val="en-US" w:eastAsia="zh-CN"/>
                    </w:rPr>
                    <w:t>现有</w:t>
                  </w:r>
                  <w:r>
                    <w:rPr>
                      <w:rFonts w:hint="default"/>
                      <w:b/>
                      <w:bCs w:val="0"/>
                    </w:rPr>
                    <w:t>数量</w:t>
                  </w:r>
                  <w:r>
                    <w:rPr>
                      <w:rFonts w:hint="default"/>
                      <w:b/>
                      <w:bCs w:val="0"/>
                      <w:lang w:eastAsia="zh-CN"/>
                    </w:rPr>
                    <w:t>（</w:t>
                  </w:r>
                  <w:r>
                    <w:rPr>
                      <w:rFonts w:hint="default"/>
                      <w:b/>
                      <w:bCs w:val="0"/>
                      <w:lang w:val="en-US" w:eastAsia="zh-CN"/>
                    </w:rPr>
                    <w:t>台</w:t>
                  </w:r>
                  <w:r>
                    <w:rPr>
                      <w:rFonts w:hint="default"/>
                      <w:b/>
                      <w:bCs w:val="0"/>
                      <w:lang w:eastAsia="zh-CN"/>
                    </w:rPr>
                    <w:t>）</w:t>
                  </w:r>
                </w:p>
              </w:tc>
              <w:tc>
                <w:tcPr>
                  <w:tcW w:w="1169" w:type="dxa"/>
                  <w:tcBorders>
                    <w:tl2br w:val="nil"/>
                    <w:tr2bl w:val="nil"/>
                  </w:tcBorders>
                  <w:vAlign w:val="center"/>
                </w:tcPr>
                <w:p>
                  <w:pPr>
                    <w:pStyle w:val="35"/>
                    <w:bidi w:val="0"/>
                    <w:rPr>
                      <w:rFonts w:hint="default"/>
                      <w:b/>
                      <w:bCs w:val="0"/>
                      <w:lang w:val="en-US" w:eastAsia="zh-CN"/>
                    </w:rPr>
                  </w:pPr>
                  <w:r>
                    <w:rPr>
                      <w:rFonts w:hint="eastAsia"/>
                      <w:b/>
                      <w:bCs w:val="0"/>
                      <w:lang w:val="en-US" w:eastAsia="zh-CN"/>
                    </w:rPr>
                    <w:t>扩建</w:t>
                  </w:r>
                  <w:r>
                    <w:rPr>
                      <w:rFonts w:hint="default"/>
                      <w:b/>
                      <w:bCs w:val="0"/>
                      <w:lang w:val="en-US" w:eastAsia="zh-CN"/>
                    </w:rPr>
                    <w:t>项目新增数量</w:t>
                  </w:r>
                  <w:r>
                    <w:rPr>
                      <w:rFonts w:hint="default"/>
                      <w:b/>
                      <w:bCs w:val="0"/>
                      <w:lang w:eastAsia="zh-CN"/>
                    </w:rPr>
                    <w:t>（</w:t>
                  </w:r>
                  <w:r>
                    <w:rPr>
                      <w:rFonts w:hint="default"/>
                      <w:b/>
                      <w:bCs w:val="0"/>
                      <w:lang w:val="en-US" w:eastAsia="zh-CN"/>
                    </w:rPr>
                    <w:t>台</w:t>
                  </w:r>
                  <w:r>
                    <w:rPr>
                      <w:rFonts w:hint="default"/>
                      <w:b/>
                      <w:bCs w:val="0"/>
                      <w:lang w:eastAsia="zh-CN"/>
                    </w:rPr>
                    <w:t>）</w:t>
                  </w:r>
                </w:p>
              </w:tc>
              <w:tc>
                <w:tcPr>
                  <w:tcW w:w="1064" w:type="dxa"/>
                  <w:tcBorders>
                    <w:tl2br w:val="nil"/>
                    <w:tr2bl w:val="nil"/>
                  </w:tcBorders>
                  <w:vAlign w:val="center"/>
                </w:tcPr>
                <w:p>
                  <w:pPr>
                    <w:pStyle w:val="35"/>
                    <w:bidi w:val="0"/>
                    <w:rPr>
                      <w:rFonts w:hint="default"/>
                      <w:b/>
                      <w:bCs w:val="0"/>
                    </w:rPr>
                  </w:pPr>
                  <w:r>
                    <w:rPr>
                      <w:rFonts w:hint="default"/>
                      <w:b/>
                      <w:bCs w:val="0"/>
                      <w:lang w:val="en-US" w:eastAsia="zh-CN"/>
                    </w:rPr>
                    <w:t>扩建后</w:t>
                  </w:r>
                  <w:r>
                    <w:rPr>
                      <w:rFonts w:hint="default"/>
                      <w:b/>
                      <w:bCs w:val="0"/>
                    </w:rPr>
                    <w:t>数量</w:t>
                  </w:r>
                  <w:r>
                    <w:rPr>
                      <w:rFonts w:hint="default"/>
                      <w:b/>
                      <w:bCs w:val="0"/>
                      <w:lang w:eastAsia="zh-CN"/>
                    </w:rPr>
                    <w:t>（</w:t>
                  </w:r>
                  <w:r>
                    <w:rPr>
                      <w:rFonts w:hint="default"/>
                      <w:b/>
                      <w:bCs w:val="0"/>
                      <w:lang w:val="en-US" w:eastAsia="zh-CN"/>
                    </w:rPr>
                    <w:t>台</w:t>
                  </w:r>
                  <w:r>
                    <w:rPr>
                      <w:rFonts w:hint="default"/>
                      <w:b/>
                      <w:bCs w:val="0"/>
                      <w:lang w:eastAsia="zh-CN"/>
                    </w:rPr>
                    <w:t>）</w:t>
                  </w:r>
                </w:p>
              </w:tc>
              <w:tc>
                <w:tcPr>
                  <w:tcW w:w="1176" w:type="dxa"/>
                  <w:tcBorders>
                    <w:tl2br w:val="nil"/>
                    <w:tr2bl w:val="nil"/>
                  </w:tcBorders>
                  <w:vAlign w:val="center"/>
                </w:tcPr>
                <w:p>
                  <w:pPr>
                    <w:pStyle w:val="35"/>
                    <w:bidi w:val="0"/>
                    <w:rPr>
                      <w:rFonts w:hint="default"/>
                      <w:b/>
                      <w:bCs w:val="0"/>
                      <w:lang w:val="en-US" w:eastAsia="zh-CN"/>
                    </w:rPr>
                  </w:pPr>
                  <w:r>
                    <w:rPr>
                      <w:rFonts w:hint="eastAsia"/>
                      <w:b/>
                      <w:bCs w:val="0"/>
                      <w:lang w:val="en-US" w:eastAsia="zh-CN"/>
                    </w:rPr>
                    <w:t>生产单元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eastAsia" w:eastAsia="宋体"/>
                      <w:lang w:val="en-US" w:eastAsia="zh-CN"/>
                    </w:rPr>
                  </w:pPr>
                  <w:r>
                    <w:rPr>
                      <w:rFonts w:hint="eastAsia"/>
                      <w:lang w:val="en-US" w:eastAsia="zh-CN"/>
                    </w:rPr>
                    <w:t>1</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储存缸</w:t>
                  </w:r>
                </w:p>
              </w:tc>
              <w:tc>
                <w:tcPr>
                  <w:tcW w:w="1154" w:type="dxa"/>
                  <w:tcBorders>
                    <w:tl2br w:val="nil"/>
                    <w:tr2bl w:val="nil"/>
                  </w:tcBorders>
                  <w:vAlign w:val="center"/>
                </w:tcPr>
                <w:p>
                  <w:pPr>
                    <w:pStyle w:val="35"/>
                    <w:bidi w:val="0"/>
                    <w:rPr>
                      <w:rFonts w:hint="default"/>
                      <w:lang w:eastAsia="zh-CN"/>
                    </w:rPr>
                  </w:pPr>
                  <w:r>
                    <w:rPr>
                      <w:rFonts w:hint="eastAsia"/>
                      <w:lang w:val="en-US" w:eastAsia="zh-CN"/>
                    </w:rPr>
                    <w:t>2200*2900</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3</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7</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10</w:t>
                  </w:r>
                </w:p>
              </w:tc>
              <w:tc>
                <w:tcPr>
                  <w:tcW w:w="1176" w:type="dxa"/>
                  <w:vMerge w:val="restart"/>
                  <w:tcBorders>
                    <w:tl2br w:val="nil"/>
                    <w:tr2bl w:val="nil"/>
                  </w:tcBorders>
                  <w:vAlign w:val="center"/>
                </w:tcPr>
                <w:p>
                  <w:pPr>
                    <w:pStyle w:val="35"/>
                    <w:bidi w:val="0"/>
                    <w:rPr>
                      <w:rFonts w:hint="default"/>
                      <w:lang w:val="en-US" w:eastAsia="zh-CN"/>
                    </w:rPr>
                  </w:pPr>
                  <w:r>
                    <w:rPr>
                      <w:rFonts w:hint="eastAsia"/>
                      <w:lang w:val="en-US" w:eastAsia="zh-CN"/>
                    </w:rPr>
                    <w:t>擀面皮生产线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eastAsia" w:eastAsia="宋体"/>
                      <w:lang w:val="en-US" w:eastAsia="zh-CN"/>
                    </w:rPr>
                  </w:pPr>
                  <w:r>
                    <w:rPr>
                      <w:rFonts w:hint="eastAsia"/>
                      <w:lang w:val="en-US" w:eastAsia="zh-CN"/>
                    </w:rPr>
                    <w:t>2</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发酵缸</w:t>
                  </w:r>
                </w:p>
              </w:tc>
              <w:tc>
                <w:tcPr>
                  <w:tcW w:w="1154" w:type="dxa"/>
                  <w:tcBorders>
                    <w:tl2br w:val="nil"/>
                    <w:tr2bl w:val="nil"/>
                  </w:tcBorders>
                  <w:vAlign w:val="center"/>
                </w:tcPr>
                <w:p>
                  <w:pPr>
                    <w:pStyle w:val="35"/>
                    <w:bidi w:val="0"/>
                    <w:rPr>
                      <w:rFonts w:hint="default"/>
                      <w:lang w:eastAsia="zh-CN"/>
                    </w:rPr>
                  </w:pPr>
                  <w:r>
                    <w:rPr>
                      <w:rFonts w:hint="eastAsia"/>
                      <w:lang w:val="en-US" w:eastAsia="zh-CN"/>
                    </w:rPr>
                    <w:t>2100*3000</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3</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4</w:t>
                  </w:r>
                </w:p>
              </w:tc>
              <w:tc>
                <w:tcPr>
                  <w:tcW w:w="1176" w:type="dxa"/>
                  <w:vMerge w:val="continue"/>
                  <w:tcBorders>
                    <w:tl2br w:val="nil"/>
                    <w:tr2bl w:val="nil"/>
                  </w:tcBorders>
                  <w:vAlign w:val="center"/>
                </w:tcPr>
                <w:p>
                  <w:pPr>
                    <w:pStyle w:val="35"/>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default"/>
                      <w:lang w:val="en-US" w:eastAsia="zh-CN"/>
                    </w:rPr>
                  </w:pPr>
                  <w:r>
                    <w:rPr>
                      <w:rFonts w:hint="eastAsia"/>
                      <w:lang w:val="en-US" w:eastAsia="zh-CN"/>
                    </w:rPr>
                    <w:t>3</w:t>
                  </w:r>
                </w:p>
              </w:tc>
              <w:tc>
                <w:tcPr>
                  <w:tcW w:w="1918"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多功能面皮机</w:t>
                  </w:r>
                </w:p>
              </w:tc>
              <w:tc>
                <w:tcPr>
                  <w:tcW w:w="115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BGMPJ-50型</w:t>
                  </w:r>
                </w:p>
              </w:tc>
              <w:tc>
                <w:tcPr>
                  <w:tcW w:w="103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2</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2</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4</w:t>
                  </w:r>
                </w:p>
              </w:tc>
              <w:tc>
                <w:tcPr>
                  <w:tcW w:w="1176" w:type="dxa"/>
                  <w:vMerge w:val="continue"/>
                  <w:tcBorders>
                    <w:tl2br w:val="nil"/>
                    <w:tr2bl w:val="nil"/>
                  </w:tcBorders>
                  <w:vAlign w:val="center"/>
                </w:tcPr>
                <w:p>
                  <w:pPr>
                    <w:pStyle w:val="35"/>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default"/>
                      <w:lang w:val="en-US" w:eastAsia="zh-CN"/>
                    </w:rPr>
                  </w:pPr>
                  <w:r>
                    <w:rPr>
                      <w:rFonts w:hint="eastAsia"/>
                      <w:lang w:val="en-US" w:eastAsia="zh-CN"/>
                    </w:rPr>
                    <w:t>4</w:t>
                  </w:r>
                </w:p>
              </w:tc>
              <w:tc>
                <w:tcPr>
                  <w:tcW w:w="1918"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成型机</w:t>
                  </w:r>
                </w:p>
              </w:tc>
              <w:tc>
                <w:tcPr>
                  <w:tcW w:w="115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default"/>
                      <w:lang w:val="en-US" w:eastAsia="zh-CN"/>
                    </w:rPr>
                    <w:t>θ</w:t>
                  </w:r>
                  <w:r>
                    <w:rPr>
                      <w:rFonts w:hint="eastAsia"/>
                      <w:lang w:val="en-US" w:eastAsia="zh-CN"/>
                    </w:rPr>
                    <w:t>92*265</w:t>
                  </w:r>
                </w:p>
              </w:tc>
              <w:tc>
                <w:tcPr>
                  <w:tcW w:w="103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2</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2</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4</w:t>
                  </w:r>
                </w:p>
              </w:tc>
              <w:tc>
                <w:tcPr>
                  <w:tcW w:w="1176" w:type="dxa"/>
                  <w:vMerge w:val="continue"/>
                  <w:tcBorders>
                    <w:tl2br w:val="nil"/>
                    <w:tr2bl w:val="nil"/>
                  </w:tcBorders>
                  <w:vAlign w:val="center"/>
                </w:tcPr>
                <w:p>
                  <w:pPr>
                    <w:pStyle w:val="35"/>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default"/>
                      <w:lang w:val="en-US" w:eastAsia="zh-CN"/>
                    </w:rPr>
                  </w:pPr>
                  <w:r>
                    <w:rPr>
                      <w:rFonts w:hint="eastAsia"/>
                      <w:lang w:val="en-US" w:eastAsia="zh-CN"/>
                    </w:rPr>
                    <w:t>5</w:t>
                  </w:r>
                </w:p>
              </w:tc>
              <w:tc>
                <w:tcPr>
                  <w:tcW w:w="1918"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切条机</w:t>
                  </w:r>
                </w:p>
              </w:tc>
              <w:tc>
                <w:tcPr>
                  <w:tcW w:w="115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4*300</w:t>
                  </w:r>
                </w:p>
              </w:tc>
              <w:tc>
                <w:tcPr>
                  <w:tcW w:w="103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4</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0</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4</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default"/>
                      <w:lang w:val="en-US" w:eastAsia="zh-CN"/>
                    </w:rPr>
                  </w:pPr>
                  <w:r>
                    <w:rPr>
                      <w:rFonts w:hint="eastAsia"/>
                      <w:lang w:val="en-US" w:eastAsia="zh-CN"/>
                    </w:rPr>
                    <w:t>6</w:t>
                  </w:r>
                </w:p>
              </w:tc>
              <w:tc>
                <w:tcPr>
                  <w:tcW w:w="1918"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输送机</w:t>
                  </w:r>
                </w:p>
              </w:tc>
              <w:tc>
                <w:tcPr>
                  <w:tcW w:w="115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w:t>
                  </w:r>
                </w:p>
              </w:tc>
              <w:tc>
                <w:tcPr>
                  <w:tcW w:w="103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2</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5</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7</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default"/>
                      <w:lang w:val="en-US" w:eastAsia="zh-CN"/>
                    </w:rPr>
                  </w:pPr>
                  <w:r>
                    <w:rPr>
                      <w:rFonts w:hint="eastAsia"/>
                      <w:lang w:val="en-US" w:eastAsia="zh-CN"/>
                    </w:rPr>
                    <w:t>7</w:t>
                  </w:r>
                </w:p>
              </w:tc>
              <w:tc>
                <w:tcPr>
                  <w:tcW w:w="1918"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冷却机</w:t>
                  </w:r>
                </w:p>
              </w:tc>
              <w:tc>
                <w:tcPr>
                  <w:tcW w:w="115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w:t>
                  </w:r>
                </w:p>
              </w:tc>
              <w:tc>
                <w:tcPr>
                  <w:tcW w:w="103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1</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3</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4</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default"/>
                      <w:lang w:val="en-US" w:eastAsia="zh-CN"/>
                    </w:rPr>
                  </w:pPr>
                  <w:r>
                    <w:rPr>
                      <w:rFonts w:hint="eastAsia"/>
                      <w:lang w:val="en-US" w:eastAsia="zh-CN"/>
                    </w:rPr>
                    <w:t>8</w:t>
                  </w:r>
                </w:p>
              </w:tc>
              <w:tc>
                <w:tcPr>
                  <w:tcW w:w="1918"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eastAsia="zh-CN"/>
                    </w:rPr>
                    <w:t>给袋式自动包装机</w:t>
                  </w:r>
                </w:p>
              </w:tc>
              <w:tc>
                <w:tcPr>
                  <w:tcW w:w="115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XL-R160</w:t>
                  </w:r>
                </w:p>
              </w:tc>
              <w:tc>
                <w:tcPr>
                  <w:tcW w:w="103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1</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3</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4</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vAlign w:val="center"/>
                </w:tcPr>
                <w:p>
                  <w:pPr>
                    <w:pStyle w:val="35"/>
                    <w:bidi w:val="0"/>
                    <w:rPr>
                      <w:rFonts w:hint="default"/>
                      <w:lang w:val="en-US" w:eastAsia="zh-CN"/>
                    </w:rPr>
                  </w:pPr>
                  <w:r>
                    <w:rPr>
                      <w:rFonts w:hint="eastAsia"/>
                      <w:lang w:val="en-US" w:eastAsia="zh-CN"/>
                    </w:rPr>
                    <w:t>9</w:t>
                  </w:r>
                </w:p>
              </w:tc>
              <w:tc>
                <w:tcPr>
                  <w:tcW w:w="1918"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巴氏灭菌机</w:t>
                  </w:r>
                </w:p>
              </w:tc>
              <w:tc>
                <w:tcPr>
                  <w:tcW w:w="115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w:t>
                  </w:r>
                </w:p>
              </w:tc>
              <w:tc>
                <w:tcPr>
                  <w:tcW w:w="103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1</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2</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3</w:t>
                  </w:r>
                </w:p>
              </w:tc>
              <w:tc>
                <w:tcPr>
                  <w:tcW w:w="1176" w:type="dxa"/>
                  <w:vMerge w:val="continue"/>
                  <w:tcBorders>
                    <w:tl2br w:val="nil"/>
                    <w:tr2bl w:val="nil"/>
                  </w:tcBorders>
                  <w:vAlign w:val="center"/>
                </w:tcPr>
                <w:p>
                  <w:pPr>
                    <w:pStyle w:val="35"/>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10</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蒸锅</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600升</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3</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4</w:t>
                  </w:r>
                </w:p>
              </w:tc>
              <w:tc>
                <w:tcPr>
                  <w:tcW w:w="1176" w:type="dxa"/>
                  <w:vMerge w:val="restart"/>
                  <w:tcBorders>
                    <w:tl2br w:val="nil"/>
                    <w:tr2bl w:val="nil"/>
                  </w:tcBorders>
                  <w:vAlign w:val="center"/>
                </w:tcPr>
                <w:p>
                  <w:pPr>
                    <w:pStyle w:val="35"/>
                    <w:bidi w:val="0"/>
                    <w:rPr>
                      <w:rFonts w:hint="default"/>
                      <w:lang w:val="en-US" w:eastAsia="zh-CN"/>
                    </w:rPr>
                  </w:pPr>
                  <w:r>
                    <w:rPr>
                      <w:rFonts w:hint="eastAsia"/>
                      <w:lang w:val="en-US" w:eastAsia="zh-CN"/>
                    </w:rPr>
                    <w:t>面筋生产线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11</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脱水机</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1000型</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12</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切丁机</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120型</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13</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智能立式包装机</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2L-180RX</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3</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4</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14</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杀菌锅</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R2015-055</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2</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15</w:t>
                  </w:r>
                </w:p>
              </w:tc>
              <w:tc>
                <w:tcPr>
                  <w:tcW w:w="1918" w:type="dxa"/>
                  <w:tcBorders>
                    <w:tl2br w:val="nil"/>
                    <w:tr2bl w:val="nil"/>
                  </w:tcBorders>
                  <w:vAlign w:val="center"/>
                </w:tcPr>
                <w:p>
                  <w:pPr>
                    <w:pStyle w:val="35"/>
                    <w:bidi w:val="0"/>
                    <w:rPr>
                      <w:rFonts w:hint="default"/>
                      <w:lang w:val="en-US" w:eastAsia="zh-CN"/>
                    </w:rPr>
                  </w:pPr>
                  <w:r>
                    <w:rPr>
                      <w:rFonts w:hint="eastAsia"/>
                      <w:lang w:eastAsia="zh-CN"/>
                    </w:rPr>
                    <w:t>烧水缸</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1200*800</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2</w:t>
                  </w:r>
                </w:p>
              </w:tc>
              <w:tc>
                <w:tcPr>
                  <w:tcW w:w="1176" w:type="dxa"/>
                  <w:vMerge w:val="restart"/>
                  <w:tcBorders>
                    <w:tl2br w:val="nil"/>
                    <w:tr2bl w:val="nil"/>
                  </w:tcBorders>
                  <w:vAlign w:val="center"/>
                </w:tcPr>
                <w:p>
                  <w:pPr>
                    <w:pStyle w:val="35"/>
                    <w:bidi w:val="0"/>
                    <w:rPr>
                      <w:rFonts w:hint="default"/>
                      <w:lang w:val="en-US" w:eastAsia="zh-CN"/>
                    </w:rPr>
                  </w:pPr>
                  <w:r>
                    <w:rPr>
                      <w:rFonts w:hint="eastAsia"/>
                      <w:lang w:eastAsia="zh-CN"/>
                    </w:rPr>
                    <w:t>调料包生产线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16</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搅拌缸</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1200*800</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2</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2</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4</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17</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灌装机</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HT-Y319F-0210</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4</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5</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18</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热油锅</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2</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2</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4</w:t>
                  </w:r>
                </w:p>
              </w:tc>
              <w:tc>
                <w:tcPr>
                  <w:tcW w:w="1176" w:type="dxa"/>
                  <w:vMerge w:val="restart"/>
                  <w:tcBorders>
                    <w:tl2br w:val="nil"/>
                    <w:tr2bl w:val="nil"/>
                  </w:tcBorders>
                  <w:vAlign w:val="center"/>
                </w:tcPr>
                <w:p>
                  <w:pPr>
                    <w:pStyle w:val="35"/>
                    <w:bidi w:val="0"/>
                    <w:rPr>
                      <w:rFonts w:hint="default"/>
                      <w:lang w:val="en-US" w:eastAsia="zh-CN"/>
                    </w:rPr>
                  </w:pPr>
                  <w:r>
                    <w:rPr>
                      <w:rFonts w:hint="eastAsia"/>
                      <w:lang w:val="en-US" w:eastAsia="zh-CN"/>
                    </w:rPr>
                    <w:t>油泼辣子生产线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19</w:t>
                  </w:r>
                </w:p>
              </w:tc>
              <w:tc>
                <w:tcPr>
                  <w:tcW w:w="1918"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搅拌缸</w:t>
                  </w:r>
                </w:p>
              </w:tc>
              <w:tc>
                <w:tcPr>
                  <w:tcW w:w="115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1200*800</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3</w:t>
                  </w:r>
                </w:p>
              </w:tc>
              <w:tc>
                <w:tcPr>
                  <w:tcW w:w="1169"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7</w:t>
                  </w:r>
                </w:p>
              </w:tc>
              <w:tc>
                <w:tcPr>
                  <w:tcW w:w="106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10</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20</w:t>
                  </w:r>
                </w:p>
              </w:tc>
              <w:tc>
                <w:tcPr>
                  <w:tcW w:w="1918"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包装机</w:t>
                  </w:r>
                </w:p>
              </w:tc>
              <w:tc>
                <w:tcPr>
                  <w:tcW w:w="115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JW-JG350A11P</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3</w:t>
                  </w:r>
                </w:p>
              </w:tc>
              <w:tc>
                <w:tcPr>
                  <w:tcW w:w="106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4</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eastAsia"/>
                      <w:lang w:val="en-US" w:eastAsia="zh-CN"/>
                    </w:rPr>
                  </w:pPr>
                  <w:r>
                    <w:rPr>
                      <w:rFonts w:hint="eastAsia"/>
                      <w:lang w:val="en-US" w:eastAsia="zh-CN"/>
                    </w:rPr>
                    <w:t>21</w:t>
                  </w:r>
                </w:p>
              </w:tc>
              <w:tc>
                <w:tcPr>
                  <w:tcW w:w="1918"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架盘天平</w:t>
                  </w:r>
                </w:p>
              </w:tc>
              <w:tc>
                <w:tcPr>
                  <w:tcW w:w="115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0.1g</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0</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eastAsia"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176" w:type="dxa"/>
                  <w:vMerge w:val="restart"/>
                  <w:tcBorders>
                    <w:tl2br w:val="nil"/>
                    <w:tr2bl w:val="nil"/>
                  </w:tcBorders>
                  <w:vAlign w:val="center"/>
                </w:tcPr>
                <w:p>
                  <w:pPr>
                    <w:pStyle w:val="35"/>
                    <w:bidi w:val="0"/>
                    <w:rPr>
                      <w:rFonts w:hint="default"/>
                      <w:lang w:val="en-US" w:eastAsia="zh-CN"/>
                    </w:rPr>
                  </w:pPr>
                  <w:r>
                    <w:rPr>
                      <w:rFonts w:hint="eastAsia"/>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lang w:val="en-US" w:eastAsia="zh-CN"/>
                    </w:rPr>
                  </w:pPr>
                  <w:r>
                    <w:rPr>
                      <w:rFonts w:hint="eastAsia"/>
                      <w:lang w:val="en-US" w:eastAsia="zh-CN"/>
                    </w:rPr>
                    <w:t>22</w:t>
                  </w:r>
                </w:p>
              </w:tc>
              <w:tc>
                <w:tcPr>
                  <w:tcW w:w="1918"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电子天平</w:t>
                  </w:r>
                </w:p>
              </w:tc>
              <w:tc>
                <w:tcPr>
                  <w:tcW w:w="1154"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0.1mg</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0</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eastAsia"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lang w:val="en-US" w:eastAsia="zh-CN"/>
                    </w:rPr>
                  </w:pPr>
                  <w:r>
                    <w:rPr>
                      <w:rFonts w:hint="eastAsia"/>
                      <w:lang w:val="en-US" w:eastAsia="zh-CN"/>
                    </w:rPr>
                    <w:t>23</w:t>
                  </w:r>
                </w:p>
              </w:tc>
              <w:tc>
                <w:tcPr>
                  <w:tcW w:w="1918"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电热鼓风干燥箱</w:t>
                  </w:r>
                </w:p>
              </w:tc>
              <w:tc>
                <w:tcPr>
                  <w:tcW w:w="1154"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±1℃</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0</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eastAsia"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lang w:val="en-US" w:eastAsia="zh-CN"/>
                    </w:rPr>
                  </w:pPr>
                  <w:r>
                    <w:rPr>
                      <w:rFonts w:hint="eastAsia"/>
                      <w:lang w:val="en-US" w:eastAsia="zh-CN"/>
                    </w:rPr>
                    <w:t>24</w:t>
                  </w:r>
                </w:p>
              </w:tc>
              <w:tc>
                <w:tcPr>
                  <w:tcW w:w="1918"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医用压力表</w:t>
                  </w:r>
                </w:p>
              </w:tc>
              <w:tc>
                <w:tcPr>
                  <w:tcW w:w="1154"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±0.1mpa</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0</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eastAsia"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lang w:val="en-US" w:eastAsia="zh-CN"/>
                    </w:rPr>
                  </w:pPr>
                  <w:r>
                    <w:rPr>
                      <w:rFonts w:hint="eastAsia"/>
                      <w:lang w:val="en-US" w:eastAsia="zh-CN"/>
                    </w:rPr>
                    <w:t>25</w:t>
                  </w:r>
                </w:p>
              </w:tc>
              <w:tc>
                <w:tcPr>
                  <w:tcW w:w="1918"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超净工作台</w:t>
                  </w:r>
                </w:p>
              </w:tc>
              <w:tc>
                <w:tcPr>
                  <w:tcW w:w="1154"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100级</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0</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eastAsia"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lang w:val="en-US" w:eastAsia="zh-CN"/>
                    </w:rPr>
                  </w:pPr>
                  <w:r>
                    <w:rPr>
                      <w:rFonts w:hint="eastAsia"/>
                      <w:lang w:val="en-US" w:eastAsia="zh-CN"/>
                    </w:rPr>
                    <w:t>26</w:t>
                  </w:r>
                </w:p>
              </w:tc>
              <w:tc>
                <w:tcPr>
                  <w:tcW w:w="1918"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电热恒温培养箱</w:t>
                  </w:r>
                </w:p>
              </w:tc>
              <w:tc>
                <w:tcPr>
                  <w:tcW w:w="1154"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±1℃</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0</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eastAsia"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lang w:val="en-US" w:eastAsia="zh-CN"/>
                    </w:rPr>
                  </w:pPr>
                  <w:r>
                    <w:rPr>
                      <w:rFonts w:hint="eastAsia"/>
                      <w:lang w:val="en-US" w:eastAsia="zh-CN"/>
                    </w:rPr>
                    <w:t>27</w:t>
                  </w:r>
                </w:p>
              </w:tc>
              <w:tc>
                <w:tcPr>
                  <w:tcW w:w="1918"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生物显微镜</w:t>
                  </w:r>
                </w:p>
              </w:tc>
              <w:tc>
                <w:tcPr>
                  <w:tcW w:w="1154"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1600倍</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0</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eastAsia"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lang w:val="en-US" w:eastAsia="zh-CN"/>
                    </w:rPr>
                  </w:pPr>
                  <w:r>
                    <w:rPr>
                      <w:rFonts w:hint="eastAsia"/>
                      <w:lang w:val="en-US" w:eastAsia="zh-CN"/>
                    </w:rPr>
                    <w:t>28</w:t>
                  </w:r>
                </w:p>
              </w:tc>
              <w:tc>
                <w:tcPr>
                  <w:tcW w:w="1918"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酸度计</w:t>
                  </w:r>
                </w:p>
              </w:tc>
              <w:tc>
                <w:tcPr>
                  <w:tcW w:w="1154" w:type="dxa"/>
                  <w:tcBorders>
                    <w:tl2br w:val="nil"/>
                    <w:tr2bl w:val="nil"/>
                  </w:tcBorders>
                  <w:shd w:val="clear" w:color="auto" w:fill="auto"/>
                  <w:vAlign w:val="center"/>
                </w:tcPr>
                <w:p>
                  <w:pPr>
                    <w:pStyle w:val="35"/>
                    <w:bidi w:val="0"/>
                    <w:rPr>
                      <w:rFonts w:hint="eastAsia"/>
                      <w:lang w:val="en-US" w:eastAsia="zh-CN"/>
                    </w:rPr>
                  </w:pPr>
                  <w:r>
                    <w:rPr>
                      <w:rFonts w:hint="eastAsia"/>
                      <w:lang w:val="en-US" w:eastAsia="zh-CN"/>
                    </w:rPr>
                    <w:t>±0.5PH</w:t>
                  </w:r>
                </w:p>
              </w:tc>
              <w:tc>
                <w:tcPr>
                  <w:tcW w:w="1034" w:type="dxa"/>
                  <w:tcBorders>
                    <w:tl2br w:val="nil"/>
                    <w:tr2bl w:val="nil"/>
                  </w:tcBorders>
                  <w:shd w:val="clear" w:color="auto" w:fill="auto"/>
                  <w:vAlign w:val="center"/>
                </w:tcPr>
                <w:p>
                  <w:pPr>
                    <w:pStyle w:val="35"/>
                    <w:bidi w:val="0"/>
                    <w:rPr>
                      <w:rFonts w:hint="default"/>
                      <w:lang w:val="en-US" w:eastAsia="zh-CN"/>
                    </w:rPr>
                  </w:pPr>
                  <w:r>
                    <w:rPr>
                      <w:rFonts w:hint="eastAsia"/>
                      <w:lang w:val="en-US" w:eastAsia="zh-CN"/>
                    </w:rPr>
                    <w:t>0</w:t>
                  </w:r>
                </w:p>
              </w:tc>
              <w:tc>
                <w:tcPr>
                  <w:tcW w:w="1169"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064" w:type="dxa"/>
                  <w:tcBorders>
                    <w:tl2br w:val="nil"/>
                    <w:tr2bl w:val="nil"/>
                  </w:tcBorders>
                  <w:shd w:val="clear" w:color="auto" w:fill="auto"/>
                  <w:vAlign w:val="center"/>
                </w:tcPr>
                <w:p>
                  <w:pPr>
                    <w:pStyle w:val="35"/>
                    <w:bidi w:val="0"/>
                    <w:ind w:left="-24" w:leftChars="-10" w:right="-24" w:rightChars="-10" w:firstLine="0" w:firstLineChars="0"/>
                    <w:rPr>
                      <w:rFonts w:hint="eastAsia" w:ascii="Times New Roman" w:hAnsi="Times New Roman" w:eastAsia="宋体" w:cs="Times New Roman"/>
                      <w:bCs/>
                      <w:color w:val="000000"/>
                      <w:kern w:val="0"/>
                      <w:sz w:val="21"/>
                      <w:szCs w:val="21"/>
                      <w:lang w:val="en-US" w:eastAsia="zh-CN" w:bidi="ar-SA"/>
                    </w:rPr>
                  </w:pPr>
                  <w:r>
                    <w:rPr>
                      <w:rFonts w:hint="eastAsia"/>
                      <w:lang w:val="en-US" w:eastAsia="zh-CN"/>
                    </w:rPr>
                    <w:t>1</w:t>
                  </w:r>
                </w:p>
              </w:tc>
              <w:tc>
                <w:tcPr>
                  <w:tcW w:w="1176"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92"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eastAsia" w:cs="Times New Roman"/>
                      <w:bCs/>
                      <w:color w:val="000000"/>
                      <w:kern w:val="0"/>
                      <w:sz w:val="21"/>
                      <w:szCs w:val="21"/>
                      <w:lang w:val="en-US" w:eastAsia="zh-CN" w:bidi="ar-SA"/>
                    </w:rPr>
                    <w:t>29</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天然气锅炉</w:t>
                  </w:r>
                </w:p>
              </w:tc>
              <w:tc>
                <w:tcPr>
                  <w:tcW w:w="1154" w:type="dxa"/>
                  <w:tcBorders>
                    <w:tl2br w:val="nil"/>
                    <w:tr2bl w:val="nil"/>
                  </w:tcBorders>
                  <w:vAlign w:val="center"/>
                </w:tcPr>
                <w:p>
                  <w:pPr>
                    <w:pStyle w:val="35"/>
                    <w:bidi w:val="0"/>
                    <w:rPr>
                      <w:rFonts w:hint="default"/>
                      <w:lang w:val="en-US" w:eastAsia="zh-CN"/>
                    </w:rPr>
                  </w:pPr>
                  <w:r>
                    <w:rPr>
                      <w:rFonts w:hint="eastAsia"/>
                      <w:lang w:val="en-US" w:eastAsia="zh-CN"/>
                    </w:rPr>
                    <w:t>1t/h</w:t>
                  </w:r>
                </w:p>
              </w:tc>
              <w:tc>
                <w:tcPr>
                  <w:tcW w:w="103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69"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1064" w:type="dxa"/>
                  <w:tcBorders>
                    <w:tl2br w:val="nil"/>
                    <w:tr2bl w:val="nil"/>
                  </w:tcBorders>
                  <w:vAlign w:val="center"/>
                </w:tcPr>
                <w:p>
                  <w:pPr>
                    <w:pStyle w:val="35"/>
                    <w:bidi w:val="0"/>
                    <w:rPr>
                      <w:rFonts w:hint="default"/>
                      <w:lang w:val="en-US" w:eastAsia="zh-CN"/>
                    </w:rPr>
                  </w:pPr>
                  <w:r>
                    <w:rPr>
                      <w:rFonts w:hint="eastAsia"/>
                      <w:lang w:val="en-US" w:eastAsia="zh-CN"/>
                    </w:rPr>
                    <w:t>1</w:t>
                  </w:r>
                </w:p>
              </w:tc>
              <w:tc>
                <w:tcPr>
                  <w:tcW w:w="1176" w:type="dxa"/>
                  <w:tcBorders>
                    <w:tl2br w:val="nil"/>
                    <w:tr2bl w:val="nil"/>
                  </w:tcBorders>
                  <w:vAlign w:val="center"/>
                </w:tcPr>
                <w:p>
                  <w:pPr>
                    <w:pStyle w:val="35"/>
                    <w:bidi w:val="0"/>
                    <w:rPr>
                      <w:rFonts w:hint="default"/>
                      <w:lang w:val="en-US" w:eastAsia="zh-CN"/>
                    </w:rPr>
                  </w:pPr>
                  <w:r>
                    <w:rPr>
                      <w:rFonts w:hint="eastAsia"/>
                      <w:lang w:val="en-US" w:eastAsia="zh-CN"/>
                    </w:rPr>
                    <w:t>供热</w:t>
                  </w:r>
                </w:p>
              </w:tc>
            </w:tr>
          </w:tbl>
          <w:p>
            <w:pPr>
              <w:bidi w:val="0"/>
              <w:rPr>
                <w:rFonts w:hint="default"/>
                <w:b/>
                <w:bCs/>
                <w:color w:val="auto"/>
                <w:highlight w:val="none"/>
              </w:rPr>
            </w:pPr>
            <w:r>
              <w:rPr>
                <w:rFonts w:hint="default"/>
                <w:b/>
                <w:bCs/>
                <w:color w:val="auto"/>
                <w:highlight w:val="none"/>
                <w:lang w:eastAsia="zh-CN"/>
              </w:rPr>
              <w:t>五</w:t>
            </w:r>
            <w:r>
              <w:rPr>
                <w:rFonts w:hint="default"/>
                <w:b/>
                <w:bCs/>
                <w:color w:val="auto"/>
                <w:highlight w:val="none"/>
              </w:rPr>
              <w:t>、原辅材料及</w:t>
            </w:r>
            <w:r>
              <w:rPr>
                <w:rFonts w:hint="default"/>
                <w:b/>
                <w:bCs/>
                <w:color w:val="auto"/>
                <w:highlight w:val="none"/>
                <w:lang w:eastAsia="zh-CN"/>
              </w:rPr>
              <w:t>能源</w:t>
            </w:r>
            <w:r>
              <w:rPr>
                <w:rFonts w:hint="default"/>
                <w:b/>
                <w:bCs/>
                <w:color w:val="auto"/>
                <w:highlight w:val="none"/>
              </w:rPr>
              <w:t>消耗</w:t>
            </w:r>
          </w:p>
          <w:p>
            <w:pPr>
              <w:bidi w:val="0"/>
              <w:rPr>
                <w:rFonts w:hint="default"/>
                <w:color w:val="auto"/>
                <w:highlight w:val="none"/>
                <w:lang w:val="en-US" w:eastAsia="zh-CN"/>
              </w:rPr>
            </w:pPr>
            <w:r>
              <w:rPr>
                <w:rFonts w:hint="default"/>
                <w:color w:val="auto"/>
                <w:highlight w:val="none"/>
              </w:rPr>
              <w:t>项目主要原辅材料及能源消耗见表</w:t>
            </w:r>
            <w:r>
              <w:rPr>
                <w:rFonts w:hint="eastAsia"/>
                <w:color w:val="auto"/>
                <w:highlight w:val="none"/>
                <w:lang w:val="en-US" w:eastAsia="zh-CN"/>
              </w:rPr>
              <w:t>2-4</w:t>
            </w:r>
            <w:r>
              <w:rPr>
                <w:rFonts w:hint="default"/>
                <w:color w:val="auto"/>
                <w:highlight w:val="none"/>
                <w:lang w:eastAsia="zh-CN"/>
              </w:rPr>
              <w:t>。</w:t>
            </w:r>
          </w:p>
          <w:p>
            <w:pPr>
              <w:pStyle w:val="81"/>
              <w:bidi w:val="0"/>
              <w:rPr>
                <w:rFonts w:hint="default"/>
                <w:color w:val="auto"/>
                <w:highlight w:val="none"/>
              </w:rPr>
            </w:pPr>
            <w:r>
              <w:rPr>
                <w:rFonts w:hint="default"/>
                <w:color w:val="auto"/>
                <w:highlight w:val="none"/>
                <w:lang w:val="en-US" w:eastAsia="zh-CN"/>
              </w:rPr>
              <w:t>表</w:t>
            </w:r>
            <w:r>
              <w:rPr>
                <w:rFonts w:hint="eastAsia"/>
                <w:color w:val="auto"/>
                <w:highlight w:val="none"/>
                <w:lang w:val="en-US" w:eastAsia="zh-CN"/>
              </w:rPr>
              <w:t>2-4</w:t>
            </w:r>
            <w:r>
              <w:rPr>
                <w:rFonts w:hint="default"/>
                <w:color w:val="auto"/>
                <w:highlight w:val="none"/>
              </w:rPr>
              <w:t xml:space="preserve">   </w:t>
            </w:r>
            <w:r>
              <w:rPr>
                <w:rFonts w:hint="default"/>
                <w:color w:val="auto"/>
                <w:highlight w:val="none"/>
                <w:lang w:val="en-US" w:eastAsia="zh-CN"/>
              </w:rPr>
              <w:t>项目</w:t>
            </w:r>
            <w:r>
              <w:rPr>
                <w:rFonts w:hint="default"/>
                <w:color w:val="auto"/>
                <w:highlight w:val="none"/>
              </w:rPr>
              <w:t>原辅材料及能源消耗统计一览表</w:t>
            </w:r>
          </w:p>
          <w:tbl>
            <w:tblPr>
              <w:tblStyle w:val="30"/>
              <w:tblW w:w="802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0"/>
              <w:gridCol w:w="576"/>
              <w:gridCol w:w="899"/>
              <w:gridCol w:w="1094"/>
              <w:gridCol w:w="1155"/>
              <w:gridCol w:w="1200"/>
              <w:gridCol w:w="1140"/>
              <w:gridCol w:w="1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序号</w:t>
                  </w:r>
                </w:p>
              </w:tc>
              <w:tc>
                <w:tcPr>
                  <w:tcW w:w="1475" w:type="dxa"/>
                  <w:gridSpan w:val="2"/>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bCs/>
                      <w:color w:val="auto"/>
                    </w:rPr>
                  </w:pPr>
                  <w:r>
                    <w:rPr>
                      <w:rFonts w:hint="default" w:ascii="Times New Roman" w:hAnsi="Times New Roman" w:cs="Times New Roman"/>
                      <w:b/>
                      <w:bCs/>
                      <w:color w:val="auto"/>
                    </w:rPr>
                    <w:t>原辅料</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现有</w:t>
                  </w:r>
                  <w:r>
                    <w:rPr>
                      <w:rFonts w:hint="default" w:ascii="Times New Roman" w:hAnsi="Times New Roman" w:cs="Times New Roman"/>
                      <w:b/>
                      <w:bCs/>
                      <w:color w:val="auto"/>
                    </w:rPr>
                    <w:t>年用量</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bCs/>
                      <w:color w:val="auto"/>
                      <w:lang w:val="en-US" w:eastAsia="zh-CN"/>
                    </w:rPr>
                  </w:pPr>
                  <w:r>
                    <w:rPr>
                      <w:rFonts w:hint="eastAsia" w:cs="Times New Roman"/>
                      <w:b/>
                      <w:bCs/>
                      <w:color w:val="auto"/>
                      <w:lang w:val="en-US" w:eastAsia="zh-CN"/>
                    </w:rPr>
                    <w:t>扩建</w:t>
                  </w:r>
                  <w:r>
                    <w:rPr>
                      <w:rFonts w:hint="default" w:ascii="Times New Roman" w:hAnsi="Times New Roman" w:cs="Times New Roman"/>
                      <w:b/>
                      <w:bCs/>
                      <w:color w:val="auto"/>
                      <w:lang w:val="en-US" w:eastAsia="zh-CN"/>
                    </w:rPr>
                    <w:t>项目年用量</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扩建后</w:t>
                  </w:r>
                  <w:r>
                    <w:rPr>
                      <w:rFonts w:hint="default" w:ascii="Times New Roman" w:hAnsi="Times New Roman" w:cs="Times New Roman"/>
                      <w:b/>
                      <w:bCs/>
                      <w:color w:val="auto"/>
                    </w:rPr>
                    <w:t>年用量</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bCs/>
                      <w:color w:val="auto"/>
                      <w:lang w:val="en-US" w:eastAsia="zh-CN"/>
                    </w:rPr>
                  </w:pPr>
                  <w:r>
                    <w:rPr>
                      <w:rFonts w:hint="default" w:ascii="Times New Roman" w:hAnsi="Times New Roman" w:cs="Times New Roman"/>
                      <w:b/>
                      <w:bCs/>
                      <w:color w:val="auto"/>
                    </w:rPr>
                    <w:t>最大存储量</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rPr>
                    <w:t>存放位置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1</w:t>
                  </w:r>
                </w:p>
              </w:tc>
              <w:tc>
                <w:tcPr>
                  <w:tcW w:w="57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擀面皮生产线</w:t>
                  </w: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lang w:val="en-US" w:eastAsia="zh-CN"/>
                    </w:rPr>
                    <w:t>浆液</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w:t>
                  </w:r>
                  <w:r>
                    <w:rPr>
                      <w:rFonts w:hint="eastAsia" w:cs="Times New Roman"/>
                      <w:b w:val="0"/>
                      <w:bCs w:val="0"/>
                      <w:color w:val="auto"/>
                      <w:highlight w:val="none"/>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4750t/a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4750t/a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eastAsia"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cs="Times New Roman"/>
                      <w:color w:val="auto"/>
                      <w:lang w:val="en-US" w:eastAsia="zh-CN"/>
                    </w:rPr>
                  </w:pPr>
                  <w:r>
                    <w:rPr>
                      <w:rFonts w:hint="eastAsia" w:cs="Times New Roman"/>
                      <w:color w:val="auto"/>
                      <w:lang w:val="en-US" w:eastAsia="zh-CN"/>
                    </w:rPr>
                    <w:t>面粉</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color w:val="auto"/>
                      <w:highlight w:val="none"/>
                      <w:lang w:val="en-US" w:eastAsia="zh-CN"/>
                    </w:rPr>
                  </w:pPr>
                  <w:r>
                    <w:rPr>
                      <w:rFonts w:hint="eastAsia" w:cs="Times New Roman"/>
                      <w:color w:val="auto"/>
                      <w:highlight w:val="none"/>
                      <w:lang w:val="en-US" w:eastAsia="zh-CN"/>
                    </w:rPr>
                    <w:t>320t/a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eastAsia" w:cs="Times New Roman"/>
                      <w:b w:val="0"/>
                      <w:bCs w:val="0"/>
                      <w:color w:val="auto"/>
                      <w:highlight w:val="none"/>
                      <w:lang w:val="en-US" w:eastAsia="zh-CN"/>
                    </w:rPr>
                  </w:pPr>
                  <w:r>
                    <w:rPr>
                      <w:rFonts w:hint="eastAsia" w:cs="Times New Roman"/>
                      <w:color w:val="auto"/>
                      <w:highlight w:val="none"/>
                      <w:lang w:val="en-US" w:eastAsia="zh-CN"/>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eastAsia" w:cs="Times New Roman"/>
                      <w:b w:val="0"/>
                      <w:bCs w:val="0"/>
                      <w:color w:val="auto"/>
                      <w:highlight w:val="none"/>
                      <w:lang w:val="en-US" w:eastAsia="zh-CN"/>
                    </w:rPr>
                  </w:pPr>
                  <w:r>
                    <w:rPr>
                      <w:rFonts w:hint="eastAsia" w:cs="Times New Roman"/>
                      <w:color w:val="auto"/>
                      <w:highlight w:val="none"/>
                      <w:lang w:val="en-US" w:eastAsia="zh-CN"/>
                    </w:rPr>
                    <w:t>0</w:t>
                  </w:r>
                  <w:r>
                    <w:rPr>
                      <w:rFonts w:hint="eastAsia" w:cs="Times New Roman"/>
                      <w:b w:val="0"/>
                      <w:bCs w:val="0"/>
                      <w:color w:val="auto"/>
                      <w:highlight w:val="none"/>
                      <w:lang w:val="en-US" w:eastAsia="zh-CN"/>
                    </w:rPr>
                    <w:t>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color w:val="auto"/>
                      <w:highlight w:val="none"/>
                      <w:lang w:val="en-US" w:eastAsia="zh-CN"/>
                    </w:rPr>
                  </w:pPr>
                  <w:r>
                    <w:rPr>
                      <w:rFonts w:hint="eastAsia" w:cs="Times New Roman"/>
                      <w:color w:val="auto"/>
                      <w:highlight w:val="none"/>
                      <w:lang w:val="en-US" w:eastAsia="zh-CN"/>
                    </w:rPr>
                    <w: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3</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cs="Times New Roman"/>
                      <w:color w:val="auto"/>
                      <w:highlight w:val="none"/>
                      <w:lang w:val="en-US" w:eastAsia="zh-CN"/>
                    </w:rPr>
                  </w:pPr>
                  <w:r>
                    <w:rPr>
                      <w:rFonts w:hint="eastAsia" w:cs="Times New Roman"/>
                      <w:color w:val="auto"/>
                      <w:highlight w:val="none"/>
                      <w:lang w:val="en-US" w:eastAsia="zh-CN"/>
                    </w:rPr>
                    <w:t>淀粉</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w:t>
                  </w:r>
                  <w:r>
                    <w:rPr>
                      <w:rFonts w:hint="eastAsia" w:cs="Times New Roman"/>
                      <w:b w:val="0"/>
                      <w:bCs w:val="0"/>
                      <w:color w:val="auto"/>
                      <w:highlight w:val="none"/>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30t/a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50t/a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4</w:t>
                  </w:r>
                </w:p>
              </w:tc>
              <w:tc>
                <w:tcPr>
                  <w:tcW w:w="57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spacing w:val="0"/>
                      <w:kern w:val="44"/>
                      <w:sz w:val="21"/>
                      <w:szCs w:val="21"/>
                      <w:lang w:val="en-US" w:eastAsia="zh-CN" w:bidi="ar-SA"/>
                    </w:rPr>
                    <w:t>面筋生产线</w:t>
                  </w: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cs="Times New Roman"/>
                      <w:color w:val="auto"/>
                      <w:highlight w:val="none"/>
                      <w:lang w:val="en-US" w:eastAsia="zh-CN"/>
                    </w:rPr>
                  </w:pPr>
                  <w:r>
                    <w:rPr>
                      <w:rFonts w:hint="eastAsia" w:cs="Times New Roman"/>
                      <w:color w:val="auto"/>
                      <w:highlight w:val="none"/>
                      <w:lang w:val="en-US" w:eastAsia="zh-CN"/>
                    </w:rPr>
                    <w:t>生面筋</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w:t>
                  </w:r>
                  <w:r>
                    <w:rPr>
                      <w:rFonts w:hint="eastAsia" w:cs="Times New Roman"/>
                      <w:b w:val="0"/>
                      <w:bCs w:val="0"/>
                      <w:color w:val="auto"/>
                      <w:highlight w:val="none"/>
                      <w:lang w:val="en-US" w:eastAsia="zh-CN"/>
                    </w:rPr>
                    <w:t>t/a</w:t>
                  </w:r>
                </w:p>
              </w:tc>
              <w:tc>
                <w:tcPr>
                  <w:tcW w:w="1155"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288t/a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288t/a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5</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cs="Times New Roman"/>
                      <w:color w:val="auto"/>
                      <w:highlight w:val="none"/>
                      <w:lang w:val="en-US" w:eastAsia="zh-CN"/>
                    </w:rPr>
                  </w:pPr>
                  <w:r>
                    <w:rPr>
                      <w:rFonts w:hint="eastAsia" w:cs="Times New Roman"/>
                      <w:color w:val="auto"/>
                      <w:highlight w:val="none"/>
                      <w:lang w:val="en-US" w:eastAsia="zh-CN"/>
                    </w:rPr>
                    <w:t>水</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w:t>
                  </w:r>
                  <w:r>
                    <w:rPr>
                      <w:rFonts w:hint="eastAsia" w:cs="Times New Roman"/>
                      <w:b w:val="0"/>
                      <w:bCs w:val="0"/>
                      <w:color w:val="auto"/>
                      <w:highlight w:val="none"/>
                      <w:lang w:val="en-US" w:eastAsia="zh-CN"/>
                    </w:rPr>
                    <w:t>t/a</w:t>
                  </w:r>
                </w:p>
              </w:tc>
              <w:tc>
                <w:tcPr>
                  <w:tcW w:w="1155"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72t/a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72t/a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6</w:t>
                  </w:r>
                </w:p>
              </w:tc>
              <w:tc>
                <w:tcPr>
                  <w:tcW w:w="57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highlight w:val="none"/>
                      <w:lang w:val="en-US" w:eastAsia="zh-CN"/>
                    </w:rPr>
                    <w:t>调料包生产线</w:t>
                  </w: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cs="Times New Roman"/>
                      <w:color w:val="auto"/>
                      <w:highlight w:val="none"/>
                      <w:lang w:val="en-US" w:eastAsia="zh-CN"/>
                    </w:rPr>
                  </w:pPr>
                  <w:r>
                    <w:rPr>
                      <w:rFonts w:hint="eastAsia" w:cs="Times New Roman"/>
                      <w:color w:val="auto"/>
                      <w:highlight w:val="none"/>
                      <w:lang w:val="en-US" w:eastAsia="zh-CN"/>
                    </w:rPr>
                    <w:t>盐</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8.5</w:t>
                  </w:r>
                  <w:r>
                    <w:rPr>
                      <w:rFonts w:hint="eastAsia" w:cs="Times New Roman"/>
                      <w:b w:val="0"/>
                      <w:bCs w:val="0"/>
                      <w:color w:val="auto"/>
                      <w:highlight w:val="none"/>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64.5</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73t/a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7</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cs="Times New Roman"/>
                      <w:color w:val="auto"/>
                      <w:highlight w:val="none"/>
                      <w:lang w:val="en-US" w:eastAsia="zh-CN"/>
                    </w:rPr>
                  </w:pPr>
                  <w:r>
                    <w:rPr>
                      <w:rFonts w:hint="eastAsia" w:cs="Times New Roman"/>
                      <w:color w:val="auto"/>
                      <w:highlight w:val="none"/>
                      <w:lang w:val="en-US" w:eastAsia="zh-CN"/>
                    </w:rPr>
                    <w:t>醋</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5.7</w:t>
                  </w:r>
                  <w:r>
                    <w:rPr>
                      <w:rFonts w:hint="eastAsia" w:cs="Times New Roman"/>
                      <w:b w:val="0"/>
                      <w:bCs w:val="0"/>
                      <w:color w:val="auto"/>
                      <w:highlight w:val="none"/>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158.3</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164t/a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8</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cs="Times New Roman"/>
                      <w:color w:val="auto"/>
                      <w:highlight w:val="none"/>
                      <w:lang w:val="en-US" w:eastAsia="zh-CN"/>
                    </w:rPr>
                  </w:pPr>
                  <w:r>
                    <w:rPr>
                      <w:rFonts w:hint="eastAsia" w:cs="Times New Roman"/>
                      <w:color w:val="auto"/>
                      <w:highlight w:val="none"/>
                      <w:lang w:val="en-US" w:eastAsia="zh-CN"/>
                    </w:rPr>
                    <w:t>味精</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2.3</w:t>
                  </w:r>
                  <w:r>
                    <w:rPr>
                      <w:rFonts w:hint="eastAsia" w:cs="Times New Roman"/>
                      <w:b w:val="0"/>
                      <w:bCs w:val="0"/>
                      <w:color w:val="auto"/>
                      <w:highlight w:val="none"/>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24.7</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27t/a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9</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cs="Times New Roman"/>
                      <w:color w:val="auto"/>
                      <w:highlight w:val="none"/>
                      <w:lang w:val="en-US" w:eastAsia="zh-CN"/>
                    </w:rPr>
                  </w:pPr>
                  <w:r>
                    <w:rPr>
                      <w:rFonts w:hint="eastAsia" w:cs="Times New Roman"/>
                      <w:color w:val="auto"/>
                      <w:highlight w:val="none"/>
                      <w:lang w:val="en-US" w:eastAsia="zh-CN"/>
                    </w:rPr>
                    <w:t>水</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68</w:t>
                  </w:r>
                  <w:r>
                    <w:rPr>
                      <w:rFonts w:hint="eastAsia" w:cs="Times New Roman"/>
                      <w:b w:val="0"/>
                      <w:bCs w:val="0"/>
                      <w:color w:val="auto"/>
                      <w:highlight w:val="none"/>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988</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1056t/a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10</w:t>
                  </w:r>
                </w:p>
              </w:tc>
              <w:tc>
                <w:tcPr>
                  <w:tcW w:w="57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highlight w:val="none"/>
                      <w:lang w:val="en-US" w:eastAsia="zh-CN"/>
                    </w:rPr>
                    <w:t>油泼辣子生产线</w:t>
                  </w: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辣椒面</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w:t>
                  </w:r>
                  <w:r>
                    <w:rPr>
                      <w:rFonts w:hint="eastAsia" w:cs="Times New Roman"/>
                      <w:b w:val="0"/>
                      <w:bCs w:val="0"/>
                      <w:color w:val="auto"/>
                      <w:highlight w:val="none"/>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108</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117t/a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11</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香辛料</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1.8</w:t>
                  </w:r>
                  <w:r>
                    <w:rPr>
                      <w:rFonts w:hint="eastAsia" w:cs="Times New Roman"/>
                      <w:b w:val="0"/>
                      <w:bCs w:val="0"/>
                      <w:color w:val="auto"/>
                      <w:highlight w:val="none"/>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23.2</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25t/a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cs="Times New Roman"/>
                      <w:color w:val="auto"/>
                      <w:highlight w:val="none"/>
                      <w:lang w:val="en-US" w:eastAsia="zh-CN"/>
                    </w:rPr>
                  </w:pPr>
                  <w:r>
                    <w:rPr>
                      <w:rFonts w:hint="eastAsia" w:cs="Times New Roman"/>
                      <w:color w:val="auto"/>
                      <w:highlight w:val="none"/>
                      <w:lang w:val="en-US" w:eastAsia="zh-CN"/>
                    </w:rPr>
                    <w:t>食用油</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66</w:t>
                  </w:r>
                  <w:r>
                    <w:rPr>
                      <w:rFonts w:hint="eastAsia" w:cs="Times New Roman"/>
                      <w:b w:val="0"/>
                      <w:bCs w:val="0"/>
                      <w:color w:val="auto"/>
                      <w:highlight w:val="none"/>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752</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818t/a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w:t>
                  </w:r>
                </w:p>
              </w:tc>
              <w:tc>
                <w:tcPr>
                  <w:tcW w:w="57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化验室</w:t>
                  </w: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PCA</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500g/a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500g/a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250g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14</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VRBA</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250g/a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250g/a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250g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15</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Nacl</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1000g/a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1000g/a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16</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NaCO</w:t>
                  </w:r>
                  <w:r>
                    <w:rPr>
                      <w:rFonts w:hint="eastAsia" w:cs="Times New Roman"/>
                      <w:color w:val="auto"/>
                      <w:highlight w:val="none"/>
                      <w:vertAlign w:val="subscript"/>
                      <w:lang w:val="en-US" w:eastAsia="zh-CN"/>
                    </w:rPr>
                    <w:t>3</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250g/a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250g/a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250g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17</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NaOH</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500g/a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500g/a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异丙醇</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500g/a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500g/a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19</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可溶性淀粉</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500g/a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500g/a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KI</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500g/a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500g/a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KC1</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500g/a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500g/a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22</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cs="Times New Roman"/>
                      <w:color w:val="auto"/>
                      <w:highlight w:val="none"/>
                      <w:lang w:val="en-US" w:eastAsia="zh-CN"/>
                    </w:rPr>
                  </w:pPr>
                  <w:r>
                    <w:rPr>
                      <w:rFonts w:hint="eastAsia" w:cs="Times New Roman"/>
                      <w:color w:val="auto"/>
                      <w:highlight w:val="none"/>
                      <w:lang w:val="en-US" w:eastAsia="zh-CN"/>
                    </w:rPr>
                    <w:t>EDTA</w:t>
                  </w:r>
                </w:p>
              </w:tc>
              <w:tc>
                <w:tcPr>
                  <w:tcW w:w="1094"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500g/a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w:t>
                  </w:r>
                  <w:r>
                    <w:rPr>
                      <w:rFonts w:hint="eastAsia" w:cs="Times New Roman"/>
                      <w:b w:val="0"/>
                      <w:bCs w:val="0"/>
                      <w:color w:val="auto"/>
                      <w:highlight w:val="none"/>
                      <w:lang w:val="en-US" w:eastAsia="zh-CN"/>
                    </w:rPr>
                    <w:t>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500g/a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500g</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化验室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23</w:t>
                  </w:r>
                </w:p>
              </w:tc>
              <w:tc>
                <w:tcPr>
                  <w:tcW w:w="57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辅料</w:t>
                  </w:r>
                </w:p>
              </w:tc>
              <w:tc>
                <w:tcPr>
                  <w:tcW w:w="899"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包装袋</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1.5t/a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10.5t/a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12t/a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0.5t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库房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24</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酒精</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w:t>
                  </w:r>
                  <w:r>
                    <w:rPr>
                      <w:rFonts w:hint="eastAsia" w:cs="Times New Roman"/>
                      <w:color w:val="auto"/>
                      <w:lang w:val="en-US" w:eastAsia="zh-CN"/>
                    </w:rPr>
                    <w:t>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lang w:val="en-US" w:eastAsia="zh-CN"/>
                    </w:rPr>
                    <w:t>0.2t/a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0.3</w:t>
                  </w:r>
                  <w:r>
                    <w:rPr>
                      <w:rFonts w:hint="eastAsia" w:cs="Times New Roman"/>
                      <w:color w:val="auto"/>
                      <w:lang w:val="en-US" w:eastAsia="zh-CN"/>
                    </w:rPr>
                    <w:t>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0.02</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25</w:t>
                  </w:r>
                </w:p>
              </w:tc>
              <w:tc>
                <w:tcPr>
                  <w:tcW w:w="57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能源</w:t>
                  </w:r>
                </w:p>
              </w:tc>
              <w:tc>
                <w:tcPr>
                  <w:tcW w:w="899"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2680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1016</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3696</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26</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电</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15万kW·h</w:t>
                  </w:r>
                  <w:r>
                    <w:rPr>
                      <w:rFonts w:hint="default" w:ascii="Times New Roman" w:hAnsi="Times New Roman" w:cs="Times New Roman"/>
                      <w:color w:val="auto"/>
                    </w:rPr>
                    <w:t>/</w:t>
                  </w:r>
                  <w:r>
                    <w:rPr>
                      <w:rFonts w:hint="default" w:ascii="Times New Roman" w:hAnsi="Times New Roman" w:cs="Times New Roman"/>
                      <w:color w:val="auto"/>
                      <w:lang w:val="en-US" w:eastAsia="zh-CN"/>
                    </w:rPr>
                    <w: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18万kW·h</w:t>
                  </w:r>
                  <w:r>
                    <w:rPr>
                      <w:rFonts w:hint="default" w:ascii="Times New Roman" w:hAnsi="Times New Roman" w:cs="Times New Roman"/>
                      <w:color w:val="auto"/>
                    </w:rPr>
                    <w:t>/</w:t>
                  </w:r>
                  <w:r>
                    <w:rPr>
                      <w:rFonts w:hint="default" w:ascii="Times New Roman" w:hAnsi="Times New Roman" w:cs="Times New Roman"/>
                      <w:color w:val="auto"/>
                      <w:lang w:val="en-US" w:eastAsia="zh-CN"/>
                    </w:rPr>
                    <w: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33万kW·h</w:t>
                  </w:r>
                  <w:r>
                    <w:rPr>
                      <w:rFonts w:hint="default" w:ascii="Times New Roman" w:hAnsi="Times New Roman" w:cs="Times New Roman"/>
                      <w:color w:val="auto"/>
                    </w:rPr>
                    <w:t>/</w:t>
                  </w:r>
                  <w:r>
                    <w:rPr>
                      <w:rFonts w:hint="default" w:ascii="Times New Roman" w:hAnsi="Times New Roman" w:cs="Times New Roman"/>
                      <w:color w:val="auto"/>
                      <w:lang w:val="en-US" w:eastAsia="zh-CN"/>
                    </w:rPr>
                    <w: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27</w:t>
                  </w:r>
                </w:p>
              </w:tc>
              <w:tc>
                <w:tcPr>
                  <w:tcW w:w="57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p>
              </w:tc>
              <w:tc>
                <w:tcPr>
                  <w:tcW w:w="899"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天然气</w:t>
                  </w:r>
                </w:p>
              </w:tc>
              <w:tc>
                <w:tcPr>
                  <w:tcW w:w="10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5万m</w:t>
                  </w:r>
                  <w:r>
                    <w:rPr>
                      <w:rFonts w:hint="eastAsia" w:cs="Times New Roman"/>
                      <w:color w:val="auto"/>
                      <w:vertAlign w:val="superscript"/>
                      <w:lang w:val="en-US" w:eastAsia="zh-CN"/>
                    </w:rPr>
                    <w:t>3</w:t>
                  </w:r>
                  <w:r>
                    <w:rPr>
                      <w:rFonts w:hint="eastAsia" w:cs="Times New Roman"/>
                      <w:color w:val="auto"/>
                      <w:lang w:val="en-US" w:eastAsia="zh-CN"/>
                    </w:rPr>
                    <w:t>/a</w:t>
                  </w:r>
                </w:p>
              </w:tc>
              <w:tc>
                <w:tcPr>
                  <w:tcW w:w="11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18.5万m</w:t>
                  </w:r>
                  <w:r>
                    <w:rPr>
                      <w:rFonts w:hint="eastAsia" w:cs="Times New Roman"/>
                      <w:color w:val="auto"/>
                      <w:vertAlign w:val="superscript"/>
                      <w:lang w:val="en-US" w:eastAsia="zh-CN"/>
                    </w:rPr>
                    <w:t>3</w:t>
                  </w:r>
                  <w:r>
                    <w:rPr>
                      <w:rFonts w:hint="eastAsia" w:cs="Times New Roman"/>
                      <w:color w:val="auto"/>
                      <w:lang w:val="en-US" w:eastAsia="zh-CN"/>
                    </w:rPr>
                    <w:t>/a</w:t>
                  </w:r>
                </w:p>
              </w:tc>
              <w:tc>
                <w:tcPr>
                  <w:tcW w:w="12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23.5万m</w:t>
                  </w:r>
                  <w:r>
                    <w:rPr>
                      <w:rFonts w:hint="eastAsia" w:cs="Times New Roman"/>
                      <w:color w:val="auto"/>
                      <w:vertAlign w:val="superscript"/>
                      <w:lang w:val="en-US" w:eastAsia="zh-CN"/>
                    </w:rPr>
                    <w:t>3</w:t>
                  </w:r>
                  <w:r>
                    <w:rPr>
                      <w:rFonts w:hint="eastAsia" w:cs="Times New Roman"/>
                      <w:color w:val="auto"/>
                      <w:lang w:val="en-US" w:eastAsia="zh-CN"/>
                    </w:rPr>
                    <w:t>/a</w:t>
                  </w:r>
                </w:p>
              </w:tc>
              <w:tc>
                <w:tcPr>
                  <w:tcW w:w="114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1m</w:t>
                  </w:r>
                  <w:r>
                    <w:rPr>
                      <w:rFonts w:hint="eastAsia" w:cs="Times New Roman"/>
                      <w:color w:val="auto"/>
                      <w:vertAlign w:val="superscript"/>
                      <w:lang w:val="en-US" w:eastAsia="zh-CN"/>
                    </w:rPr>
                    <w:t>3</w:t>
                  </w:r>
                </w:p>
              </w:tc>
              <w:tc>
                <w:tcPr>
                  <w:tcW w:w="15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textAlignment w:val="baseline"/>
                    <w:rPr>
                      <w:rFonts w:hint="default" w:ascii="Times New Roman" w:hAnsi="Times New Roman" w:cs="Times New Roman"/>
                      <w:color w:val="auto"/>
                      <w:lang w:val="en-US" w:eastAsia="zh-CN"/>
                    </w:rPr>
                  </w:pPr>
                  <w:r>
                    <w:rPr>
                      <w:rFonts w:hint="eastAsia" w:cs="Times New Roman"/>
                      <w:color w:val="auto"/>
                      <w:lang w:val="en-US" w:eastAsia="zh-CN"/>
                    </w:rPr>
                    <w:t>天然气管道</w:t>
                  </w:r>
                </w:p>
              </w:tc>
            </w:tr>
          </w:tbl>
          <w:p>
            <w:pPr>
              <w:bidi w:val="0"/>
              <w:rPr>
                <w:rFonts w:hint="eastAsia"/>
              </w:rPr>
            </w:pPr>
            <w:r>
              <w:rPr>
                <w:rFonts w:hint="eastAsia"/>
              </w:rPr>
              <w:t>酒精：是醇类化合物的一种，化学式为C2H6O，结构简式为CH3CH2OH或C2H5OH。燃烧性很好，是常用的燃料、溶剂和消毒剂等，在有机合成中应用广泛。爆炸极限3.3%~19%，分子量46.07(g/mol</w:t>
            </w:r>
            <w:r>
              <w:rPr>
                <w:rFonts w:hint="eastAsia"/>
                <w:lang w:eastAsia="zh-CN"/>
              </w:rPr>
              <w:t>）</w:t>
            </w:r>
            <w:r>
              <w:rPr>
                <w:rFonts w:hint="eastAsia"/>
              </w:rPr>
              <w:t>，蒸气压5.333kPa（19℃），熔点-114.1℃，沸点78.3℃，密度0.7893g/cm3。</w:t>
            </w:r>
            <w:r>
              <w:t>无色透明液体，有芳香气味</w:t>
            </w:r>
            <w:r>
              <w:rPr>
                <w:rFonts w:hint="eastAsia"/>
              </w:rPr>
              <w:t>。与水混溶，可混溶于乙醚、氯仿、甘油、甲醇等多数有机溶剂。</w:t>
            </w:r>
          </w:p>
          <w:p>
            <w:pPr>
              <w:bidi w:val="0"/>
              <w:rPr>
                <w:rFonts w:hint="eastAsia"/>
                <w:lang w:eastAsia="zh-CN"/>
              </w:rPr>
            </w:pPr>
            <w:r>
              <w:t>VRBA</w:t>
            </w:r>
            <w:r>
              <w:rPr>
                <w:rFonts w:hint="eastAsia"/>
                <w:lang w:eastAsia="zh-CN"/>
              </w:rPr>
              <w:t>：</w:t>
            </w:r>
            <w:r>
              <w:t>是微生物学检验中常用的选择性培养基，其pH值稳定在7.4±0.1的弱碱性范围</w:t>
            </w:r>
            <w:r>
              <w:rPr>
                <w:rFonts w:hint="default"/>
              </w:rPr>
              <w:t>。该培养基主要应用于食品微生物检测领域，特别在霉菌和酵母菌的标准化计数检测流程中发挥关键作用。实验研究表明，VRBA培养基在微生物降解菌株筛选过程中，能够通过特有的显色反应（紫红色菌落边缘及红色沉淀）准确识别目标菌株的生理生化特性</w:t>
            </w:r>
            <w:r>
              <w:rPr>
                <w:rFonts w:hint="eastAsia"/>
                <w:lang w:eastAsia="zh-CN"/>
              </w:rPr>
              <w:t>。</w:t>
            </w:r>
          </w:p>
          <w:p>
            <w:pPr>
              <w:bidi w:val="0"/>
              <w:rPr>
                <w:rFonts w:hint="eastAsia"/>
                <w:lang w:val="en-US" w:eastAsia="zh-CN"/>
              </w:rPr>
            </w:pPr>
            <w:r>
              <w:rPr>
                <w:rFonts w:hint="eastAsia"/>
                <w:lang w:val="en-US" w:eastAsia="zh-CN"/>
              </w:rPr>
              <w:t>异丙醇：也称为2-丙醇，是一种常见的仲醇，具有与丙醇相同的分子式，但原子排列不同，分子式为C</w:t>
            </w:r>
            <w:r>
              <w:rPr>
                <w:rFonts w:hint="eastAsia"/>
                <w:vertAlign w:val="subscript"/>
                <w:lang w:val="en-US" w:eastAsia="zh-CN"/>
              </w:rPr>
              <w:t>3</w:t>
            </w:r>
            <w:r>
              <w:rPr>
                <w:rFonts w:hint="eastAsia"/>
                <w:lang w:val="en-US" w:eastAsia="zh-CN"/>
              </w:rPr>
              <w:t>H</w:t>
            </w:r>
            <w:r>
              <w:rPr>
                <w:rFonts w:hint="eastAsia"/>
                <w:vertAlign w:val="subscript"/>
                <w:lang w:val="en-US" w:eastAsia="zh-CN"/>
              </w:rPr>
              <w:t>8</w:t>
            </w:r>
            <w:r>
              <w:rPr>
                <w:rFonts w:hint="eastAsia"/>
                <w:lang w:val="en-US" w:eastAsia="zh-CN"/>
              </w:rPr>
              <w:t>O。它是一种无色液体，以其易挥发性和较低沸点（大约82.6℃）而闻名。其熔点为-89.5℃。异丙醇在水、乙醇和氯仿等多数溶剂中均能完全混溶，并能溶解多种非极性化合物，显示出其作为一种多功能溶剂的特性。此外，它是易燃物质，与氧化剂反应时会释放水和醋酮。</w:t>
            </w:r>
          </w:p>
          <w:p>
            <w:pPr>
              <w:bidi w:val="0"/>
              <w:rPr>
                <w:rFonts w:hint="eastAsia"/>
                <w:lang w:val="en-US" w:eastAsia="zh-CN"/>
              </w:rPr>
            </w:pPr>
            <w:r>
              <w:rPr>
                <w:rFonts w:hint="eastAsia" w:cs="Times New Roman"/>
                <w:color w:val="auto"/>
                <w:highlight w:val="none"/>
                <w:lang w:val="en-US" w:eastAsia="zh-CN"/>
              </w:rPr>
              <w:t>NaOH：</w:t>
            </w:r>
            <w:r>
              <w:rPr>
                <w:rFonts w:hint="eastAsia"/>
                <w:lang w:val="en-US" w:eastAsia="zh-CN"/>
              </w:rPr>
              <w:t>也称苛性钠、烧碱、火碱、片碱，是一种无机化合物，化学式NaOH，相对分子量为39.9970。氢氧化钠具有强碱性，腐蚀性极强，可作酸中和剂、配合掩蔽剂、沉淀剂、沉淀掩蔽剂、显色剂、皂化剂、去皮剂、洗涤剂等，用途非常广泛。</w:t>
            </w:r>
          </w:p>
          <w:p>
            <w:pPr>
              <w:bidi w:val="0"/>
              <w:rPr>
                <w:rFonts w:hint="eastAsia"/>
                <w:lang w:val="en-US" w:eastAsia="zh-CN"/>
              </w:rPr>
            </w:pPr>
            <w:r>
              <w:rPr>
                <w:rFonts w:hint="eastAsia" w:cs="Times New Roman"/>
                <w:color w:val="auto"/>
                <w:highlight w:val="none"/>
                <w:lang w:val="en-US" w:eastAsia="zh-CN"/>
              </w:rPr>
              <w:t>KC1：是一种无机氯化物，分子量为74.55。其通常情况下为无色立方系晶体。熔点为790℃，沸点1500℃，密度1.988g/cm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有吸湿性，易结块。易溶于水，溶解度随温度升高而增加，水溶液呈中性，有咸味。稍溶于甘油，微溶于乙醇，不溶于乙醚、浓盐酸、丙酮。可在850℃高温条件下与金属钠发生置换反应，与浓硫酸反应生成硫酸氢钾和氯化氢。</w:t>
            </w:r>
          </w:p>
          <w:p>
            <w:pPr>
              <w:bidi w:val="0"/>
            </w:pPr>
            <w:r>
              <w:rPr>
                <w:rFonts w:hint="eastAsia" w:cs="Times New Roman"/>
                <w:color w:val="auto"/>
                <w:highlight w:val="none"/>
                <w:lang w:val="en-US" w:eastAsia="zh-CN"/>
              </w:rPr>
              <w:t>EDTA：是一种有机化合物，其化学式为C</w:t>
            </w:r>
            <w:r>
              <w:rPr>
                <w:rFonts w:hint="eastAsia" w:cs="Times New Roman"/>
                <w:color w:val="auto"/>
                <w:highlight w:val="none"/>
                <w:vertAlign w:val="subscript"/>
                <w:lang w:val="en-US" w:eastAsia="zh-CN"/>
              </w:rPr>
              <w:t>10</w:t>
            </w:r>
            <w:r>
              <w:rPr>
                <w:rFonts w:hint="eastAsia" w:cs="Times New Roman"/>
                <w:color w:val="auto"/>
                <w:highlight w:val="none"/>
                <w:lang w:val="en-US" w:eastAsia="zh-CN"/>
              </w:rPr>
              <w:t>H</w:t>
            </w:r>
            <w:r>
              <w:rPr>
                <w:rFonts w:hint="eastAsia" w:cs="Times New Roman"/>
                <w:color w:val="auto"/>
                <w:highlight w:val="none"/>
                <w:vertAlign w:val="subscript"/>
                <w:lang w:val="en-US" w:eastAsia="zh-CN"/>
              </w:rPr>
              <w:t>16</w:t>
            </w:r>
            <w:r>
              <w:rPr>
                <w:rFonts w:hint="eastAsia" w:cs="Times New Roman"/>
                <w:color w:val="auto"/>
                <w:highlight w:val="none"/>
                <w:lang w:val="en-US" w:eastAsia="zh-CN"/>
              </w:rPr>
              <w:t>N</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O</w:t>
            </w:r>
            <w:r>
              <w:rPr>
                <w:rFonts w:hint="eastAsia" w:cs="Times New Roman"/>
                <w:color w:val="auto"/>
                <w:highlight w:val="none"/>
                <w:vertAlign w:val="subscript"/>
                <w:lang w:val="en-US" w:eastAsia="zh-CN"/>
              </w:rPr>
              <w:t>8</w:t>
            </w:r>
            <w:r>
              <w:rPr>
                <w:rFonts w:hint="eastAsia" w:cs="Times New Roman"/>
                <w:color w:val="auto"/>
                <w:highlight w:val="none"/>
                <w:lang w:val="en-US" w:eastAsia="zh-CN"/>
              </w:rPr>
              <w:t>，常温常压下为白色粉末。它是一种能与Mg</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、Ca</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、Mn</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、Fe</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等二价金属离子结合的螯合剂。由于多数核酸酶类和有些蛋白酶类的作用需要Mg</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，故常用作核酸酶、蛋白酶的抑制剂；也可用于去除重金属离子对酶的抑制作用。</w:t>
            </w:r>
          </w:p>
          <w:p>
            <w:pPr>
              <w:bidi w:val="0"/>
              <w:rPr>
                <w:rFonts w:hint="default"/>
                <w:b/>
                <w:bCs/>
                <w:color w:val="auto"/>
                <w:lang w:eastAsia="zh-CN"/>
              </w:rPr>
            </w:pPr>
            <w:r>
              <w:rPr>
                <w:rFonts w:hint="default"/>
                <w:b/>
                <w:bCs/>
                <w:color w:val="auto"/>
                <w:lang w:eastAsia="zh-CN"/>
              </w:rPr>
              <w:t>六</w:t>
            </w:r>
            <w:r>
              <w:rPr>
                <w:rFonts w:hint="default"/>
                <w:b/>
                <w:bCs/>
                <w:color w:val="auto"/>
              </w:rPr>
              <w:t>、</w:t>
            </w:r>
            <w:r>
              <w:rPr>
                <w:rFonts w:hint="default"/>
                <w:b/>
                <w:bCs/>
                <w:color w:val="auto"/>
                <w:lang w:eastAsia="zh-CN"/>
              </w:rPr>
              <w:t>项目给排水</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1、给水</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①锅炉用水</w:t>
            </w:r>
          </w:p>
          <w:p>
            <w:pPr>
              <w:bidi w:val="0"/>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根据建设单位提供资料，本项目设置1</w:t>
            </w:r>
            <w:r>
              <w:rPr>
                <w:rFonts w:hint="eastAsia" w:cs="Times New Roman"/>
                <w:color w:val="auto"/>
                <w:sz w:val="24"/>
                <w:szCs w:val="28"/>
                <w:lang w:val="en-US" w:eastAsia="zh-CN"/>
              </w:rPr>
              <w:t>台</w:t>
            </w:r>
            <w:r>
              <w:rPr>
                <w:rFonts w:hint="default" w:ascii="Times New Roman" w:hAnsi="Times New Roman" w:eastAsia="宋体" w:cs="Times New Roman"/>
                <w:color w:val="auto"/>
                <w:sz w:val="24"/>
                <w:szCs w:val="28"/>
                <w:lang w:val="en-US" w:eastAsia="zh-CN"/>
              </w:rPr>
              <w:t>1t/h的燃气蒸汽锅炉，平均每天用水量约</w:t>
            </w:r>
            <w:r>
              <w:rPr>
                <w:rFonts w:hint="eastAsia" w:cs="Times New Roman"/>
                <w:color w:val="auto"/>
                <w:sz w:val="24"/>
                <w:szCs w:val="28"/>
                <w:lang w:val="en-US" w:eastAsia="zh-CN"/>
              </w:rPr>
              <w:t>4</w:t>
            </w:r>
            <w:r>
              <w:rPr>
                <w:rFonts w:hint="default" w:ascii="Times New Roman" w:hAnsi="Times New Roman" w:eastAsia="宋体" w:cs="Times New Roman"/>
                <w:color w:val="auto"/>
                <w:sz w:val="24"/>
                <w:szCs w:val="28"/>
                <w:lang w:val="en-US" w:eastAsia="zh-CN"/>
              </w:rPr>
              <w:t>m</w:t>
            </w:r>
            <w:r>
              <w:rPr>
                <w:rFonts w:hint="default" w:ascii="Times New Roman" w:hAnsi="Times New Roman" w:eastAsia="宋体" w:cs="Times New Roman"/>
                <w:color w:val="auto"/>
                <w:sz w:val="24"/>
                <w:szCs w:val="28"/>
                <w:vertAlign w:val="superscript"/>
                <w:lang w:val="en-US" w:eastAsia="zh-CN"/>
              </w:rPr>
              <w:t>3</w:t>
            </w:r>
            <w:r>
              <w:rPr>
                <w:rFonts w:hint="default" w:ascii="Times New Roman" w:hAnsi="Times New Roman" w:eastAsia="宋体" w:cs="Times New Roman"/>
                <w:color w:val="auto"/>
                <w:sz w:val="24"/>
                <w:szCs w:val="28"/>
                <w:lang w:val="en-US" w:eastAsia="zh-CN"/>
              </w:rPr>
              <w:t>/d。锅炉用水为软化水，项目利用离子交换树脂进行软水制备，制备效率约80%，则锅炉用新鲜水为</w:t>
            </w:r>
            <w:r>
              <w:rPr>
                <w:rFonts w:hint="eastAsia" w:cs="Times New Roman"/>
                <w:color w:val="auto"/>
                <w:sz w:val="24"/>
                <w:szCs w:val="28"/>
                <w:lang w:val="en-US" w:eastAsia="zh-CN"/>
              </w:rPr>
              <w:t>1500</w:t>
            </w:r>
            <w:r>
              <w:rPr>
                <w:rFonts w:hint="default" w:ascii="Times New Roman" w:hAnsi="Times New Roman" w:eastAsia="宋体" w:cs="Times New Roman"/>
                <w:color w:val="auto"/>
                <w:sz w:val="24"/>
                <w:szCs w:val="28"/>
                <w:lang w:val="en-US" w:eastAsia="zh-CN"/>
              </w:rPr>
              <w:t>m</w:t>
            </w:r>
            <w:r>
              <w:rPr>
                <w:rFonts w:hint="default" w:ascii="Times New Roman" w:hAnsi="Times New Roman" w:eastAsia="宋体" w:cs="Times New Roman"/>
                <w:color w:val="auto"/>
                <w:sz w:val="24"/>
                <w:szCs w:val="28"/>
                <w:vertAlign w:val="superscript"/>
                <w:lang w:val="en-US" w:eastAsia="zh-CN"/>
              </w:rPr>
              <w:t>3</w:t>
            </w:r>
            <w:r>
              <w:rPr>
                <w:rFonts w:hint="default" w:ascii="Times New Roman" w:hAnsi="Times New Roman" w:eastAsia="宋体" w:cs="Times New Roman"/>
                <w:color w:val="auto"/>
                <w:sz w:val="24"/>
                <w:szCs w:val="28"/>
                <w:lang w:val="en-US" w:eastAsia="zh-CN"/>
              </w:rPr>
              <w:t>/a，</w:t>
            </w:r>
            <w:r>
              <w:rPr>
                <w:rFonts w:hint="eastAsia" w:cs="Times New Roman"/>
                <w:color w:val="auto"/>
                <w:sz w:val="24"/>
                <w:szCs w:val="28"/>
                <w:lang w:val="en-US" w:eastAsia="zh-CN"/>
              </w:rPr>
              <w:t>5</w:t>
            </w:r>
            <w:r>
              <w:rPr>
                <w:rFonts w:hint="default" w:ascii="Times New Roman" w:hAnsi="Times New Roman" w:eastAsia="宋体" w:cs="Times New Roman"/>
                <w:color w:val="auto"/>
                <w:sz w:val="24"/>
                <w:szCs w:val="28"/>
                <w:lang w:val="en-US" w:eastAsia="zh-CN"/>
              </w:rPr>
              <w:t>m</w:t>
            </w:r>
            <w:r>
              <w:rPr>
                <w:rFonts w:hint="default" w:ascii="Times New Roman" w:hAnsi="Times New Roman" w:eastAsia="宋体" w:cs="Times New Roman"/>
                <w:color w:val="auto"/>
                <w:sz w:val="24"/>
                <w:szCs w:val="28"/>
                <w:vertAlign w:val="superscript"/>
                <w:lang w:val="en-US" w:eastAsia="zh-CN"/>
              </w:rPr>
              <w:t>3</w:t>
            </w:r>
            <w:r>
              <w:rPr>
                <w:rFonts w:hint="default" w:ascii="Times New Roman" w:hAnsi="Times New Roman" w:eastAsia="宋体" w:cs="Times New Roman"/>
                <w:color w:val="auto"/>
                <w:sz w:val="24"/>
                <w:szCs w:val="28"/>
                <w:lang w:val="en-US" w:eastAsia="zh-CN"/>
              </w:rPr>
              <w:t>/d，软水制备产生的清净下水</w:t>
            </w:r>
            <w:r>
              <w:rPr>
                <w:rFonts w:hint="eastAsia" w:cs="Times New Roman"/>
                <w:color w:val="auto"/>
                <w:sz w:val="24"/>
                <w:szCs w:val="28"/>
                <w:lang w:val="en-US" w:eastAsia="zh-CN"/>
              </w:rPr>
              <w:t>300</w:t>
            </w:r>
            <w:r>
              <w:rPr>
                <w:rFonts w:hint="default" w:ascii="Times New Roman" w:hAnsi="Times New Roman" w:eastAsia="宋体" w:cs="Times New Roman"/>
                <w:color w:val="auto"/>
                <w:sz w:val="24"/>
                <w:szCs w:val="28"/>
                <w:lang w:val="en-US" w:eastAsia="zh-CN"/>
              </w:rPr>
              <w:t>m</w:t>
            </w:r>
            <w:r>
              <w:rPr>
                <w:rFonts w:hint="default" w:ascii="Times New Roman" w:hAnsi="Times New Roman" w:eastAsia="宋体" w:cs="Times New Roman"/>
                <w:color w:val="auto"/>
                <w:sz w:val="24"/>
                <w:szCs w:val="28"/>
                <w:vertAlign w:val="superscript"/>
                <w:lang w:val="en-US" w:eastAsia="zh-CN"/>
              </w:rPr>
              <w:t>3</w:t>
            </w:r>
            <w:r>
              <w:rPr>
                <w:rFonts w:hint="default" w:ascii="Times New Roman" w:hAnsi="Times New Roman" w:eastAsia="宋体" w:cs="Times New Roman"/>
                <w:color w:val="auto"/>
                <w:sz w:val="24"/>
                <w:szCs w:val="28"/>
                <w:lang w:val="en-US" w:eastAsia="zh-CN"/>
              </w:rPr>
              <w:t>/a，</w:t>
            </w:r>
            <w:r>
              <w:rPr>
                <w:rFonts w:hint="eastAsia" w:cs="Times New Roman"/>
                <w:color w:val="auto"/>
                <w:sz w:val="24"/>
                <w:szCs w:val="28"/>
                <w:lang w:val="en-US" w:eastAsia="zh-CN"/>
              </w:rPr>
              <w:t>1</w:t>
            </w:r>
            <w:r>
              <w:rPr>
                <w:rFonts w:hint="default" w:ascii="Times New Roman" w:hAnsi="Times New Roman" w:eastAsia="宋体" w:cs="Times New Roman"/>
                <w:color w:val="auto"/>
                <w:sz w:val="24"/>
                <w:szCs w:val="28"/>
                <w:lang w:val="en-US" w:eastAsia="zh-CN"/>
              </w:rPr>
              <w:t>m</w:t>
            </w:r>
            <w:r>
              <w:rPr>
                <w:rFonts w:hint="default" w:ascii="Times New Roman" w:hAnsi="Times New Roman" w:eastAsia="宋体" w:cs="Times New Roman"/>
                <w:color w:val="auto"/>
                <w:sz w:val="24"/>
                <w:szCs w:val="28"/>
                <w:vertAlign w:val="superscript"/>
                <w:lang w:val="en-US" w:eastAsia="zh-CN"/>
              </w:rPr>
              <w:t>3</w:t>
            </w:r>
            <w:r>
              <w:rPr>
                <w:rFonts w:hint="default" w:ascii="Times New Roman" w:hAnsi="Times New Roman" w:eastAsia="宋体" w:cs="Times New Roman"/>
                <w:color w:val="auto"/>
                <w:sz w:val="24"/>
                <w:szCs w:val="28"/>
                <w:lang w:val="en-US" w:eastAsia="zh-CN"/>
              </w:rPr>
              <w:t>/d，回用于车间清洗。</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②</w:t>
            </w:r>
            <w:r>
              <w:rPr>
                <w:rFonts w:hint="eastAsia" w:cs="Times New Roman"/>
                <w:lang w:val="en-US" w:eastAsia="zh-CN"/>
              </w:rPr>
              <w:t>调料包</w:t>
            </w:r>
            <w:r>
              <w:rPr>
                <w:rFonts w:hint="default" w:ascii="Times New Roman" w:hAnsi="Times New Roman" w:cs="Times New Roman"/>
                <w:lang w:val="en-US" w:eastAsia="zh-CN"/>
              </w:rPr>
              <w:t>调配用水</w:t>
            </w:r>
          </w:p>
          <w:p>
            <w:pPr>
              <w:bidi w:val="0"/>
              <w:rPr>
                <w:rFonts w:hint="default" w:ascii="Times New Roman" w:hAnsi="Times New Roman" w:eastAsia="宋体" w:cs="Times New Roman"/>
                <w:color w:val="auto"/>
                <w:szCs w:val="28"/>
                <w:lang w:val="en-US" w:eastAsia="zh-CN"/>
              </w:rPr>
            </w:pPr>
            <w:r>
              <w:rPr>
                <w:rFonts w:hint="default" w:ascii="Times New Roman" w:hAnsi="Times New Roman" w:cs="Times New Roman"/>
                <w:lang w:val="en-US" w:eastAsia="zh-CN"/>
              </w:rPr>
              <w:t>根据建设</w:t>
            </w:r>
            <w:r>
              <w:rPr>
                <w:rFonts w:hint="default" w:ascii="Times New Roman" w:hAnsi="Times New Roman" w:eastAsia="宋体" w:cs="Times New Roman"/>
                <w:color w:val="auto"/>
                <w:szCs w:val="28"/>
                <w:lang w:val="en-US" w:eastAsia="zh-CN"/>
              </w:rPr>
              <w:t>单位提供资料，</w:t>
            </w:r>
            <w:r>
              <w:rPr>
                <w:rFonts w:hint="eastAsia" w:cs="Times New Roman"/>
                <w:color w:val="auto"/>
                <w:szCs w:val="28"/>
                <w:lang w:val="en-US" w:eastAsia="zh-CN"/>
              </w:rPr>
              <w:t>调料包生产过程使用纯水，纯水占比约为70%，则扩建后该工序纯水总使用量为1056</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a</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3.52</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w:t>
            </w:r>
            <w:r>
              <w:rPr>
                <w:rFonts w:hint="eastAsia" w:cs="Times New Roman"/>
                <w:color w:val="auto"/>
                <w:szCs w:val="28"/>
                <w:lang w:val="en-US" w:eastAsia="zh-CN"/>
              </w:rPr>
              <w:t>。纯水采用</w:t>
            </w:r>
            <w:r>
              <w:rPr>
                <w:rFonts w:hint="default" w:ascii="Times New Roman" w:hAnsi="Times New Roman" w:eastAsia="宋体" w:cs="Times New Roman"/>
                <w:color w:val="auto"/>
                <w:szCs w:val="28"/>
                <w:lang w:val="en-US" w:eastAsia="zh-CN"/>
              </w:rPr>
              <w:t>三级反渗透设施</w:t>
            </w:r>
            <w:r>
              <w:rPr>
                <w:rFonts w:hint="eastAsia" w:cs="Times New Roman"/>
                <w:color w:val="auto"/>
                <w:szCs w:val="28"/>
                <w:lang w:val="en-US" w:eastAsia="zh-CN"/>
              </w:rPr>
              <w:t>制取，制水效率约为75%，因此调料包</w:t>
            </w:r>
            <w:r>
              <w:rPr>
                <w:rFonts w:hint="default" w:ascii="Times New Roman" w:hAnsi="Times New Roman" w:eastAsia="宋体" w:cs="Times New Roman"/>
                <w:color w:val="auto"/>
                <w:szCs w:val="28"/>
                <w:lang w:val="en-US" w:eastAsia="zh-CN"/>
              </w:rPr>
              <w:t>调配用新鲜水为</w:t>
            </w:r>
            <w:r>
              <w:rPr>
                <w:rFonts w:hint="eastAsia" w:cs="Times New Roman"/>
                <w:color w:val="auto"/>
                <w:szCs w:val="28"/>
                <w:lang w:val="en-US" w:eastAsia="zh-CN"/>
              </w:rPr>
              <w:t>1408</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/a，</w:t>
            </w:r>
            <w:r>
              <w:rPr>
                <w:rFonts w:hint="eastAsia" w:cs="Times New Roman"/>
                <w:color w:val="auto"/>
                <w:szCs w:val="28"/>
                <w:lang w:val="en-US" w:eastAsia="zh-CN"/>
              </w:rPr>
              <w:t>4.693</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w:t>
            </w:r>
            <w:r>
              <w:rPr>
                <w:rFonts w:hint="eastAsia" w:cs="Times New Roman"/>
                <w:color w:val="auto"/>
                <w:szCs w:val="28"/>
                <w:lang w:val="en-US" w:eastAsia="zh-CN"/>
              </w:rPr>
              <w:t>。纯水制备过程</w:t>
            </w:r>
            <w:r>
              <w:rPr>
                <w:rFonts w:hint="default" w:ascii="Times New Roman" w:hAnsi="Times New Roman" w:eastAsia="宋体" w:cs="Times New Roman"/>
                <w:color w:val="auto"/>
                <w:szCs w:val="28"/>
                <w:lang w:val="en-US" w:eastAsia="zh-CN"/>
              </w:rPr>
              <w:t>产生的清净下水</w:t>
            </w:r>
            <w:r>
              <w:rPr>
                <w:rFonts w:hint="eastAsia" w:cs="Times New Roman"/>
                <w:color w:val="auto"/>
                <w:szCs w:val="28"/>
                <w:lang w:val="en-US" w:eastAsia="zh-CN"/>
              </w:rPr>
              <w:t>352</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/a，</w:t>
            </w:r>
            <w:r>
              <w:rPr>
                <w:rFonts w:hint="eastAsia" w:cs="Times New Roman"/>
                <w:color w:val="auto"/>
                <w:szCs w:val="28"/>
                <w:lang w:val="en-US" w:eastAsia="zh-CN"/>
              </w:rPr>
              <w:t>1.173</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/d，回用于车间清洗。</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③</w:t>
            </w:r>
            <w:r>
              <w:rPr>
                <w:rFonts w:hint="eastAsia" w:cs="Times New Roman"/>
                <w:lang w:val="en-US" w:eastAsia="zh-CN"/>
              </w:rPr>
              <w:t>面筋</w:t>
            </w:r>
            <w:r>
              <w:rPr>
                <w:rFonts w:hint="default" w:ascii="Times New Roman" w:hAnsi="Times New Roman" w:cs="Times New Roman"/>
                <w:lang w:val="en-US" w:eastAsia="zh-CN"/>
              </w:rPr>
              <w:t>蒸煮用水</w:t>
            </w:r>
          </w:p>
          <w:p>
            <w:pPr>
              <w:bidi w:val="0"/>
              <w:rPr>
                <w:rFonts w:hint="default" w:ascii="Times New Roman" w:hAnsi="Times New Roman" w:eastAsia="宋体" w:cs="Times New Roman"/>
                <w:color w:val="auto"/>
                <w:szCs w:val="28"/>
                <w:lang w:val="en-US" w:eastAsia="zh-CN"/>
              </w:rPr>
            </w:pPr>
            <w:r>
              <w:rPr>
                <w:rFonts w:hint="default" w:cs="Times New Roman"/>
                <w:color w:val="auto"/>
                <w:szCs w:val="28"/>
                <w:lang w:val="en-US" w:eastAsia="zh-CN"/>
              </w:rPr>
              <w:t>根据建设单位提供资料，项目利用蒸汽加热</w:t>
            </w:r>
            <w:r>
              <w:rPr>
                <w:rFonts w:hint="eastAsia" w:cs="Times New Roman"/>
                <w:color w:val="auto"/>
                <w:szCs w:val="28"/>
                <w:lang w:val="en-US" w:eastAsia="zh-CN"/>
              </w:rPr>
              <w:t>自来水</w:t>
            </w:r>
            <w:r>
              <w:rPr>
                <w:rFonts w:hint="default" w:cs="Times New Roman"/>
                <w:color w:val="auto"/>
                <w:szCs w:val="28"/>
                <w:lang w:val="en-US" w:eastAsia="zh-CN"/>
              </w:rPr>
              <w:t>进行面筋蒸煮，</w:t>
            </w:r>
            <w:r>
              <w:rPr>
                <w:rFonts w:hint="eastAsia" w:cs="Times New Roman"/>
                <w:color w:val="auto"/>
                <w:szCs w:val="28"/>
                <w:lang w:val="en-US" w:eastAsia="zh-CN"/>
              </w:rPr>
              <w:t>蒸煮后进行脱水，脱水后的浓水重复利用</w:t>
            </w:r>
            <w:r>
              <w:rPr>
                <w:rFonts w:hint="default" w:cs="Times New Roman"/>
                <w:color w:val="auto"/>
                <w:szCs w:val="28"/>
                <w:lang w:val="en-US" w:eastAsia="zh-CN"/>
              </w:rPr>
              <w:t>，</w:t>
            </w:r>
            <w:r>
              <w:rPr>
                <w:rFonts w:hint="eastAsia" w:cs="Times New Roman"/>
                <w:color w:val="auto"/>
                <w:szCs w:val="28"/>
                <w:lang w:val="en-US" w:eastAsia="zh-CN"/>
              </w:rPr>
              <w:t>约10天排一次废水。蒸煮过程生面筋含水率约50%，脱水后的熟面筋含水率约为60%，扩建后年产熟面筋360t，则需使用生面筋288t。蒸煮过程在蒸锅内加水，每天总用水量约为</w:t>
            </w:r>
            <w:r>
              <w:rPr>
                <w:rFonts w:hint="default" w:ascii="Times New Roman" w:hAnsi="Times New Roman" w:eastAsia="宋体" w:cs="Times New Roman"/>
                <w:color w:val="auto"/>
                <w:szCs w:val="28"/>
                <w:lang w:val="en-US" w:eastAsia="zh-CN"/>
              </w:rPr>
              <w:t>1.</w:t>
            </w:r>
            <w:r>
              <w:rPr>
                <w:rFonts w:hint="eastAsia" w:cs="Times New Roman"/>
                <w:color w:val="auto"/>
                <w:szCs w:val="28"/>
                <w:lang w:val="en-US" w:eastAsia="zh-CN"/>
              </w:rPr>
              <w:t>8</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w:t>
            </w:r>
            <w:r>
              <w:rPr>
                <w:rFonts w:hint="eastAsia" w:cs="Times New Roman"/>
                <w:color w:val="auto"/>
                <w:szCs w:val="28"/>
                <w:lang w:val="en-US" w:eastAsia="zh-CN"/>
              </w:rPr>
              <w:t>其中补充新水量约为0.8</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w:t>
            </w:r>
            <w:r>
              <w:rPr>
                <w:rFonts w:hint="eastAsia" w:cs="Times New Roman"/>
                <w:color w:val="auto"/>
                <w:szCs w:val="28"/>
                <w:lang w:val="en-US" w:eastAsia="zh-CN"/>
              </w:rPr>
              <w:t>，每次废水排放量为1</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eastAsia" w:cs="Times New Roman"/>
                <w:color w:val="auto"/>
                <w:szCs w:val="28"/>
                <w:lang w:val="en-US" w:eastAsia="zh-CN"/>
              </w:rPr>
              <w:t>，排入污水罐。经计算，新鲜用水量为0.9</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w:t>
            </w:r>
            <w:r>
              <w:rPr>
                <w:rFonts w:hint="eastAsia" w:cs="Times New Roman"/>
                <w:color w:val="auto"/>
                <w:szCs w:val="28"/>
                <w:lang w:val="en-US" w:eastAsia="zh-CN"/>
              </w:rPr>
              <w:t>，270</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w:t>
            </w:r>
            <w:r>
              <w:rPr>
                <w:rFonts w:hint="eastAsia" w:ascii="Times New Roman" w:hAnsi="Times New Roman" w:eastAsia="宋体" w:cs="Times New Roman"/>
                <w:color w:val="auto"/>
                <w:szCs w:val="28"/>
                <w:lang w:val="en-US" w:eastAsia="zh-CN"/>
              </w:rPr>
              <w:t>a。</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④</w:t>
            </w:r>
            <w:r>
              <w:rPr>
                <w:rFonts w:hint="eastAsia" w:cs="Times New Roman"/>
                <w:lang w:val="en-US" w:eastAsia="zh-CN"/>
              </w:rPr>
              <w:t>灭菌用水</w:t>
            </w:r>
          </w:p>
          <w:p>
            <w:pPr>
              <w:bidi w:val="0"/>
              <w:rPr>
                <w:rFonts w:hint="default" w:ascii="Times New Roman" w:hAnsi="Times New Roman" w:cs="Times New Roman"/>
                <w:lang w:val="en-US" w:eastAsia="zh-CN"/>
              </w:rPr>
            </w:pPr>
            <w:r>
              <w:rPr>
                <w:rFonts w:hint="default" w:cs="Times New Roman"/>
                <w:color w:val="auto"/>
                <w:szCs w:val="28"/>
                <w:lang w:val="en-US" w:eastAsia="zh-CN"/>
              </w:rPr>
              <w:t>根据建设单位提供资料，</w:t>
            </w:r>
            <w:r>
              <w:rPr>
                <w:rFonts w:hint="eastAsia" w:cs="Times New Roman"/>
                <w:lang w:val="en-US" w:eastAsia="zh-CN"/>
              </w:rPr>
              <w:t>巴氏灭菌过程需使用水，每5天换一次水，每次排2.5</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eastAsia" w:cs="Times New Roman"/>
                <w:color w:val="auto"/>
                <w:szCs w:val="28"/>
                <w:lang w:val="en-US" w:eastAsia="zh-CN"/>
              </w:rPr>
              <w:t>，平均每天补水量为</w:t>
            </w:r>
            <w:r>
              <w:rPr>
                <w:rFonts w:hint="eastAsia" w:cs="Times New Roman"/>
                <w:lang w:val="en-US" w:eastAsia="zh-CN"/>
              </w:rPr>
              <w:t>0.5</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eastAsia" w:cs="Times New Roman"/>
                <w:color w:val="auto"/>
                <w:szCs w:val="28"/>
                <w:lang w:val="en-US" w:eastAsia="zh-CN"/>
              </w:rPr>
              <w:t>，扩建后灭菌用水年补水量为150</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w:t>
            </w:r>
            <w:r>
              <w:rPr>
                <w:rFonts w:hint="eastAsia" w:ascii="Times New Roman" w:hAnsi="Times New Roman" w:eastAsia="宋体" w:cs="Times New Roman"/>
                <w:color w:val="auto"/>
                <w:szCs w:val="28"/>
                <w:lang w:val="en-US" w:eastAsia="zh-CN"/>
              </w:rPr>
              <w:t>a，</w:t>
            </w:r>
            <w:r>
              <w:rPr>
                <w:rFonts w:hint="eastAsia" w:cs="Times New Roman"/>
                <w:color w:val="auto"/>
                <w:szCs w:val="28"/>
                <w:lang w:val="en-US" w:eastAsia="zh-CN"/>
              </w:rPr>
              <w:t>排入污水罐</w:t>
            </w:r>
            <w:r>
              <w:rPr>
                <w:rFonts w:hint="eastAsia" w:cs="Times New Roman"/>
                <w:lang w:val="en-US" w:eastAsia="zh-CN"/>
              </w:rPr>
              <w:t>。</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⑤设备清洗用水</w:t>
            </w:r>
          </w:p>
          <w:p>
            <w:pPr>
              <w:bidi w:val="0"/>
              <w:rPr>
                <w:rFonts w:hint="default" w:ascii="Times New Roman" w:hAnsi="Times New Roman" w:eastAsia="宋体" w:cs="Times New Roman"/>
                <w:color w:val="auto"/>
                <w:szCs w:val="28"/>
                <w:lang w:val="en-US" w:eastAsia="zh-CN"/>
              </w:rPr>
            </w:pPr>
            <w:r>
              <w:rPr>
                <w:rFonts w:hint="default" w:ascii="Times New Roman" w:hAnsi="Times New Roman" w:cs="Times New Roman"/>
                <w:lang w:val="en-US" w:eastAsia="zh-CN"/>
              </w:rPr>
              <w:t>根据建</w:t>
            </w:r>
            <w:r>
              <w:rPr>
                <w:rFonts w:hint="default" w:ascii="Times New Roman" w:hAnsi="Times New Roman" w:eastAsia="宋体" w:cs="Times New Roman"/>
                <w:color w:val="auto"/>
                <w:szCs w:val="28"/>
                <w:lang w:val="en-US" w:eastAsia="zh-CN"/>
              </w:rPr>
              <w:t>设单位提供资料，项目发酵罐、灌装机、包装机等设备</w:t>
            </w:r>
            <w:r>
              <w:rPr>
                <w:rFonts w:hint="eastAsia" w:cs="Times New Roman"/>
                <w:color w:val="auto"/>
                <w:szCs w:val="28"/>
                <w:lang w:val="en-US" w:eastAsia="zh-CN"/>
              </w:rPr>
              <w:t>使用自来水</w:t>
            </w:r>
            <w:r>
              <w:rPr>
                <w:rFonts w:hint="default" w:ascii="Times New Roman" w:hAnsi="Times New Roman" w:eastAsia="宋体" w:cs="Times New Roman"/>
                <w:color w:val="auto"/>
                <w:szCs w:val="28"/>
                <w:lang w:val="en-US" w:eastAsia="zh-CN"/>
              </w:rPr>
              <w:t>进行清洗，清洗用水量约300m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/a，1m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/d，废水量约240m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w:t>
            </w:r>
            <w:r>
              <w:rPr>
                <w:rFonts w:hint="eastAsia" w:cs="Times New Roman"/>
                <w:color w:val="auto"/>
                <w:szCs w:val="28"/>
                <w:lang w:val="en-US" w:eastAsia="zh-CN"/>
              </w:rPr>
              <w:t>0.8</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6 \* GB3 \* MERGEFORMAT </w:instrText>
            </w:r>
            <w:r>
              <w:rPr>
                <w:rFonts w:hint="default" w:ascii="Times New Roman" w:hAnsi="Times New Roman" w:cs="Times New Roman"/>
                <w:lang w:val="en-US" w:eastAsia="zh-CN"/>
              </w:rPr>
              <w:fldChar w:fldCharType="separate"/>
            </w:r>
            <w:r>
              <w:t>⑥</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车间清洗用水</w:t>
            </w:r>
          </w:p>
          <w:p>
            <w:pPr>
              <w:bidi w:val="0"/>
              <w:rPr>
                <w:rFonts w:hint="default" w:ascii="Times New Roman" w:hAnsi="Times New Roman" w:eastAsia="宋体" w:cs="Times New Roman"/>
                <w:color w:val="auto"/>
                <w:szCs w:val="28"/>
                <w:lang w:val="en-US" w:eastAsia="zh-CN"/>
              </w:rPr>
            </w:pPr>
            <w:r>
              <w:rPr>
                <w:rFonts w:hint="default" w:ascii="Times New Roman" w:hAnsi="Times New Roman" w:cs="Times New Roman"/>
                <w:lang w:val="en-US" w:eastAsia="zh-CN"/>
              </w:rPr>
              <w:t>根据建设</w:t>
            </w:r>
            <w:r>
              <w:rPr>
                <w:rFonts w:hint="default" w:ascii="Times New Roman" w:hAnsi="Times New Roman" w:eastAsia="宋体" w:cs="Times New Roman"/>
                <w:color w:val="auto"/>
                <w:szCs w:val="28"/>
                <w:lang w:val="en-US" w:eastAsia="zh-CN"/>
              </w:rPr>
              <w:t>单位提供资料，本项目设置1座2层生产车间，每天对车间地面进行清洗，</w:t>
            </w:r>
            <w:r>
              <w:rPr>
                <w:rFonts w:hint="eastAsia" w:cs="Times New Roman"/>
                <w:color w:val="auto"/>
                <w:szCs w:val="28"/>
                <w:lang w:val="en-US" w:eastAsia="zh-CN"/>
              </w:rPr>
              <w:t>清洗</w:t>
            </w:r>
            <w:r>
              <w:rPr>
                <w:rFonts w:hint="default" w:ascii="Times New Roman" w:hAnsi="Times New Roman" w:eastAsia="宋体" w:cs="Times New Roman"/>
                <w:color w:val="auto"/>
                <w:szCs w:val="28"/>
                <w:lang w:val="en-US" w:eastAsia="zh-CN"/>
              </w:rPr>
              <w:t>面积约</w:t>
            </w:r>
            <w:r>
              <w:rPr>
                <w:rFonts w:hint="eastAsia" w:ascii="Times New Roman" w:hAnsi="Times New Roman" w:eastAsia="宋体" w:cs="Times New Roman"/>
                <w:color w:val="auto"/>
                <w:szCs w:val="28"/>
                <w:lang w:val="en-US" w:eastAsia="zh-CN"/>
              </w:rPr>
              <w:t>4</w:t>
            </w:r>
            <w:r>
              <w:rPr>
                <w:rFonts w:hint="default" w:ascii="Times New Roman" w:hAnsi="Times New Roman" w:eastAsia="宋体" w:cs="Times New Roman"/>
                <w:color w:val="auto"/>
                <w:szCs w:val="28"/>
                <w:lang w:val="en-US" w:eastAsia="zh-CN"/>
              </w:rPr>
              <w:t>000m</w:t>
            </w:r>
            <w:r>
              <w:rPr>
                <w:rFonts w:hint="default" w:ascii="Times New Roman" w:hAnsi="Times New Roman" w:eastAsia="宋体" w:cs="Times New Roman"/>
                <w:color w:val="auto"/>
                <w:szCs w:val="28"/>
                <w:vertAlign w:val="superscript"/>
                <w:lang w:val="en-US" w:eastAsia="zh-CN"/>
              </w:rPr>
              <w:t>2</w:t>
            </w:r>
            <w:r>
              <w:rPr>
                <w:rFonts w:hint="default" w:ascii="Times New Roman" w:hAnsi="Times New Roman" w:eastAsia="宋体" w:cs="Times New Roman"/>
                <w:color w:val="auto"/>
                <w:szCs w:val="28"/>
                <w:lang w:val="en-US" w:eastAsia="zh-CN"/>
              </w:rPr>
              <w:t>，清洗用水量0.6L/（m</w:t>
            </w:r>
            <w:r>
              <w:rPr>
                <w:rFonts w:hint="default" w:ascii="Times New Roman" w:hAnsi="Times New Roman" w:eastAsia="宋体" w:cs="Times New Roman"/>
                <w:color w:val="auto"/>
                <w:szCs w:val="28"/>
                <w:vertAlign w:val="superscript"/>
                <w:lang w:val="en-US" w:eastAsia="zh-CN"/>
              </w:rPr>
              <w:t>2</w:t>
            </w:r>
            <w:r>
              <w:rPr>
                <w:rFonts w:hint="default" w:ascii="Times New Roman" w:hAnsi="Times New Roman" w:eastAsia="宋体" w:cs="Times New Roman"/>
                <w:color w:val="auto"/>
                <w:szCs w:val="24"/>
                <w:lang w:val="en-US" w:eastAsia="zh-CN"/>
              </w:rPr>
              <w:t>·</w:t>
            </w:r>
            <w:r>
              <w:rPr>
                <w:rFonts w:hint="default" w:ascii="Times New Roman" w:hAnsi="Times New Roman" w:eastAsia="宋体" w:cs="Times New Roman"/>
                <w:color w:val="auto"/>
                <w:szCs w:val="28"/>
                <w:lang w:val="en-US" w:eastAsia="zh-CN"/>
              </w:rPr>
              <w:t>d），</w:t>
            </w:r>
            <w:r>
              <w:rPr>
                <w:rFonts w:hint="eastAsia" w:cs="Times New Roman"/>
                <w:color w:val="auto"/>
                <w:szCs w:val="28"/>
                <w:lang w:val="en-US" w:eastAsia="zh-CN"/>
              </w:rPr>
              <w:t>经计算用水量为2.4</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w:t>
            </w:r>
            <w:r>
              <w:rPr>
                <w:rFonts w:hint="eastAsia" w:ascii="Times New Roman" w:hAnsi="Times New Roman" w:eastAsia="宋体" w:cs="Times New Roman"/>
                <w:color w:val="auto"/>
                <w:szCs w:val="28"/>
                <w:lang w:val="en-US" w:eastAsia="zh-CN"/>
              </w:rPr>
              <w:t>720</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/a。车间清洗用水采用锅炉软水制备及纯水制备产生的清净下水，合计</w:t>
            </w:r>
            <w:r>
              <w:rPr>
                <w:rFonts w:hint="eastAsia" w:cs="Times New Roman"/>
                <w:color w:val="auto"/>
                <w:szCs w:val="28"/>
                <w:lang w:val="en-US" w:eastAsia="zh-CN"/>
              </w:rPr>
              <w:t>68</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a</w:t>
            </w:r>
            <w:r>
              <w:rPr>
                <w:rFonts w:hint="default" w:ascii="Times New Roman" w:hAnsi="Times New Roman" w:eastAsia="宋体" w:cs="Times New Roman"/>
                <w:color w:val="auto"/>
                <w:szCs w:val="28"/>
                <w:lang w:val="en-US" w:eastAsia="zh-CN"/>
              </w:rPr>
              <w:t>，另取用新鲜水0.82m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/d，246m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/a。</w:t>
            </w:r>
          </w:p>
          <w:p>
            <w:pPr>
              <w:bidi w:val="0"/>
              <w:rPr>
                <w:rFonts w:hint="default"/>
                <w:color w:val="auto"/>
              </w:rPr>
            </w:pPr>
            <w:r>
              <w:rPr>
                <w:rFonts w:hint="eastAsia"/>
                <w:color w:val="auto"/>
                <w:lang w:val="en-US" w:eastAsia="zh-CN"/>
              </w:rPr>
              <w:t>2、</w:t>
            </w:r>
            <w:r>
              <w:rPr>
                <w:rFonts w:hint="default"/>
                <w:color w:val="auto"/>
              </w:rPr>
              <w:t>排水</w:t>
            </w:r>
          </w:p>
          <w:p>
            <w:pPr>
              <w:bidi w:val="0"/>
              <w:rPr>
                <w:rFonts w:hint="default"/>
                <w:color w:val="auto"/>
                <w:lang w:val="en-US" w:eastAsia="zh-CN"/>
              </w:rPr>
            </w:pPr>
            <w:r>
              <w:rPr>
                <w:rFonts w:hint="eastAsia"/>
                <w:color w:val="auto"/>
                <w:lang w:val="en-US" w:eastAsia="zh-CN"/>
              </w:rPr>
              <w:t>锅炉软水制备废水产生量为</w:t>
            </w:r>
            <w:r>
              <w:rPr>
                <w:rFonts w:hint="eastAsia" w:cs="Times New Roman"/>
                <w:color w:val="auto"/>
                <w:szCs w:val="28"/>
                <w:lang w:val="en-US" w:eastAsia="zh-CN"/>
              </w:rPr>
              <w:t>300</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a</w:t>
            </w:r>
            <w:r>
              <w:rPr>
                <w:rFonts w:hint="default" w:ascii="Times New Roman" w:hAnsi="Times New Roman" w:eastAsia="宋体" w:cs="Times New Roman"/>
                <w:color w:val="auto"/>
                <w:szCs w:val="28"/>
                <w:lang w:val="en-US" w:eastAsia="zh-CN"/>
              </w:rPr>
              <w:t>，</w:t>
            </w:r>
            <w:r>
              <w:rPr>
                <w:rFonts w:hint="eastAsia"/>
                <w:color w:val="auto"/>
                <w:lang w:val="en-US" w:eastAsia="zh-CN"/>
              </w:rPr>
              <w:t>用于车间清洗；蒸汽锅炉中蒸汽使用后无废水产生；调料包纯水制备废水产生量为</w:t>
            </w:r>
            <w:r>
              <w:rPr>
                <w:rFonts w:hint="eastAsia" w:cs="Times New Roman"/>
                <w:color w:val="auto"/>
                <w:szCs w:val="28"/>
                <w:lang w:val="en-US" w:eastAsia="zh-CN"/>
              </w:rPr>
              <w:t>352</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a</w:t>
            </w:r>
            <w:r>
              <w:rPr>
                <w:rFonts w:hint="default" w:ascii="Times New Roman" w:hAnsi="Times New Roman" w:eastAsia="宋体" w:cs="Times New Roman"/>
                <w:color w:val="auto"/>
                <w:szCs w:val="28"/>
                <w:lang w:val="en-US" w:eastAsia="zh-CN"/>
              </w:rPr>
              <w:t>，</w:t>
            </w:r>
            <w:r>
              <w:rPr>
                <w:rFonts w:hint="eastAsia"/>
                <w:color w:val="auto"/>
                <w:lang w:val="en-US" w:eastAsia="zh-CN"/>
              </w:rPr>
              <w:t>用于车间清洗；设备清洗废水</w:t>
            </w:r>
            <w:r>
              <w:rPr>
                <w:rFonts w:hint="eastAsia" w:cs="Times New Roman"/>
                <w:color w:val="auto"/>
                <w:szCs w:val="28"/>
                <w:lang w:val="en-US" w:eastAsia="zh-CN"/>
              </w:rPr>
              <w:t>产生量为240</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a，排入污水罐后定期拉运至岐山大源污水处理厂；车间清洗废水产生量为576</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3</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a</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排入污水罐后定期拉运至岐山大源污水处理厂；面筋蒸煮排水量为30m</w:t>
            </w:r>
            <w:r>
              <w:rPr>
                <w:rFonts w:hint="eastAsia" w:cs="Times New Roman"/>
                <w:color w:val="auto"/>
                <w:szCs w:val="28"/>
                <w:vertAlign w:val="superscript"/>
                <w:lang w:val="en-US" w:eastAsia="zh-CN"/>
              </w:rPr>
              <w:t>3</w:t>
            </w:r>
            <w:r>
              <w:rPr>
                <w:rFonts w:hint="eastAsia" w:cs="Times New Roman"/>
                <w:color w:val="auto"/>
                <w:szCs w:val="28"/>
                <w:lang w:val="en-US" w:eastAsia="zh-CN"/>
              </w:rPr>
              <w:t>/a</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排入污水罐后定期拉运至岐山大源污水处理厂；灭菌废水量为150m</w:t>
            </w:r>
            <w:r>
              <w:rPr>
                <w:rFonts w:hint="eastAsia" w:cs="Times New Roman"/>
                <w:color w:val="auto"/>
                <w:szCs w:val="28"/>
                <w:vertAlign w:val="superscript"/>
                <w:lang w:val="en-US" w:eastAsia="zh-CN"/>
              </w:rPr>
              <w:t>3</w:t>
            </w:r>
            <w:r>
              <w:rPr>
                <w:rFonts w:hint="eastAsia" w:cs="Times New Roman"/>
                <w:color w:val="auto"/>
                <w:szCs w:val="28"/>
                <w:lang w:val="en-US" w:eastAsia="zh-CN"/>
              </w:rPr>
              <w:t>/a</w:t>
            </w:r>
            <w:r>
              <w:rPr>
                <w:rFonts w:hint="default" w:ascii="Times New Roman" w:hAnsi="Times New Roman" w:eastAsia="宋体" w:cs="Times New Roman"/>
                <w:color w:val="auto"/>
                <w:szCs w:val="28"/>
                <w:lang w:val="en-US" w:eastAsia="zh-CN"/>
              </w:rPr>
              <w:t>，</w:t>
            </w:r>
            <w:r>
              <w:rPr>
                <w:rFonts w:hint="eastAsia" w:cs="Times New Roman"/>
                <w:color w:val="auto"/>
                <w:szCs w:val="28"/>
                <w:lang w:val="en-US" w:eastAsia="zh-CN"/>
              </w:rPr>
              <w:t>排入污水罐后定期拉运至岐山大源污水处理厂。</w:t>
            </w:r>
          </w:p>
          <w:p>
            <w:pPr>
              <w:pStyle w:val="81"/>
              <w:rPr>
                <w:rFonts w:hint="eastAsia" w:eastAsia="宋体"/>
                <w:color w:val="auto"/>
                <w:lang w:eastAsia="zh-CN"/>
              </w:rPr>
            </w:pPr>
            <w:r>
              <w:rPr>
                <w:color w:val="auto"/>
              </w:rPr>
              <w:t>表2-</w:t>
            </w:r>
            <w:r>
              <w:rPr>
                <w:rFonts w:hint="eastAsia"/>
                <w:color w:val="auto"/>
                <w:lang w:val="en-US" w:eastAsia="zh-CN"/>
              </w:rPr>
              <w:t>5</w:t>
            </w:r>
            <w:r>
              <w:rPr>
                <w:color w:val="auto"/>
              </w:rPr>
              <w:t xml:space="preserve">   项目</w:t>
            </w:r>
            <w:r>
              <w:rPr>
                <w:rFonts w:hint="eastAsia"/>
                <w:color w:val="auto"/>
                <w:lang w:val="en-US" w:eastAsia="zh-CN"/>
              </w:rPr>
              <w:t>扩建后</w:t>
            </w:r>
            <w:r>
              <w:rPr>
                <w:color w:val="auto"/>
              </w:rPr>
              <w:t>用水量一览表</w:t>
            </w:r>
            <w:r>
              <w:rPr>
                <w:rFonts w:hint="eastAsia"/>
                <w:color w:val="auto"/>
              </w:rPr>
              <w:t xml:space="preserve">   单位：</w:t>
            </w:r>
            <w:r>
              <w:rPr>
                <w:color w:val="auto"/>
              </w:rPr>
              <w:t>m³/</w:t>
            </w:r>
            <w:r>
              <w:rPr>
                <w:rFonts w:hint="eastAsia"/>
                <w:color w:val="auto"/>
                <w:lang w:val="en-US" w:eastAsia="zh-CN"/>
              </w:rPr>
              <w:t>a</w:t>
            </w:r>
          </w:p>
          <w:tbl>
            <w:tblPr>
              <w:tblStyle w:val="30"/>
              <w:tblW w:w="80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840"/>
              <w:gridCol w:w="780"/>
              <w:gridCol w:w="840"/>
              <w:gridCol w:w="825"/>
              <w:gridCol w:w="885"/>
              <w:gridCol w:w="1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7" w:hRule="atLeast"/>
                <w:jc w:val="center"/>
              </w:trPr>
              <w:tc>
                <w:tcPr>
                  <w:tcW w:w="1928" w:type="dxa"/>
                  <w:tcBorders>
                    <w:tl2br w:val="nil"/>
                    <w:tr2bl w:val="nil"/>
                  </w:tcBorders>
                  <w:vAlign w:val="center"/>
                </w:tcPr>
                <w:p>
                  <w:pPr>
                    <w:pStyle w:val="35"/>
                    <w:bidi w:val="0"/>
                    <w:rPr>
                      <w:rFonts w:hint="default"/>
                      <w:lang w:val="en-US" w:eastAsia="zh-CN"/>
                    </w:rPr>
                  </w:pPr>
                  <w:r>
                    <w:rPr>
                      <w:rFonts w:hint="default"/>
                    </w:rPr>
                    <w:t>用水项目</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新鲜</w:t>
                  </w:r>
                  <w:r>
                    <w:rPr>
                      <w:rFonts w:hint="default"/>
                    </w:rPr>
                    <w:t>水量</w:t>
                  </w:r>
                </w:p>
              </w:tc>
              <w:tc>
                <w:tcPr>
                  <w:tcW w:w="780" w:type="dxa"/>
                  <w:tcBorders>
                    <w:tl2br w:val="nil"/>
                    <w:tr2bl w:val="nil"/>
                  </w:tcBorders>
                  <w:vAlign w:val="center"/>
                </w:tcPr>
                <w:p>
                  <w:pPr>
                    <w:pStyle w:val="35"/>
                    <w:bidi w:val="0"/>
                    <w:rPr>
                      <w:rFonts w:hint="default"/>
                      <w:lang w:val="en-US" w:eastAsia="zh-CN"/>
                    </w:rPr>
                  </w:pPr>
                  <w:r>
                    <w:rPr>
                      <w:rFonts w:hint="eastAsia"/>
                      <w:lang w:val="en-US" w:eastAsia="zh-CN"/>
                    </w:rPr>
                    <w:t>纯水量</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重复水量</w:t>
                  </w:r>
                </w:p>
              </w:tc>
              <w:tc>
                <w:tcPr>
                  <w:tcW w:w="825" w:type="dxa"/>
                  <w:tcBorders>
                    <w:tl2br w:val="nil"/>
                    <w:tr2bl w:val="nil"/>
                  </w:tcBorders>
                  <w:vAlign w:val="center"/>
                </w:tcPr>
                <w:p>
                  <w:pPr>
                    <w:pStyle w:val="35"/>
                    <w:bidi w:val="0"/>
                    <w:rPr>
                      <w:rFonts w:hint="default"/>
                      <w:lang w:val="en-US" w:eastAsia="zh-CN"/>
                    </w:rPr>
                  </w:pPr>
                  <w:r>
                    <w:rPr>
                      <w:rFonts w:hint="eastAsia"/>
                      <w:lang w:val="en-US" w:eastAsia="zh-CN"/>
                    </w:rPr>
                    <w:t>损耗量</w:t>
                  </w:r>
                </w:p>
              </w:tc>
              <w:tc>
                <w:tcPr>
                  <w:tcW w:w="885" w:type="dxa"/>
                  <w:tcBorders>
                    <w:tl2br w:val="nil"/>
                    <w:tr2bl w:val="nil"/>
                  </w:tcBorders>
                  <w:vAlign w:val="center"/>
                </w:tcPr>
                <w:p>
                  <w:pPr>
                    <w:pStyle w:val="35"/>
                    <w:bidi w:val="0"/>
                    <w:rPr>
                      <w:rFonts w:hint="default"/>
                      <w:lang w:val="en-US" w:eastAsia="zh-CN"/>
                    </w:rPr>
                  </w:pPr>
                  <w:r>
                    <w:rPr>
                      <w:rFonts w:hint="eastAsia"/>
                      <w:lang w:val="en-US" w:eastAsia="zh-CN"/>
                    </w:rPr>
                    <w:t>排放量</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排水去向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pPr>
                    <w:pStyle w:val="35"/>
                    <w:bidi w:val="0"/>
                    <w:rPr>
                      <w:rFonts w:hint="default"/>
                    </w:rPr>
                  </w:pPr>
                  <w:r>
                    <w:rPr>
                      <w:rFonts w:hint="default"/>
                      <w:lang w:val="en-US" w:eastAsia="zh-CN"/>
                    </w:rPr>
                    <w:t>锅炉用水</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1500</w:t>
                  </w:r>
                </w:p>
              </w:tc>
              <w:tc>
                <w:tcPr>
                  <w:tcW w:w="780" w:type="dxa"/>
                  <w:tcBorders>
                    <w:tl2br w:val="nil"/>
                    <w:tr2bl w:val="nil"/>
                  </w:tcBorders>
                  <w:vAlign w:val="center"/>
                </w:tcPr>
                <w:p>
                  <w:pPr>
                    <w:pStyle w:val="35"/>
                    <w:bidi w:val="0"/>
                    <w:rPr>
                      <w:rFonts w:hint="default"/>
                      <w:lang w:val="en-US" w:eastAsia="zh-CN"/>
                    </w:rPr>
                  </w:pPr>
                  <w:r>
                    <w:rPr>
                      <w:rFonts w:hint="eastAsia"/>
                      <w:lang w:val="en-US" w:eastAsia="zh-CN"/>
                    </w:rPr>
                    <w:t>1200</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w:t>
                  </w:r>
                </w:p>
              </w:tc>
              <w:tc>
                <w:tcPr>
                  <w:tcW w:w="825" w:type="dxa"/>
                  <w:tcBorders>
                    <w:tl2br w:val="nil"/>
                    <w:tr2bl w:val="nil"/>
                  </w:tcBorders>
                  <w:vAlign w:val="center"/>
                </w:tcPr>
                <w:p>
                  <w:pPr>
                    <w:pStyle w:val="35"/>
                    <w:bidi w:val="0"/>
                    <w:rPr>
                      <w:rFonts w:hint="default"/>
                      <w:lang w:val="en-US" w:eastAsia="zh-CN"/>
                    </w:rPr>
                  </w:pPr>
                  <w:r>
                    <w:rPr>
                      <w:rFonts w:hint="eastAsia"/>
                      <w:lang w:val="en-US" w:eastAsia="zh-CN"/>
                    </w:rPr>
                    <w:t>1200</w:t>
                  </w:r>
                </w:p>
              </w:tc>
              <w:tc>
                <w:tcPr>
                  <w:tcW w:w="885"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软水制备过程浓水用于车间清洗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pPr>
                    <w:pStyle w:val="35"/>
                    <w:bidi w:val="0"/>
                    <w:rPr>
                      <w:rFonts w:hint="default"/>
                    </w:rPr>
                  </w:pPr>
                  <w:r>
                    <w:rPr>
                      <w:rFonts w:hint="eastAsia"/>
                      <w:lang w:val="en-US" w:eastAsia="zh-CN"/>
                    </w:rPr>
                    <w:t>调料包</w:t>
                  </w:r>
                  <w:r>
                    <w:rPr>
                      <w:rFonts w:hint="default"/>
                      <w:lang w:val="en-US" w:eastAsia="zh-CN"/>
                    </w:rPr>
                    <w:t>调配用水</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1408</w:t>
                  </w:r>
                </w:p>
              </w:tc>
              <w:tc>
                <w:tcPr>
                  <w:tcW w:w="780" w:type="dxa"/>
                  <w:tcBorders>
                    <w:tl2br w:val="nil"/>
                    <w:tr2bl w:val="nil"/>
                  </w:tcBorders>
                  <w:vAlign w:val="center"/>
                </w:tcPr>
                <w:p>
                  <w:pPr>
                    <w:pStyle w:val="35"/>
                    <w:bidi w:val="0"/>
                    <w:rPr>
                      <w:rFonts w:hint="default"/>
                      <w:lang w:val="en-US" w:eastAsia="zh-CN"/>
                    </w:rPr>
                  </w:pPr>
                  <w:r>
                    <w:rPr>
                      <w:rFonts w:hint="eastAsia"/>
                      <w:lang w:val="en-US" w:eastAsia="zh-CN"/>
                    </w:rPr>
                    <w:t>1056</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w:t>
                  </w:r>
                </w:p>
              </w:tc>
              <w:tc>
                <w:tcPr>
                  <w:tcW w:w="825" w:type="dxa"/>
                  <w:tcBorders>
                    <w:tl2br w:val="nil"/>
                    <w:tr2bl w:val="nil"/>
                  </w:tcBorders>
                  <w:vAlign w:val="center"/>
                </w:tcPr>
                <w:p>
                  <w:pPr>
                    <w:pStyle w:val="35"/>
                    <w:bidi w:val="0"/>
                    <w:rPr>
                      <w:rFonts w:hint="default"/>
                      <w:lang w:val="en-US" w:eastAsia="zh-CN"/>
                    </w:rPr>
                  </w:pPr>
                  <w:r>
                    <w:rPr>
                      <w:rFonts w:hint="eastAsia"/>
                      <w:lang w:val="en-US" w:eastAsia="zh-CN"/>
                    </w:rPr>
                    <w:t>1056</w:t>
                  </w:r>
                </w:p>
              </w:tc>
              <w:tc>
                <w:tcPr>
                  <w:tcW w:w="885"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纯水制备过程浓水用于车间清洗，纯水进入产品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pPr>
                    <w:pStyle w:val="35"/>
                    <w:bidi w:val="0"/>
                    <w:rPr>
                      <w:rFonts w:hint="default"/>
                    </w:rPr>
                  </w:pPr>
                  <w:r>
                    <w:rPr>
                      <w:rFonts w:hint="eastAsia"/>
                      <w:lang w:val="en-US" w:eastAsia="zh-CN"/>
                    </w:rPr>
                    <w:t>面筋</w:t>
                  </w:r>
                  <w:r>
                    <w:rPr>
                      <w:rFonts w:hint="default"/>
                      <w:lang w:val="en-US" w:eastAsia="zh-CN"/>
                    </w:rPr>
                    <w:t>蒸煮用水</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270</w:t>
                  </w:r>
                </w:p>
              </w:tc>
              <w:tc>
                <w:tcPr>
                  <w:tcW w:w="780"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270</w:t>
                  </w:r>
                </w:p>
              </w:tc>
              <w:tc>
                <w:tcPr>
                  <w:tcW w:w="825" w:type="dxa"/>
                  <w:tcBorders>
                    <w:tl2br w:val="nil"/>
                    <w:tr2bl w:val="nil"/>
                  </w:tcBorders>
                  <w:vAlign w:val="center"/>
                </w:tcPr>
                <w:p>
                  <w:pPr>
                    <w:pStyle w:val="35"/>
                    <w:bidi w:val="0"/>
                    <w:rPr>
                      <w:rFonts w:hint="default"/>
                      <w:lang w:val="en-US" w:eastAsia="zh-CN"/>
                    </w:rPr>
                  </w:pPr>
                  <w:r>
                    <w:rPr>
                      <w:rFonts w:hint="eastAsia"/>
                      <w:lang w:val="en-US" w:eastAsia="zh-CN"/>
                    </w:rPr>
                    <w:t>168</w:t>
                  </w:r>
                </w:p>
              </w:tc>
              <w:tc>
                <w:tcPr>
                  <w:tcW w:w="885" w:type="dxa"/>
                  <w:tcBorders>
                    <w:tl2br w:val="nil"/>
                    <w:tr2bl w:val="nil"/>
                  </w:tcBorders>
                  <w:vAlign w:val="center"/>
                </w:tcPr>
                <w:p>
                  <w:pPr>
                    <w:pStyle w:val="35"/>
                    <w:bidi w:val="0"/>
                    <w:rPr>
                      <w:rFonts w:hint="default"/>
                      <w:lang w:val="en-US" w:eastAsia="zh-CN"/>
                    </w:rPr>
                  </w:pPr>
                  <w:r>
                    <w:rPr>
                      <w:rFonts w:hint="eastAsia"/>
                      <w:lang w:val="en-US" w:eastAsia="zh-CN"/>
                    </w:rPr>
                    <w:t>30</w:t>
                  </w:r>
                </w:p>
              </w:tc>
              <w:tc>
                <w:tcPr>
                  <w:tcW w:w="1918" w:type="dxa"/>
                  <w:vMerge w:val="restart"/>
                  <w:tcBorders>
                    <w:tl2br w:val="nil"/>
                    <w:tr2bl w:val="nil"/>
                  </w:tcBorders>
                  <w:vAlign w:val="center"/>
                </w:tcPr>
                <w:p>
                  <w:pPr>
                    <w:pStyle w:val="35"/>
                    <w:bidi w:val="0"/>
                    <w:rPr>
                      <w:rFonts w:hint="default"/>
                      <w:lang w:val="en-US" w:eastAsia="zh-CN"/>
                    </w:rPr>
                  </w:pPr>
                  <w:r>
                    <w:rPr>
                      <w:rFonts w:hint="eastAsia"/>
                      <w:lang w:val="en-US" w:eastAsia="zh-CN"/>
                    </w:rPr>
                    <w:t>拉运至岐山县大源污水处理厂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pPr>
                    <w:pStyle w:val="35"/>
                    <w:bidi w:val="0"/>
                    <w:rPr>
                      <w:rFonts w:hint="default" w:eastAsia="宋体"/>
                      <w:lang w:val="en-US" w:eastAsia="zh-CN"/>
                    </w:rPr>
                  </w:pPr>
                  <w:r>
                    <w:rPr>
                      <w:rFonts w:hint="eastAsia"/>
                      <w:lang w:val="en-US" w:eastAsia="zh-CN"/>
                    </w:rPr>
                    <w:t>灭菌用水</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150</w:t>
                  </w:r>
                </w:p>
              </w:tc>
              <w:tc>
                <w:tcPr>
                  <w:tcW w:w="780"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825"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885" w:type="dxa"/>
                  <w:tcBorders>
                    <w:tl2br w:val="nil"/>
                    <w:tr2bl w:val="nil"/>
                  </w:tcBorders>
                  <w:vAlign w:val="center"/>
                </w:tcPr>
                <w:p>
                  <w:pPr>
                    <w:pStyle w:val="35"/>
                    <w:bidi w:val="0"/>
                    <w:rPr>
                      <w:rFonts w:hint="default"/>
                      <w:lang w:val="en-US" w:eastAsia="zh-CN"/>
                    </w:rPr>
                  </w:pPr>
                  <w:r>
                    <w:rPr>
                      <w:rFonts w:hint="eastAsia"/>
                      <w:lang w:val="en-US" w:eastAsia="zh-CN"/>
                    </w:rPr>
                    <w:t>150</w:t>
                  </w:r>
                </w:p>
              </w:tc>
              <w:tc>
                <w:tcPr>
                  <w:tcW w:w="1918" w:type="dxa"/>
                  <w:vMerge w:val="continue"/>
                  <w:tcBorders>
                    <w:tl2br w:val="nil"/>
                    <w:tr2bl w:val="nil"/>
                  </w:tcBorders>
                  <w:vAlign w:val="center"/>
                </w:tcPr>
                <w:p>
                  <w:pPr>
                    <w:pStyle w:val="35"/>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28"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default"/>
                      <w:lang w:val="en-US" w:eastAsia="zh-CN"/>
                    </w:rPr>
                    <w:t>设备清洗用水</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300</w:t>
                  </w:r>
                </w:p>
              </w:tc>
              <w:tc>
                <w:tcPr>
                  <w:tcW w:w="780"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825" w:type="dxa"/>
                  <w:tcBorders>
                    <w:tl2br w:val="nil"/>
                    <w:tr2bl w:val="nil"/>
                  </w:tcBorders>
                  <w:vAlign w:val="center"/>
                </w:tcPr>
                <w:p>
                  <w:pPr>
                    <w:pStyle w:val="35"/>
                    <w:bidi w:val="0"/>
                    <w:rPr>
                      <w:rFonts w:hint="default"/>
                      <w:lang w:val="en-US" w:eastAsia="zh-CN"/>
                    </w:rPr>
                  </w:pPr>
                  <w:r>
                    <w:rPr>
                      <w:rFonts w:hint="eastAsia"/>
                      <w:lang w:val="en-US" w:eastAsia="zh-CN"/>
                    </w:rPr>
                    <w:t>60</w:t>
                  </w:r>
                </w:p>
              </w:tc>
              <w:tc>
                <w:tcPr>
                  <w:tcW w:w="885" w:type="dxa"/>
                  <w:tcBorders>
                    <w:tl2br w:val="nil"/>
                    <w:tr2bl w:val="nil"/>
                  </w:tcBorders>
                  <w:vAlign w:val="center"/>
                </w:tcPr>
                <w:p>
                  <w:pPr>
                    <w:pStyle w:val="35"/>
                    <w:bidi w:val="0"/>
                    <w:rPr>
                      <w:rFonts w:hint="default"/>
                      <w:lang w:val="en-US" w:eastAsia="zh-CN"/>
                    </w:rPr>
                  </w:pPr>
                  <w:r>
                    <w:rPr>
                      <w:rFonts w:hint="eastAsia"/>
                      <w:lang w:val="en-US" w:eastAsia="zh-CN"/>
                    </w:rPr>
                    <w:t>240</w:t>
                  </w:r>
                </w:p>
              </w:tc>
              <w:tc>
                <w:tcPr>
                  <w:tcW w:w="1918" w:type="dxa"/>
                  <w:vMerge w:val="continue"/>
                  <w:tcBorders>
                    <w:tl2br w:val="nil"/>
                    <w:tr2bl w:val="nil"/>
                  </w:tcBorders>
                  <w:vAlign w:val="center"/>
                </w:tcPr>
                <w:p>
                  <w:pPr>
                    <w:pStyle w:val="35"/>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28" w:type="dxa"/>
                  <w:tcBorders>
                    <w:tl2br w:val="nil"/>
                    <w:tr2bl w:val="nil"/>
                  </w:tcBorders>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000000"/>
                      <w:kern w:val="0"/>
                      <w:sz w:val="21"/>
                      <w:szCs w:val="21"/>
                      <w:lang w:val="en-US" w:eastAsia="zh-CN" w:bidi="ar-SA"/>
                    </w:rPr>
                  </w:pPr>
                  <w:r>
                    <w:rPr>
                      <w:rFonts w:hint="default"/>
                      <w:lang w:val="en-US" w:eastAsia="zh-CN"/>
                    </w:rPr>
                    <w:t>车间清洗用水</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68</w:t>
                  </w:r>
                </w:p>
              </w:tc>
              <w:tc>
                <w:tcPr>
                  <w:tcW w:w="780" w:type="dxa"/>
                  <w:tcBorders>
                    <w:tl2br w:val="nil"/>
                    <w:tr2bl w:val="nil"/>
                  </w:tcBorders>
                  <w:vAlign w:val="center"/>
                </w:tcPr>
                <w:p>
                  <w:pPr>
                    <w:pStyle w:val="35"/>
                    <w:bidi w:val="0"/>
                    <w:rPr>
                      <w:rFonts w:hint="default"/>
                      <w:lang w:val="en-US" w:eastAsia="zh-CN"/>
                    </w:rPr>
                  </w:pPr>
                  <w:r>
                    <w:rPr>
                      <w:rFonts w:hint="eastAsia"/>
                      <w:lang w:val="en-US" w:eastAsia="zh-CN"/>
                    </w:rPr>
                    <w:t>0</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652</w:t>
                  </w:r>
                </w:p>
              </w:tc>
              <w:tc>
                <w:tcPr>
                  <w:tcW w:w="825" w:type="dxa"/>
                  <w:tcBorders>
                    <w:tl2br w:val="nil"/>
                    <w:tr2bl w:val="nil"/>
                  </w:tcBorders>
                  <w:vAlign w:val="center"/>
                </w:tcPr>
                <w:p>
                  <w:pPr>
                    <w:pStyle w:val="35"/>
                    <w:bidi w:val="0"/>
                    <w:rPr>
                      <w:rFonts w:hint="default"/>
                      <w:lang w:val="en-US" w:eastAsia="zh-CN"/>
                    </w:rPr>
                  </w:pPr>
                  <w:r>
                    <w:rPr>
                      <w:rFonts w:hint="eastAsia"/>
                      <w:lang w:val="en-US" w:eastAsia="zh-CN"/>
                    </w:rPr>
                    <w:t>144</w:t>
                  </w:r>
                </w:p>
              </w:tc>
              <w:tc>
                <w:tcPr>
                  <w:tcW w:w="885" w:type="dxa"/>
                  <w:tcBorders>
                    <w:tl2br w:val="nil"/>
                    <w:tr2bl w:val="nil"/>
                  </w:tcBorders>
                  <w:vAlign w:val="center"/>
                </w:tcPr>
                <w:p>
                  <w:pPr>
                    <w:pStyle w:val="35"/>
                    <w:bidi w:val="0"/>
                    <w:rPr>
                      <w:rFonts w:hint="default"/>
                      <w:lang w:val="en-US" w:eastAsia="zh-CN"/>
                    </w:rPr>
                  </w:pPr>
                  <w:r>
                    <w:rPr>
                      <w:rFonts w:hint="eastAsia"/>
                      <w:lang w:val="en-US" w:eastAsia="zh-CN"/>
                    </w:rPr>
                    <w:t>576</w:t>
                  </w:r>
                </w:p>
              </w:tc>
              <w:tc>
                <w:tcPr>
                  <w:tcW w:w="1918" w:type="dxa"/>
                  <w:vMerge w:val="continue"/>
                  <w:tcBorders>
                    <w:tl2br w:val="nil"/>
                    <w:tr2bl w:val="nil"/>
                  </w:tcBorders>
                  <w:vAlign w:val="center"/>
                </w:tcPr>
                <w:p>
                  <w:pPr>
                    <w:pStyle w:val="35"/>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pPr>
                    <w:pStyle w:val="35"/>
                    <w:bidi w:val="0"/>
                    <w:rPr>
                      <w:rFonts w:hint="default"/>
                      <w:lang w:val="en-US" w:eastAsia="zh-CN"/>
                    </w:rPr>
                  </w:pPr>
                  <w:r>
                    <w:rPr>
                      <w:rFonts w:hint="default"/>
                      <w:lang w:val="en-US" w:eastAsia="zh-CN"/>
                    </w:rPr>
                    <w:t>合计</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3696</w:t>
                  </w:r>
                </w:p>
              </w:tc>
              <w:tc>
                <w:tcPr>
                  <w:tcW w:w="780" w:type="dxa"/>
                  <w:tcBorders>
                    <w:tl2br w:val="nil"/>
                    <w:tr2bl w:val="nil"/>
                  </w:tcBorders>
                  <w:vAlign w:val="center"/>
                </w:tcPr>
                <w:p>
                  <w:pPr>
                    <w:pStyle w:val="35"/>
                    <w:bidi w:val="0"/>
                    <w:rPr>
                      <w:rFonts w:hint="default"/>
                      <w:lang w:val="en-US" w:eastAsia="zh-CN"/>
                    </w:rPr>
                  </w:pPr>
                  <w:r>
                    <w:rPr>
                      <w:rFonts w:hint="eastAsia"/>
                      <w:lang w:val="en-US" w:eastAsia="zh-CN"/>
                    </w:rPr>
                    <w:t>2256</w:t>
                  </w:r>
                </w:p>
              </w:tc>
              <w:tc>
                <w:tcPr>
                  <w:tcW w:w="840" w:type="dxa"/>
                  <w:tcBorders>
                    <w:tl2br w:val="nil"/>
                    <w:tr2bl w:val="nil"/>
                  </w:tcBorders>
                  <w:vAlign w:val="center"/>
                </w:tcPr>
                <w:p>
                  <w:pPr>
                    <w:pStyle w:val="35"/>
                    <w:bidi w:val="0"/>
                    <w:rPr>
                      <w:rFonts w:hint="default"/>
                      <w:lang w:val="en-US" w:eastAsia="zh-CN"/>
                    </w:rPr>
                  </w:pPr>
                  <w:r>
                    <w:rPr>
                      <w:rFonts w:hint="eastAsia"/>
                      <w:lang w:val="en-US" w:eastAsia="zh-CN"/>
                    </w:rPr>
                    <w:t>832</w:t>
                  </w:r>
                </w:p>
              </w:tc>
              <w:tc>
                <w:tcPr>
                  <w:tcW w:w="825" w:type="dxa"/>
                  <w:tcBorders>
                    <w:tl2br w:val="nil"/>
                    <w:tr2bl w:val="nil"/>
                  </w:tcBorders>
                  <w:vAlign w:val="center"/>
                </w:tcPr>
                <w:p>
                  <w:pPr>
                    <w:pStyle w:val="35"/>
                    <w:bidi w:val="0"/>
                    <w:rPr>
                      <w:rFonts w:hint="default"/>
                      <w:lang w:val="en-US" w:eastAsia="zh-CN"/>
                    </w:rPr>
                  </w:pPr>
                  <w:r>
                    <w:rPr>
                      <w:rFonts w:hint="eastAsia"/>
                      <w:lang w:val="en-US" w:eastAsia="zh-CN"/>
                    </w:rPr>
                    <w:t>2628</w:t>
                  </w:r>
                </w:p>
              </w:tc>
              <w:tc>
                <w:tcPr>
                  <w:tcW w:w="885" w:type="dxa"/>
                  <w:tcBorders>
                    <w:tl2br w:val="nil"/>
                    <w:tr2bl w:val="nil"/>
                  </w:tcBorders>
                  <w:vAlign w:val="center"/>
                </w:tcPr>
                <w:p>
                  <w:pPr>
                    <w:pStyle w:val="35"/>
                    <w:bidi w:val="0"/>
                    <w:rPr>
                      <w:rFonts w:hint="default"/>
                      <w:lang w:val="en-US" w:eastAsia="zh-CN"/>
                    </w:rPr>
                  </w:pPr>
                  <w:r>
                    <w:rPr>
                      <w:rFonts w:hint="eastAsia"/>
                      <w:lang w:val="en-US" w:eastAsia="zh-CN"/>
                    </w:rPr>
                    <w:t>996</w:t>
                  </w:r>
                </w:p>
              </w:tc>
              <w:tc>
                <w:tcPr>
                  <w:tcW w:w="1918" w:type="dxa"/>
                  <w:tcBorders>
                    <w:tl2br w:val="nil"/>
                    <w:tr2bl w:val="nil"/>
                  </w:tcBorders>
                  <w:vAlign w:val="center"/>
                </w:tcPr>
                <w:p>
                  <w:pPr>
                    <w:pStyle w:val="35"/>
                    <w:bidi w:val="0"/>
                    <w:rPr>
                      <w:rFonts w:hint="default"/>
                      <w:lang w:val="en-US" w:eastAsia="zh-CN"/>
                    </w:rPr>
                  </w:pPr>
                  <w:r>
                    <w:rPr>
                      <w:rFonts w:hint="eastAsia"/>
                      <w:lang w:val="en-US" w:eastAsia="zh-CN"/>
                    </w:rPr>
                    <w:t>/</w:t>
                  </w:r>
                </w:p>
              </w:tc>
            </w:tr>
          </w:tbl>
          <w:p>
            <w:pPr>
              <w:pStyle w:val="81"/>
              <w:bidi w:val="0"/>
              <w:rPr>
                <w:rFonts w:hint="eastAsia"/>
                <w:color w:val="auto"/>
              </w:rPr>
            </w:pPr>
            <w:bookmarkStart w:id="8" w:name="OLE_LINK3"/>
            <w:r>
              <w:rPr>
                <w:rFonts w:hint="eastAsia"/>
                <w:color w:val="auto"/>
              </w:rPr>
              <w:object>
                <v:shape id="_x0000_i1025" o:spt="75" type="#_x0000_t75" style="height:315.15pt;width:398.7pt;" o:ole="t" filled="f" o:preferrelative="t" stroked="f" coordsize="21600,21600">
                  <v:path/>
                  <v:fill on="f" focussize="0,0"/>
                  <v:stroke on="f"/>
                  <v:imagedata r:id="rId15" o:title=""/>
                  <o:lock v:ext="edit" aspectratio="t"/>
                  <w10:wrap type="none"/>
                  <w10:anchorlock/>
                </v:shape>
                <o:OLEObject Type="Embed" ProgID="Visio.Drawing.11" ShapeID="_x0000_i1025" DrawAspect="Content" ObjectID="_1468075725" r:id="rId14">
                  <o:LockedField>false</o:LockedField>
                </o:OLEObject>
              </w:object>
            </w:r>
            <w:bookmarkEnd w:id="8"/>
          </w:p>
          <w:p>
            <w:pPr>
              <w:pStyle w:val="81"/>
              <w:bidi w:val="0"/>
              <w:rPr>
                <w:rFonts w:hint="default"/>
                <w:color w:val="auto"/>
                <w:lang w:val="en-US" w:eastAsia="zh-CN"/>
              </w:rPr>
            </w:pPr>
            <w:r>
              <w:rPr>
                <w:rFonts w:hint="eastAsia"/>
                <w:color w:val="auto"/>
                <w:lang w:val="en-US" w:eastAsia="zh-CN"/>
              </w:rPr>
              <w:t>图2-1   扩建后项目水平衡图</w:t>
            </w:r>
            <w:r>
              <w:rPr>
                <w:rFonts w:hint="default" w:ascii="Times New Roman" w:hAnsi="Times New Roman" w:eastAsia="宋体" w:cs="Times New Roman"/>
                <w:b/>
                <w:color w:val="auto"/>
                <w:sz w:val="24"/>
                <w:highlight w:val="none"/>
              </w:rPr>
              <w:t>（单位：m</w:t>
            </w:r>
            <w:r>
              <w:rPr>
                <w:rFonts w:hint="default" w:ascii="Times New Roman" w:hAnsi="Times New Roman" w:eastAsia="宋体" w:cs="Times New Roman"/>
                <w:b/>
                <w:color w:val="auto"/>
                <w:sz w:val="24"/>
                <w:highlight w:val="none"/>
                <w:vertAlign w:val="superscript"/>
              </w:rPr>
              <w:t>3</w:t>
            </w:r>
            <w:r>
              <w:rPr>
                <w:rFonts w:hint="default" w:ascii="Times New Roman" w:hAnsi="Times New Roman" w:eastAsia="宋体" w:cs="Times New Roman"/>
                <w:b/>
                <w:color w:val="auto"/>
                <w:sz w:val="24"/>
                <w:highlight w:val="none"/>
              </w:rPr>
              <w:t>/</w:t>
            </w:r>
            <w:r>
              <w:rPr>
                <w:rFonts w:hint="eastAsia" w:cs="Times New Roman"/>
                <w:b/>
                <w:color w:val="auto"/>
                <w:sz w:val="24"/>
                <w:highlight w:val="none"/>
                <w:lang w:val="en-US" w:eastAsia="zh-CN"/>
              </w:rPr>
              <w:t>a</w:t>
            </w:r>
            <w:r>
              <w:rPr>
                <w:rFonts w:hint="default" w:ascii="Times New Roman" w:hAnsi="Times New Roman" w:eastAsia="宋体" w:cs="Times New Roman"/>
                <w:b/>
                <w:color w:val="auto"/>
                <w:sz w:val="24"/>
                <w:highlight w:val="none"/>
              </w:rPr>
              <w:t>）</w:t>
            </w:r>
          </w:p>
          <w:p>
            <w:pPr>
              <w:bidi w:val="0"/>
              <w:rPr>
                <w:rFonts w:hint="default"/>
                <w:b/>
                <w:bCs/>
                <w:color w:val="auto"/>
              </w:rPr>
            </w:pPr>
            <w:r>
              <w:rPr>
                <w:rFonts w:hint="default"/>
                <w:b/>
                <w:bCs/>
                <w:color w:val="auto"/>
                <w:lang w:eastAsia="zh-CN"/>
              </w:rPr>
              <w:t>七、</w:t>
            </w:r>
            <w:r>
              <w:rPr>
                <w:rFonts w:hint="default"/>
                <w:b/>
                <w:bCs/>
                <w:color w:val="auto"/>
              </w:rPr>
              <w:t>劳动定员及工作制度</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olor w:val="auto"/>
                <w:sz w:val="24"/>
                <w:lang w:val="en-US" w:eastAsia="zh-CN"/>
              </w:rPr>
              <w:t>根据建设单位提供资料，本项</w:t>
            </w:r>
            <w:r>
              <w:rPr>
                <w:rFonts w:hint="eastAsia"/>
                <w:color w:val="auto"/>
                <w:sz w:val="24"/>
                <w:highlight w:val="none"/>
                <w:lang w:val="en-US" w:eastAsia="zh-CN"/>
              </w:rPr>
              <w:t>目扩建后自动化程度提高，不新增工作人员，</w:t>
            </w:r>
            <w:r>
              <w:rPr>
                <w:rFonts w:hint="default" w:ascii="Times New Roman" w:hAnsi="Times New Roman" w:eastAsia="宋体" w:cs="Times New Roman"/>
                <w:color w:val="auto"/>
                <w:spacing w:val="0"/>
                <w:position w:val="0"/>
                <w:sz w:val="24"/>
                <w:highlight w:val="none"/>
              </w:rPr>
              <w:t>全年</w:t>
            </w:r>
            <w:r>
              <w:rPr>
                <w:rFonts w:hint="eastAsia" w:ascii="Times New Roman" w:hAnsi="Times New Roman" w:eastAsia="宋体" w:cs="Times New Roman"/>
                <w:color w:val="auto"/>
                <w:spacing w:val="0"/>
                <w:position w:val="0"/>
                <w:sz w:val="24"/>
                <w:highlight w:val="none"/>
                <w:lang w:val="en-US" w:eastAsia="zh-CN"/>
              </w:rPr>
              <w:t>生产</w:t>
            </w:r>
            <w:r>
              <w:rPr>
                <w:rFonts w:hint="default" w:ascii="Times New Roman" w:hAnsi="Times New Roman" w:eastAsia="宋体" w:cs="Times New Roman"/>
                <w:color w:val="auto"/>
                <w:spacing w:val="0"/>
                <w:position w:val="0"/>
                <w:sz w:val="24"/>
                <w:highlight w:val="none"/>
              </w:rPr>
              <w:t>30</w:t>
            </w:r>
            <w:r>
              <w:rPr>
                <w:rFonts w:hint="default" w:ascii="Times New Roman" w:hAnsi="Times New Roman" w:eastAsia="宋体" w:cs="Times New Roman"/>
                <w:color w:val="auto"/>
                <w:spacing w:val="0"/>
                <w:position w:val="0"/>
                <w:sz w:val="24"/>
                <w:highlight w:val="none"/>
                <w:lang w:val="en-US" w:eastAsia="zh-CN"/>
              </w:rPr>
              <w:t>0</w:t>
            </w:r>
            <w:r>
              <w:rPr>
                <w:rFonts w:hint="default" w:ascii="Times New Roman" w:hAnsi="Times New Roman" w:eastAsia="宋体" w:cs="Times New Roman"/>
                <w:color w:val="auto"/>
                <w:spacing w:val="0"/>
                <w:position w:val="0"/>
                <w:sz w:val="24"/>
                <w:highlight w:val="none"/>
              </w:rPr>
              <w:t>天，</w:t>
            </w:r>
            <w:r>
              <w:rPr>
                <w:rFonts w:hint="eastAsia"/>
                <w:color w:val="auto"/>
                <w:highlight w:val="none"/>
              </w:rPr>
              <w:t>实行</w:t>
            </w:r>
            <w:r>
              <w:rPr>
                <w:rFonts w:hint="eastAsia"/>
                <w:color w:val="auto"/>
                <w:highlight w:val="none"/>
                <w:lang w:val="en-US" w:eastAsia="zh-CN"/>
              </w:rPr>
              <w:t>一</w:t>
            </w:r>
            <w:r>
              <w:rPr>
                <w:color w:val="auto"/>
                <w:highlight w:val="none"/>
              </w:rPr>
              <w:t>班制，每班</w:t>
            </w:r>
            <w:r>
              <w:rPr>
                <w:rFonts w:hint="eastAsia"/>
                <w:color w:val="auto"/>
                <w:highlight w:val="none"/>
              </w:rPr>
              <w:t>工作</w:t>
            </w:r>
            <w:r>
              <w:rPr>
                <w:color w:val="auto"/>
                <w:highlight w:val="none"/>
              </w:rPr>
              <w:t>8小时</w:t>
            </w:r>
            <w:r>
              <w:rPr>
                <w:rFonts w:hint="default" w:ascii="Times New Roman" w:hAnsi="Times New Roman" w:eastAsia="宋体" w:cs="Times New Roman"/>
                <w:color w:val="auto"/>
                <w:spacing w:val="0"/>
                <w:position w:val="0"/>
                <w:sz w:val="24"/>
                <w:highlight w:val="none"/>
                <w:lang w:val="en-US" w:eastAsia="zh-CN"/>
              </w:rPr>
              <w:t>。</w:t>
            </w:r>
          </w:p>
          <w:p>
            <w:pPr>
              <w:bidi w:val="0"/>
              <w:rPr>
                <w:rFonts w:hint="default"/>
                <w:b/>
                <w:bCs/>
                <w:color w:val="auto"/>
                <w:lang w:val="en-US" w:eastAsia="zh-CN"/>
              </w:rPr>
            </w:pPr>
            <w:r>
              <w:rPr>
                <w:rFonts w:hint="eastAsia"/>
                <w:b/>
                <w:bCs/>
                <w:color w:val="auto"/>
                <w:lang w:val="en-US" w:eastAsia="zh-CN"/>
              </w:rPr>
              <w:t>八、物料衡算</w:t>
            </w:r>
          </w:p>
          <w:p>
            <w:pPr>
              <w:pStyle w:val="81"/>
              <w:bidi w:val="0"/>
              <w:rPr>
                <w:rFonts w:hint="eastAsia"/>
                <w:color w:val="auto"/>
                <w:highlight w:val="none"/>
                <w:lang w:val="en-US" w:eastAsia="zh-CN"/>
              </w:rPr>
            </w:pPr>
            <w:r>
              <w:rPr>
                <w:rFonts w:hint="eastAsia"/>
                <w:color w:val="auto"/>
                <w:highlight w:val="none"/>
                <w:lang w:val="en-US" w:eastAsia="zh-CN"/>
              </w:rPr>
              <w:t>表2-6   项目物料衡算一览表</w:t>
            </w:r>
          </w:p>
          <w:tbl>
            <w:tblPr>
              <w:tblStyle w:val="31"/>
              <w:tblW w:w="81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957"/>
              <w:gridCol w:w="1760"/>
              <w:gridCol w:w="1745"/>
              <w:gridCol w:w="2043"/>
              <w:gridCol w:w="16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4462" w:type="dxa"/>
                  <w:gridSpan w:val="3"/>
                  <w:tcBorders>
                    <w:tl2br w:val="nil"/>
                    <w:tr2bl w:val="nil"/>
                  </w:tcBorders>
                  <w:vAlign w:val="center"/>
                </w:tcPr>
                <w:p>
                  <w:pPr>
                    <w:pStyle w:val="35"/>
                    <w:bidi w:val="0"/>
                    <w:rPr>
                      <w:rFonts w:hint="default"/>
                      <w:color w:val="auto"/>
                      <w:highlight w:val="none"/>
                      <w:lang w:val="en-US" w:eastAsia="zh-CN"/>
                    </w:rPr>
                  </w:pPr>
                  <w:r>
                    <w:rPr>
                      <w:rFonts w:hint="default"/>
                      <w:color w:val="auto"/>
                      <w:highlight w:val="none"/>
                      <w:lang w:val="en-US" w:eastAsia="zh-CN"/>
                    </w:rPr>
                    <w:t>投入（t/a）</w:t>
                  </w:r>
                </w:p>
              </w:tc>
              <w:tc>
                <w:tcPr>
                  <w:tcW w:w="3649" w:type="dxa"/>
                  <w:gridSpan w:val="2"/>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restart"/>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cs="Times New Roman"/>
                      <w:color w:val="auto"/>
                      <w:lang w:val="en-US" w:eastAsia="zh-CN"/>
                    </w:rPr>
                    <w:t>擀面皮生产线</w:t>
                  </w:r>
                </w:p>
              </w:tc>
              <w:tc>
                <w:tcPr>
                  <w:tcW w:w="176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lang w:val="en-US" w:eastAsia="zh-CN"/>
                    </w:rPr>
                    <w:t>浆液</w:t>
                  </w:r>
                </w:p>
              </w:tc>
              <w:tc>
                <w:tcPr>
                  <w:tcW w:w="1745"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bCs/>
                      <w:color w:val="auto"/>
                      <w:kern w:val="0"/>
                      <w:sz w:val="21"/>
                      <w:szCs w:val="21"/>
                      <w:highlight w:val="none"/>
                      <w:lang w:val="en-US" w:eastAsia="zh-CN" w:bidi="ar-SA"/>
                    </w:rPr>
                  </w:pPr>
                  <w:r>
                    <w:rPr>
                      <w:rFonts w:hint="eastAsia" w:ascii="Times New Roman" w:hAnsi="Times New Roman" w:eastAsia="宋体"/>
                      <w:bCs/>
                      <w:color w:val="auto"/>
                      <w:kern w:val="0"/>
                      <w:sz w:val="21"/>
                      <w:szCs w:val="21"/>
                      <w:highlight w:val="none"/>
                      <w:lang w:val="en-US" w:eastAsia="zh-CN" w:bidi="ar-SA"/>
                    </w:rPr>
                    <w:t>4750</w:t>
                  </w:r>
                </w:p>
              </w:tc>
              <w:tc>
                <w:tcPr>
                  <w:tcW w:w="2043"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擀面皮</w:t>
                  </w:r>
                </w:p>
              </w:tc>
              <w:tc>
                <w:tcPr>
                  <w:tcW w:w="1606"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highlight w:val="none"/>
                      <w:lang w:val="en-US" w:eastAsia="zh-CN" w:bidi="ar-SA"/>
                    </w:rPr>
                  </w:pPr>
                  <w:r>
                    <w:rPr>
                      <w:rFonts w:hint="eastAsia" w:ascii="Times New Roman" w:hAnsi="Times New Roman" w:eastAsia="宋体" w:cs="Times New Roman"/>
                      <w:color w:val="auto"/>
                      <w:spacing w:val="0"/>
                      <w:kern w:val="44"/>
                      <w:sz w:val="21"/>
                      <w:szCs w:val="21"/>
                      <w:highlight w:val="none"/>
                      <w:lang w:val="en-US" w:eastAsia="zh-CN" w:bidi="ar-SA"/>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highlight w:val="none"/>
                      <w:lang w:val="en-US" w:eastAsia="zh-CN"/>
                    </w:rPr>
                    <w:t>淀粉</w:t>
                  </w:r>
                </w:p>
              </w:tc>
              <w:tc>
                <w:tcPr>
                  <w:tcW w:w="1745"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bCs/>
                      <w:color w:val="auto"/>
                      <w:kern w:val="0"/>
                      <w:sz w:val="21"/>
                      <w:szCs w:val="21"/>
                      <w:highlight w:val="none"/>
                      <w:lang w:val="en-US" w:eastAsia="zh-CN" w:bidi="ar-SA"/>
                    </w:rPr>
                  </w:pPr>
                  <w:r>
                    <w:rPr>
                      <w:rFonts w:hint="eastAsia" w:ascii="Times New Roman" w:hAnsi="Times New Roman" w:eastAsia="宋体"/>
                      <w:bCs/>
                      <w:color w:val="auto"/>
                      <w:kern w:val="0"/>
                      <w:sz w:val="21"/>
                      <w:szCs w:val="21"/>
                      <w:highlight w:val="none"/>
                      <w:lang w:val="en-US" w:eastAsia="zh-CN" w:bidi="ar-SA"/>
                    </w:rPr>
                    <w:t>50</w:t>
                  </w:r>
                </w:p>
              </w:tc>
              <w:tc>
                <w:tcPr>
                  <w:tcW w:w="2043"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606"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合计</w:t>
                  </w:r>
                </w:p>
              </w:tc>
              <w:tc>
                <w:tcPr>
                  <w:tcW w:w="1745" w:type="dxa"/>
                  <w:tcBorders>
                    <w:tl2br w:val="nil"/>
                    <w:tr2bl w:val="nil"/>
                  </w:tcBorders>
                  <w:vAlign w:val="center"/>
                </w:tcPr>
                <w:p>
                  <w:pPr>
                    <w:pStyle w:val="35"/>
                    <w:bidi w:val="0"/>
                    <w:ind w:left="-24" w:leftChars="-10" w:right="-24" w:rightChars="-10" w:firstLine="0" w:firstLineChars="0"/>
                    <w:rPr>
                      <w:rFonts w:hint="default"/>
                      <w:color w:val="auto"/>
                      <w:highlight w:val="none"/>
                      <w:lang w:val="en-US" w:eastAsia="zh-CN"/>
                    </w:rPr>
                  </w:pPr>
                  <w:r>
                    <w:rPr>
                      <w:rFonts w:hint="eastAsia" w:cs="Times New Roman"/>
                      <w:color w:val="auto"/>
                      <w:highlight w:val="none"/>
                      <w:lang w:val="en-US" w:eastAsia="zh-CN"/>
                    </w:rPr>
                    <w:t>4800</w:t>
                  </w:r>
                </w:p>
              </w:tc>
              <w:tc>
                <w:tcPr>
                  <w:tcW w:w="2043" w:type="dxa"/>
                  <w:tcBorders>
                    <w:tl2br w:val="nil"/>
                    <w:tr2bl w:val="nil"/>
                  </w:tcBorders>
                  <w:vAlign w:val="center"/>
                </w:tcPr>
                <w:p>
                  <w:pPr>
                    <w:pStyle w:val="35"/>
                    <w:bidi w:val="0"/>
                    <w:rPr>
                      <w:rFonts w:hint="default"/>
                      <w:color w:val="auto"/>
                      <w:highlight w:val="none"/>
                      <w:lang w:val="en-US" w:eastAsia="zh-CN"/>
                    </w:rPr>
                  </w:pPr>
                  <w:r>
                    <w:rPr>
                      <w:rFonts w:hint="eastAsia" w:ascii="Times New Roman" w:hAnsi="Times New Roman" w:eastAsia="宋体" w:cs="Times New Roman"/>
                      <w:color w:val="auto"/>
                      <w:highlight w:val="none"/>
                      <w:lang w:val="en-US" w:eastAsia="zh-CN"/>
                    </w:rPr>
                    <w:t>合计</w:t>
                  </w:r>
                </w:p>
              </w:tc>
              <w:tc>
                <w:tcPr>
                  <w:tcW w:w="1606" w:type="dxa"/>
                  <w:tcBorders>
                    <w:tl2br w:val="nil"/>
                    <w:tr2bl w:val="nil"/>
                  </w:tcBorders>
                  <w:vAlign w:val="center"/>
                </w:tcPr>
                <w:p>
                  <w:pPr>
                    <w:pStyle w:val="35"/>
                    <w:bidi w:val="0"/>
                    <w:rPr>
                      <w:rFonts w:hint="default"/>
                      <w:color w:val="auto"/>
                      <w:highlight w:val="none"/>
                      <w:lang w:val="en-US" w:eastAsia="zh-CN"/>
                    </w:rPr>
                  </w:pPr>
                  <w:r>
                    <w:rPr>
                      <w:rFonts w:hint="eastAsia" w:cs="Times New Roman"/>
                      <w:color w:val="auto"/>
                      <w:highlight w:val="none"/>
                      <w:lang w:val="en-US" w:eastAsia="zh-CN"/>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4462" w:type="dxa"/>
                  <w:gridSpan w:val="3"/>
                  <w:tcBorders>
                    <w:tl2br w:val="nil"/>
                    <w:tr2bl w:val="nil"/>
                  </w:tcBorders>
                  <w:vAlign w:val="center"/>
                </w:tcPr>
                <w:p>
                  <w:pPr>
                    <w:pStyle w:val="35"/>
                    <w:bidi w:val="0"/>
                    <w:ind w:left="-24" w:leftChars="-10" w:right="-24" w:rightChars="-10" w:firstLine="0" w:firstLineChars="0"/>
                    <w:rPr>
                      <w:rFonts w:hint="eastAsia" w:ascii="Times New Roman" w:hAnsi="Times New Roman" w:eastAsia="宋体"/>
                      <w:bCs/>
                      <w:color w:val="auto"/>
                      <w:kern w:val="0"/>
                      <w:sz w:val="21"/>
                      <w:szCs w:val="21"/>
                      <w:highlight w:val="none"/>
                      <w:lang w:val="en-US" w:eastAsia="zh-CN" w:bidi="ar-SA"/>
                    </w:rPr>
                  </w:pPr>
                  <w:r>
                    <w:rPr>
                      <w:rFonts w:hint="default"/>
                      <w:color w:val="auto"/>
                      <w:highlight w:val="none"/>
                      <w:lang w:val="en-US" w:eastAsia="zh-CN"/>
                    </w:rPr>
                    <w:t>投入（t/a）</w:t>
                  </w:r>
                </w:p>
              </w:tc>
              <w:tc>
                <w:tcPr>
                  <w:tcW w:w="3649" w:type="dxa"/>
                  <w:gridSpan w:val="2"/>
                  <w:tcBorders>
                    <w:tl2br w:val="nil"/>
                    <w:tr2bl w:val="nil"/>
                  </w:tcBorders>
                  <w:vAlign w:val="center"/>
                </w:tcPr>
                <w:p>
                  <w:pPr>
                    <w:pStyle w:val="35"/>
                    <w:bidi w:val="0"/>
                    <w:ind w:left="-24" w:leftChars="-10" w:right="-24" w:rightChars="-10" w:firstLine="0" w:firstLineChars="0"/>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highlight w:val="none"/>
                      <w:lang w:val="en-US" w:eastAsia="zh-CN"/>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restart"/>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cs="Times New Roman"/>
                      <w:color w:val="auto"/>
                      <w:spacing w:val="0"/>
                      <w:kern w:val="44"/>
                      <w:sz w:val="21"/>
                      <w:szCs w:val="21"/>
                      <w:lang w:val="en-US" w:eastAsia="zh-CN" w:bidi="ar-SA"/>
                    </w:rPr>
                    <w:t>面筋生产线</w:t>
                  </w:r>
                </w:p>
              </w:tc>
              <w:tc>
                <w:tcPr>
                  <w:tcW w:w="1760"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生面筋</w:t>
                  </w:r>
                </w:p>
              </w:tc>
              <w:tc>
                <w:tcPr>
                  <w:tcW w:w="1745" w:type="dxa"/>
                  <w:tcBorders>
                    <w:tl2br w:val="nil"/>
                    <w:tr2bl w:val="nil"/>
                  </w:tcBorders>
                  <w:vAlign w:val="center"/>
                </w:tcPr>
                <w:p>
                  <w:pPr>
                    <w:pStyle w:val="35"/>
                    <w:bidi w:val="0"/>
                    <w:ind w:left="-24" w:leftChars="-10" w:right="-24" w:rightChars="-1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288</w:t>
                  </w:r>
                </w:p>
              </w:tc>
              <w:tc>
                <w:tcPr>
                  <w:tcW w:w="2043"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熟面筋</w:t>
                  </w:r>
                </w:p>
              </w:tc>
              <w:tc>
                <w:tcPr>
                  <w:tcW w:w="1606"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水</w:t>
                  </w:r>
                </w:p>
              </w:tc>
              <w:tc>
                <w:tcPr>
                  <w:tcW w:w="1745" w:type="dxa"/>
                  <w:tcBorders>
                    <w:tl2br w:val="nil"/>
                    <w:tr2bl w:val="nil"/>
                  </w:tcBorders>
                  <w:vAlign w:val="center"/>
                </w:tcPr>
                <w:p>
                  <w:pPr>
                    <w:pStyle w:val="35"/>
                    <w:bidi w:val="0"/>
                    <w:ind w:left="-24" w:leftChars="-10" w:right="-24" w:rightChars="-1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72</w:t>
                  </w:r>
                </w:p>
              </w:tc>
              <w:tc>
                <w:tcPr>
                  <w:tcW w:w="2043" w:type="dxa"/>
                  <w:tcBorders>
                    <w:tl2br w:val="nil"/>
                    <w:tr2bl w:val="nil"/>
                  </w:tcBorders>
                  <w:vAlign w:val="center"/>
                </w:tcPr>
                <w:p>
                  <w:pPr>
                    <w:pStyle w:val="35"/>
                    <w:bidi w:val="0"/>
                    <w:ind w:left="-24" w:leftChars="-10" w:right="-24" w:rightChars="-10" w:firstLine="0" w:firstLineChars="0"/>
                    <w:rPr>
                      <w:rFonts w:hint="eastAsia" w:ascii="Times New Roman" w:hAnsi="Times New Roman" w:eastAsia="宋体" w:cs="Times New Roman"/>
                      <w:bCs/>
                      <w:color w:val="auto"/>
                      <w:kern w:val="0"/>
                      <w:sz w:val="21"/>
                      <w:szCs w:val="21"/>
                      <w:highlight w:val="none"/>
                      <w:lang w:val="en-US" w:eastAsia="zh-CN" w:bidi="ar-SA"/>
                    </w:rPr>
                  </w:pPr>
                </w:p>
              </w:tc>
              <w:tc>
                <w:tcPr>
                  <w:tcW w:w="1606"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cs="Times New Roman"/>
                      <w:bCs/>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vAlign w:val="center"/>
                </w:tcPr>
                <w:p>
                  <w:pPr>
                    <w:pStyle w:val="35"/>
                    <w:bidi w:val="0"/>
                    <w:ind w:left="-24" w:leftChars="-10" w:right="-24" w:rightChars="-10" w:firstLine="0" w:firstLineChars="0"/>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合计</w:t>
                  </w:r>
                </w:p>
              </w:tc>
              <w:tc>
                <w:tcPr>
                  <w:tcW w:w="1745"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bCs/>
                      <w:color w:val="auto"/>
                      <w:kern w:val="0"/>
                      <w:sz w:val="21"/>
                      <w:szCs w:val="21"/>
                      <w:highlight w:val="none"/>
                      <w:lang w:val="en-US" w:eastAsia="zh-CN" w:bidi="ar-SA"/>
                    </w:rPr>
                  </w:pPr>
                  <w:r>
                    <w:rPr>
                      <w:rFonts w:hint="eastAsia" w:ascii="Times New Roman" w:hAnsi="Times New Roman" w:eastAsia="宋体"/>
                      <w:bCs/>
                      <w:color w:val="auto"/>
                      <w:kern w:val="0"/>
                      <w:sz w:val="21"/>
                      <w:szCs w:val="21"/>
                      <w:highlight w:val="none"/>
                      <w:lang w:val="en-US" w:eastAsia="zh-CN" w:bidi="ar-SA"/>
                    </w:rPr>
                    <w:t>360</w:t>
                  </w:r>
                </w:p>
              </w:tc>
              <w:tc>
                <w:tcPr>
                  <w:tcW w:w="2043" w:type="dxa"/>
                  <w:tcBorders>
                    <w:tl2br w:val="nil"/>
                    <w:tr2bl w:val="nil"/>
                  </w:tcBorders>
                  <w:vAlign w:val="center"/>
                </w:tcPr>
                <w:p>
                  <w:pPr>
                    <w:pStyle w:val="35"/>
                    <w:bidi w:val="0"/>
                    <w:ind w:left="-24" w:leftChars="-10" w:right="-24" w:rightChars="-10" w:firstLine="0" w:firstLineChars="0"/>
                    <w:rPr>
                      <w:rFonts w:hint="eastAsia" w:ascii="Times New Roman" w:hAnsi="Times New Roman" w:eastAsia="宋体"/>
                      <w:bCs/>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合计</w:t>
                  </w:r>
                </w:p>
              </w:tc>
              <w:tc>
                <w:tcPr>
                  <w:tcW w:w="1606"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bCs/>
                      <w:color w:val="auto"/>
                      <w:kern w:val="0"/>
                      <w:sz w:val="21"/>
                      <w:szCs w:val="21"/>
                      <w:highlight w:val="none"/>
                      <w:lang w:val="en-US" w:eastAsia="zh-CN" w:bidi="ar-SA"/>
                    </w:rPr>
                  </w:pPr>
                  <w:r>
                    <w:rPr>
                      <w:rFonts w:hint="eastAsia" w:ascii="Times New Roman" w:hAnsi="Times New Roman" w:eastAsia="宋体"/>
                      <w:bCs/>
                      <w:color w:val="auto"/>
                      <w:kern w:val="0"/>
                      <w:sz w:val="21"/>
                      <w:szCs w:val="21"/>
                      <w:highlight w:val="none"/>
                      <w:lang w:val="en-US" w:eastAsia="zh-CN" w:bidi="ar-SA"/>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4462" w:type="dxa"/>
                  <w:gridSpan w:val="3"/>
                  <w:tcBorders>
                    <w:tl2br w:val="nil"/>
                    <w:tr2bl w:val="nil"/>
                  </w:tcBorders>
                  <w:vAlign w:val="center"/>
                </w:tcPr>
                <w:p>
                  <w:pPr>
                    <w:pStyle w:val="35"/>
                    <w:bidi w:val="0"/>
                    <w:ind w:left="-24" w:leftChars="-10" w:right="-24" w:rightChars="-10" w:firstLine="0" w:firstLineChars="0"/>
                    <w:rPr>
                      <w:rFonts w:hint="eastAsia" w:ascii="Times New Roman" w:hAnsi="Times New Roman" w:eastAsia="宋体"/>
                      <w:bCs/>
                      <w:color w:val="auto"/>
                      <w:kern w:val="0"/>
                      <w:sz w:val="21"/>
                      <w:szCs w:val="21"/>
                      <w:highlight w:val="none"/>
                      <w:lang w:val="en-US" w:eastAsia="zh-CN" w:bidi="ar-SA"/>
                    </w:rPr>
                  </w:pPr>
                  <w:r>
                    <w:rPr>
                      <w:rFonts w:hint="default"/>
                      <w:color w:val="auto"/>
                      <w:highlight w:val="none"/>
                      <w:lang w:val="en-US" w:eastAsia="zh-CN"/>
                    </w:rPr>
                    <w:t>投入（t/a）</w:t>
                  </w:r>
                </w:p>
              </w:tc>
              <w:tc>
                <w:tcPr>
                  <w:tcW w:w="3649" w:type="dxa"/>
                  <w:gridSpan w:val="2"/>
                  <w:tcBorders>
                    <w:tl2br w:val="nil"/>
                    <w:tr2bl w:val="nil"/>
                  </w:tcBorders>
                  <w:vAlign w:val="center"/>
                </w:tcPr>
                <w:p>
                  <w:pPr>
                    <w:pStyle w:val="35"/>
                    <w:bidi w:val="0"/>
                    <w:ind w:left="-24" w:leftChars="-10" w:right="-24" w:rightChars="-10" w:firstLine="0" w:firstLineChars="0"/>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highlight w:val="none"/>
                      <w:lang w:val="en-US" w:eastAsia="zh-CN"/>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restart"/>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调料包生产线</w:t>
                  </w:r>
                </w:p>
              </w:tc>
              <w:tc>
                <w:tcPr>
                  <w:tcW w:w="176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盐</w:t>
                  </w:r>
                </w:p>
              </w:tc>
              <w:tc>
                <w:tcPr>
                  <w:tcW w:w="1745"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73</w:t>
                  </w:r>
                </w:p>
              </w:tc>
              <w:tc>
                <w:tcPr>
                  <w:tcW w:w="2043"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调料包</w:t>
                  </w:r>
                </w:p>
              </w:tc>
              <w:tc>
                <w:tcPr>
                  <w:tcW w:w="1606"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醋</w:t>
                  </w:r>
                </w:p>
              </w:tc>
              <w:tc>
                <w:tcPr>
                  <w:tcW w:w="1745"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164</w:t>
                  </w:r>
                </w:p>
              </w:tc>
              <w:tc>
                <w:tcPr>
                  <w:tcW w:w="2043" w:type="dxa"/>
                  <w:tcBorders>
                    <w:tl2br w:val="nil"/>
                    <w:tr2bl w:val="nil"/>
                  </w:tcBorders>
                  <w:vAlign w:val="center"/>
                </w:tcPr>
                <w:p>
                  <w:pPr>
                    <w:pStyle w:val="35"/>
                    <w:bidi w:val="0"/>
                    <w:ind w:left="-24" w:leftChars="-10" w:right="-24" w:rightChars="-10" w:firstLine="0" w:firstLineChars="0"/>
                    <w:jc w:val="center"/>
                    <w:rPr>
                      <w:rFonts w:hint="default" w:ascii="Times New Roman" w:hAnsi="Times New Roman" w:eastAsia="宋体" w:cs="Times New Roman"/>
                      <w:color w:val="auto"/>
                      <w:lang w:val="en-US" w:eastAsia="zh-CN"/>
                    </w:rPr>
                  </w:pPr>
                </w:p>
              </w:tc>
              <w:tc>
                <w:tcPr>
                  <w:tcW w:w="1606" w:type="dxa"/>
                  <w:tcBorders>
                    <w:tl2br w:val="nil"/>
                    <w:tr2bl w:val="nil"/>
                  </w:tcBorders>
                  <w:vAlign w:val="center"/>
                </w:tcPr>
                <w:p>
                  <w:pPr>
                    <w:pStyle w:val="35"/>
                    <w:bidi w:val="0"/>
                    <w:ind w:left="-24" w:leftChars="-10" w:right="-24" w:rightChars="-10" w:firstLine="0" w:firstLineChars="0"/>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味精</w:t>
                  </w:r>
                </w:p>
              </w:tc>
              <w:tc>
                <w:tcPr>
                  <w:tcW w:w="1745"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27</w:t>
                  </w:r>
                </w:p>
              </w:tc>
              <w:tc>
                <w:tcPr>
                  <w:tcW w:w="2043" w:type="dxa"/>
                  <w:tcBorders>
                    <w:tl2br w:val="nil"/>
                    <w:tr2bl w:val="nil"/>
                  </w:tcBorders>
                  <w:shd w:val="clear" w:color="auto" w:fill="auto"/>
                  <w:vAlign w:val="center"/>
                </w:tcPr>
                <w:p>
                  <w:pPr>
                    <w:pStyle w:val="35"/>
                    <w:bidi w:val="0"/>
                    <w:ind w:left="-24" w:leftChars="-10" w:right="-24" w:rightChars="-10" w:firstLine="0" w:firstLineChars="0"/>
                    <w:jc w:val="center"/>
                    <w:rPr>
                      <w:rFonts w:hint="default" w:ascii="Times New Roman" w:hAnsi="Times New Roman" w:eastAsia="宋体" w:cs="Times New Roman"/>
                      <w:bCs/>
                      <w:color w:val="auto"/>
                      <w:kern w:val="0"/>
                      <w:sz w:val="21"/>
                      <w:szCs w:val="21"/>
                      <w:lang w:val="en-US" w:eastAsia="zh-CN" w:bidi="ar-SA"/>
                    </w:rPr>
                  </w:pPr>
                </w:p>
              </w:tc>
              <w:tc>
                <w:tcPr>
                  <w:tcW w:w="1606" w:type="dxa"/>
                  <w:tcBorders>
                    <w:tl2br w:val="nil"/>
                    <w:tr2bl w:val="nil"/>
                  </w:tcBorders>
                  <w:shd w:val="clear" w:color="auto" w:fill="auto"/>
                  <w:vAlign w:val="center"/>
                </w:tcPr>
                <w:p>
                  <w:pPr>
                    <w:pStyle w:val="35"/>
                    <w:bidi w:val="0"/>
                    <w:ind w:left="-24" w:leftChars="-10" w:right="-24" w:rightChars="-10" w:firstLine="0" w:firstLineChars="0"/>
                    <w:jc w:val="center"/>
                    <w:rPr>
                      <w:rFonts w:hint="default" w:ascii="Times New Roman" w:hAnsi="Times New Roman" w:eastAsia="宋体" w:cs="Times New Roman"/>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水</w:t>
                  </w:r>
                </w:p>
              </w:tc>
              <w:tc>
                <w:tcPr>
                  <w:tcW w:w="1745"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1056</w:t>
                  </w:r>
                </w:p>
              </w:tc>
              <w:tc>
                <w:tcPr>
                  <w:tcW w:w="2043" w:type="dxa"/>
                  <w:tcBorders>
                    <w:tl2br w:val="nil"/>
                    <w:tr2bl w:val="nil"/>
                  </w:tcBorders>
                  <w:vAlign w:val="center"/>
                </w:tcPr>
                <w:p>
                  <w:pPr>
                    <w:pStyle w:val="35"/>
                    <w:bidi w:val="0"/>
                    <w:ind w:left="-24" w:leftChars="-10" w:right="-24" w:rightChars="-10" w:firstLine="0" w:firstLineChars="0"/>
                    <w:jc w:val="center"/>
                    <w:rPr>
                      <w:rFonts w:hint="eastAsia" w:ascii="Times New Roman" w:hAnsi="Times New Roman" w:eastAsia="宋体" w:cs="Times New Roman"/>
                      <w:color w:val="auto"/>
                      <w:lang w:val="en-US" w:eastAsia="zh-CN"/>
                    </w:rPr>
                  </w:pPr>
                </w:p>
              </w:tc>
              <w:tc>
                <w:tcPr>
                  <w:tcW w:w="1606" w:type="dxa"/>
                  <w:tcBorders>
                    <w:tl2br w:val="nil"/>
                    <w:tr2bl w:val="nil"/>
                  </w:tcBorders>
                  <w:vAlign w:val="center"/>
                </w:tcPr>
                <w:p>
                  <w:pPr>
                    <w:pStyle w:val="35"/>
                    <w:bidi w:val="0"/>
                    <w:ind w:left="-24" w:leftChars="-10" w:right="-24" w:rightChars="-10" w:firstLine="0" w:firstLineChars="0"/>
                    <w:jc w:val="center"/>
                    <w:rPr>
                      <w:rFonts w:hint="eastAsia"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合计</w:t>
                  </w:r>
                </w:p>
              </w:tc>
              <w:tc>
                <w:tcPr>
                  <w:tcW w:w="1745" w:type="dxa"/>
                  <w:tcBorders>
                    <w:tl2br w:val="nil"/>
                    <w:tr2bl w:val="nil"/>
                  </w:tcBorders>
                  <w:vAlign w:val="center"/>
                </w:tcPr>
                <w:p>
                  <w:pPr>
                    <w:pStyle w:val="35"/>
                    <w:bidi w:val="0"/>
                    <w:ind w:left="-24" w:leftChars="-10" w:right="-24" w:rightChars="-1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1320</w:t>
                  </w:r>
                </w:p>
              </w:tc>
              <w:tc>
                <w:tcPr>
                  <w:tcW w:w="2043" w:type="dxa"/>
                  <w:tcBorders>
                    <w:tl2br w:val="nil"/>
                    <w:tr2bl w:val="nil"/>
                  </w:tcBorders>
                  <w:vAlign w:val="center"/>
                </w:tcPr>
                <w:p>
                  <w:pPr>
                    <w:pStyle w:val="35"/>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合计</w:t>
                  </w:r>
                </w:p>
              </w:tc>
              <w:tc>
                <w:tcPr>
                  <w:tcW w:w="1606"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4462" w:type="dxa"/>
                  <w:gridSpan w:val="3"/>
                  <w:tcBorders>
                    <w:tl2br w:val="nil"/>
                    <w:tr2bl w:val="nil"/>
                  </w:tcBorders>
                  <w:vAlign w:val="center"/>
                </w:tcPr>
                <w:p>
                  <w:pPr>
                    <w:pStyle w:val="35"/>
                    <w:bidi w:val="0"/>
                    <w:rPr>
                      <w:rFonts w:hint="default"/>
                      <w:color w:val="auto"/>
                      <w:highlight w:val="none"/>
                      <w:lang w:val="en-US" w:eastAsia="zh-CN"/>
                    </w:rPr>
                  </w:pPr>
                  <w:r>
                    <w:rPr>
                      <w:rFonts w:hint="default"/>
                      <w:color w:val="auto"/>
                      <w:highlight w:val="none"/>
                      <w:lang w:val="en-US" w:eastAsia="zh-CN"/>
                    </w:rPr>
                    <w:t>投入（t/a）</w:t>
                  </w:r>
                </w:p>
              </w:tc>
              <w:tc>
                <w:tcPr>
                  <w:tcW w:w="3649" w:type="dxa"/>
                  <w:gridSpan w:val="2"/>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产出（t/a）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restart"/>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油泼辣子生产线</w:t>
                  </w:r>
                </w:p>
              </w:tc>
              <w:tc>
                <w:tcPr>
                  <w:tcW w:w="176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辣椒面</w:t>
                  </w:r>
                </w:p>
              </w:tc>
              <w:tc>
                <w:tcPr>
                  <w:tcW w:w="1745"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117</w:t>
                  </w:r>
                </w:p>
              </w:tc>
              <w:tc>
                <w:tcPr>
                  <w:tcW w:w="2043"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油泼辣子</w:t>
                  </w:r>
                </w:p>
              </w:tc>
              <w:tc>
                <w:tcPr>
                  <w:tcW w:w="1606"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highlight w:val="none"/>
                      <w:lang w:val="en-US" w:eastAsia="zh-CN" w:bidi="ar-SA"/>
                    </w:rPr>
                  </w:pPr>
                  <w:r>
                    <w:rPr>
                      <w:rFonts w:hint="eastAsia" w:ascii="Times New Roman" w:hAnsi="Times New Roman" w:eastAsia="宋体" w:cs="Times New Roman"/>
                      <w:color w:val="auto"/>
                      <w:spacing w:val="0"/>
                      <w:kern w:val="44"/>
                      <w:sz w:val="21"/>
                      <w:szCs w:val="21"/>
                      <w:highlight w:val="none"/>
                      <w:lang w:val="en-US" w:eastAsia="zh-CN" w:bidi="ar-SA"/>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香辛料</w:t>
                  </w:r>
                </w:p>
              </w:tc>
              <w:tc>
                <w:tcPr>
                  <w:tcW w:w="1745"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25</w:t>
                  </w:r>
                </w:p>
              </w:tc>
              <w:tc>
                <w:tcPr>
                  <w:tcW w:w="2043"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606"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kern w:val="44"/>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食用油</w:t>
                  </w:r>
                </w:p>
              </w:tc>
              <w:tc>
                <w:tcPr>
                  <w:tcW w:w="1745" w:type="dxa"/>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adjustRightInd w:val="0"/>
                    <w:snapToGrid w:val="0"/>
                    <w:ind w:left="-48" w:leftChars="-20" w:right="-48" w:rightChars="-20" w:firstLine="0" w:firstLineChars="0"/>
                    <w:textAlignment w:val="baseline"/>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818</w:t>
                  </w:r>
                </w:p>
              </w:tc>
              <w:tc>
                <w:tcPr>
                  <w:tcW w:w="2043"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606" w:type="dxa"/>
                  <w:tcBorders>
                    <w:tl2br w:val="nil"/>
                    <w:tr2bl w:val="nil"/>
                  </w:tcBorders>
                  <w:vAlign w:val="center"/>
                </w:tcPr>
                <w:p>
                  <w:pPr>
                    <w:pStyle w:val="62"/>
                    <w:keepNext w:val="0"/>
                    <w:keepLines w:val="0"/>
                    <w:pageBreakBefore w:val="0"/>
                    <w:widowControl/>
                    <w:kinsoku/>
                    <w:wordWrap/>
                    <w:overflowPunct/>
                    <w:topLinePunct w:val="0"/>
                    <w:bidi w:val="0"/>
                    <w:adjustRightInd/>
                    <w:snapToGrid w:val="0"/>
                    <w:spacing w:before="0" w:after="0" w:line="240" w:lineRule="auto"/>
                    <w:ind w:left="-72" w:leftChars="-30" w:right="-72" w:rightChars="-30" w:firstLine="0" w:firstLineChars="0"/>
                    <w:textAlignment w:val="auto"/>
                    <w:rPr>
                      <w:rFonts w:hint="default" w:ascii="Times New Roman" w:hAnsi="Times New Roman" w:eastAsia="宋体" w:cs="Times New Roman"/>
                      <w:color w:val="auto"/>
                      <w:spacing w:val="0"/>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957" w:type="dxa"/>
                  <w:vMerge w:val="continue"/>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p>
              </w:tc>
              <w:tc>
                <w:tcPr>
                  <w:tcW w:w="1760" w:type="dxa"/>
                  <w:tcBorders>
                    <w:tl2br w:val="nil"/>
                    <w:tr2bl w:val="nil"/>
                  </w:tcBorders>
                  <w:vAlign w:val="center"/>
                </w:tcPr>
                <w:p>
                  <w:pPr>
                    <w:pStyle w:val="35"/>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合计</w:t>
                  </w:r>
                </w:p>
              </w:tc>
              <w:tc>
                <w:tcPr>
                  <w:tcW w:w="1745" w:type="dxa"/>
                  <w:tcBorders>
                    <w:tl2br w:val="nil"/>
                    <w:tr2bl w:val="nil"/>
                  </w:tcBorders>
                  <w:vAlign w:val="center"/>
                </w:tcPr>
                <w:p>
                  <w:pPr>
                    <w:pStyle w:val="35"/>
                    <w:bidi w:val="0"/>
                    <w:ind w:left="-24" w:leftChars="-10" w:right="-24" w:rightChars="-10" w:firstLine="0" w:firstLineChars="0"/>
                    <w:rPr>
                      <w:rFonts w:hint="default"/>
                      <w:color w:val="auto"/>
                      <w:highlight w:val="none"/>
                      <w:lang w:val="en-US" w:eastAsia="zh-CN"/>
                    </w:rPr>
                  </w:pPr>
                  <w:r>
                    <w:rPr>
                      <w:rFonts w:hint="eastAsia"/>
                      <w:color w:val="auto"/>
                      <w:highlight w:val="none"/>
                      <w:lang w:val="en-US" w:eastAsia="zh-CN"/>
                    </w:rPr>
                    <w:t>960</w:t>
                  </w:r>
                </w:p>
              </w:tc>
              <w:tc>
                <w:tcPr>
                  <w:tcW w:w="2043" w:type="dxa"/>
                  <w:tcBorders>
                    <w:tl2br w:val="nil"/>
                    <w:tr2bl w:val="nil"/>
                  </w:tcBorders>
                  <w:vAlign w:val="center"/>
                </w:tcPr>
                <w:p>
                  <w:pPr>
                    <w:pStyle w:val="35"/>
                    <w:bidi w:val="0"/>
                    <w:rPr>
                      <w:rFonts w:hint="default"/>
                      <w:color w:val="auto"/>
                      <w:highlight w:val="none"/>
                      <w:lang w:val="en-US" w:eastAsia="zh-CN"/>
                    </w:rPr>
                  </w:pPr>
                  <w:r>
                    <w:rPr>
                      <w:rFonts w:hint="eastAsia" w:ascii="Times New Roman" w:hAnsi="Times New Roman" w:eastAsia="宋体" w:cs="Times New Roman"/>
                      <w:color w:val="auto"/>
                      <w:highlight w:val="none"/>
                      <w:lang w:val="en-US" w:eastAsia="zh-CN"/>
                    </w:rPr>
                    <w:t>合计</w:t>
                  </w:r>
                </w:p>
              </w:tc>
              <w:tc>
                <w:tcPr>
                  <w:tcW w:w="1606" w:type="dxa"/>
                  <w:tcBorders>
                    <w:tl2br w:val="nil"/>
                    <w:tr2bl w:val="nil"/>
                  </w:tcBorders>
                  <w:vAlign w:val="center"/>
                </w:tcPr>
                <w:p>
                  <w:pPr>
                    <w:pStyle w:val="35"/>
                    <w:bidi w:val="0"/>
                    <w:rPr>
                      <w:rFonts w:hint="default"/>
                      <w:color w:val="auto"/>
                      <w:highlight w:val="none"/>
                      <w:lang w:val="en-US" w:eastAsia="zh-CN"/>
                    </w:rPr>
                  </w:pPr>
                  <w:r>
                    <w:rPr>
                      <w:rFonts w:hint="eastAsia"/>
                      <w:color w:val="auto"/>
                      <w:highlight w:val="none"/>
                      <w:lang w:val="en-US" w:eastAsia="zh-CN"/>
                    </w:rPr>
                    <w:t>960</w:t>
                  </w:r>
                </w:p>
              </w:tc>
            </w:tr>
          </w:tbl>
          <w:p>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b/>
                <w:bCs/>
                <w:color w:val="auto"/>
                <w:lang w:val="en-US" w:eastAsia="zh-CN"/>
              </w:rPr>
              <w:t>九、</w:t>
            </w:r>
            <w:r>
              <w:rPr>
                <w:rFonts w:hint="default" w:ascii="Times New Roman" w:hAnsi="Times New Roman" w:eastAsia="宋体" w:cs="Times New Roman"/>
                <w:b/>
                <w:bCs/>
                <w:color w:val="auto"/>
                <w:sz w:val="24"/>
                <w:szCs w:val="24"/>
                <w:highlight w:val="none"/>
              </w:rPr>
              <w:t>平面布置</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总平面布置原则：结合场地现状条件，合理布置建、构筑物，使工艺流程合理，管线短捷，人货流畅，符合防火、安全、卫生等有关规范的要求。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项目厂区出入口在南侧，厂区南侧为空地，北侧为生产车间，生产车间西侧为锅炉房、打包车间及库房，西北角区域为会议室及办公室。生产车间东侧设两根油烟废气排放口，危废间位于厂区东侧生产车间附近。</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bCs w:val="0"/>
                <w:color w:val="auto"/>
                <w:sz w:val="24"/>
              </w:rPr>
              <w:t>项目区域内供水</w:t>
            </w:r>
            <w:r>
              <w:rPr>
                <w:rFonts w:hint="default" w:ascii="Times New Roman" w:hAnsi="Times New Roman" w:cs="Times New Roman"/>
                <w:b w:val="0"/>
                <w:bCs w:val="0"/>
                <w:color w:val="auto"/>
                <w:sz w:val="24"/>
                <w:highlight w:val="none"/>
              </w:rPr>
              <w:t>、供电基础设</w:t>
            </w:r>
            <w:r>
              <w:rPr>
                <w:rFonts w:hint="default" w:ascii="Times New Roman" w:hAnsi="Times New Roman" w:cs="Times New Roman"/>
                <w:b w:val="0"/>
                <w:bCs w:val="0"/>
                <w:color w:val="auto"/>
                <w:sz w:val="24"/>
              </w:rPr>
              <w:t>施配套齐全，建筑结构基本完善，功能分区明确，各区域相对独立。考虑到了噪声、安全等要求</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总平面布置基本合理</w:t>
            </w:r>
            <w:r>
              <w:rPr>
                <w:rFonts w:hint="default" w:ascii="Times New Roman" w:hAnsi="Times New Roman" w:eastAsia="宋体" w:cs="Times New Roman"/>
                <w:color w:val="auto"/>
                <w:spacing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2" w:type="dxa"/>
            <w:vAlign w:val="center"/>
          </w:tcPr>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4"/>
                <w:szCs w:val="24"/>
                <w:highlight w:val="none"/>
              </w:rPr>
              <w:t>工艺流程和产排污环节</w:t>
            </w:r>
          </w:p>
        </w:tc>
        <w:tc>
          <w:tcPr>
            <w:tcW w:w="8213" w:type="dxa"/>
            <w:vAlign w:val="top"/>
          </w:tcPr>
          <w:p>
            <w:pPr>
              <w:bidi w:val="0"/>
              <w:ind w:left="0" w:leftChars="0" w:firstLine="0" w:firstLineChars="0"/>
              <w:rPr>
                <w:rFonts w:hint="default"/>
                <w:b/>
                <w:bCs/>
                <w:color w:val="auto"/>
                <w:lang w:eastAsia="zh-CN"/>
              </w:rPr>
            </w:pPr>
            <w:r>
              <w:rPr>
                <w:rFonts w:hint="default" w:ascii="Times New Roman" w:hAnsi="Times New Roman" w:eastAsia="宋体" w:cs="Times New Roman"/>
                <w:b/>
                <w:bCs/>
                <w:color w:val="auto"/>
                <w:sz w:val="24"/>
                <w:lang w:eastAsia="zh-CN"/>
              </w:rPr>
              <w:t>一、</w:t>
            </w:r>
            <w:r>
              <w:rPr>
                <w:rFonts w:hint="default"/>
                <w:b/>
                <w:bCs/>
                <w:color w:val="auto"/>
                <w:lang w:eastAsia="zh-CN"/>
              </w:rPr>
              <w:t>运营期工艺流程及产污环节</w:t>
            </w:r>
          </w:p>
          <w:p>
            <w:pPr>
              <w:bidi w:val="0"/>
              <w:rPr>
                <w:rFonts w:hint="default"/>
                <w:color w:val="auto"/>
              </w:rPr>
            </w:pPr>
            <w:r>
              <w:rPr>
                <w:rFonts w:hint="eastAsia"/>
                <w:color w:val="auto"/>
                <w:lang w:val="en-US" w:eastAsia="zh-CN"/>
              </w:rPr>
              <w:t>1</w:t>
            </w:r>
            <w:r>
              <w:rPr>
                <w:rFonts w:hint="default"/>
                <w:color w:val="auto"/>
              </w:rPr>
              <w:t>、</w:t>
            </w:r>
            <w:r>
              <w:rPr>
                <w:rFonts w:hint="eastAsia"/>
                <w:color w:val="auto"/>
                <w:lang w:val="en-US" w:eastAsia="zh-CN"/>
              </w:rPr>
              <w:t>擀面皮生产线</w:t>
            </w:r>
          </w:p>
          <w:p>
            <w:pPr>
              <w:pStyle w:val="81"/>
              <w:bidi w:val="0"/>
              <w:rPr>
                <w:rFonts w:hint="default" w:eastAsia="宋体"/>
                <w:color w:val="auto"/>
                <w:lang w:val="en-US" w:eastAsia="zh-CN"/>
              </w:rPr>
            </w:pPr>
            <w:r>
              <w:rPr>
                <w:color w:val="auto"/>
              </w:rPr>
              <w:object>
                <v:shape id="_x0000_i1026" o:spt="75" type="#_x0000_t75" style="height:172.6pt;width:396.7pt;" o:ole="t" filled="f" o:preferrelative="t" stroked="f" coordsize="21600,21600">
                  <v:path/>
                  <v:fill on="f" focussize="0,0"/>
                  <v:stroke on="f"/>
                  <v:imagedata r:id="rId17" o:title=""/>
                  <o:lock v:ext="edit" aspectratio="t"/>
                  <w10:wrap type="none"/>
                  <w10:anchorlock/>
                </v:shape>
                <o:OLEObject Type="Embed" ProgID="Visio.Drawing.11" ShapeID="_x0000_i1026" DrawAspect="Content" ObjectID="_1468075726" r:id="rId16">
                  <o:LockedField>false</o:LockedField>
                </o:OLEObject>
              </w:object>
            </w:r>
          </w:p>
          <w:p>
            <w:pPr>
              <w:pStyle w:val="81"/>
              <w:bidi w:val="0"/>
              <w:rPr>
                <w:rFonts w:hint="default"/>
                <w:color w:val="auto"/>
              </w:rPr>
            </w:pPr>
            <w:r>
              <w:rPr>
                <w:rFonts w:hint="default"/>
                <w:color w:val="auto"/>
              </w:rPr>
              <w:t>图</w:t>
            </w:r>
            <w:r>
              <w:rPr>
                <w:rFonts w:hint="eastAsia"/>
                <w:color w:val="auto"/>
                <w:lang w:val="en-US" w:eastAsia="zh-CN"/>
              </w:rPr>
              <w:t>2-2</w:t>
            </w:r>
            <w:r>
              <w:rPr>
                <w:rFonts w:hint="default"/>
                <w:color w:val="auto"/>
              </w:rPr>
              <w:t xml:space="preserve">   </w:t>
            </w:r>
            <w:r>
              <w:rPr>
                <w:rFonts w:hint="eastAsia"/>
                <w:color w:val="auto"/>
                <w:lang w:val="en-US" w:eastAsia="zh-CN"/>
              </w:rPr>
              <w:t>擀面皮生产线</w:t>
            </w:r>
            <w:r>
              <w:rPr>
                <w:rFonts w:hint="default"/>
                <w:color w:val="auto"/>
              </w:rPr>
              <w:t>工艺流程及产污环节</w:t>
            </w:r>
          </w:p>
          <w:p>
            <w:pPr>
              <w:bidi w:val="0"/>
              <w:rPr>
                <w:rFonts w:hint="default"/>
                <w:color w:val="auto"/>
                <w:lang w:val="en-US" w:eastAsia="zh-CN"/>
              </w:rPr>
            </w:pPr>
            <w:r>
              <w:rPr>
                <w:rFonts w:hint="eastAsia"/>
                <w:color w:val="auto"/>
                <w:lang w:val="en-US" w:eastAsia="zh-CN"/>
              </w:rPr>
              <w:t>（1）发酵</w:t>
            </w:r>
          </w:p>
          <w:p>
            <w:pPr>
              <w:bidi w:val="0"/>
              <w:rPr>
                <w:rFonts w:hint="default"/>
                <w:color w:val="auto"/>
                <w:lang w:val="en-US" w:eastAsia="zh-CN"/>
              </w:rPr>
            </w:pPr>
            <w:r>
              <w:rPr>
                <w:rFonts w:hint="eastAsia"/>
                <w:color w:val="auto"/>
                <w:lang w:val="en-US" w:eastAsia="zh-CN"/>
              </w:rPr>
              <w:t>外购的浆液在储存缸里储存，通过管路抽至发酵缸，发酵过程在发酵缸内进行，发酵温度约为20摄氏度，发酵时间约为12小时。</w:t>
            </w:r>
          </w:p>
          <w:p>
            <w:pPr>
              <w:bidi w:val="0"/>
              <w:rPr>
                <w:rFonts w:hint="default"/>
                <w:color w:val="auto"/>
                <w:lang w:val="en-US" w:eastAsia="zh-CN"/>
              </w:rPr>
            </w:pPr>
            <w:r>
              <w:rPr>
                <w:rFonts w:hint="eastAsia"/>
                <w:color w:val="auto"/>
                <w:lang w:val="en-US" w:eastAsia="zh-CN"/>
              </w:rPr>
              <w:t>（2）熟制成型</w:t>
            </w:r>
          </w:p>
          <w:p>
            <w:pPr>
              <w:bidi w:val="0"/>
              <w:rPr>
                <w:rFonts w:hint="default"/>
                <w:color w:val="auto"/>
                <w:lang w:val="en-US" w:eastAsia="zh-CN"/>
              </w:rPr>
            </w:pPr>
            <w:r>
              <w:rPr>
                <w:rFonts w:hint="eastAsia"/>
                <w:color w:val="auto"/>
                <w:lang w:val="en-US" w:eastAsia="zh-CN"/>
              </w:rPr>
              <w:t>发酵后的浆液进入多功能面皮机，在多功能面皮机内采用电加热至200摄氏度左右，使其成为片状。</w:t>
            </w:r>
          </w:p>
          <w:p>
            <w:pPr>
              <w:bidi w:val="0"/>
              <w:rPr>
                <w:rFonts w:hint="default"/>
                <w:color w:val="auto"/>
                <w:lang w:val="en-US" w:eastAsia="zh-CN"/>
              </w:rPr>
            </w:pPr>
            <w:r>
              <w:rPr>
                <w:rFonts w:hint="eastAsia"/>
                <w:color w:val="auto"/>
                <w:lang w:val="en-US" w:eastAsia="zh-CN"/>
              </w:rPr>
              <w:t>（3）自然冷却</w:t>
            </w:r>
          </w:p>
          <w:p>
            <w:pPr>
              <w:bidi w:val="0"/>
              <w:rPr>
                <w:rFonts w:hint="default"/>
                <w:lang w:val="en-US" w:eastAsia="zh-CN"/>
              </w:rPr>
            </w:pPr>
            <w:r>
              <w:rPr>
                <w:rFonts w:hint="eastAsia"/>
                <w:lang w:val="en-US" w:eastAsia="zh-CN"/>
              </w:rPr>
              <w:t>熟制成型的片状面皮在输送机输送过程自然冷却。</w:t>
            </w:r>
          </w:p>
          <w:p>
            <w:pPr>
              <w:bidi w:val="0"/>
              <w:rPr>
                <w:rFonts w:hint="default"/>
                <w:lang w:val="en-US" w:eastAsia="zh-CN"/>
              </w:rPr>
            </w:pPr>
            <w:r>
              <w:rPr>
                <w:rFonts w:hint="eastAsia"/>
                <w:lang w:val="en-US" w:eastAsia="zh-CN"/>
              </w:rPr>
              <w:t>（4）切条包装</w:t>
            </w:r>
          </w:p>
          <w:p>
            <w:pPr>
              <w:bidi w:val="0"/>
              <w:rPr>
                <w:rFonts w:hint="default"/>
                <w:color w:val="auto"/>
                <w:lang w:val="en-US" w:eastAsia="zh-CN"/>
              </w:rPr>
            </w:pPr>
            <w:r>
              <w:rPr>
                <w:rFonts w:hint="eastAsia"/>
                <w:color w:val="auto"/>
                <w:lang w:val="en-US" w:eastAsia="zh-CN"/>
              </w:rPr>
              <w:t>通过输送机冷却后进入切条机，切为条状。</w:t>
            </w:r>
          </w:p>
          <w:p>
            <w:pPr>
              <w:bidi w:val="0"/>
              <w:rPr>
                <w:rFonts w:hint="default"/>
                <w:lang w:val="en-US" w:eastAsia="zh-CN"/>
              </w:rPr>
            </w:pPr>
            <w:r>
              <w:rPr>
                <w:rFonts w:hint="eastAsia"/>
                <w:lang w:val="en-US" w:eastAsia="zh-CN"/>
              </w:rPr>
              <w:t>（5）灭菌</w:t>
            </w:r>
          </w:p>
          <w:p>
            <w:pPr>
              <w:bidi w:val="0"/>
              <w:rPr>
                <w:rFonts w:hint="eastAsia"/>
                <w:lang w:val="en-US" w:eastAsia="zh-CN"/>
              </w:rPr>
            </w:pPr>
            <w:r>
              <w:rPr>
                <w:rFonts w:hint="eastAsia"/>
                <w:lang w:val="en-US" w:eastAsia="zh-CN"/>
              </w:rPr>
              <w:t>项目擀面皮灭菌采用巴氏灭菌进行灭菌处理，使用蒸</w:t>
            </w:r>
            <w:r>
              <w:rPr>
                <w:rFonts w:hint="eastAsia"/>
                <w:highlight w:val="none"/>
                <w:lang w:val="en-US" w:eastAsia="zh-CN"/>
              </w:rPr>
              <w:t>汽锅炉将巴氏灭菌机内水加热至80℃左右进行灭菌处理。</w:t>
            </w:r>
            <w:r>
              <w:rPr>
                <w:rFonts w:hint="eastAsia"/>
                <w:lang w:val="en-US" w:eastAsia="zh-CN"/>
              </w:rPr>
              <w:t>巴氏灭菌机</w:t>
            </w:r>
            <w:r>
              <w:rPr>
                <w:rFonts w:hint="eastAsia"/>
              </w:rPr>
              <w:t>是集灭菌、冷却、风干于一体的产品，为水浴式杀菌。将内包装好的半成品放置于可调速的不锈钢网带上，在传送带的作用下按序进入灭菌箱体内(杀菌箱内的热水温度控制在80-100℃，采用换热器控温)经“高温水为介质”杀菌。杀菌后移到外包装间自然冷却降温，包装物表面自然晾干。</w:t>
            </w:r>
            <w:r>
              <w:rPr>
                <w:rFonts w:hint="eastAsia"/>
                <w:highlight w:val="none"/>
                <w:lang w:val="en-US" w:eastAsia="zh-CN"/>
              </w:rPr>
              <w:t>巴氏灭菌机内水循环利用，每5天换一次水。</w:t>
            </w:r>
          </w:p>
          <w:p>
            <w:pPr>
              <w:bidi w:val="0"/>
              <w:rPr>
                <w:rFonts w:hint="default"/>
                <w:lang w:val="en-US" w:eastAsia="zh-CN"/>
              </w:rPr>
            </w:pPr>
            <w:r>
              <w:rPr>
                <w:rFonts w:hint="eastAsia"/>
                <w:lang w:val="en-US" w:eastAsia="zh-CN"/>
              </w:rPr>
              <w:t>（6）抽检</w:t>
            </w:r>
          </w:p>
          <w:p>
            <w:pPr>
              <w:bidi w:val="0"/>
              <w:rPr>
                <w:rFonts w:hint="default"/>
                <w:lang w:val="en-US" w:eastAsia="zh-CN"/>
              </w:rPr>
            </w:pPr>
            <w:r>
              <w:rPr>
                <w:rFonts w:hint="eastAsia"/>
                <w:lang w:val="en-US" w:eastAsia="zh-CN"/>
              </w:rPr>
              <w:t>定期对灭菌后的面皮进行抽检，抽检在化验室内进行，主要对微生物等指标进行检验。该过程产生化验室废液。</w:t>
            </w:r>
          </w:p>
          <w:p>
            <w:pPr>
              <w:bidi w:val="0"/>
              <w:rPr>
                <w:rFonts w:hint="default"/>
                <w:color w:val="auto"/>
                <w:lang w:eastAsia="zh-CN"/>
              </w:rPr>
            </w:pPr>
            <w:r>
              <w:rPr>
                <w:rFonts w:hint="eastAsia"/>
                <w:color w:val="auto"/>
                <w:lang w:val="en-US" w:eastAsia="zh-CN"/>
              </w:rPr>
              <w:t>2</w:t>
            </w:r>
            <w:r>
              <w:rPr>
                <w:rFonts w:hint="default"/>
                <w:color w:val="auto"/>
              </w:rPr>
              <w:t>、</w:t>
            </w:r>
            <w:r>
              <w:rPr>
                <w:rFonts w:hint="eastAsia"/>
                <w:color w:val="auto"/>
                <w:lang w:val="en-US" w:eastAsia="zh-CN"/>
              </w:rPr>
              <w:t>面筋</w:t>
            </w:r>
            <w:r>
              <w:rPr>
                <w:rFonts w:hint="eastAsia"/>
                <w:color w:val="auto"/>
                <w:lang w:eastAsia="zh-CN"/>
              </w:rPr>
              <w:t>生产线</w:t>
            </w:r>
          </w:p>
          <w:p>
            <w:pPr>
              <w:pStyle w:val="76"/>
              <w:bidi w:val="0"/>
              <w:rPr>
                <w:rFonts w:hint="default"/>
                <w:color w:val="auto"/>
                <w:lang w:eastAsia="zh-CN"/>
              </w:rPr>
            </w:pPr>
            <w:r>
              <w:rPr>
                <w:color w:val="auto"/>
              </w:rPr>
              <w:object>
                <v:shape id="_x0000_i1027" o:spt="75" type="#_x0000_t75" style="height:174.35pt;width:387.45pt;" o:ole="t" filled="f" o:preferrelative="t" stroked="f" coordsize="21600,21600">
                  <v:path/>
                  <v:fill on="f" focussize="0,0"/>
                  <v:stroke on="f"/>
                  <v:imagedata r:id="rId19" o:title=""/>
                  <o:lock v:ext="edit" aspectratio="t"/>
                  <w10:wrap type="none"/>
                  <w10:anchorlock/>
                </v:shape>
                <o:OLEObject Type="Embed" ProgID="Visio.Drawing.11" ShapeID="_x0000_i1027" DrawAspect="Content" ObjectID="_1468075727" r:id="rId18">
                  <o:LockedField>false</o:LockedField>
                </o:OLEObject>
              </w:object>
            </w:r>
          </w:p>
          <w:p>
            <w:pPr>
              <w:pStyle w:val="81"/>
              <w:bidi w:val="0"/>
              <w:rPr>
                <w:rFonts w:hint="default"/>
                <w:color w:val="auto"/>
              </w:rPr>
            </w:pPr>
            <w:r>
              <w:rPr>
                <w:rFonts w:hint="default"/>
                <w:color w:val="auto"/>
              </w:rPr>
              <w:t>图</w:t>
            </w:r>
            <w:r>
              <w:rPr>
                <w:rFonts w:hint="eastAsia"/>
                <w:color w:val="auto"/>
                <w:lang w:val="en-US" w:eastAsia="zh-CN"/>
              </w:rPr>
              <w:t>2-3</w:t>
            </w:r>
            <w:r>
              <w:rPr>
                <w:rFonts w:hint="default"/>
                <w:color w:val="auto"/>
              </w:rPr>
              <w:t xml:space="preserve">   </w:t>
            </w:r>
            <w:r>
              <w:rPr>
                <w:rFonts w:hint="eastAsia"/>
                <w:color w:val="auto"/>
                <w:lang w:val="en-US" w:eastAsia="zh-CN"/>
              </w:rPr>
              <w:t>面筋</w:t>
            </w:r>
            <w:r>
              <w:rPr>
                <w:rFonts w:hint="eastAsia"/>
                <w:color w:val="auto"/>
                <w:lang w:eastAsia="zh-CN"/>
              </w:rPr>
              <w:t>生产线</w:t>
            </w:r>
            <w:r>
              <w:rPr>
                <w:rFonts w:hint="default"/>
                <w:color w:val="auto"/>
              </w:rPr>
              <w:t>工艺流程及产污环节</w:t>
            </w:r>
          </w:p>
          <w:p>
            <w:pPr>
              <w:bidi w:val="0"/>
              <w:rPr>
                <w:rFonts w:hint="default"/>
                <w:color w:val="auto"/>
                <w:lang w:val="en-US" w:eastAsia="zh-CN"/>
              </w:rPr>
            </w:pPr>
            <w:r>
              <w:rPr>
                <w:rFonts w:hint="eastAsia"/>
                <w:color w:val="auto"/>
                <w:lang w:val="en-US" w:eastAsia="zh-CN"/>
              </w:rPr>
              <w:t>（1）蒸煮</w:t>
            </w:r>
          </w:p>
          <w:p>
            <w:pPr>
              <w:bidi w:val="0"/>
              <w:rPr>
                <w:rFonts w:hint="default"/>
                <w:lang w:val="en-US" w:eastAsia="zh-CN"/>
              </w:rPr>
            </w:pPr>
            <w:r>
              <w:rPr>
                <w:rFonts w:hint="eastAsia"/>
                <w:lang w:val="en-US" w:eastAsia="zh-CN"/>
              </w:rPr>
              <w:t>外购的生面筋采用天然气蒸汽锅炉为热源在蒸锅内进行蒸煮，蒸煮成为熟面筋，蒸煮成熟的面筋在蒸锅内自然冷却。蒸煮过程天然气锅炉产生天然气废气。</w:t>
            </w:r>
          </w:p>
          <w:p>
            <w:pPr>
              <w:bidi w:val="0"/>
              <w:rPr>
                <w:rFonts w:hint="eastAsia"/>
                <w:color w:val="auto"/>
                <w:highlight w:val="none"/>
                <w:lang w:val="en-US" w:eastAsia="zh-CN"/>
              </w:rPr>
            </w:pPr>
            <w:r>
              <w:rPr>
                <w:rFonts w:hint="eastAsia"/>
                <w:color w:val="auto"/>
                <w:highlight w:val="none"/>
                <w:lang w:val="en-US" w:eastAsia="zh-CN"/>
              </w:rPr>
              <w:t>（2）切丁脱水</w:t>
            </w:r>
          </w:p>
          <w:p>
            <w:pPr>
              <w:bidi w:val="0"/>
              <w:rPr>
                <w:rFonts w:hint="default"/>
                <w:color w:val="auto"/>
                <w:highlight w:val="none"/>
                <w:lang w:val="en-US" w:eastAsia="zh-CN"/>
              </w:rPr>
            </w:pPr>
            <w:r>
              <w:rPr>
                <w:rFonts w:hint="eastAsia"/>
                <w:color w:val="auto"/>
                <w:highlight w:val="none"/>
                <w:lang w:val="en-US" w:eastAsia="zh-CN"/>
              </w:rPr>
              <w:t>冷却后的面筋使用甩干机进行脱水，再使用切丁机进行切丁，成为面筋丁。脱水过程产生脱水浓水，脱水浓水循环利用，每10天换一次水。</w:t>
            </w:r>
          </w:p>
          <w:p>
            <w:pPr>
              <w:bidi w:val="0"/>
              <w:rPr>
                <w:rFonts w:hint="default"/>
                <w:lang w:val="en-US" w:eastAsia="zh-CN"/>
              </w:rPr>
            </w:pPr>
            <w:r>
              <w:rPr>
                <w:rFonts w:hint="eastAsia"/>
                <w:lang w:val="en-US" w:eastAsia="zh-CN"/>
              </w:rPr>
              <w:t>（3）包装</w:t>
            </w:r>
          </w:p>
          <w:p>
            <w:pPr>
              <w:bidi w:val="0"/>
              <w:rPr>
                <w:rFonts w:hint="default"/>
                <w:lang w:val="en-US" w:eastAsia="zh-CN"/>
              </w:rPr>
            </w:pPr>
            <w:r>
              <w:rPr>
                <w:rFonts w:hint="eastAsia"/>
                <w:lang w:val="en-US" w:eastAsia="zh-CN"/>
              </w:rPr>
              <w:t>将切丁脱水后的面筋进入包装机内进行包装。包装过程主要产生噪声。</w:t>
            </w:r>
          </w:p>
          <w:p>
            <w:pPr>
              <w:bidi w:val="0"/>
              <w:rPr>
                <w:rFonts w:hint="default"/>
                <w:lang w:val="en-US" w:eastAsia="zh-CN"/>
              </w:rPr>
            </w:pPr>
            <w:r>
              <w:rPr>
                <w:rFonts w:hint="eastAsia"/>
                <w:lang w:val="en-US" w:eastAsia="zh-CN"/>
              </w:rPr>
              <w:t>（4）灭菌</w:t>
            </w:r>
          </w:p>
          <w:p>
            <w:pPr>
              <w:bidi w:val="0"/>
              <w:rPr>
                <w:rFonts w:hint="default"/>
                <w:lang w:val="en-US" w:eastAsia="zh-CN"/>
              </w:rPr>
            </w:pPr>
            <w:r>
              <w:rPr>
                <w:rFonts w:hint="eastAsia"/>
                <w:lang w:val="en-US" w:eastAsia="zh-CN"/>
              </w:rPr>
              <w:t>使用蒸汽锅炉为热源，将包装好的面筋在杀菌锅内进行灭菌。</w:t>
            </w:r>
          </w:p>
          <w:p>
            <w:pPr>
              <w:bidi w:val="0"/>
              <w:rPr>
                <w:rFonts w:hint="default"/>
                <w:color w:val="auto"/>
              </w:rPr>
            </w:pPr>
            <w:r>
              <w:rPr>
                <w:rFonts w:hint="eastAsia"/>
                <w:color w:val="auto"/>
                <w:lang w:val="en-US" w:eastAsia="zh-CN"/>
              </w:rPr>
              <w:t>3</w:t>
            </w:r>
            <w:r>
              <w:rPr>
                <w:rFonts w:hint="default"/>
                <w:color w:val="auto"/>
              </w:rPr>
              <w:t>、</w:t>
            </w:r>
            <w:r>
              <w:rPr>
                <w:rFonts w:hint="eastAsia"/>
                <w:color w:val="auto"/>
                <w:lang w:val="en-US" w:eastAsia="zh-CN"/>
              </w:rPr>
              <w:t>油泼辣子生产线</w:t>
            </w:r>
          </w:p>
          <w:p>
            <w:pPr>
              <w:pStyle w:val="81"/>
              <w:bidi w:val="0"/>
              <w:rPr>
                <w:rFonts w:hint="default" w:eastAsia="宋体"/>
                <w:color w:val="auto"/>
                <w:lang w:val="en-US" w:eastAsia="zh-CN"/>
              </w:rPr>
            </w:pPr>
            <w:r>
              <w:rPr>
                <w:color w:val="auto"/>
              </w:rPr>
              <w:object>
                <v:shape id="_x0000_i1028" o:spt="75" type="#_x0000_t75" style="height:164.2pt;width:367.7pt;" o:ole="t" filled="f" o:preferrelative="t" stroked="f" coordsize="21600,21600">
                  <v:path/>
                  <v:fill on="f" focussize="0,0"/>
                  <v:stroke on="f"/>
                  <v:imagedata r:id="rId21" o:title=""/>
                  <o:lock v:ext="edit" aspectratio="t"/>
                  <w10:wrap type="none"/>
                  <w10:anchorlock/>
                </v:shape>
                <o:OLEObject Type="Embed" ProgID="Visio.Drawing.11" ShapeID="_x0000_i1028" DrawAspect="Content" ObjectID="_1468075728" r:id="rId20">
                  <o:LockedField>false</o:LockedField>
                </o:OLEObject>
              </w:object>
            </w:r>
          </w:p>
          <w:p>
            <w:pPr>
              <w:pStyle w:val="81"/>
              <w:bidi w:val="0"/>
              <w:rPr>
                <w:rFonts w:hint="default"/>
                <w:color w:val="auto"/>
              </w:rPr>
            </w:pPr>
            <w:r>
              <w:rPr>
                <w:rFonts w:hint="default"/>
                <w:color w:val="auto"/>
              </w:rPr>
              <w:t>图</w:t>
            </w:r>
            <w:r>
              <w:rPr>
                <w:rFonts w:hint="eastAsia"/>
                <w:color w:val="auto"/>
                <w:lang w:val="en-US" w:eastAsia="zh-CN"/>
              </w:rPr>
              <w:t>2-4</w:t>
            </w:r>
            <w:r>
              <w:rPr>
                <w:rFonts w:hint="default"/>
                <w:color w:val="auto"/>
              </w:rPr>
              <w:t xml:space="preserve">   </w:t>
            </w:r>
            <w:r>
              <w:rPr>
                <w:rFonts w:hint="eastAsia"/>
                <w:color w:val="auto"/>
                <w:lang w:val="en-US" w:eastAsia="zh-CN"/>
              </w:rPr>
              <w:t>油泼辣子生产线</w:t>
            </w:r>
            <w:r>
              <w:rPr>
                <w:rFonts w:hint="default"/>
                <w:color w:val="auto"/>
              </w:rPr>
              <w:t>工艺流程及产污环节</w:t>
            </w:r>
          </w:p>
          <w:p>
            <w:pPr>
              <w:bidi w:val="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混料</w:t>
            </w:r>
          </w:p>
          <w:p>
            <w:pPr>
              <w:bidi w:val="0"/>
              <w:rPr>
                <w:rFonts w:hint="default"/>
                <w:lang w:val="en-US" w:eastAsia="zh-CN"/>
              </w:rPr>
            </w:pPr>
            <w:r>
              <w:rPr>
                <w:rFonts w:hint="eastAsia"/>
                <w:lang w:val="en-US" w:eastAsia="zh-CN"/>
              </w:rPr>
              <w:t>将孜然粉、胡椒粉、花椒粉、辣椒面、芝麻等在搅拌缸内按比例进行混料。</w:t>
            </w:r>
          </w:p>
          <w:p>
            <w:pPr>
              <w:bidi w:val="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高温油泼</w:t>
            </w:r>
          </w:p>
          <w:p>
            <w:pPr>
              <w:bidi w:val="0"/>
              <w:rPr>
                <w:rFonts w:hint="default"/>
                <w:lang w:val="en-US" w:eastAsia="zh-CN"/>
              </w:rPr>
            </w:pPr>
            <w:r>
              <w:rPr>
                <w:rFonts w:hint="eastAsia"/>
                <w:lang w:val="en-US" w:eastAsia="zh-CN"/>
              </w:rPr>
              <w:t>食用油倒入油锅内，采用天然气燃气灶进行加热，将油温烧至9成熟，倒入搅拌缸内。过程主要产生油烟废气及天然气燃烧废气。</w:t>
            </w:r>
          </w:p>
          <w:p>
            <w:pPr>
              <w:bidi w:val="0"/>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搅拌均匀</w:t>
            </w:r>
          </w:p>
          <w:p>
            <w:pPr>
              <w:bidi w:val="0"/>
              <w:rPr>
                <w:rFonts w:hint="default"/>
                <w:lang w:val="en-US" w:eastAsia="zh-CN"/>
              </w:rPr>
            </w:pPr>
            <w:r>
              <w:rPr>
                <w:rFonts w:hint="eastAsia"/>
                <w:lang w:val="en-US" w:eastAsia="zh-CN"/>
              </w:rPr>
              <w:t>将高温油泼的各类调料搅拌均匀并自然冷却。</w:t>
            </w:r>
          </w:p>
          <w:p>
            <w:pPr>
              <w:bidi w:val="0"/>
              <w:rPr>
                <w:rFonts w:hint="eastAsia"/>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包装</w:t>
            </w:r>
          </w:p>
          <w:p>
            <w:pPr>
              <w:bidi w:val="0"/>
              <w:rPr>
                <w:rFonts w:hint="default"/>
                <w:lang w:val="en-US" w:eastAsia="zh-CN"/>
              </w:rPr>
            </w:pPr>
            <w:r>
              <w:rPr>
                <w:rFonts w:hint="eastAsia"/>
                <w:lang w:val="en-US" w:eastAsia="zh-CN"/>
              </w:rPr>
              <w:t>使用包装机将油泼辣子包装成小袋。</w:t>
            </w:r>
          </w:p>
          <w:p>
            <w:pPr>
              <w:bidi w:val="0"/>
              <w:rPr>
                <w:rFonts w:hint="default"/>
                <w:color w:val="auto"/>
              </w:rPr>
            </w:pPr>
            <w:r>
              <w:rPr>
                <w:rFonts w:hint="eastAsia"/>
                <w:color w:val="auto"/>
                <w:lang w:val="en-US" w:eastAsia="zh-CN"/>
              </w:rPr>
              <w:t>4</w:t>
            </w:r>
            <w:r>
              <w:rPr>
                <w:rFonts w:hint="default"/>
                <w:color w:val="auto"/>
              </w:rPr>
              <w:t>、</w:t>
            </w:r>
            <w:r>
              <w:rPr>
                <w:rFonts w:hint="eastAsia"/>
                <w:color w:val="auto"/>
                <w:lang w:val="en-US" w:eastAsia="zh-CN"/>
              </w:rPr>
              <w:t>调料包生产线</w:t>
            </w:r>
          </w:p>
          <w:p>
            <w:pPr>
              <w:pStyle w:val="81"/>
              <w:bidi w:val="0"/>
              <w:rPr>
                <w:rFonts w:hint="default" w:eastAsia="宋体"/>
                <w:color w:val="auto"/>
                <w:lang w:val="en-US" w:eastAsia="zh-CN"/>
              </w:rPr>
            </w:pPr>
            <w:r>
              <w:rPr>
                <w:color w:val="auto"/>
              </w:rPr>
              <w:object>
                <v:shape id="_x0000_i1029" o:spt="75" type="#_x0000_t75" style="height:132.9pt;width:319.95pt;" o:ole="t" filled="f" o:preferrelative="t" stroked="f" coordsize="21600,21600">
                  <v:path/>
                  <v:fill on="f" focussize="0,0"/>
                  <v:stroke on="f"/>
                  <v:imagedata r:id="rId23" o:title=""/>
                  <o:lock v:ext="edit" aspectratio="t"/>
                  <w10:wrap type="none"/>
                  <w10:anchorlock/>
                </v:shape>
                <o:OLEObject Type="Embed" ProgID="Visio.Drawing.11" ShapeID="_x0000_i1029" DrawAspect="Content" ObjectID="_1468075729" r:id="rId22">
                  <o:LockedField>false</o:LockedField>
                </o:OLEObject>
              </w:object>
            </w:r>
          </w:p>
          <w:p>
            <w:pPr>
              <w:pStyle w:val="81"/>
              <w:bidi w:val="0"/>
              <w:rPr>
                <w:rFonts w:hint="default"/>
                <w:color w:val="auto"/>
              </w:rPr>
            </w:pPr>
            <w:r>
              <w:rPr>
                <w:rFonts w:hint="default"/>
                <w:color w:val="auto"/>
              </w:rPr>
              <w:t>图</w:t>
            </w:r>
            <w:r>
              <w:rPr>
                <w:rFonts w:hint="eastAsia"/>
                <w:color w:val="auto"/>
                <w:lang w:val="en-US" w:eastAsia="zh-CN"/>
              </w:rPr>
              <w:t>2-5</w:t>
            </w:r>
            <w:r>
              <w:rPr>
                <w:rFonts w:hint="default"/>
                <w:color w:val="auto"/>
              </w:rPr>
              <w:t xml:space="preserve">   </w:t>
            </w:r>
            <w:r>
              <w:rPr>
                <w:rFonts w:hint="eastAsia"/>
                <w:color w:val="auto"/>
                <w:lang w:val="en-US" w:eastAsia="zh-CN"/>
              </w:rPr>
              <w:t>调料包生产线</w:t>
            </w:r>
            <w:r>
              <w:rPr>
                <w:rFonts w:hint="default"/>
                <w:color w:val="auto"/>
              </w:rPr>
              <w:t>工艺流程及产污环节</w:t>
            </w:r>
          </w:p>
          <w:p>
            <w:pPr>
              <w:bidi w:val="0"/>
              <w:rPr>
                <w:rFonts w:hint="default"/>
                <w:lang w:val="en-US" w:eastAsia="zh-CN"/>
              </w:rPr>
            </w:pPr>
            <w:r>
              <w:rPr>
                <w:rFonts w:hint="eastAsia"/>
                <w:lang w:val="en-US" w:eastAsia="zh-CN"/>
              </w:rPr>
              <w:t>（1）烧水</w:t>
            </w:r>
          </w:p>
          <w:p>
            <w:pPr>
              <w:bidi w:val="0"/>
              <w:rPr>
                <w:rFonts w:hint="default"/>
                <w:lang w:val="en-US" w:eastAsia="zh-CN"/>
              </w:rPr>
            </w:pPr>
            <w:r>
              <w:rPr>
                <w:rFonts w:hint="eastAsia"/>
                <w:lang w:val="en-US" w:eastAsia="zh-CN"/>
              </w:rPr>
              <w:t>烧水过程使用电烧水缸，将水加热。</w:t>
            </w:r>
          </w:p>
          <w:p>
            <w:pPr>
              <w:bidi w:val="0"/>
              <w:rPr>
                <w:rFonts w:hint="default"/>
                <w:lang w:val="en-US" w:eastAsia="zh-CN"/>
              </w:rPr>
            </w:pPr>
            <w:r>
              <w:rPr>
                <w:rFonts w:hint="eastAsia"/>
                <w:lang w:val="en-US" w:eastAsia="zh-CN"/>
              </w:rPr>
              <w:t>（2）搅拌</w:t>
            </w:r>
          </w:p>
          <w:p>
            <w:pPr>
              <w:bidi w:val="0"/>
              <w:rPr>
                <w:rFonts w:hint="default"/>
                <w:lang w:val="en-US" w:eastAsia="zh-CN"/>
              </w:rPr>
            </w:pPr>
            <w:r>
              <w:rPr>
                <w:rFonts w:hint="eastAsia"/>
                <w:lang w:val="en-US" w:eastAsia="zh-CN"/>
              </w:rPr>
              <w:t>将香辛料、盐、醋及水按比例进行搅拌。</w:t>
            </w:r>
          </w:p>
          <w:p>
            <w:pPr>
              <w:bidi w:val="0"/>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灌装</w:t>
            </w:r>
          </w:p>
          <w:p>
            <w:pPr>
              <w:bidi w:val="0"/>
              <w:rPr>
                <w:rFonts w:hint="default"/>
                <w:lang w:val="en-US" w:eastAsia="zh-CN"/>
              </w:rPr>
            </w:pPr>
            <w:r>
              <w:rPr>
                <w:rFonts w:hint="eastAsia"/>
                <w:lang w:val="en-US" w:eastAsia="zh-CN"/>
              </w:rPr>
              <w:t>使用灌装机将调料灌装成调料包。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eastAsia="zh-CN"/>
              </w:rPr>
              <w:t>三</w:t>
            </w:r>
            <w:r>
              <w:rPr>
                <w:rFonts w:hint="default" w:ascii="Times New Roman" w:hAnsi="Times New Roman" w:eastAsia="宋体" w:cs="Times New Roman"/>
                <w:b/>
                <w:color w:val="auto"/>
                <w:sz w:val="24"/>
                <w:szCs w:val="24"/>
              </w:rPr>
              <w:t>、项目污染工序及污染因子表</w:t>
            </w:r>
          </w:p>
          <w:p>
            <w:pPr>
              <w:pStyle w:val="81"/>
              <w:bidi w:val="0"/>
              <w:rPr>
                <w:rFonts w:hint="default"/>
                <w:color w:val="auto"/>
              </w:rPr>
            </w:pPr>
            <w:r>
              <w:rPr>
                <w:rFonts w:hint="default"/>
                <w:color w:val="auto"/>
              </w:rPr>
              <w:t>表</w:t>
            </w:r>
            <w:r>
              <w:rPr>
                <w:rFonts w:hint="eastAsia"/>
                <w:color w:val="auto"/>
                <w:lang w:val="en-US" w:eastAsia="zh-CN"/>
              </w:rPr>
              <w:t>2-7</w:t>
            </w:r>
            <w:r>
              <w:rPr>
                <w:rFonts w:hint="default"/>
                <w:color w:val="auto"/>
              </w:rPr>
              <w:t xml:space="preserve">   运营期污染产生情况一览表</w:t>
            </w:r>
          </w:p>
          <w:tbl>
            <w:tblPr>
              <w:tblStyle w:val="31"/>
              <w:tblW w:w="79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763"/>
              <w:gridCol w:w="2325"/>
              <w:gridCol w:w="3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类别</w:t>
                  </w:r>
                </w:p>
              </w:tc>
              <w:tc>
                <w:tcPr>
                  <w:tcW w:w="1763"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污染源</w:t>
                  </w:r>
                </w:p>
              </w:tc>
              <w:tc>
                <w:tcPr>
                  <w:tcW w:w="2325"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污染因子</w:t>
                  </w:r>
                </w:p>
              </w:tc>
              <w:tc>
                <w:tcPr>
                  <w:tcW w:w="3033"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restart"/>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w:t>
                  </w:r>
                </w:p>
              </w:tc>
              <w:tc>
                <w:tcPr>
                  <w:tcW w:w="176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蒸汽锅炉</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颗粒物、氮氧化物、二氧化硫</w:t>
                  </w:r>
                </w:p>
              </w:tc>
              <w:tc>
                <w:tcPr>
                  <w:tcW w:w="303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低氮燃烧器+15m排气筒DA001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default" w:ascii="Times New Roman" w:hAnsi="Times New Roman" w:cs="Times New Roman"/>
                      <w:color w:val="auto"/>
                      <w:lang w:val="en-US" w:eastAsia="zh-CN"/>
                    </w:rPr>
                  </w:pPr>
                </w:p>
              </w:tc>
              <w:tc>
                <w:tcPr>
                  <w:tcW w:w="1763" w:type="dxa"/>
                  <w:vMerge w:val="restart"/>
                  <w:tcBorders>
                    <w:tl2br w:val="nil"/>
                    <w:tr2bl w:val="nil"/>
                  </w:tcBorders>
                  <w:shd w:val="clear" w:color="auto" w:fill="auto"/>
                  <w:vAlign w:val="center"/>
                </w:tcPr>
                <w:p>
                  <w:pPr>
                    <w:pStyle w:val="32"/>
                    <w:keepNext w:val="0"/>
                    <w:keepLines w:val="0"/>
                    <w:pageBreakBefore w:val="0"/>
                    <w:widowControl w:val="0"/>
                    <w:kinsoku/>
                    <w:wordWrap/>
                    <w:overflowPunct/>
                    <w:topLinePunct w:val="0"/>
                    <w:autoSpaceDE/>
                    <w:autoSpaceDN/>
                    <w:bidi w:val="0"/>
                    <w:ind w:left="-24" w:leftChars="-10" w:right="-24" w:rightChars="-1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高温油泼</w:t>
                  </w:r>
                </w:p>
              </w:tc>
              <w:tc>
                <w:tcPr>
                  <w:tcW w:w="232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油烟</w:t>
                  </w:r>
                </w:p>
              </w:tc>
              <w:tc>
                <w:tcPr>
                  <w:tcW w:w="303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tLeast"/>
                    <w:ind w:left="-24" w:leftChars="-10" w:right="-24" w:rightChars="-1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集气罩+油烟净化器+排气筒（DA002及DA003）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default" w:ascii="Times New Roman" w:hAnsi="Times New Roman" w:cs="Times New Roman"/>
                      <w:color w:val="auto"/>
                      <w:lang w:val="en-US" w:eastAsia="zh-CN"/>
                    </w:rPr>
                  </w:pPr>
                </w:p>
              </w:tc>
              <w:tc>
                <w:tcPr>
                  <w:tcW w:w="1763"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firstLine="0" w:firstLineChars="0"/>
                    <w:rPr>
                      <w:rFonts w:hint="default" w:ascii="Times New Roman" w:hAnsi="Times New Roman" w:eastAsia="宋体" w:cs="Times New Roman"/>
                      <w:color w:val="auto"/>
                      <w:kern w:val="0"/>
                      <w:sz w:val="21"/>
                      <w:szCs w:val="21"/>
                      <w:lang w:val="en-US" w:eastAsia="zh-CN" w:bidi="ar-SA"/>
                    </w:rPr>
                  </w:pP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颗粒物、氮氧化物、二氧化硫</w:t>
                  </w:r>
                </w:p>
              </w:tc>
              <w:tc>
                <w:tcPr>
                  <w:tcW w:w="303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restart"/>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废水</w:t>
                  </w:r>
                </w:p>
              </w:tc>
              <w:tc>
                <w:tcPr>
                  <w:tcW w:w="1763"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车间清洗废水</w:t>
                  </w:r>
                </w:p>
              </w:tc>
              <w:tc>
                <w:tcPr>
                  <w:tcW w:w="2325" w:type="dxa"/>
                  <w:vMerge w:val="restart"/>
                  <w:tcBorders>
                    <w:tl2br w:val="nil"/>
                    <w:tr2bl w:val="nil"/>
                  </w:tcBorders>
                  <w:vAlign w:val="center"/>
                </w:tcPr>
                <w:p>
                  <w:pPr>
                    <w:pStyle w:val="35"/>
                    <w:bidi w:val="0"/>
                    <w:ind w:left="-24" w:leftChars="-10" w:right="-24" w:rightChars="-10" w:firstLine="0" w:firstLineChars="0"/>
                    <w:rPr>
                      <w:rFonts w:hint="eastAsia" w:ascii="Times New Roman" w:hAnsi="Times New Roman" w:eastAsia="宋体"/>
                      <w:bCs/>
                      <w:color w:val="auto"/>
                      <w:kern w:val="0"/>
                      <w:sz w:val="21"/>
                      <w:szCs w:val="21"/>
                      <w:lang w:val="en-US" w:eastAsia="zh-CN" w:bidi="ar-SA"/>
                    </w:rPr>
                  </w:pPr>
                  <w:r>
                    <w:rPr>
                      <w:rFonts w:hint="default" w:ascii="Times New Roman" w:hAnsi="Times New Roman" w:eastAsia="宋体" w:cs="Times New Roman"/>
                      <w:color w:val="auto"/>
                      <w:spacing w:val="0"/>
                      <w:szCs w:val="21"/>
                      <w:highlight w:val="none"/>
                    </w:rPr>
                    <w:t>COD、BOD</w:t>
                  </w:r>
                  <w:r>
                    <w:rPr>
                      <w:rFonts w:hint="default" w:ascii="Times New Roman" w:hAnsi="Times New Roman" w:eastAsia="宋体" w:cs="Times New Roman"/>
                      <w:color w:val="auto"/>
                      <w:spacing w:val="0"/>
                      <w:szCs w:val="21"/>
                      <w:highlight w:val="none"/>
                      <w:vertAlign w:val="subscript"/>
                    </w:rPr>
                    <w:t>5</w:t>
                  </w:r>
                  <w:r>
                    <w:rPr>
                      <w:rFonts w:hint="default" w:ascii="Times New Roman" w:hAnsi="Times New Roman" w:eastAsia="宋体" w:cs="Times New Roman"/>
                      <w:color w:val="auto"/>
                      <w:spacing w:val="0"/>
                      <w:szCs w:val="21"/>
                      <w:highlight w:val="none"/>
                    </w:rPr>
                    <w:t>、SS、NH</w:t>
                  </w:r>
                  <w:r>
                    <w:rPr>
                      <w:rFonts w:hint="default" w:ascii="Times New Roman" w:hAnsi="Times New Roman" w:eastAsia="宋体" w:cs="Times New Roman"/>
                      <w:color w:val="auto"/>
                      <w:spacing w:val="0"/>
                      <w:szCs w:val="21"/>
                      <w:highlight w:val="none"/>
                      <w:vertAlign w:val="subscript"/>
                    </w:rPr>
                    <w:t>3</w:t>
                  </w:r>
                  <w:r>
                    <w:rPr>
                      <w:rFonts w:hint="default" w:ascii="Times New Roman" w:hAnsi="Times New Roman" w:eastAsia="宋体" w:cs="Times New Roman"/>
                      <w:color w:val="auto"/>
                      <w:spacing w:val="0"/>
                      <w:szCs w:val="21"/>
                      <w:highlight w:val="none"/>
                    </w:rPr>
                    <w:t>-N</w:t>
                  </w:r>
                  <w:r>
                    <w:rPr>
                      <w:rFonts w:hint="eastAsia" w:cs="Times New Roman"/>
                      <w:color w:val="auto"/>
                      <w:spacing w:val="0"/>
                      <w:szCs w:val="21"/>
                      <w:highlight w:val="none"/>
                      <w:lang w:eastAsia="zh-CN"/>
                    </w:rPr>
                    <w:t>、</w:t>
                  </w:r>
                  <w:r>
                    <w:rPr>
                      <w:rFonts w:hint="eastAsia" w:cs="Times New Roman"/>
                      <w:color w:val="auto"/>
                      <w:spacing w:val="0"/>
                      <w:szCs w:val="21"/>
                      <w:highlight w:val="none"/>
                      <w:lang w:val="en-US" w:eastAsia="zh-CN"/>
                    </w:rPr>
                    <w:t>动植物油</w:t>
                  </w:r>
                </w:p>
              </w:tc>
              <w:tc>
                <w:tcPr>
                  <w:tcW w:w="3033" w:type="dxa"/>
                  <w:vMerge w:val="restart"/>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污水储罐暂存后拉运至岐山县大源污水处理厂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p>
              </w:tc>
              <w:tc>
                <w:tcPr>
                  <w:tcW w:w="1763"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设备清洗废水</w:t>
                  </w:r>
                </w:p>
              </w:tc>
              <w:tc>
                <w:tcPr>
                  <w:tcW w:w="2325" w:type="dxa"/>
                  <w:vMerge w:val="continue"/>
                  <w:tcBorders>
                    <w:tl2br w:val="nil"/>
                    <w:tr2bl w:val="nil"/>
                  </w:tcBorders>
                  <w:vAlign w:val="center"/>
                </w:tcPr>
                <w:p>
                  <w:pPr>
                    <w:pStyle w:val="35"/>
                    <w:bidi w:val="0"/>
                    <w:ind w:left="-24" w:leftChars="-10" w:right="-24" w:rightChars="-10" w:firstLine="0" w:firstLineChars="0"/>
                    <w:rPr>
                      <w:rFonts w:hint="eastAsia" w:ascii="Times New Roman" w:hAnsi="Times New Roman" w:eastAsia="宋体"/>
                      <w:bCs/>
                      <w:color w:val="auto"/>
                      <w:kern w:val="0"/>
                      <w:sz w:val="21"/>
                      <w:szCs w:val="21"/>
                      <w:lang w:val="en-US" w:eastAsia="zh-CN" w:bidi="ar-SA"/>
                    </w:rPr>
                  </w:pPr>
                </w:p>
              </w:tc>
              <w:tc>
                <w:tcPr>
                  <w:tcW w:w="3033" w:type="dxa"/>
                  <w:vMerge w:val="continue"/>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eastAsia" w:ascii="Times New Roman" w:hAnsi="Times New Roman" w:eastAsia="宋体" w:cs="Times New Roman"/>
                      <w:color w:val="auto"/>
                      <w:kern w:val="0"/>
                      <w:sz w:val="21"/>
                      <w:szCs w:val="21"/>
                      <w:lang w:val="en-US" w:eastAsia="zh-CN" w:bidi="ar-SA"/>
                    </w:rPr>
                  </w:pPr>
                </w:p>
              </w:tc>
              <w:tc>
                <w:tcPr>
                  <w:tcW w:w="1763" w:type="dxa"/>
                  <w:tcBorders>
                    <w:tl2br w:val="nil"/>
                    <w:tr2bl w:val="nil"/>
                  </w:tcBorders>
                  <w:vAlign w:val="center"/>
                </w:tcPr>
                <w:p>
                  <w:pPr>
                    <w:pStyle w:val="35"/>
                    <w:bidi w:val="0"/>
                    <w:rPr>
                      <w:rFonts w:hint="default" w:eastAsia="宋体"/>
                      <w:color w:val="auto"/>
                      <w:lang w:val="en-US" w:eastAsia="zh-CN"/>
                    </w:rPr>
                  </w:pPr>
                  <w:r>
                    <w:rPr>
                      <w:rFonts w:hint="eastAsia"/>
                      <w:color w:val="auto"/>
                      <w:lang w:val="en-US" w:eastAsia="zh-CN"/>
                    </w:rPr>
                    <w:t>面筋脱水</w:t>
                  </w:r>
                </w:p>
              </w:tc>
              <w:tc>
                <w:tcPr>
                  <w:tcW w:w="2325" w:type="dxa"/>
                  <w:vMerge w:val="continue"/>
                  <w:tcBorders>
                    <w:tl2br w:val="nil"/>
                    <w:tr2bl w:val="nil"/>
                  </w:tcBorders>
                  <w:vAlign w:val="center"/>
                </w:tcPr>
                <w:p>
                  <w:pPr>
                    <w:pStyle w:val="35"/>
                    <w:bidi w:val="0"/>
                    <w:ind w:left="-24" w:leftChars="-10" w:right="-24" w:rightChars="-10" w:firstLine="0" w:firstLineChars="0"/>
                    <w:rPr>
                      <w:rFonts w:hint="eastAsia" w:ascii="Times New Roman" w:hAnsi="Times New Roman" w:eastAsia="宋体"/>
                      <w:bCs/>
                      <w:color w:val="auto"/>
                      <w:kern w:val="0"/>
                      <w:sz w:val="21"/>
                      <w:szCs w:val="21"/>
                      <w:lang w:val="en-US" w:eastAsia="zh-CN" w:bidi="ar-SA"/>
                    </w:rPr>
                  </w:pPr>
                </w:p>
              </w:tc>
              <w:tc>
                <w:tcPr>
                  <w:tcW w:w="3033" w:type="dxa"/>
                  <w:vMerge w:val="continue"/>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eastAsia" w:ascii="Times New Roman" w:hAnsi="Times New Roman" w:eastAsia="宋体" w:cs="Times New Roman"/>
                      <w:color w:val="auto"/>
                      <w:kern w:val="0"/>
                      <w:sz w:val="21"/>
                      <w:szCs w:val="21"/>
                      <w:lang w:val="en-US" w:eastAsia="zh-CN" w:bidi="ar-SA"/>
                    </w:rPr>
                  </w:pPr>
                </w:p>
              </w:tc>
              <w:tc>
                <w:tcPr>
                  <w:tcW w:w="1763" w:type="dxa"/>
                  <w:tcBorders>
                    <w:tl2br w:val="nil"/>
                    <w:tr2bl w:val="nil"/>
                  </w:tcBorders>
                  <w:vAlign w:val="center"/>
                </w:tcPr>
                <w:p>
                  <w:pPr>
                    <w:pStyle w:val="35"/>
                    <w:bidi w:val="0"/>
                    <w:rPr>
                      <w:rFonts w:hint="default"/>
                      <w:color w:val="auto"/>
                      <w:lang w:val="en-US" w:eastAsia="zh-CN"/>
                    </w:rPr>
                  </w:pPr>
                  <w:r>
                    <w:rPr>
                      <w:rFonts w:hint="eastAsia"/>
                      <w:color w:val="auto"/>
                      <w:lang w:val="en-US" w:eastAsia="zh-CN"/>
                    </w:rPr>
                    <w:t>灭菌废水</w:t>
                  </w:r>
                </w:p>
              </w:tc>
              <w:tc>
                <w:tcPr>
                  <w:tcW w:w="2325" w:type="dxa"/>
                  <w:vMerge w:val="continue"/>
                  <w:tcBorders>
                    <w:tl2br w:val="nil"/>
                    <w:tr2bl w:val="nil"/>
                  </w:tcBorders>
                  <w:vAlign w:val="center"/>
                </w:tcPr>
                <w:p>
                  <w:pPr>
                    <w:pStyle w:val="35"/>
                    <w:bidi w:val="0"/>
                    <w:ind w:left="-24" w:leftChars="-10" w:right="-24" w:rightChars="-10" w:firstLine="0" w:firstLineChars="0"/>
                    <w:rPr>
                      <w:rFonts w:hint="eastAsia" w:ascii="Times New Roman" w:hAnsi="Times New Roman" w:eastAsia="宋体"/>
                      <w:bCs/>
                      <w:color w:val="auto"/>
                      <w:kern w:val="0"/>
                      <w:sz w:val="21"/>
                      <w:szCs w:val="21"/>
                      <w:lang w:val="en-US" w:eastAsia="zh-CN" w:bidi="ar-SA"/>
                    </w:rPr>
                  </w:pPr>
                </w:p>
              </w:tc>
              <w:tc>
                <w:tcPr>
                  <w:tcW w:w="3033" w:type="dxa"/>
                  <w:vMerge w:val="continue"/>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噪声</w:t>
                  </w:r>
                </w:p>
              </w:tc>
              <w:tc>
                <w:tcPr>
                  <w:tcW w:w="1763" w:type="dxa"/>
                  <w:tcBorders>
                    <w:tl2br w:val="nil"/>
                    <w:tr2bl w:val="nil"/>
                  </w:tcBorders>
                  <w:vAlign w:val="center"/>
                </w:tcPr>
                <w:p>
                  <w:pPr>
                    <w:pStyle w:val="32"/>
                    <w:bidi w:val="0"/>
                    <w:rPr>
                      <w:rFonts w:hint="default"/>
                      <w:color w:val="auto"/>
                      <w:lang w:val="en-US" w:eastAsia="zh-CN"/>
                    </w:rPr>
                  </w:pPr>
                  <w:r>
                    <w:rPr>
                      <w:rFonts w:hint="default"/>
                      <w:color w:val="auto"/>
                    </w:rPr>
                    <w:t>设备噪声</w:t>
                  </w:r>
                </w:p>
              </w:tc>
              <w:tc>
                <w:tcPr>
                  <w:tcW w:w="2325" w:type="dxa"/>
                  <w:tcBorders>
                    <w:tl2br w:val="nil"/>
                    <w:tr2bl w:val="nil"/>
                  </w:tcBorders>
                  <w:vAlign w:val="center"/>
                </w:tcPr>
                <w:p>
                  <w:pPr>
                    <w:pStyle w:val="32"/>
                    <w:bidi w:val="0"/>
                    <w:rPr>
                      <w:rFonts w:hint="default"/>
                      <w:color w:val="auto"/>
                      <w:lang w:val="en-US" w:eastAsia="zh-CN"/>
                    </w:rPr>
                  </w:pPr>
                  <w:r>
                    <w:rPr>
                      <w:rFonts w:hint="default"/>
                      <w:color w:val="auto"/>
                    </w:rPr>
                    <w:t>等效A声级</w:t>
                  </w:r>
                </w:p>
              </w:tc>
              <w:tc>
                <w:tcPr>
                  <w:tcW w:w="3033" w:type="dxa"/>
                  <w:tcBorders>
                    <w:tl2br w:val="nil"/>
                    <w:tr2bl w:val="nil"/>
                  </w:tcBorders>
                  <w:vAlign w:val="center"/>
                </w:tcPr>
                <w:p>
                  <w:pPr>
                    <w:pStyle w:val="32"/>
                    <w:bidi w:val="0"/>
                    <w:rPr>
                      <w:rFonts w:hint="default"/>
                      <w:color w:val="auto"/>
                      <w:lang w:val="en-US" w:eastAsia="zh-CN"/>
                    </w:rPr>
                  </w:pPr>
                  <w:r>
                    <w:rPr>
                      <w:rFonts w:hint="default"/>
                      <w:color w:val="auto"/>
                      <w:lang w:val="en-US" w:eastAsia="zh-CN"/>
                    </w:rPr>
                    <w:t>生产设备均布置于车间内，选用低噪声设备，基础减振。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40" w:type="dxa"/>
                  <w:vMerge w:val="restart"/>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lang w:val="en-US" w:eastAsia="zh-CN"/>
                    </w:rPr>
                    <w:t>固废</w:t>
                  </w:r>
                </w:p>
              </w:tc>
              <w:tc>
                <w:tcPr>
                  <w:tcW w:w="1763"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生产过程</w:t>
                  </w:r>
                </w:p>
              </w:tc>
              <w:tc>
                <w:tcPr>
                  <w:tcW w:w="2325"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highlight w:val="none"/>
                    </w:rPr>
                    <w:t>不合格面皮、过期面皮</w:t>
                  </w:r>
                </w:p>
              </w:tc>
              <w:tc>
                <w:tcPr>
                  <w:tcW w:w="3033"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外售作为饲料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eastAsia" w:ascii="Times New Roman" w:hAnsi="Times New Roman" w:eastAsia="宋体" w:cs="Times New Roman"/>
                      <w:color w:val="auto"/>
                      <w:highlight w:val="none"/>
                      <w:lang w:val="en-US" w:eastAsia="zh-CN"/>
                    </w:rPr>
                  </w:pPr>
                </w:p>
              </w:tc>
              <w:tc>
                <w:tcPr>
                  <w:tcW w:w="1763"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包装</w:t>
                  </w:r>
                </w:p>
              </w:tc>
              <w:tc>
                <w:tcPr>
                  <w:tcW w:w="2325" w:type="dxa"/>
                  <w:tcBorders>
                    <w:tl2br w:val="nil"/>
                    <w:tr2bl w:val="nil"/>
                  </w:tcBorders>
                  <w:shd w:val="clear" w:color="auto" w:fill="auto"/>
                  <w:vAlign w:val="center"/>
                </w:tcPr>
                <w:p>
                  <w:pPr>
                    <w:pStyle w:val="32"/>
                    <w:bidi w:val="0"/>
                    <w:ind w:firstLine="0" w:firstLineChars="0"/>
                    <w:rPr>
                      <w:rFonts w:hint="eastAsia" w:ascii="Times New Roman" w:hAnsi="Times New Roman" w:eastAsia="宋体" w:cs="Times New Roman"/>
                      <w:color w:val="auto"/>
                      <w:kern w:val="0"/>
                      <w:sz w:val="21"/>
                      <w:szCs w:val="21"/>
                      <w:highlight w:val="none"/>
                      <w:lang w:val="en-US" w:eastAsia="zh-CN" w:bidi="ar-SA"/>
                    </w:rPr>
                  </w:pPr>
                  <w:r>
                    <w:rPr>
                      <w:highlight w:val="none"/>
                    </w:rPr>
                    <w:t>废包装材料</w:t>
                  </w:r>
                </w:p>
              </w:tc>
              <w:tc>
                <w:tcPr>
                  <w:tcW w:w="3033"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外售物资回收部门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eastAsia" w:ascii="Times New Roman" w:hAnsi="Times New Roman" w:eastAsia="宋体" w:cs="Times New Roman"/>
                      <w:color w:val="auto"/>
                      <w:highlight w:val="none"/>
                      <w:lang w:val="en-US" w:eastAsia="zh-CN"/>
                    </w:rPr>
                  </w:pPr>
                </w:p>
              </w:tc>
              <w:tc>
                <w:tcPr>
                  <w:tcW w:w="1763"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纯水制备</w:t>
                  </w:r>
                </w:p>
              </w:tc>
              <w:tc>
                <w:tcPr>
                  <w:tcW w:w="2325" w:type="dxa"/>
                  <w:tcBorders>
                    <w:tl2br w:val="nil"/>
                    <w:tr2bl w:val="nil"/>
                  </w:tcBorders>
                  <w:shd w:val="clear" w:color="auto" w:fill="auto"/>
                  <w:vAlign w:val="center"/>
                </w:tcPr>
                <w:p>
                  <w:pPr>
                    <w:pStyle w:val="32"/>
                    <w:bidi w:val="0"/>
                    <w:ind w:firstLine="0" w:firstLineChars="0"/>
                    <w:rPr>
                      <w:rFonts w:hint="default" w:cs="Times New Roman"/>
                      <w:color w:val="auto"/>
                      <w:highlight w:val="none"/>
                      <w:lang w:val="en-US" w:eastAsia="zh-CN"/>
                    </w:rPr>
                  </w:pPr>
                  <w:r>
                    <w:rPr>
                      <w:highlight w:val="none"/>
                    </w:rPr>
                    <w:t>废过滤材料</w:t>
                  </w:r>
                </w:p>
              </w:tc>
              <w:tc>
                <w:tcPr>
                  <w:tcW w:w="3033" w:type="dxa"/>
                  <w:tcBorders>
                    <w:tl2br w:val="nil"/>
                    <w:tr2bl w:val="nil"/>
                  </w:tcBorders>
                  <w:shd w:val="clear" w:color="auto" w:fill="auto"/>
                  <w:vAlign w:val="center"/>
                </w:tcPr>
                <w:p>
                  <w:pPr>
                    <w:pStyle w:val="32"/>
                    <w:bidi w:val="0"/>
                    <w:ind w:firstLine="0" w:firstLineChars="0"/>
                    <w:rPr>
                      <w:rFonts w:hint="default" w:cs="Times New Roman"/>
                      <w:color w:val="auto"/>
                      <w:highlight w:val="none"/>
                      <w:lang w:val="en-US" w:eastAsia="zh-CN"/>
                    </w:rPr>
                  </w:pPr>
                  <w:r>
                    <w:rPr>
                      <w:rFonts w:hint="eastAsia" w:cs="Times New Roman"/>
                      <w:color w:val="auto"/>
                      <w:kern w:val="0"/>
                      <w:sz w:val="21"/>
                      <w:szCs w:val="21"/>
                      <w:highlight w:val="none"/>
                      <w:lang w:val="en-US" w:eastAsia="zh-CN" w:bidi="ar-SA"/>
                    </w:rPr>
                    <w:t>外售物资回收部门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eastAsia" w:ascii="Times New Roman" w:hAnsi="Times New Roman" w:eastAsia="宋体" w:cs="Times New Roman"/>
                      <w:color w:val="auto"/>
                      <w:highlight w:val="none"/>
                      <w:lang w:val="en-US" w:eastAsia="zh-CN"/>
                    </w:rPr>
                  </w:pPr>
                  <w:r>
                    <w:rPr>
                      <w:rFonts w:hint="eastAsia"/>
                      <w:lang w:val="en-US" w:eastAsia="zh-CN"/>
                    </w:rPr>
                    <w:t>废离子交换树脂</w:t>
                  </w:r>
                </w:p>
              </w:tc>
              <w:tc>
                <w:tcPr>
                  <w:tcW w:w="1763"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软水制备</w:t>
                  </w:r>
                </w:p>
              </w:tc>
              <w:tc>
                <w:tcPr>
                  <w:tcW w:w="2325" w:type="dxa"/>
                  <w:tcBorders>
                    <w:tl2br w:val="nil"/>
                    <w:tr2bl w:val="nil"/>
                  </w:tcBorders>
                  <w:shd w:val="clear" w:color="auto" w:fill="auto"/>
                  <w:vAlign w:val="center"/>
                </w:tcPr>
                <w:p>
                  <w:pPr>
                    <w:pStyle w:val="32"/>
                    <w:bidi w:val="0"/>
                    <w:ind w:firstLine="0" w:firstLineChars="0"/>
                    <w:rPr>
                      <w:highlight w:val="none"/>
                    </w:rPr>
                  </w:pPr>
                  <w:r>
                    <w:rPr>
                      <w:rFonts w:hint="eastAsia"/>
                      <w:highlight w:val="none"/>
                      <w:lang w:val="en-US" w:eastAsia="zh-CN"/>
                    </w:rPr>
                    <w:t>废离子交换树脂</w:t>
                  </w:r>
                </w:p>
              </w:tc>
              <w:tc>
                <w:tcPr>
                  <w:tcW w:w="3033" w:type="dxa"/>
                  <w:tcBorders>
                    <w:tl2br w:val="nil"/>
                    <w:tr2bl w:val="nil"/>
                  </w:tcBorders>
                  <w:shd w:val="clear" w:color="auto" w:fill="auto"/>
                  <w:vAlign w:val="center"/>
                </w:tcPr>
                <w:p>
                  <w:pPr>
                    <w:pStyle w:val="32"/>
                    <w:bidi w:val="0"/>
                    <w:ind w:firstLine="0" w:firstLineChars="0"/>
                    <w:rPr>
                      <w:rFonts w:hint="default" w:cs="Times New Roman"/>
                      <w:color w:val="auto"/>
                      <w:highlight w:val="none"/>
                      <w:lang w:val="en-US" w:eastAsia="zh-CN"/>
                    </w:rPr>
                  </w:pPr>
                  <w:r>
                    <w:rPr>
                      <w:rFonts w:hint="eastAsia" w:cs="Times New Roman"/>
                      <w:color w:val="auto"/>
                      <w:kern w:val="0"/>
                      <w:sz w:val="21"/>
                      <w:szCs w:val="21"/>
                      <w:highlight w:val="none"/>
                      <w:lang w:val="en-US" w:eastAsia="zh-CN" w:bidi="ar-SA"/>
                    </w:rPr>
                    <w:t>外售物资回收部门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eastAsia" w:ascii="Times New Roman" w:hAnsi="Times New Roman" w:eastAsia="宋体" w:cs="Times New Roman"/>
                      <w:color w:val="auto"/>
                      <w:highlight w:val="none"/>
                      <w:lang w:val="en-US" w:eastAsia="zh-CN"/>
                    </w:rPr>
                  </w:pPr>
                </w:p>
              </w:tc>
              <w:tc>
                <w:tcPr>
                  <w:tcW w:w="1763"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设备检修</w:t>
                  </w:r>
                </w:p>
              </w:tc>
              <w:tc>
                <w:tcPr>
                  <w:tcW w:w="2325" w:type="dxa"/>
                  <w:tcBorders>
                    <w:tl2br w:val="nil"/>
                    <w:tr2bl w:val="nil"/>
                  </w:tcBorders>
                  <w:shd w:val="clear" w:color="auto" w:fill="auto"/>
                  <w:vAlign w:val="center"/>
                </w:tcPr>
                <w:p>
                  <w:pPr>
                    <w:pStyle w:val="32"/>
                    <w:bidi w:val="0"/>
                    <w:ind w:firstLine="0" w:firstLineChars="0"/>
                  </w:pPr>
                  <w:r>
                    <w:rPr>
                      <w:rFonts w:hint="eastAsia" w:ascii="Times New Roman" w:hAnsi="Times New Roman" w:eastAsia="宋体" w:cs="Times New Roman"/>
                      <w:color w:val="auto"/>
                      <w:lang w:val="en-US" w:eastAsia="zh-CN"/>
                    </w:rPr>
                    <w:t>废真空泵油</w:t>
                  </w:r>
                </w:p>
              </w:tc>
              <w:tc>
                <w:tcPr>
                  <w:tcW w:w="3033" w:type="dxa"/>
                  <w:vMerge w:val="restart"/>
                  <w:tcBorders>
                    <w:tl2br w:val="nil"/>
                    <w:tr2bl w:val="nil"/>
                  </w:tcBorders>
                  <w:shd w:val="clear" w:color="auto" w:fill="auto"/>
                  <w:vAlign w:val="center"/>
                </w:tcPr>
                <w:p>
                  <w:pPr>
                    <w:pStyle w:val="32"/>
                    <w:bidi w:val="0"/>
                    <w:ind w:firstLine="0" w:firstLineChars="0"/>
                    <w:rPr>
                      <w:rFonts w:hint="default" w:cs="Times New Roman"/>
                      <w:color w:val="auto"/>
                      <w:highlight w:val="none"/>
                      <w:lang w:val="en-US" w:eastAsia="zh-CN"/>
                    </w:rPr>
                  </w:pPr>
                  <w:r>
                    <w:rPr>
                      <w:rFonts w:hint="eastAsia" w:ascii="Times New Roman" w:hAnsi="Times New Roman" w:eastAsia="宋体" w:cs="Times New Roman"/>
                      <w:color w:val="auto"/>
                      <w:lang w:val="en-US" w:eastAsia="zh-CN"/>
                    </w:rPr>
                    <w:t>危废贮存库</w:t>
                  </w:r>
                  <w:r>
                    <w:rPr>
                      <w:rFonts w:hint="default" w:ascii="Times New Roman" w:hAnsi="Times New Roman" w:eastAsia="宋体" w:cs="Times New Roman"/>
                      <w:color w:val="auto"/>
                      <w:lang w:val="en-US" w:eastAsia="zh-CN"/>
                    </w:rPr>
                    <w:t>专用</w:t>
                  </w:r>
                  <w:r>
                    <w:rPr>
                      <w:rFonts w:hint="eastAsia" w:ascii="Times New Roman" w:hAnsi="Times New Roman" w:eastAsia="宋体" w:cs="Times New Roman"/>
                      <w:color w:val="auto"/>
                      <w:lang w:val="en-US" w:eastAsia="zh-CN"/>
                    </w:rPr>
                    <w:t>容器</w:t>
                  </w:r>
                  <w:r>
                    <w:rPr>
                      <w:rFonts w:hint="default" w:ascii="Times New Roman" w:hAnsi="Times New Roman" w:eastAsia="宋体" w:cs="Times New Roman"/>
                      <w:color w:val="auto"/>
                      <w:lang w:val="en-US" w:eastAsia="zh-CN"/>
                    </w:rPr>
                    <w:t>暂存，定期交陕西天行环保科技有限公司</w:t>
                  </w:r>
                  <w:r>
                    <w:rPr>
                      <w:rFonts w:hint="eastAsia" w:cs="Times New Roman"/>
                      <w:color w:val="auto"/>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eastAsia" w:ascii="Times New Roman" w:hAnsi="Times New Roman" w:eastAsia="宋体" w:cs="Times New Roman"/>
                      <w:color w:val="auto"/>
                      <w:highlight w:val="none"/>
                      <w:lang w:val="en-US" w:eastAsia="zh-CN"/>
                    </w:rPr>
                  </w:pPr>
                </w:p>
              </w:tc>
              <w:tc>
                <w:tcPr>
                  <w:tcW w:w="1763"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设备检修</w:t>
                  </w:r>
                </w:p>
              </w:tc>
              <w:tc>
                <w:tcPr>
                  <w:tcW w:w="2325"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废油桶</w:t>
                  </w:r>
                </w:p>
              </w:tc>
              <w:tc>
                <w:tcPr>
                  <w:tcW w:w="3033" w:type="dxa"/>
                  <w:vMerge w:val="continue"/>
                  <w:tcBorders>
                    <w:tl2br w:val="nil"/>
                    <w:tr2bl w:val="nil"/>
                  </w:tcBorders>
                  <w:shd w:val="clear" w:color="auto" w:fill="auto"/>
                  <w:vAlign w:val="center"/>
                </w:tcPr>
                <w:p>
                  <w:pPr>
                    <w:pStyle w:val="32"/>
                    <w:bidi w:val="0"/>
                    <w:ind w:firstLine="0" w:firstLineChars="0"/>
                    <w:rPr>
                      <w:rFonts w:hint="eastAsia"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tcBorders>
                    <w:tl2br w:val="nil"/>
                    <w:tr2bl w:val="nil"/>
                  </w:tcBorders>
                  <w:vAlign w:val="center"/>
                </w:tcPr>
                <w:p>
                  <w:pPr>
                    <w:pStyle w:val="32"/>
                    <w:bidi w:val="0"/>
                    <w:rPr>
                      <w:rFonts w:hint="eastAsia" w:ascii="Times New Roman" w:hAnsi="Times New Roman" w:eastAsia="宋体" w:cs="Times New Roman"/>
                      <w:color w:val="auto"/>
                      <w:highlight w:val="none"/>
                      <w:lang w:val="en-US" w:eastAsia="zh-CN"/>
                    </w:rPr>
                  </w:pPr>
                </w:p>
              </w:tc>
              <w:tc>
                <w:tcPr>
                  <w:tcW w:w="1763"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设备检修</w:t>
                  </w:r>
                </w:p>
              </w:tc>
              <w:tc>
                <w:tcPr>
                  <w:tcW w:w="2325"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color w:val="auto"/>
                      <w:highlight w:val="none"/>
                    </w:rPr>
                    <w:t>废旧手套</w:t>
                  </w:r>
                  <w:r>
                    <w:rPr>
                      <w:rFonts w:hint="default"/>
                      <w:color w:val="auto"/>
                      <w:highlight w:val="none"/>
                      <w:lang w:eastAsia="zh-CN"/>
                    </w:rPr>
                    <w:t>及</w:t>
                  </w:r>
                  <w:r>
                    <w:rPr>
                      <w:rFonts w:hint="default"/>
                      <w:color w:val="auto"/>
                      <w:highlight w:val="none"/>
                    </w:rPr>
                    <w:t>废</w:t>
                  </w:r>
                  <w:r>
                    <w:rPr>
                      <w:rFonts w:hint="eastAsia"/>
                      <w:color w:val="auto"/>
                      <w:highlight w:val="none"/>
                      <w:lang w:val="en-US" w:eastAsia="zh-CN"/>
                    </w:rPr>
                    <w:t>油</w:t>
                  </w:r>
                  <w:r>
                    <w:rPr>
                      <w:rFonts w:hint="default"/>
                      <w:color w:val="auto"/>
                      <w:highlight w:val="none"/>
                    </w:rPr>
                    <w:t>抹布</w:t>
                  </w:r>
                </w:p>
              </w:tc>
              <w:tc>
                <w:tcPr>
                  <w:tcW w:w="3033" w:type="dxa"/>
                  <w:vMerge w:val="continue"/>
                  <w:tcBorders>
                    <w:tl2br w:val="nil"/>
                    <w:tr2bl w:val="nil"/>
                  </w:tcBorders>
                  <w:shd w:val="clear" w:color="auto" w:fill="auto"/>
                  <w:vAlign w:val="center"/>
                </w:tcPr>
                <w:p>
                  <w:pPr>
                    <w:pStyle w:val="32"/>
                    <w:bidi w:val="0"/>
                    <w:ind w:firstLine="0" w:firstLineChars="0"/>
                    <w:rPr>
                      <w:rFonts w:hint="default"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0" w:type="dxa"/>
                  <w:vMerge w:val="continue"/>
                  <w:vAlign w:val="top"/>
                </w:tcPr>
                <w:p>
                  <w:pPr>
                    <w:pStyle w:val="32"/>
                    <w:bidi w:val="0"/>
                    <w:rPr>
                      <w:rFonts w:hint="default" w:ascii="Times New Roman" w:hAnsi="Times New Roman" w:eastAsia="宋体" w:cs="Times New Roman"/>
                      <w:color w:val="auto"/>
                      <w:highlight w:val="none"/>
                      <w:lang w:val="en-US" w:eastAsia="zh-CN"/>
                    </w:rPr>
                  </w:pPr>
                </w:p>
              </w:tc>
              <w:tc>
                <w:tcPr>
                  <w:tcW w:w="1763" w:type="dxa"/>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化验</w:t>
                  </w:r>
                </w:p>
              </w:tc>
              <w:tc>
                <w:tcPr>
                  <w:tcW w:w="2325"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化验室废液</w:t>
                  </w:r>
                </w:p>
              </w:tc>
              <w:tc>
                <w:tcPr>
                  <w:tcW w:w="3033" w:type="dxa"/>
                  <w:vMerge w:val="continue"/>
                  <w:vAlign w:val="center"/>
                </w:tcPr>
                <w:p>
                  <w:pPr>
                    <w:pStyle w:val="32"/>
                    <w:bidi w:val="0"/>
                    <w:rPr>
                      <w:rFonts w:hint="default" w:ascii="Times New Roman" w:hAnsi="Times New Roman" w:eastAsia="宋体" w:cs="Times New Roman"/>
                      <w:color w:val="auto"/>
                      <w:highlight w:val="none"/>
                      <w:lang w:val="en-US" w:eastAsia="zh-CN"/>
                    </w:rPr>
                  </w:pPr>
                </w:p>
              </w:tc>
            </w:tr>
          </w:tbl>
          <w:p>
            <w:pPr>
              <w:adjustRightInd w:val="0"/>
              <w:snapToGrid w:val="0"/>
              <w:rPr>
                <w:rFonts w:hint="default" w:ascii="Times New Roman" w:hAnsi="Times New Roman" w:eastAsia="宋体" w:cs="Times New Roman"/>
                <w:bCs/>
                <w:color w:val="auto"/>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52" w:type="dxa"/>
            <w:vAlign w:val="center"/>
          </w:tcPr>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kern w:val="2"/>
                <w:sz w:val="24"/>
                <w:szCs w:val="24"/>
                <w:highlight w:val="none"/>
              </w:rPr>
              <w:t>与项目有关的原有环境污染问题</w:t>
            </w:r>
          </w:p>
        </w:tc>
        <w:tc>
          <w:tcPr>
            <w:tcW w:w="8213" w:type="dxa"/>
            <w:vAlign w:val="top"/>
          </w:tcPr>
          <w:p>
            <w:pPr>
              <w:adjustRightInd w:val="0"/>
              <w:snapToGrid w:val="0"/>
              <w:spacing w:line="360" w:lineRule="auto"/>
              <w:ind w:left="0" w:leftChars="0" w:firstLine="0" w:firstLineChars="0"/>
              <w:rPr>
                <w:rFonts w:hint="default" w:ascii="Times New Roman" w:hAnsi="Times New Roman" w:cs="Times New Roman"/>
                <w:b/>
                <w:bCs/>
                <w:color w:val="auto"/>
                <w:sz w:val="24"/>
              </w:rPr>
            </w:pPr>
            <w:r>
              <w:rPr>
                <w:rFonts w:hint="default" w:ascii="Times New Roman" w:hAnsi="Times New Roman" w:cs="Times New Roman"/>
                <w:b/>
                <w:bCs/>
                <w:color w:val="auto"/>
                <w:sz w:val="24"/>
              </w:rPr>
              <w:t>一、现有项目环境保护手续履行情况</w:t>
            </w:r>
          </w:p>
          <w:p>
            <w:pPr>
              <w:keepNext w:val="0"/>
              <w:keepLines w:val="0"/>
              <w:widowControl/>
              <w:suppressLineNumbers w:val="0"/>
              <w:jc w:val="left"/>
              <w:rPr>
                <w:rFonts w:hint="default" w:ascii="Times New Roman" w:hAnsi="Times New Roman" w:eastAsia="宋体" w:cs="Times New Roman"/>
                <w:color w:val="auto"/>
                <w:lang w:val="en-US" w:eastAsia="zh-CN"/>
              </w:rPr>
            </w:pPr>
            <w:r>
              <w:rPr>
                <w:rFonts w:hint="eastAsia" w:ascii="Times New Roman" w:hAnsi="Times New Roman" w:cs="Times New Roman"/>
                <w:color w:val="auto"/>
                <w:lang w:eastAsia="zh-CN"/>
              </w:rPr>
              <w:t>宝鸡市欣鑫源食品有限公司</w:t>
            </w:r>
            <w:r>
              <w:rPr>
                <w:rFonts w:hint="default" w:ascii="Times New Roman" w:hAnsi="Times New Roman" w:cs="Times New Roman"/>
                <w:color w:val="auto"/>
              </w:rPr>
              <w:t>于20</w:t>
            </w:r>
            <w:r>
              <w:rPr>
                <w:rFonts w:hint="eastAsia" w:ascii="Times New Roman" w:hAnsi="Times New Roman" w:cs="Times New Roman"/>
                <w:color w:val="auto"/>
                <w:lang w:val="en-US" w:eastAsia="zh-CN"/>
              </w:rPr>
              <w:t>18</w:t>
            </w:r>
            <w:r>
              <w:rPr>
                <w:rFonts w:hint="default" w:ascii="Times New Roman" w:hAnsi="Times New Roman" w:cs="Times New Roman"/>
                <w:color w:val="auto"/>
              </w:rPr>
              <w:t>年</w:t>
            </w:r>
            <w:r>
              <w:rPr>
                <w:rFonts w:hint="default" w:ascii="Times New Roman" w:hAnsi="Times New Roman" w:cs="Times New Roman"/>
                <w:color w:val="auto"/>
                <w:lang w:val="en-US" w:eastAsia="zh-CN"/>
              </w:rPr>
              <w:t>10</w:t>
            </w:r>
            <w:r>
              <w:rPr>
                <w:rFonts w:hint="default" w:ascii="Times New Roman" w:hAnsi="Times New Roman" w:cs="Times New Roman"/>
                <w:color w:val="auto"/>
              </w:rPr>
              <w:t>月委托</w:t>
            </w:r>
            <w:r>
              <w:rPr>
                <w:rFonts w:hint="eastAsia" w:ascii="Times New Roman" w:hAnsi="Times New Roman" w:eastAsia="宋体" w:cs="Times New Roman"/>
                <w:color w:val="auto"/>
                <w:highlight w:val="none"/>
                <w:lang w:val="en-US" w:eastAsia="zh-CN"/>
              </w:rPr>
              <w:t>重庆丰达环境影响评价有限公司</w:t>
            </w:r>
            <w:r>
              <w:rPr>
                <w:rFonts w:hint="default" w:ascii="Times New Roman" w:hAnsi="Times New Roman" w:cs="Times New Roman"/>
                <w:color w:val="auto"/>
              </w:rPr>
              <w:t>编制了《</w:t>
            </w:r>
            <w:r>
              <w:rPr>
                <w:rFonts w:hint="eastAsia" w:ascii="Times New Roman" w:hAnsi="Times New Roman" w:eastAsia="宋体" w:cs="Times New Roman"/>
                <w:color w:val="auto"/>
                <w:kern w:val="0"/>
                <w:sz w:val="24"/>
                <w:szCs w:val="24"/>
                <w:lang w:val="en-US" w:eastAsia="zh-CN" w:bidi="ar"/>
              </w:rPr>
              <w:t>宝鸡市欣鑫源食品有限公司改造升级项目</w:t>
            </w:r>
            <w:r>
              <w:rPr>
                <w:rFonts w:hint="default" w:ascii="Times New Roman" w:hAnsi="Times New Roman" w:cs="Times New Roman"/>
                <w:color w:val="auto"/>
              </w:rPr>
              <w:t>环评报告表》，并于20</w:t>
            </w:r>
            <w:r>
              <w:rPr>
                <w:rFonts w:hint="eastAsia" w:ascii="Times New Roman" w:hAnsi="Times New Roman" w:cs="Times New Roman"/>
                <w:color w:val="auto"/>
                <w:lang w:val="en-US" w:eastAsia="zh-CN"/>
              </w:rPr>
              <w:t>18</w:t>
            </w:r>
            <w:r>
              <w:rPr>
                <w:rFonts w:hint="default" w:ascii="Times New Roman" w:hAnsi="Times New Roman" w:cs="Times New Roman"/>
                <w:color w:val="auto"/>
              </w:rPr>
              <w:t>年</w:t>
            </w:r>
            <w:r>
              <w:rPr>
                <w:rFonts w:hint="eastAsia" w:ascii="Times New Roman" w:hAnsi="Times New Roman" w:cs="Times New Roman"/>
                <w:color w:val="auto"/>
                <w:lang w:val="en-US" w:eastAsia="zh-CN"/>
              </w:rPr>
              <w:t>12</w:t>
            </w:r>
            <w:r>
              <w:rPr>
                <w:rFonts w:hint="default" w:ascii="Times New Roman" w:hAnsi="Times New Roman" w:cs="Times New Roman"/>
                <w:color w:val="auto"/>
              </w:rPr>
              <w:t>月</w:t>
            </w:r>
            <w:r>
              <w:rPr>
                <w:rFonts w:hint="eastAsia" w:ascii="Times New Roman" w:hAnsi="Times New Roman" w:cs="Times New Roman"/>
                <w:color w:val="auto"/>
                <w:lang w:val="en-US" w:eastAsia="zh-CN"/>
              </w:rPr>
              <w:t>11</w:t>
            </w:r>
            <w:r>
              <w:rPr>
                <w:rFonts w:hint="default" w:ascii="Times New Roman" w:hAnsi="Times New Roman" w:cs="Times New Roman"/>
                <w:color w:val="auto"/>
              </w:rPr>
              <w:t>日取得了</w:t>
            </w:r>
            <w:r>
              <w:rPr>
                <w:rFonts w:hint="default" w:ascii="Times New Roman" w:hAnsi="Times New Roman" w:cs="Times New Roman"/>
                <w:color w:val="auto"/>
                <w:lang w:val="en-US" w:eastAsia="zh-CN"/>
              </w:rPr>
              <w:t>宝鸡市环境保护局</w:t>
            </w:r>
            <w:r>
              <w:rPr>
                <w:rFonts w:hint="eastAsia" w:ascii="Times New Roman" w:hAnsi="Times New Roman" w:cs="Times New Roman"/>
                <w:color w:val="auto"/>
                <w:lang w:val="en-US" w:eastAsia="zh-CN"/>
              </w:rPr>
              <w:t>陈仓分局</w:t>
            </w:r>
            <w:r>
              <w:rPr>
                <w:rFonts w:hint="default" w:ascii="Times New Roman" w:hAnsi="Times New Roman" w:cs="Times New Roman"/>
                <w:color w:val="auto"/>
              </w:rPr>
              <w:t>出具的《</w:t>
            </w:r>
            <w:r>
              <w:rPr>
                <w:rFonts w:hint="default" w:ascii="Times New Roman" w:hAnsi="Times New Roman" w:cs="Times New Roman"/>
                <w:color w:val="auto"/>
                <w:lang w:val="en-US" w:eastAsia="zh-CN"/>
              </w:rPr>
              <w:t>关于</w:t>
            </w:r>
            <w:r>
              <w:rPr>
                <w:rFonts w:hint="eastAsia" w:ascii="Times New Roman" w:hAnsi="Times New Roman" w:eastAsia="宋体" w:cs="Times New Roman"/>
                <w:color w:val="auto"/>
                <w:kern w:val="0"/>
                <w:sz w:val="24"/>
                <w:szCs w:val="24"/>
                <w:lang w:val="en-US" w:eastAsia="zh-CN" w:bidi="ar"/>
              </w:rPr>
              <w:t>宝鸡市欣鑫源食品有限公司改造升级项目</w:t>
            </w:r>
            <w:r>
              <w:rPr>
                <w:rFonts w:hint="default" w:ascii="Times New Roman" w:hAnsi="Times New Roman" w:eastAsia="宋体" w:cs="Times New Roman"/>
                <w:color w:val="auto"/>
                <w:kern w:val="0"/>
                <w:sz w:val="24"/>
                <w:szCs w:val="24"/>
                <w:lang w:val="en-US" w:eastAsia="zh-CN" w:bidi="ar"/>
              </w:rPr>
              <w:t>环境影响报告表</w:t>
            </w:r>
            <w:r>
              <w:rPr>
                <w:rFonts w:hint="default" w:ascii="Times New Roman" w:hAnsi="Times New Roman" w:cs="Times New Roman"/>
                <w:color w:val="auto"/>
                <w:kern w:val="0"/>
                <w:sz w:val="24"/>
                <w:szCs w:val="24"/>
                <w:lang w:val="en-US" w:eastAsia="zh-CN" w:bidi="ar"/>
              </w:rPr>
              <w:t>的批复</w:t>
            </w:r>
            <w:r>
              <w:rPr>
                <w:rFonts w:hint="default" w:ascii="Times New Roman" w:hAnsi="Times New Roman" w:cs="Times New Roman"/>
                <w:color w:val="auto"/>
              </w:rPr>
              <w:t>》（</w:t>
            </w:r>
            <w:r>
              <w:rPr>
                <w:rFonts w:hint="eastAsia" w:ascii="Times New Roman" w:hAnsi="Times New Roman" w:eastAsia="宋体" w:cs="Times New Roman"/>
                <w:color w:val="auto"/>
                <w:kern w:val="0"/>
                <w:sz w:val="24"/>
                <w:szCs w:val="24"/>
                <w:lang w:val="en-US" w:eastAsia="zh-CN" w:bidi="ar"/>
              </w:rPr>
              <w:t>宝环陈函</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2018</w:t>
            </w:r>
            <w:r>
              <w:rPr>
                <w:rFonts w:hint="default" w:ascii="Times New Roman" w:hAnsi="Times New Roman" w:eastAsia="宋体" w:cs="Times New Roman"/>
                <w:color w:val="auto"/>
                <w:kern w:val="0"/>
                <w:sz w:val="24"/>
                <w:szCs w:val="24"/>
                <w:lang w:val="en-US" w:eastAsia="zh-CN" w:bidi="ar"/>
              </w:rPr>
              <w:t>〕17</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号</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20</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9</w:t>
            </w:r>
            <w:r>
              <w:rPr>
                <w:rFonts w:hint="default" w:ascii="Times New Roman" w:hAnsi="Times New Roman" w:cs="Times New Roman"/>
                <w:color w:val="auto"/>
              </w:rPr>
              <w:t>年</w:t>
            </w:r>
            <w:r>
              <w:rPr>
                <w:rFonts w:hint="eastAsia" w:ascii="Times New Roman" w:hAnsi="Times New Roman" w:cs="Times New Roman"/>
                <w:color w:val="auto"/>
                <w:lang w:val="en-US" w:eastAsia="zh-CN"/>
              </w:rPr>
              <w:t>7</w:t>
            </w:r>
            <w:r>
              <w:rPr>
                <w:rFonts w:hint="default" w:ascii="Times New Roman" w:hAnsi="Times New Roman" w:cs="Times New Roman"/>
                <w:color w:val="auto"/>
              </w:rPr>
              <w:t>月</w:t>
            </w:r>
            <w:r>
              <w:rPr>
                <w:rFonts w:hint="eastAsia" w:ascii="Times New Roman" w:hAnsi="Times New Roman" w:cs="Times New Roman"/>
                <w:color w:val="auto"/>
                <w:lang w:eastAsia="zh-CN"/>
              </w:rPr>
              <w:t>宝鸡市欣鑫源食品有限公司</w:t>
            </w:r>
            <w:r>
              <w:rPr>
                <w:rFonts w:hint="default" w:ascii="Times New Roman" w:hAnsi="Times New Roman" w:cs="Times New Roman"/>
                <w:color w:val="auto"/>
              </w:rPr>
              <w:t>对</w:t>
            </w:r>
            <w:r>
              <w:rPr>
                <w:rFonts w:hint="default" w:ascii="Times New Roman" w:hAnsi="Times New Roman" w:cs="Times New Roman"/>
                <w:color w:val="auto"/>
                <w:lang w:val="en-US" w:eastAsia="zh-CN"/>
              </w:rPr>
              <w:t>该</w:t>
            </w:r>
            <w:r>
              <w:rPr>
                <w:rFonts w:hint="default" w:ascii="Times New Roman" w:hAnsi="Times New Roman" w:cs="Times New Roman"/>
                <w:color w:val="auto"/>
              </w:rPr>
              <w:t>项目进行了自主验收并取得了验收意见。</w:t>
            </w:r>
          </w:p>
          <w:p>
            <w:pPr>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eastAsia="zh-CN"/>
              </w:rPr>
              <w:t>宝鸡市欣鑫源食品有限公司</w:t>
            </w:r>
            <w:r>
              <w:rPr>
                <w:rFonts w:hint="default" w:ascii="Times New Roman" w:hAnsi="Times New Roman" w:cs="Times New Roman"/>
                <w:color w:val="auto"/>
                <w:highlight w:val="none"/>
              </w:rPr>
              <w:t>于202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10</w:t>
            </w:r>
            <w:r>
              <w:rPr>
                <w:rFonts w:hint="default" w:ascii="Times New Roman" w:hAnsi="Times New Roman" w:cs="Times New Roman"/>
                <w:color w:val="auto"/>
                <w:highlight w:val="none"/>
              </w:rPr>
              <w:t>月</w:t>
            </w:r>
            <w:r>
              <w:rPr>
                <w:rFonts w:hint="eastAsia" w:cs="Times New Roman"/>
                <w:color w:val="auto"/>
                <w:highlight w:val="none"/>
                <w:lang w:val="en-US" w:eastAsia="zh-CN"/>
              </w:rPr>
              <w:t>10</w:t>
            </w:r>
            <w:r>
              <w:rPr>
                <w:rFonts w:hint="default" w:ascii="Times New Roman" w:hAnsi="Times New Roman" w:cs="Times New Roman"/>
                <w:color w:val="auto"/>
                <w:highlight w:val="none"/>
              </w:rPr>
              <w:t>日</w:t>
            </w:r>
            <w:r>
              <w:rPr>
                <w:rFonts w:hint="default" w:ascii="Times New Roman" w:hAnsi="Times New Roman" w:cs="Times New Roman"/>
                <w:color w:val="auto"/>
                <w:highlight w:val="none"/>
                <w:lang w:val="en-US" w:eastAsia="zh-CN"/>
              </w:rPr>
              <w:t>取得</w:t>
            </w:r>
            <w:r>
              <w:rPr>
                <w:rFonts w:hint="eastAsia" w:cs="Times New Roman"/>
                <w:color w:val="auto"/>
                <w:highlight w:val="none"/>
                <w:lang w:val="en-US" w:eastAsia="zh-CN"/>
              </w:rPr>
              <w:t>排污许可证</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证书</w:t>
            </w:r>
            <w:r>
              <w:rPr>
                <w:rFonts w:hint="default" w:ascii="Times New Roman" w:hAnsi="Times New Roman" w:cs="Times New Roman"/>
                <w:color w:val="auto"/>
                <w:highlight w:val="none"/>
              </w:rPr>
              <w:t>编号：</w:t>
            </w:r>
            <w:r>
              <w:rPr>
                <w:rFonts w:hint="eastAsia" w:cs="Times New Roman"/>
                <w:color w:val="auto"/>
                <w:highlight w:val="none"/>
                <w:lang w:eastAsia="zh-CN"/>
              </w:rPr>
              <w:t>916103043054449053001X</w:t>
            </w:r>
            <w:r>
              <w:rPr>
                <w:rFonts w:hint="default" w:ascii="Times New Roman" w:hAnsi="Times New Roman" w:cs="Times New Roman"/>
                <w:color w:val="auto"/>
                <w:highlight w:val="none"/>
              </w:rPr>
              <w:t>。</w:t>
            </w:r>
            <w:r>
              <w:rPr>
                <w:rFonts w:hint="eastAsia" w:cs="Times New Roman"/>
                <w:color w:val="auto"/>
                <w:highlight w:val="none"/>
                <w:lang w:val="en-US" w:eastAsia="zh-CN"/>
              </w:rPr>
              <w:t>已</w:t>
            </w:r>
            <w:r>
              <w:rPr>
                <w:rFonts w:hint="default" w:ascii="Times New Roman" w:hAnsi="Times New Roman" w:cs="Times New Roman"/>
                <w:color w:val="auto"/>
                <w:highlight w:val="none"/>
                <w:lang w:val="en-US" w:eastAsia="zh-CN"/>
              </w:rPr>
              <w:t>取得突发环境事件应急预案备案，备案编号</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61030</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2020</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47</w:t>
            </w:r>
            <w:r>
              <w:rPr>
                <w:rFonts w:hint="default" w:ascii="Times New Roman" w:hAnsi="Times New Roman" w:cs="Times New Roman"/>
                <w:color w:val="auto"/>
                <w:highlight w:val="none"/>
                <w:lang w:val="en-US" w:eastAsia="zh-CN"/>
              </w:rPr>
              <w:t>-L。</w:t>
            </w:r>
          </w:p>
          <w:p>
            <w:pPr>
              <w:bidi w:val="0"/>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二、现有项目污染物排放情况</w:t>
            </w:r>
          </w:p>
          <w:p>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1、废气</w:t>
            </w:r>
          </w:p>
          <w:p>
            <w:pPr>
              <w:bidi w:val="0"/>
              <w:rPr>
                <w:rFonts w:hint="default" w:ascii="Times New Roman" w:hAnsi="Times New Roman" w:cs="Times New Roman"/>
                <w:color w:val="auto"/>
                <w:highlight w:val="none"/>
                <w:lang w:val="en-US" w:eastAsia="zh-CN"/>
              </w:rPr>
            </w:pPr>
            <w:r>
              <w:rPr>
                <w:rFonts w:hint="eastAsia" w:cs="Times New Roman"/>
                <w:color w:val="auto"/>
                <w:lang w:val="en-US" w:eastAsia="zh-CN"/>
              </w:rPr>
              <w:t>现有</w:t>
            </w:r>
            <w:r>
              <w:rPr>
                <w:rFonts w:hint="eastAsia" w:ascii="Times New Roman" w:hAnsi="Times New Roman" w:cs="Times New Roman"/>
                <w:color w:val="auto"/>
                <w:lang w:val="en-US" w:eastAsia="zh-CN"/>
              </w:rPr>
              <w:t>天然气锅炉设低氮燃烧器，</w:t>
            </w:r>
            <w:r>
              <w:rPr>
                <w:rFonts w:hint="eastAsia" w:cs="Times New Roman"/>
                <w:color w:val="auto"/>
                <w:lang w:val="en-US" w:eastAsia="zh-CN"/>
              </w:rPr>
              <w:t>年运行900h，天然气锅炉废气经15m排气筒有组织排放。</w:t>
            </w:r>
            <w:r>
              <w:rPr>
                <w:rFonts w:hint="default" w:ascii="Times New Roman" w:hAnsi="Times New Roman" w:cs="Times New Roman"/>
                <w:color w:val="auto"/>
                <w:highlight w:val="none"/>
                <w:lang w:val="en-US" w:eastAsia="zh-CN"/>
              </w:rPr>
              <w:t>根据</w:t>
            </w:r>
            <w:r>
              <w:rPr>
                <w:rFonts w:hint="eastAsia" w:cs="Times New Roman"/>
                <w:color w:val="000000"/>
                <w:sz w:val="24"/>
                <w:lang w:val="en-US" w:eastAsia="zh-CN"/>
              </w:rPr>
              <w:t>陕西恒正飞翔环保科技有限公司</w:t>
            </w:r>
            <w:r>
              <w:rPr>
                <w:rFonts w:hint="default" w:ascii="Times New Roman" w:hAnsi="Times New Roman" w:cs="Times New Roman"/>
                <w:color w:val="auto"/>
                <w:highlight w:val="none"/>
                <w:lang w:val="en-US" w:eastAsia="zh-CN"/>
              </w:rPr>
              <w:t>对企业</w:t>
            </w:r>
            <w:r>
              <w:rPr>
                <w:rFonts w:hint="eastAsia" w:cs="Times New Roman"/>
                <w:color w:val="auto"/>
                <w:highlight w:val="none"/>
                <w:lang w:val="en-US" w:eastAsia="zh-CN"/>
              </w:rPr>
              <w:t>锅炉废气监测</w:t>
            </w:r>
            <w:r>
              <w:rPr>
                <w:rFonts w:hint="default" w:ascii="Times New Roman" w:hAnsi="Times New Roman" w:cs="Times New Roman"/>
                <w:color w:val="auto"/>
                <w:highlight w:val="none"/>
                <w:lang w:val="en-US" w:eastAsia="zh-CN"/>
              </w:rPr>
              <w:t>报告</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得出</w:t>
            </w:r>
            <w:r>
              <w:rPr>
                <w:rFonts w:hint="default" w:ascii="Times New Roman" w:hAnsi="Times New Roman" w:cs="Times New Roman"/>
                <w:color w:val="auto"/>
                <w:highlight w:val="none"/>
                <w:lang w:val="en-US" w:eastAsia="zh-CN"/>
              </w:rPr>
              <w:t>现有工程</w:t>
            </w:r>
            <w:r>
              <w:rPr>
                <w:rFonts w:hint="eastAsia" w:cs="Times New Roman"/>
                <w:color w:val="auto"/>
                <w:highlight w:val="none"/>
                <w:lang w:val="en-US" w:eastAsia="zh-CN"/>
              </w:rPr>
              <w:t>锅炉</w:t>
            </w:r>
            <w:r>
              <w:rPr>
                <w:rFonts w:hint="default" w:ascii="Times New Roman" w:hAnsi="Times New Roman" w:cs="Times New Roman"/>
                <w:color w:val="auto"/>
                <w:highlight w:val="none"/>
                <w:lang w:val="en-US" w:eastAsia="zh-CN"/>
              </w:rPr>
              <w:t>废气排放情况及环保措施见下表。</w:t>
            </w:r>
          </w:p>
          <w:p>
            <w:pPr>
              <w:pStyle w:val="7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cs="Times New Roman"/>
                <w:color w:val="auto"/>
                <w:highlight w:val="none"/>
                <w:lang w:val="en-US" w:eastAsia="zh-CN"/>
              </w:rPr>
              <w:t>8</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现有项目废气排放情况及污染防治措施一览表</w:t>
            </w:r>
          </w:p>
          <w:tbl>
            <w:tblPr>
              <w:tblStyle w:val="30"/>
              <w:tblW w:w="79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97"/>
              <w:gridCol w:w="1139"/>
              <w:gridCol w:w="1364"/>
              <w:gridCol w:w="1274"/>
              <w:gridCol w:w="1319"/>
              <w:gridCol w:w="1125"/>
            </w:tblGrid>
            <w:tr>
              <w:tblPrEx>
                <w:tblLayout w:type="fixed"/>
                <w:tblCellMar>
                  <w:top w:w="0" w:type="dxa"/>
                  <w:left w:w="108" w:type="dxa"/>
                  <w:bottom w:w="0" w:type="dxa"/>
                  <w:right w:w="108" w:type="dxa"/>
                </w:tblCellMar>
              </w:tblPrEx>
              <w:trPr>
                <w:trHeight w:val="340" w:hRule="atLeast"/>
              </w:trPr>
              <w:tc>
                <w:tcPr>
                  <w:tcW w:w="869"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污染源</w:t>
                  </w:r>
                </w:p>
              </w:tc>
              <w:tc>
                <w:tcPr>
                  <w:tcW w:w="897"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排放口</w:t>
                  </w:r>
                </w:p>
              </w:tc>
              <w:tc>
                <w:tcPr>
                  <w:tcW w:w="1139"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污染物</w:t>
                  </w:r>
                </w:p>
              </w:tc>
              <w:tc>
                <w:tcPr>
                  <w:tcW w:w="136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治理设施</w:t>
                  </w:r>
                </w:p>
              </w:tc>
              <w:tc>
                <w:tcPr>
                  <w:tcW w:w="127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排放浓度</w:t>
                  </w:r>
                </w:p>
              </w:tc>
              <w:tc>
                <w:tcPr>
                  <w:tcW w:w="1319"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排放速率</w:t>
                  </w:r>
                </w:p>
              </w:tc>
              <w:tc>
                <w:tcPr>
                  <w:tcW w:w="1125"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9" w:type="dxa"/>
                  <w:vMerge w:val="restart"/>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天然气锅炉</w:t>
                  </w:r>
                </w:p>
              </w:tc>
              <w:tc>
                <w:tcPr>
                  <w:tcW w:w="897" w:type="dxa"/>
                  <w:vMerge w:val="restart"/>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锅炉排放口</w:t>
                  </w:r>
                </w:p>
              </w:tc>
              <w:tc>
                <w:tcPr>
                  <w:tcW w:w="1139"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颗粒物</w:t>
                  </w:r>
                </w:p>
              </w:tc>
              <w:tc>
                <w:tcPr>
                  <w:tcW w:w="1364" w:type="dxa"/>
                  <w:vMerge w:val="restart"/>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低氮燃烧器+15</w:t>
                  </w:r>
                  <w:r>
                    <w:rPr>
                      <w:rFonts w:hint="default" w:ascii="Times New Roman" w:hAnsi="Times New Roman" w:eastAsia="宋体" w:cs="Times New Roman"/>
                      <w:b w:val="0"/>
                      <w:bCs w:val="0"/>
                      <w:color w:val="auto"/>
                      <w:kern w:val="0"/>
                      <w:sz w:val="21"/>
                      <w:szCs w:val="21"/>
                      <w:highlight w:val="none"/>
                      <w:lang w:val="en-US" w:eastAsia="zh-CN"/>
                    </w:rPr>
                    <w:t>m排气筒</w:t>
                  </w:r>
                  <w:r>
                    <w:rPr>
                      <w:rFonts w:hint="eastAsia" w:ascii="Times New Roman" w:hAnsi="Times New Roman" w:eastAsia="宋体" w:cs="Times New Roman"/>
                      <w:b w:val="0"/>
                      <w:bCs w:val="0"/>
                      <w:color w:val="auto"/>
                      <w:kern w:val="0"/>
                      <w:sz w:val="21"/>
                      <w:szCs w:val="21"/>
                      <w:highlight w:val="none"/>
                      <w:lang w:val="en-US" w:eastAsia="zh-CN"/>
                    </w:rPr>
                    <w:t>DA00</w:t>
                  </w:r>
                  <w:r>
                    <w:rPr>
                      <w:rFonts w:hint="eastAsia" w:cs="Times New Roman"/>
                      <w:b w:val="0"/>
                      <w:bCs w:val="0"/>
                      <w:color w:val="auto"/>
                      <w:kern w:val="0"/>
                      <w:sz w:val="21"/>
                      <w:szCs w:val="21"/>
                      <w:highlight w:val="none"/>
                      <w:lang w:val="en-US" w:eastAsia="zh-CN"/>
                    </w:rPr>
                    <w:t>1</w:t>
                  </w:r>
                </w:p>
              </w:tc>
              <w:tc>
                <w:tcPr>
                  <w:tcW w:w="127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color w:val="auto"/>
                      <w:kern w:val="0"/>
                      <w:sz w:val="21"/>
                      <w:szCs w:val="21"/>
                      <w:highlight w:val="none"/>
                      <w:lang w:val="en-US" w:eastAsia="zh-CN"/>
                    </w:rPr>
                    <w:t>9.7</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1319"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0.010kg/h</w:t>
                  </w:r>
                </w:p>
              </w:tc>
              <w:tc>
                <w:tcPr>
                  <w:tcW w:w="1125"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0.009</w:t>
                  </w:r>
                  <w:r>
                    <w:rPr>
                      <w:rFonts w:hint="default" w:ascii="Times New Roman" w:hAnsi="Times New Roman" w:eastAsia="宋体" w:cs="Times New Roman"/>
                      <w:b w:val="0"/>
                      <w:bCs w:val="0"/>
                      <w:color w:val="auto"/>
                      <w:kern w:val="0"/>
                      <w:sz w:val="21"/>
                      <w:szCs w:val="21"/>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9"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897"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139"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二氧化硫</w:t>
                  </w:r>
                </w:p>
              </w:tc>
              <w:tc>
                <w:tcPr>
                  <w:tcW w:w="1364"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7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cs="Times New Roman"/>
                      <w:color w:val="auto"/>
                      <w:kern w:val="0"/>
                      <w:sz w:val="21"/>
                      <w:szCs w:val="21"/>
                      <w:highlight w:val="none"/>
                      <w:lang w:val="en-US" w:eastAsia="zh-CN"/>
                    </w:rPr>
                    <w:t>1.5</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1319"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0.002kg/h</w:t>
                  </w:r>
                </w:p>
              </w:tc>
              <w:tc>
                <w:tcPr>
                  <w:tcW w:w="1125"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0.002</w:t>
                  </w:r>
                  <w:r>
                    <w:rPr>
                      <w:rFonts w:hint="default" w:ascii="Times New Roman" w:hAnsi="Times New Roman" w:eastAsia="宋体" w:cs="Times New Roman"/>
                      <w:b w:val="0"/>
                      <w:bCs w:val="0"/>
                      <w:color w:val="auto"/>
                      <w:kern w:val="0"/>
                      <w:sz w:val="21"/>
                      <w:szCs w:val="21"/>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9"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897"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139"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氮氧化物</w:t>
                  </w:r>
                </w:p>
              </w:tc>
              <w:tc>
                <w:tcPr>
                  <w:tcW w:w="1364" w:type="dxa"/>
                  <w:vMerge w:val="continue"/>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7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cs="Times New Roman"/>
                      <w:color w:val="auto"/>
                      <w:kern w:val="0"/>
                      <w:sz w:val="21"/>
                      <w:szCs w:val="21"/>
                      <w:highlight w:val="none"/>
                      <w:lang w:val="en-US" w:eastAsia="zh-CN"/>
                    </w:rPr>
                    <w:t>46</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1319"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0.046kg/h</w:t>
                  </w:r>
                </w:p>
              </w:tc>
              <w:tc>
                <w:tcPr>
                  <w:tcW w:w="1125"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0.041</w:t>
                  </w:r>
                  <w:r>
                    <w:rPr>
                      <w:rFonts w:hint="default" w:ascii="Times New Roman" w:hAnsi="Times New Roman" w:eastAsia="宋体" w:cs="Times New Roman"/>
                      <w:b w:val="0"/>
                      <w:bCs w:val="0"/>
                      <w:color w:val="auto"/>
                      <w:kern w:val="0"/>
                      <w:sz w:val="21"/>
                      <w:szCs w:val="21"/>
                      <w:highlight w:val="none"/>
                      <w:lang w:val="en-US" w:eastAsia="zh-CN"/>
                    </w:rPr>
                    <w:t>t/a</w:t>
                  </w:r>
                </w:p>
              </w:tc>
            </w:tr>
          </w:tbl>
          <w:p>
            <w:pPr>
              <w:bidi w:val="0"/>
              <w:rPr>
                <w:rFonts w:hint="default" w:ascii="Times New Roman" w:hAnsi="Times New Roman" w:cs="Times New Roman"/>
                <w:color w:val="auto"/>
                <w:lang w:val="en-US" w:eastAsia="zh-CN"/>
              </w:rPr>
            </w:pPr>
            <w:r>
              <w:rPr>
                <w:rFonts w:hint="eastAsia" w:cs="Times New Roman"/>
                <w:color w:val="auto"/>
                <w:lang w:val="en-US" w:eastAsia="zh-CN"/>
              </w:rPr>
              <w:t>根据监测报告，项目锅炉废气可满足</w:t>
            </w:r>
            <w:r>
              <w:rPr>
                <w:rFonts w:hint="default" w:ascii="Times New Roman" w:hAnsi="Times New Roman" w:eastAsia="宋体" w:cs="Times New Roman"/>
                <w:b w:val="0"/>
                <w:bCs w:val="0"/>
                <w:color w:val="000000"/>
                <w:sz w:val="24"/>
                <w:szCs w:val="24"/>
                <w:highlight w:val="none"/>
                <w:lang w:val="en-US" w:eastAsia="zh-CN"/>
              </w:rPr>
              <w:t>《锅炉大气污染物排放标准》（DB60/1226-2018）中天然气锅炉相关排放限值。</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2、废水</w:t>
            </w:r>
          </w:p>
          <w:p>
            <w:pPr>
              <w:bidi w:val="0"/>
              <w:rPr>
                <w:rFonts w:hint="default" w:ascii="Times New Roman" w:hAnsi="Times New Roman" w:cs="Times New Roman"/>
                <w:color w:val="auto"/>
                <w:highlight w:val="none"/>
              </w:rPr>
            </w:pPr>
            <w:r>
              <w:rPr>
                <w:rFonts w:hint="default"/>
                <w:color w:val="auto"/>
                <w:highlight w:val="none"/>
                <w:lang w:val="en-US" w:eastAsia="zh-CN"/>
              </w:rPr>
              <w:t>现有</w:t>
            </w:r>
            <w:r>
              <w:rPr>
                <w:rFonts w:hint="default"/>
                <w:color w:val="auto"/>
                <w:highlight w:val="none"/>
                <w:lang w:eastAsia="zh-CN"/>
              </w:rPr>
              <w:t>项目生产废水</w:t>
            </w:r>
            <w:r>
              <w:rPr>
                <w:rFonts w:hint="eastAsia"/>
                <w:color w:val="auto"/>
                <w:highlight w:val="none"/>
                <w:lang w:val="en-US" w:eastAsia="zh-CN"/>
              </w:rPr>
              <w:t>经自建污水处理站处理后用于农灌</w:t>
            </w:r>
            <w:r>
              <w:rPr>
                <w:rFonts w:hint="default"/>
                <w:color w:val="auto"/>
                <w:highlight w:val="none"/>
                <w:lang w:eastAsia="zh-CN"/>
              </w:rPr>
              <w:t>，</w:t>
            </w:r>
            <w:r>
              <w:rPr>
                <w:rFonts w:hint="eastAsia"/>
                <w:color w:val="auto"/>
                <w:highlight w:val="none"/>
                <w:lang w:val="en-US" w:eastAsia="zh-CN"/>
              </w:rPr>
              <w:t>生活污水经化粪池处理后拉运至农田堆肥</w:t>
            </w:r>
            <w:r>
              <w:rPr>
                <w:rFonts w:hint="default"/>
                <w:color w:val="auto"/>
                <w:highlight w:val="none"/>
                <w:lang w:val="en-US" w:eastAsia="zh-CN"/>
              </w:rPr>
              <w:t>。</w:t>
            </w:r>
            <w:r>
              <w:rPr>
                <w:rFonts w:hint="eastAsia"/>
                <w:color w:val="auto"/>
                <w:highlight w:val="none"/>
                <w:lang w:val="en-US" w:eastAsia="zh-CN"/>
              </w:rPr>
              <w:t>生产废水排放量为700m</w:t>
            </w:r>
            <w:r>
              <w:rPr>
                <w:rFonts w:hint="eastAsia"/>
                <w:color w:val="auto"/>
                <w:highlight w:val="none"/>
                <w:vertAlign w:val="superscript"/>
                <w:lang w:val="en-US" w:eastAsia="zh-CN"/>
              </w:rPr>
              <w:t>3</w:t>
            </w:r>
            <w:r>
              <w:rPr>
                <w:rFonts w:hint="eastAsia"/>
                <w:color w:val="auto"/>
                <w:highlight w:val="none"/>
                <w:lang w:val="en-US" w:eastAsia="zh-CN"/>
              </w:rPr>
              <w:t>/a。</w:t>
            </w:r>
            <w:r>
              <w:rPr>
                <w:rFonts w:hint="default"/>
                <w:color w:val="auto"/>
                <w:highlight w:val="none"/>
                <w:lang w:val="en-US" w:eastAsia="zh-CN"/>
              </w:rPr>
              <w:t>根据</w:t>
            </w:r>
            <w:r>
              <w:rPr>
                <w:rFonts w:hint="eastAsia"/>
                <w:color w:val="auto"/>
                <w:highlight w:val="none"/>
                <w:lang w:val="en-US" w:eastAsia="zh-CN"/>
              </w:rPr>
              <w:t>陕西秦景蓝环境检测有限公司</w:t>
            </w:r>
            <w:r>
              <w:rPr>
                <w:rFonts w:hint="default"/>
                <w:color w:val="auto"/>
                <w:highlight w:val="none"/>
                <w:lang w:val="en-US" w:eastAsia="zh-CN"/>
              </w:rPr>
              <w:t>对企业现有工程监测报告，监测结果见下表。</w:t>
            </w:r>
          </w:p>
          <w:p>
            <w:pPr>
              <w:pStyle w:val="81"/>
              <w:bidi w:val="0"/>
              <w:rPr>
                <w:rFonts w:hint="default" w:ascii="Times New Roman" w:hAnsi="Times New Roman" w:eastAsia="宋体" w:cs="Times New Roman"/>
                <w:b/>
                <w:color w:val="auto"/>
                <w:szCs w:val="24"/>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9</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废水</w:t>
            </w:r>
            <w:r>
              <w:rPr>
                <w:rFonts w:hint="default" w:ascii="Times New Roman" w:hAnsi="Times New Roman" w:cs="Times New Roman"/>
                <w:color w:val="auto"/>
                <w:highlight w:val="none"/>
              </w:rPr>
              <w:t>监测结果</w:t>
            </w:r>
          </w:p>
          <w:tbl>
            <w:tblPr>
              <w:tblStyle w:val="30"/>
              <w:tblW w:w="806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135"/>
              <w:gridCol w:w="1685"/>
              <w:gridCol w:w="2520"/>
              <w:gridCol w:w="2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35" w:type="dxa"/>
                  <w:tcBorders>
                    <w:tl2br w:val="nil"/>
                    <w:tr2bl w:val="nil"/>
                  </w:tcBorders>
                  <w:vAlign w:val="center"/>
                </w:tcPr>
                <w:p>
                  <w:pPr>
                    <w:pStyle w:val="3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监测点位</w:t>
                  </w:r>
                </w:p>
              </w:tc>
              <w:tc>
                <w:tcPr>
                  <w:tcW w:w="1685"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监测项目</w:t>
                  </w:r>
                </w:p>
              </w:tc>
              <w:tc>
                <w:tcPr>
                  <w:tcW w:w="2520"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监测浓度mg/L</w:t>
                  </w:r>
                </w:p>
              </w:tc>
              <w:tc>
                <w:tcPr>
                  <w:tcW w:w="2725"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排放量</w:t>
                  </w:r>
                  <w:r>
                    <w:rPr>
                      <w:rFonts w:hint="eastAsia" w:cs="Times New Roman"/>
                      <w:b/>
                      <w:bCs/>
                      <w:color w:val="auto"/>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35" w:type="dxa"/>
                  <w:vMerge w:val="restart"/>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厂区污水总排口</w:t>
                  </w:r>
                </w:p>
              </w:tc>
              <w:tc>
                <w:tcPr>
                  <w:tcW w:w="168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COD</w:t>
                  </w:r>
                </w:p>
              </w:tc>
              <w:tc>
                <w:tcPr>
                  <w:tcW w:w="252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53</w:t>
                  </w:r>
                </w:p>
              </w:tc>
              <w:tc>
                <w:tcPr>
                  <w:tcW w:w="272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35" w:type="dxa"/>
                  <w:vMerge w:val="continue"/>
                  <w:tcBorders>
                    <w:tl2br w:val="nil"/>
                    <w:tr2bl w:val="nil"/>
                  </w:tcBorders>
                  <w:vAlign w:val="center"/>
                </w:tcPr>
                <w:p>
                  <w:pPr>
                    <w:pStyle w:val="32"/>
                    <w:bidi w:val="0"/>
                    <w:rPr>
                      <w:rFonts w:hint="default" w:ascii="Times New Roman" w:hAnsi="Times New Roman" w:cs="Times New Roman"/>
                      <w:color w:val="auto"/>
                      <w:highlight w:val="none"/>
                      <w:lang w:eastAsia="zh-CN"/>
                    </w:rPr>
                  </w:pPr>
                </w:p>
              </w:tc>
              <w:tc>
                <w:tcPr>
                  <w:tcW w:w="168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SS</w:t>
                  </w:r>
                </w:p>
              </w:tc>
              <w:tc>
                <w:tcPr>
                  <w:tcW w:w="252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c>
                <w:tcPr>
                  <w:tcW w:w="272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35" w:type="dxa"/>
                  <w:vMerge w:val="continue"/>
                  <w:tcBorders>
                    <w:tl2br w:val="nil"/>
                    <w:tr2bl w:val="nil"/>
                  </w:tcBorders>
                  <w:vAlign w:val="center"/>
                </w:tcPr>
                <w:p>
                  <w:pPr>
                    <w:pStyle w:val="32"/>
                    <w:bidi w:val="0"/>
                    <w:rPr>
                      <w:rFonts w:hint="default" w:ascii="Times New Roman" w:hAnsi="Times New Roman" w:cs="Times New Roman"/>
                      <w:color w:val="auto"/>
                      <w:highlight w:val="none"/>
                      <w:lang w:eastAsia="zh-CN"/>
                    </w:rPr>
                  </w:pPr>
                </w:p>
              </w:tc>
              <w:tc>
                <w:tcPr>
                  <w:tcW w:w="168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氨氮</w:t>
                  </w:r>
                </w:p>
              </w:tc>
              <w:tc>
                <w:tcPr>
                  <w:tcW w:w="252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33.3</w:t>
                  </w:r>
                </w:p>
              </w:tc>
              <w:tc>
                <w:tcPr>
                  <w:tcW w:w="272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35" w:type="dxa"/>
                  <w:vMerge w:val="continue"/>
                  <w:tcBorders>
                    <w:tl2br w:val="nil"/>
                    <w:tr2bl w:val="nil"/>
                  </w:tcBorders>
                  <w:vAlign w:val="center"/>
                </w:tcPr>
                <w:p>
                  <w:pPr>
                    <w:pStyle w:val="32"/>
                    <w:bidi w:val="0"/>
                    <w:rPr>
                      <w:rFonts w:hint="default" w:ascii="Times New Roman" w:hAnsi="Times New Roman" w:cs="Times New Roman"/>
                      <w:color w:val="auto"/>
                      <w:highlight w:val="none"/>
                      <w:lang w:eastAsia="zh-CN"/>
                    </w:rPr>
                  </w:pPr>
                </w:p>
              </w:tc>
              <w:tc>
                <w:tcPr>
                  <w:tcW w:w="168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highlight w:val="none"/>
                      <w:lang w:val="en-US" w:eastAsia="zh-CN"/>
                    </w:rPr>
                    <w:t>石油类</w:t>
                  </w:r>
                </w:p>
              </w:tc>
              <w:tc>
                <w:tcPr>
                  <w:tcW w:w="252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0.66</w:t>
                  </w:r>
                </w:p>
              </w:tc>
              <w:tc>
                <w:tcPr>
                  <w:tcW w:w="272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35" w:type="dxa"/>
                  <w:vMerge w:val="continue"/>
                  <w:tcBorders>
                    <w:tl2br w:val="nil"/>
                    <w:tr2bl w:val="nil"/>
                  </w:tcBorders>
                  <w:vAlign w:val="center"/>
                </w:tcPr>
                <w:p>
                  <w:pPr>
                    <w:pStyle w:val="32"/>
                    <w:bidi w:val="0"/>
                    <w:rPr>
                      <w:rFonts w:hint="default" w:ascii="Times New Roman" w:hAnsi="Times New Roman" w:cs="Times New Roman"/>
                      <w:color w:val="auto"/>
                      <w:highlight w:val="none"/>
                      <w:lang w:eastAsia="zh-CN"/>
                    </w:rPr>
                  </w:pPr>
                </w:p>
              </w:tc>
              <w:tc>
                <w:tcPr>
                  <w:tcW w:w="1685"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BOD</w:t>
                  </w:r>
                  <w:r>
                    <w:rPr>
                      <w:rFonts w:hint="default" w:ascii="Times New Roman" w:hAnsi="Times New Roman" w:cs="Times New Roman"/>
                      <w:color w:val="auto"/>
                      <w:highlight w:val="none"/>
                      <w:vertAlign w:val="subscript"/>
                      <w:lang w:val="en-US" w:eastAsia="zh-CN"/>
                    </w:rPr>
                    <w:t>5</w:t>
                  </w:r>
                </w:p>
              </w:tc>
              <w:tc>
                <w:tcPr>
                  <w:tcW w:w="2520"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15.6</w:t>
                  </w:r>
                </w:p>
              </w:tc>
              <w:tc>
                <w:tcPr>
                  <w:tcW w:w="2725"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0.011</w:t>
                  </w:r>
                </w:p>
              </w:tc>
            </w:tr>
          </w:tbl>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根据监测报告，</w:t>
            </w:r>
            <w:r>
              <w:rPr>
                <w:rFonts w:hint="eastAsia" w:cs="Times New Roman"/>
                <w:color w:val="auto"/>
                <w:highlight w:val="none"/>
                <w:lang w:val="en-US" w:eastAsia="zh-CN"/>
              </w:rPr>
              <w:t>以上各污染物均满足《农田灌溉水质标准》（GB5084-2021）表1及表2标准限制。</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3、噪声</w:t>
            </w:r>
          </w:p>
          <w:p>
            <w:pPr>
              <w:bidi w:val="0"/>
              <w:rPr>
                <w:rFonts w:hint="default" w:ascii="Times New Roman" w:hAnsi="Times New Roman" w:eastAsia="宋体" w:cs="Times New Roman"/>
                <w:b/>
                <w:color w:val="auto"/>
                <w:sz w:val="24"/>
                <w:szCs w:val="24"/>
                <w:highlight w:val="green"/>
              </w:rPr>
            </w:pPr>
            <w:r>
              <w:rPr>
                <w:rFonts w:hint="default"/>
                <w:color w:val="auto"/>
                <w:highlight w:val="none"/>
                <w:lang w:val="en-US" w:eastAsia="zh-CN"/>
              </w:rPr>
              <w:t>根据</w:t>
            </w:r>
            <w:r>
              <w:rPr>
                <w:rFonts w:hint="eastAsia"/>
                <w:color w:val="auto"/>
                <w:highlight w:val="none"/>
                <w:lang w:val="en-US" w:eastAsia="zh-CN"/>
              </w:rPr>
              <w:t>陕西秦景蓝环境检测有限公司</w:t>
            </w:r>
            <w:r>
              <w:rPr>
                <w:rFonts w:hint="default"/>
                <w:color w:val="auto"/>
                <w:highlight w:val="none"/>
                <w:lang w:val="en-US" w:eastAsia="zh-CN"/>
              </w:rPr>
              <w:t>对企业现有工程监测报告，监测结果见下表。</w:t>
            </w:r>
          </w:p>
          <w:p>
            <w:pPr>
              <w:pStyle w:val="81"/>
              <w:bidi w:val="0"/>
              <w:rPr>
                <w:rFonts w:hint="default" w:ascii="Times New Roman" w:hAnsi="Times New Roman" w:eastAsia="宋体" w:cs="Times New Roman"/>
                <w:b/>
                <w:color w:val="auto"/>
                <w:szCs w:val="24"/>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10</w:t>
            </w:r>
            <w:r>
              <w:rPr>
                <w:rFonts w:hint="default" w:ascii="Times New Roman" w:hAnsi="Times New Roman" w:cs="Times New Roman"/>
                <w:color w:val="auto"/>
                <w:highlight w:val="none"/>
              </w:rPr>
              <w:t xml:space="preserve">   厂界噪声监测结果   单位：dB（A）</w:t>
            </w:r>
          </w:p>
          <w:tbl>
            <w:tblPr>
              <w:tblStyle w:val="30"/>
              <w:tblW w:w="79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568"/>
              <w:gridCol w:w="1673"/>
              <w:gridCol w:w="1698"/>
              <w:gridCol w:w="3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568" w:type="dxa"/>
                  <w:tcBorders>
                    <w:tl2br w:val="nil"/>
                    <w:tr2bl w:val="nil"/>
                  </w:tcBorders>
                  <w:vAlign w:val="center"/>
                </w:tcPr>
                <w:p>
                  <w:pPr>
                    <w:pStyle w:val="3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监测点位</w:t>
                  </w:r>
                </w:p>
              </w:tc>
              <w:tc>
                <w:tcPr>
                  <w:tcW w:w="1673"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昼间</w:t>
                  </w:r>
                </w:p>
              </w:tc>
              <w:tc>
                <w:tcPr>
                  <w:tcW w:w="1698" w:type="dxa"/>
                  <w:tcBorders>
                    <w:tl2br w:val="nil"/>
                    <w:tr2bl w:val="nil"/>
                  </w:tcBorders>
                  <w:vAlign w:val="center"/>
                </w:tcPr>
                <w:p>
                  <w:pPr>
                    <w:pStyle w:val="3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夜间</w:t>
                  </w:r>
                </w:p>
              </w:tc>
              <w:tc>
                <w:tcPr>
                  <w:tcW w:w="3007"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568"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eastAsia="zh-CN"/>
                    </w:rPr>
                    <w:t>东</w:t>
                  </w:r>
                  <w:r>
                    <w:rPr>
                      <w:rFonts w:hint="eastAsia" w:ascii="Times New Roman" w:hAnsi="Times New Roman" w:cs="Times New Roman"/>
                      <w:color w:val="auto"/>
                      <w:highlight w:val="none"/>
                      <w:lang w:val="en-US" w:eastAsia="zh-CN"/>
                    </w:rPr>
                    <w:t>侧</w:t>
                  </w:r>
                </w:p>
              </w:tc>
              <w:tc>
                <w:tcPr>
                  <w:tcW w:w="1673"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w:t>
                  </w:r>
                </w:p>
              </w:tc>
              <w:tc>
                <w:tcPr>
                  <w:tcW w:w="1698"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3007" w:type="dxa"/>
                  <w:vMerge w:val="restart"/>
                  <w:tcBorders>
                    <w:tl2br w:val="nil"/>
                    <w:tr2bl w:val="nil"/>
                  </w:tcBorders>
                  <w:vAlign w:val="center"/>
                </w:tcPr>
                <w:p>
                  <w:pPr>
                    <w:pStyle w:val="32"/>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2类标准</w:t>
                  </w:r>
                </w:p>
                <w:p>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昼间：60，夜间：50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568" w:type="dxa"/>
                  <w:tcBorders>
                    <w:tl2br w:val="nil"/>
                    <w:tr2bl w:val="nil"/>
                  </w:tcBorders>
                  <w:vAlign w:val="center"/>
                </w:tcPr>
                <w:p>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eastAsia="zh-CN"/>
                    </w:rPr>
                    <w:t>南</w:t>
                  </w:r>
                  <w:r>
                    <w:rPr>
                      <w:rFonts w:hint="eastAsia" w:ascii="Times New Roman" w:hAnsi="Times New Roman" w:cs="Times New Roman"/>
                      <w:color w:val="auto"/>
                      <w:highlight w:val="none"/>
                      <w:lang w:val="en-US" w:eastAsia="zh-CN"/>
                    </w:rPr>
                    <w:t>侧</w:t>
                  </w:r>
                </w:p>
              </w:tc>
              <w:tc>
                <w:tcPr>
                  <w:tcW w:w="1673"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1698"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007" w:type="dxa"/>
                  <w:vMerge w:val="continue"/>
                  <w:tcBorders>
                    <w:tl2br w:val="nil"/>
                    <w:tr2bl w:val="nil"/>
                  </w:tcBorders>
                  <w:vAlign w:val="center"/>
                </w:tcPr>
                <w:p>
                  <w:pPr>
                    <w:pStyle w:val="32"/>
                    <w:bidi w:val="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568" w:type="dxa"/>
                  <w:tcBorders>
                    <w:tl2br w:val="nil"/>
                    <w:tr2bl w:val="nil"/>
                  </w:tcBorders>
                  <w:vAlign w:val="center"/>
                </w:tcPr>
                <w:p>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eastAsia="zh-CN"/>
                    </w:rPr>
                    <w:t>西</w:t>
                  </w:r>
                  <w:r>
                    <w:rPr>
                      <w:rFonts w:hint="eastAsia" w:ascii="Times New Roman" w:hAnsi="Times New Roman" w:cs="Times New Roman"/>
                      <w:color w:val="auto"/>
                      <w:highlight w:val="none"/>
                      <w:lang w:val="en-US" w:eastAsia="zh-CN"/>
                    </w:rPr>
                    <w:t>侧</w:t>
                  </w:r>
                </w:p>
              </w:tc>
              <w:tc>
                <w:tcPr>
                  <w:tcW w:w="1673"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w:t>
                  </w:r>
                </w:p>
              </w:tc>
              <w:tc>
                <w:tcPr>
                  <w:tcW w:w="1698"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007" w:type="dxa"/>
                  <w:vMerge w:val="continue"/>
                  <w:tcBorders>
                    <w:tl2br w:val="nil"/>
                    <w:tr2bl w:val="nil"/>
                  </w:tcBorders>
                  <w:vAlign w:val="center"/>
                </w:tcPr>
                <w:p>
                  <w:pPr>
                    <w:pStyle w:val="32"/>
                    <w:bidi w:val="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568" w:type="dxa"/>
                  <w:tcBorders>
                    <w:tl2br w:val="nil"/>
                    <w:tr2bl w:val="nil"/>
                  </w:tcBorders>
                  <w:vAlign w:val="center"/>
                </w:tcPr>
                <w:p>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eastAsia="zh-CN"/>
                    </w:rPr>
                    <w:t>北</w:t>
                  </w:r>
                  <w:r>
                    <w:rPr>
                      <w:rFonts w:hint="eastAsia" w:ascii="Times New Roman" w:hAnsi="Times New Roman" w:cs="Times New Roman"/>
                      <w:color w:val="auto"/>
                      <w:highlight w:val="none"/>
                      <w:lang w:val="en-US" w:eastAsia="zh-CN"/>
                    </w:rPr>
                    <w:t>侧</w:t>
                  </w:r>
                </w:p>
              </w:tc>
              <w:tc>
                <w:tcPr>
                  <w:tcW w:w="1673"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w:t>
                  </w:r>
                </w:p>
              </w:tc>
              <w:tc>
                <w:tcPr>
                  <w:tcW w:w="1698"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3007" w:type="dxa"/>
                  <w:vMerge w:val="continue"/>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p>
              </w:tc>
            </w:tr>
          </w:tbl>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根据监测结果可知</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厂界环境噪声监测结果均符合《工业企业厂界环境噪声排放标准》（GB12348-2008）中</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类标准限值要求</w:t>
            </w:r>
            <w:r>
              <w:rPr>
                <w:rFonts w:hint="default" w:ascii="Times New Roman" w:hAnsi="Times New Roman" w:cs="Times New Roman"/>
                <w:color w:val="auto"/>
                <w:highlight w:val="none"/>
                <w:lang w:eastAsia="zh-CN"/>
              </w:rPr>
              <w:t>。</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4、固废</w:t>
            </w:r>
          </w:p>
          <w:p>
            <w:pPr>
              <w:pStyle w:val="48"/>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rPr>
              <w:t>现有项目固体废物处理处置情况见下表。</w:t>
            </w:r>
          </w:p>
          <w:p>
            <w:pPr>
              <w:pStyle w:val="7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表2-1</w:t>
            </w:r>
            <w:r>
              <w:rPr>
                <w:rFonts w:hint="eastAsia" w:cs="Times New Roman"/>
                <w:color w:val="auto"/>
                <w:lang w:val="en-US" w:eastAsia="zh-CN"/>
              </w:rPr>
              <w:t>1</w:t>
            </w:r>
            <w:r>
              <w:rPr>
                <w:rFonts w:hint="default" w:ascii="Times New Roman" w:hAnsi="Times New Roman" w:cs="Times New Roman"/>
                <w:color w:val="auto"/>
                <w:lang w:val="en-US" w:eastAsia="zh-CN"/>
              </w:rPr>
              <w:t xml:space="preserve">   现有项目运营期固体废物处置情况一览表</w:t>
            </w:r>
          </w:p>
          <w:tbl>
            <w:tblPr>
              <w:tblStyle w:val="30"/>
              <w:tblW w:w="79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121"/>
              <w:gridCol w:w="2046"/>
              <w:gridCol w:w="1255"/>
              <w:gridCol w:w="1037"/>
              <w:gridCol w:w="24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tcBorders>
                    <w:tl2br w:val="nil"/>
                    <w:tr2bl w:val="nil"/>
                  </w:tcBorders>
                  <w:vAlign w:val="center"/>
                </w:tcPr>
                <w:p>
                  <w:pPr>
                    <w:pStyle w:val="32"/>
                    <w:bidi w:val="0"/>
                    <w:rPr>
                      <w:rFonts w:hint="default" w:ascii="Times New Roman" w:hAnsi="Times New Roman" w:cs="Times New Roman"/>
                      <w:color w:val="auto"/>
                    </w:rPr>
                  </w:pPr>
                  <w:r>
                    <w:rPr>
                      <w:rFonts w:hint="default" w:ascii="Times New Roman" w:hAnsi="Times New Roman" w:cs="Times New Roman"/>
                      <w:color w:val="auto"/>
                    </w:rPr>
                    <w:t>固废性质</w:t>
                  </w:r>
                </w:p>
              </w:tc>
              <w:tc>
                <w:tcPr>
                  <w:tcW w:w="2046" w:type="dxa"/>
                  <w:tcBorders>
                    <w:tl2br w:val="nil"/>
                    <w:tr2bl w:val="nil"/>
                  </w:tcBorders>
                  <w:vAlign w:val="center"/>
                </w:tcPr>
                <w:p>
                  <w:pPr>
                    <w:pStyle w:val="32"/>
                    <w:bidi w:val="0"/>
                    <w:rPr>
                      <w:rFonts w:hint="default" w:ascii="Times New Roman" w:hAnsi="Times New Roman" w:cs="Times New Roman"/>
                      <w:color w:val="auto"/>
                    </w:rPr>
                  </w:pPr>
                  <w:r>
                    <w:rPr>
                      <w:rFonts w:hint="default" w:ascii="Times New Roman" w:hAnsi="Times New Roman" w:cs="Times New Roman"/>
                      <w:color w:val="auto"/>
                    </w:rPr>
                    <w:t>废物名称</w:t>
                  </w:r>
                </w:p>
              </w:tc>
              <w:tc>
                <w:tcPr>
                  <w:tcW w:w="1255" w:type="dxa"/>
                  <w:tcBorders>
                    <w:tl2br w:val="nil"/>
                    <w:tr2bl w:val="nil"/>
                  </w:tcBorders>
                  <w:vAlign w:val="center"/>
                </w:tcPr>
                <w:p>
                  <w:pPr>
                    <w:pStyle w:val="32"/>
                    <w:bidi w:val="0"/>
                    <w:rPr>
                      <w:rFonts w:hint="default" w:ascii="Times New Roman" w:hAnsi="Times New Roman" w:cs="Times New Roman"/>
                      <w:color w:val="auto"/>
                      <w:lang w:eastAsia="zh-CN"/>
                    </w:rPr>
                  </w:pPr>
                  <w:r>
                    <w:rPr>
                      <w:rFonts w:hint="default" w:ascii="Times New Roman" w:hAnsi="Times New Roman" w:cs="Times New Roman"/>
                      <w:color w:val="auto"/>
                    </w:rPr>
                    <w:t>产生量t/a</w:t>
                  </w:r>
                </w:p>
              </w:tc>
              <w:tc>
                <w:tcPr>
                  <w:tcW w:w="1037" w:type="dxa"/>
                  <w:tcBorders>
                    <w:tl2br w:val="nil"/>
                    <w:tr2bl w:val="nil"/>
                  </w:tcBorders>
                  <w:vAlign w:val="center"/>
                </w:tcPr>
                <w:p>
                  <w:pPr>
                    <w:pStyle w:val="32"/>
                    <w:bidi w:val="0"/>
                    <w:rPr>
                      <w:rFonts w:hint="default" w:ascii="Times New Roman" w:hAnsi="Times New Roman" w:cs="Times New Roman"/>
                      <w:color w:val="auto"/>
                    </w:rPr>
                  </w:pPr>
                  <w:r>
                    <w:rPr>
                      <w:rFonts w:hint="default" w:ascii="Times New Roman" w:hAnsi="Times New Roman" w:cs="Times New Roman"/>
                      <w:color w:val="auto"/>
                    </w:rPr>
                    <w:t>形态</w:t>
                  </w:r>
                </w:p>
              </w:tc>
              <w:tc>
                <w:tcPr>
                  <w:tcW w:w="2457" w:type="dxa"/>
                  <w:tcBorders>
                    <w:tl2br w:val="nil"/>
                    <w:tr2bl w:val="nil"/>
                  </w:tcBorders>
                  <w:vAlign w:val="center"/>
                </w:tcPr>
                <w:p>
                  <w:pPr>
                    <w:pStyle w:val="32"/>
                    <w:bidi w:val="0"/>
                    <w:rPr>
                      <w:rFonts w:hint="default" w:ascii="Times New Roman" w:hAnsi="Times New Roman" w:cs="Times New Roman"/>
                      <w:color w:val="auto"/>
                    </w:rPr>
                  </w:pPr>
                  <w:r>
                    <w:rPr>
                      <w:rFonts w:hint="default" w:ascii="Times New Roman" w:hAnsi="Times New Roman" w:cs="Times New Roman"/>
                      <w:color w:val="auto"/>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vMerge w:val="restart"/>
                  <w:tcBorders>
                    <w:tl2br w:val="nil"/>
                    <w:tr2bl w:val="nil"/>
                  </w:tcBorders>
                  <w:vAlign w:val="center"/>
                </w:tcPr>
                <w:p>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一般固废</w:t>
                  </w:r>
                </w:p>
              </w:tc>
              <w:tc>
                <w:tcPr>
                  <w:tcW w:w="2046"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highlight w:val="none"/>
                    </w:rPr>
                    <w:t>不合格面皮、过期面皮</w:t>
                  </w:r>
                </w:p>
              </w:tc>
              <w:tc>
                <w:tcPr>
                  <w:tcW w:w="125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0.8</w:t>
                  </w:r>
                </w:p>
              </w:tc>
              <w:tc>
                <w:tcPr>
                  <w:tcW w:w="1037" w:type="dxa"/>
                  <w:tcBorders>
                    <w:tl2br w:val="nil"/>
                    <w:tr2bl w:val="nil"/>
                  </w:tcBorders>
                  <w:vAlign w:val="center"/>
                </w:tcPr>
                <w:p>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固态</w:t>
                  </w:r>
                </w:p>
              </w:tc>
              <w:tc>
                <w:tcPr>
                  <w:tcW w:w="2457"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lang w:val="en-US" w:eastAsia="zh-CN"/>
                    </w:rPr>
                    <w:t>外售养殖场处理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046"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废包装材料</w:t>
                  </w:r>
                </w:p>
              </w:tc>
              <w:tc>
                <w:tcPr>
                  <w:tcW w:w="125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0.1</w:t>
                  </w:r>
                </w:p>
              </w:tc>
              <w:tc>
                <w:tcPr>
                  <w:tcW w:w="1037" w:type="dxa"/>
                  <w:tcBorders>
                    <w:tl2br w:val="nil"/>
                    <w:tr2bl w:val="nil"/>
                  </w:tcBorders>
                  <w:vAlign w:val="center"/>
                </w:tcPr>
                <w:p>
                  <w:pPr>
                    <w:pStyle w:val="32"/>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固态</w:t>
                  </w:r>
                </w:p>
              </w:tc>
              <w:tc>
                <w:tcPr>
                  <w:tcW w:w="2457" w:type="dxa"/>
                  <w:tcBorders>
                    <w:tl2br w:val="nil"/>
                    <w:tr2bl w:val="nil"/>
                  </w:tcBorders>
                  <w:vAlign w:val="center"/>
                </w:tcPr>
                <w:p>
                  <w:pPr>
                    <w:pStyle w:val="32"/>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外售物资回收部门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046"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废过滤材料</w:t>
                  </w:r>
                </w:p>
              </w:tc>
              <w:tc>
                <w:tcPr>
                  <w:tcW w:w="125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0.01</w:t>
                  </w:r>
                </w:p>
              </w:tc>
              <w:tc>
                <w:tcPr>
                  <w:tcW w:w="1037" w:type="dxa"/>
                  <w:tcBorders>
                    <w:tl2br w:val="nil"/>
                    <w:tr2bl w:val="nil"/>
                  </w:tcBorders>
                  <w:vAlign w:val="center"/>
                </w:tcPr>
                <w:p>
                  <w:pPr>
                    <w:pStyle w:val="32"/>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固态</w:t>
                  </w:r>
                </w:p>
              </w:tc>
              <w:tc>
                <w:tcPr>
                  <w:tcW w:w="2457" w:type="dxa"/>
                  <w:tcBorders>
                    <w:tl2br w:val="nil"/>
                    <w:tr2bl w:val="nil"/>
                  </w:tcBorders>
                  <w:vAlign w:val="center"/>
                </w:tcPr>
                <w:p>
                  <w:pPr>
                    <w:pStyle w:val="32"/>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外售物资回收部门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046"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highlight w:val="none"/>
                      <w:lang w:val="en-US" w:eastAsia="zh-CN"/>
                    </w:rPr>
                    <w:t>废离子交换树脂</w:t>
                  </w:r>
                </w:p>
              </w:tc>
              <w:tc>
                <w:tcPr>
                  <w:tcW w:w="125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0.01</w:t>
                  </w:r>
                </w:p>
              </w:tc>
              <w:tc>
                <w:tcPr>
                  <w:tcW w:w="1037"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lang w:eastAsia="zh-CN"/>
                    </w:rPr>
                    <w:t>固态</w:t>
                  </w:r>
                </w:p>
              </w:tc>
              <w:tc>
                <w:tcPr>
                  <w:tcW w:w="2457"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lang w:eastAsia="zh-CN"/>
                    </w:rPr>
                    <w:t>外售物资回收部门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046"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污泥</w:t>
                  </w:r>
                </w:p>
              </w:tc>
              <w:tc>
                <w:tcPr>
                  <w:tcW w:w="1255"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2</w:t>
                  </w:r>
                </w:p>
              </w:tc>
              <w:tc>
                <w:tcPr>
                  <w:tcW w:w="1037"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eastAsia="zh-CN"/>
                    </w:rPr>
                    <w:t>固态</w:t>
                  </w:r>
                </w:p>
              </w:tc>
              <w:tc>
                <w:tcPr>
                  <w:tcW w:w="2457" w:type="dxa"/>
                  <w:tcBorders>
                    <w:tl2br w:val="nil"/>
                    <w:tr2bl w:val="nil"/>
                  </w:tcBorders>
                  <w:vAlign w:val="center"/>
                </w:tcPr>
                <w:p>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外售物资回收部门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vMerge w:val="restart"/>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危险废物</w:t>
                  </w:r>
                </w:p>
              </w:tc>
              <w:tc>
                <w:tcPr>
                  <w:tcW w:w="2046"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lang w:val="en-US" w:eastAsia="zh-CN"/>
                    </w:rPr>
                    <w:t>废真空泵油</w:t>
                  </w:r>
                </w:p>
              </w:tc>
              <w:tc>
                <w:tcPr>
                  <w:tcW w:w="1255"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0.02</w:t>
                  </w:r>
                </w:p>
              </w:tc>
              <w:tc>
                <w:tcPr>
                  <w:tcW w:w="1037"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液态</w:t>
                  </w:r>
                </w:p>
              </w:tc>
              <w:tc>
                <w:tcPr>
                  <w:tcW w:w="2457" w:type="dxa"/>
                  <w:vMerge w:val="restart"/>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046"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废油桶</w:t>
                  </w:r>
                </w:p>
              </w:tc>
              <w:tc>
                <w:tcPr>
                  <w:tcW w:w="1255"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0.005</w:t>
                  </w:r>
                </w:p>
              </w:tc>
              <w:tc>
                <w:tcPr>
                  <w:tcW w:w="1037"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固态</w:t>
                  </w:r>
                </w:p>
              </w:tc>
              <w:tc>
                <w:tcPr>
                  <w:tcW w:w="2457" w:type="dxa"/>
                  <w:vMerge w:val="continue"/>
                  <w:tcBorders>
                    <w:tl2br w:val="nil"/>
                    <w:tr2bl w:val="nil"/>
                  </w:tcBorders>
                  <w:vAlign w:val="center"/>
                </w:tcPr>
                <w:p>
                  <w:pPr>
                    <w:pStyle w:val="32"/>
                    <w:bidi w:val="0"/>
                    <w:rPr>
                      <w:rFonts w:hint="default" w:ascii="Times New Roman" w:hAnsi="Times New Roman" w:eastAsia="宋体" w:cs="Times New Roman"/>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046"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color w:val="auto"/>
                      <w:highlight w:val="none"/>
                    </w:rPr>
                    <w:t>废旧手套</w:t>
                  </w:r>
                  <w:r>
                    <w:rPr>
                      <w:rFonts w:hint="default"/>
                      <w:color w:val="auto"/>
                      <w:highlight w:val="none"/>
                      <w:lang w:eastAsia="zh-CN"/>
                    </w:rPr>
                    <w:t>及</w:t>
                  </w:r>
                  <w:r>
                    <w:rPr>
                      <w:rFonts w:hint="default"/>
                      <w:color w:val="auto"/>
                      <w:highlight w:val="none"/>
                    </w:rPr>
                    <w:t>废</w:t>
                  </w:r>
                  <w:r>
                    <w:rPr>
                      <w:rFonts w:hint="eastAsia"/>
                      <w:color w:val="auto"/>
                      <w:highlight w:val="none"/>
                      <w:lang w:val="en-US" w:eastAsia="zh-CN"/>
                    </w:rPr>
                    <w:t>油</w:t>
                  </w:r>
                  <w:r>
                    <w:rPr>
                      <w:rFonts w:hint="default"/>
                      <w:color w:val="auto"/>
                      <w:highlight w:val="none"/>
                    </w:rPr>
                    <w:t>抹布</w:t>
                  </w:r>
                </w:p>
              </w:tc>
              <w:tc>
                <w:tcPr>
                  <w:tcW w:w="1255"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0.01</w:t>
                  </w:r>
                </w:p>
              </w:tc>
              <w:tc>
                <w:tcPr>
                  <w:tcW w:w="1037"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固态</w:t>
                  </w:r>
                </w:p>
              </w:tc>
              <w:tc>
                <w:tcPr>
                  <w:tcW w:w="2457" w:type="dxa"/>
                  <w:vMerge w:val="continue"/>
                  <w:tcBorders>
                    <w:tl2br w:val="nil"/>
                    <w:tr2bl w:val="nil"/>
                  </w:tcBorders>
                  <w:vAlign w:val="center"/>
                </w:tcPr>
                <w:p>
                  <w:pPr>
                    <w:pStyle w:val="32"/>
                    <w:bidi w:val="0"/>
                    <w:rPr>
                      <w:rFonts w:hint="default" w:ascii="Times New Roman" w:hAnsi="Times New Roman" w:eastAsia="宋体" w:cs="Times New Roman"/>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121" w:type="dxa"/>
                  <w:tcBorders>
                    <w:tl2br w:val="nil"/>
                    <w:tr2bl w:val="nil"/>
                  </w:tcBorders>
                  <w:vAlign w:val="center"/>
                </w:tcPr>
                <w:p>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生活垃圾</w:t>
                  </w:r>
                </w:p>
              </w:tc>
              <w:tc>
                <w:tcPr>
                  <w:tcW w:w="2046"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生活垃圾</w:t>
                  </w:r>
                </w:p>
              </w:tc>
              <w:tc>
                <w:tcPr>
                  <w:tcW w:w="1255"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12.67</w:t>
                  </w:r>
                </w:p>
              </w:tc>
              <w:tc>
                <w:tcPr>
                  <w:tcW w:w="1037" w:type="dxa"/>
                  <w:tcBorders>
                    <w:tl2br w:val="nil"/>
                    <w:tr2bl w:val="nil"/>
                  </w:tcBorders>
                  <w:vAlign w:val="center"/>
                </w:tcPr>
                <w:p>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固态</w:t>
                  </w:r>
                </w:p>
              </w:tc>
              <w:tc>
                <w:tcPr>
                  <w:tcW w:w="2457"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生活垃圾分类收集后由当地环卫部门集中处置</w:t>
                  </w:r>
                </w:p>
              </w:tc>
            </w:tr>
          </w:tbl>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5、现有工程污染物排放量核算</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根据现有验收监测数据以及相关资料，核算现有工程污染物排放情况见下表。</w:t>
            </w:r>
          </w:p>
          <w:p>
            <w:pPr>
              <w:pStyle w:val="7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表2-1</w:t>
            </w:r>
            <w:r>
              <w:rPr>
                <w:rFonts w:hint="eastAsia" w:cs="Times New Roman"/>
                <w:color w:val="auto"/>
                <w:lang w:val="en-US" w:eastAsia="zh-CN"/>
              </w:rPr>
              <w:t>2</w:t>
            </w:r>
            <w:r>
              <w:rPr>
                <w:rFonts w:hint="default" w:ascii="Times New Roman" w:hAnsi="Times New Roman" w:cs="Times New Roman"/>
                <w:color w:val="auto"/>
                <w:lang w:val="en-US" w:eastAsia="zh-CN"/>
              </w:rPr>
              <w:t xml:space="preserve">   现有工程污染物排放量一览表</w:t>
            </w:r>
          </w:p>
          <w:tbl>
            <w:tblPr>
              <w:tblStyle w:val="30"/>
              <w:tblW w:w="79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863"/>
              <w:gridCol w:w="2435"/>
              <w:gridCol w:w="1984"/>
              <w:gridCol w:w="1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tcBorders>
                    <w:tl2br w:val="nil"/>
                    <w:tr2bl w:val="nil"/>
                  </w:tcBorders>
                  <w:vAlign w:val="center"/>
                </w:tcPr>
                <w:p>
                  <w:pPr>
                    <w:pStyle w:val="32"/>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污染物种类</w:t>
                  </w:r>
                </w:p>
              </w:tc>
              <w:tc>
                <w:tcPr>
                  <w:tcW w:w="2435" w:type="dxa"/>
                  <w:tcBorders>
                    <w:tl2br w:val="nil"/>
                    <w:tr2bl w:val="nil"/>
                  </w:tcBorders>
                  <w:vAlign w:val="center"/>
                </w:tcPr>
                <w:p>
                  <w:pPr>
                    <w:pStyle w:val="32"/>
                    <w:bidi w:val="0"/>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排放源</w:t>
                  </w:r>
                </w:p>
              </w:tc>
              <w:tc>
                <w:tcPr>
                  <w:tcW w:w="1984" w:type="dxa"/>
                  <w:tcBorders>
                    <w:tl2br w:val="nil"/>
                    <w:tr2bl w:val="nil"/>
                  </w:tcBorders>
                  <w:vAlign w:val="center"/>
                </w:tcPr>
                <w:p>
                  <w:pPr>
                    <w:pStyle w:val="32"/>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污染物名称</w:t>
                  </w:r>
                </w:p>
              </w:tc>
              <w:tc>
                <w:tcPr>
                  <w:tcW w:w="1712" w:type="dxa"/>
                  <w:tcBorders>
                    <w:tl2br w:val="nil"/>
                    <w:tr2bl w:val="nil"/>
                  </w:tcBorders>
                  <w:vAlign w:val="center"/>
                </w:tcPr>
                <w:p>
                  <w:pPr>
                    <w:pStyle w:val="32"/>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排放</w:t>
                  </w:r>
                  <w:r>
                    <w:rPr>
                      <w:rFonts w:hint="default" w:ascii="Times New Roman" w:hAnsi="Times New Roman" w:cs="Times New Roman"/>
                      <w:b/>
                      <w:bCs/>
                      <w:color w:val="auto"/>
                    </w:rPr>
                    <w:t>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restart"/>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废气</w:t>
                  </w:r>
                </w:p>
              </w:tc>
              <w:tc>
                <w:tcPr>
                  <w:tcW w:w="243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生产油烟食堂油烟</w:t>
                  </w:r>
                </w:p>
              </w:tc>
              <w:tc>
                <w:tcPr>
                  <w:tcW w:w="1984"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油烟</w:t>
                  </w:r>
                </w:p>
              </w:tc>
              <w:tc>
                <w:tcPr>
                  <w:tcW w:w="1712"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val="en-US" w:eastAsia="zh-CN"/>
                    </w:rPr>
                  </w:pPr>
                </w:p>
              </w:tc>
              <w:tc>
                <w:tcPr>
                  <w:tcW w:w="243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天然气锅炉</w:t>
                  </w:r>
                </w:p>
              </w:tc>
              <w:tc>
                <w:tcPr>
                  <w:tcW w:w="198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颗粒物</w:t>
                  </w:r>
                </w:p>
              </w:tc>
              <w:tc>
                <w:tcPr>
                  <w:tcW w:w="171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val="en-US" w:eastAsia="zh-CN"/>
                    </w:rPr>
                  </w:pPr>
                </w:p>
              </w:tc>
              <w:tc>
                <w:tcPr>
                  <w:tcW w:w="243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98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二氧化硫</w:t>
                  </w:r>
                </w:p>
              </w:tc>
              <w:tc>
                <w:tcPr>
                  <w:tcW w:w="171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val="en-US" w:eastAsia="zh-CN"/>
                    </w:rPr>
                  </w:pPr>
                </w:p>
              </w:tc>
              <w:tc>
                <w:tcPr>
                  <w:tcW w:w="2435" w:type="dxa"/>
                  <w:vMerge w:val="continue"/>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p>
              </w:tc>
              <w:tc>
                <w:tcPr>
                  <w:tcW w:w="198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氮氧化物</w:t>
                  </w:r>
                </w:p>
              </w:tc>
              <w:tc>
                <w:tcPr>
                  <w:tcW w:w="171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0.041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restart"/>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w:t>
                  </w:r>
                </w:p>
              </w:tc>
              <w:tc>
                <w:tcPr>
                  <w:tcW w:w="2435" w:type="dxa"/>
                  <w:vMerge w:val="restart"/>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生产废水</w:t>
                  </w:r>
                </w:p>
              </w:tc>
              <w:tc>
                <w:tcPr>
                  <w:tcW w:w="1984"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COD</w:t>
                  </w:r>
                </w:p>
              </w:tc>
              <w:tc>
                <w:tcPr>
                  <w:tcW w:w="1712"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val="en-US" w:eastAsia="zh-CN"/>
                    </w:rPr>
                  </w:pPr>
                </w:p>
              </w:tc>
              <w:tc>
                <w:tcPr>
                  <w:tcW w:w="2435" w:type="dxa"/>
                  <w:vMerge w:val="continue"/>
                  <w:tcBorders>
                    <w:tl2br w:val="nil"/>
                    <w:tr2bl w:val="nil"/>
                  </w:tcBorders>
                  <w:vAlign w:val="center"/>
                </w:tcPr>
                <w:p>
                  <w:pPr>
                    <w:pStyle w:val="32"/>
                    <w:bidi w:val="0"/>
                    <w:rPr>
                      <w:rFonts w:hint="default" w:ascii="Times New Roman" w:hAnsi="Times New Roman" w:cs="Times New Roman"/>
                      <w:color w:val="auto"/>
                      <w:highlight w:val="none"/>
                      <w:lang w:val="en-US" w:eastAsia="zh-CN"/>
                    </w:rPr>
                  </w:pPr>
                </w:p>
              </w:tc>
              <w:tc>
                <w:tcPr>
                  <w:tcW w:w="1984"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氨氮</w:t>
                  </w:r>
                </w:p>
              </w:tc>
              <w:tc>
                <w:tcPr>
                  <w:tcW w:w="1712"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restart"/>
                  <w:tcBorders>
                    <w:tl2br w:val="nil"/>
                    <w:tr2bl w:val="nil"/>
                  </w:tcBorders>
                  <w:vAlign w:val="center"/>
                </w:tcPr>
                <w:p>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一般固废</w:t>
                  </w:r>
                </w:p>
              </w:tc>
              <w:tc>
                <w:tcPr>
                  <w:tcW w:w="2435"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生产过程</w:t>
                  </w:r>
                </w:p>
              </w:tc>
              <w:tc>
                <w:tcPr>
                  <w:tcW w:w="1984"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不合格面皮、过期面皮</w:t>
                  </w:r>
                </w:p>
              </w:tc>
              <w:tc>
                <w:tcPr>
                  <w:tcW w:w="1712"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435"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生产过程</w:t>
                  </w:r>
                </w:p>
              </w:tc>
              <w:tc>
                <w:tcPr>
                  <w:tcW w:w="1984"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废包装材料</w:t>
                  </w:r>
                </w:p>
              </w:tc>
              <w:tc>
                <w:tcPr>
                  <w:tcW w:w="1712"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435"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纯水制备</w:t>
                  </w:r>
                </w:p>
              </w:tc>
              <w:tc>
                <w:tcPr>
                  <w:tcW w:w="1984"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废过滤材料</w:t>
                  </w:r>
                </w:p>
              </w:tc>
              <w:tc>
                <w:tcPr>
                  <w:tcW w:w="1712"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435"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软水制备</w:t>
                  </w:r>
                </w:p>
              </w:tc>
              <w:tc>
                <w:tcPr>
                  <w:tcW w:w="1984"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highlight w:val="none"/>
                      <w:lang w:val="en-US" w:eastAsia="zh-CN"/>
                    </w:rPr>
                    <w:t>废离子交换树脂</w:t>
                  </w:r>
                </w:p>
              </w:tc>
              <w:tc>
                <w:tcPr>
                  <w:tcW w:w="1712" w:type="dxa"/>
                  <w:tcBorders>
                    <w:tl2br w:val="nil"/>
                    <w:tr2bl w:val="nil"/>
                  </w:tcBorders>
                  <w:shd w:val="clear" w:color="auto" w:fill="auto"/>
                  <w:vAlign w:val="center"/>
                </w:tcPr>
                <w:p>
                  <w:pPr>
                    <w:pStyle w:val="32"/>
                    <w:bidi w:val="0"/>
                    <w:ind w:left="-48" w:leftChars="-20" w:right="-48" w:rightChars="-20" w:firstLine="0" w:firstLineChars="0"/>
                    <w:rPr>
                      <w:rFonts w:hint="default" w:cs="Times New Roman"/>
                      <w:color w:val="auto"/>
                      <w:lang w:val="en-US" w:eastAsia="zh-CN"/>
                    </w:rPr>
                  </w:pPr>
                  <w:r>
                    <w:rPr>
                      <w:rFonts w:hint="eastAsia" w:cs="Times New Roman"/>
                      <w:color w:val="auto"/>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435"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废水处理</w:t>
                  </w:r>
                </w:p>
              </w:tc>
              <w:tc>
                <w:tcPr>
                  <w:tcW w:w="1984"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污泥</w:t>
                  </w:r>
                </w:p>
              </w:tc>
              <w:tc>
                <w:tcPr>
                  <w:tcW w:w="1712"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restart"/>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危险废物</w:t>
                  </w:r>
                </w:p>
              </w:tc>
              <w:tc>
                <w:tcPr>
                  <w:tcW w:w="2435"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设备维修</w:t>
                  </w:r>
                </w:p>
              </w:tc>
              <w:tc>
                <w:tcPr>
                  <w:tcW w:w="1984"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lang w:val="en-US" w:eastAsia="zh-CN"/>
                    </w:rPr>
                    <w:t>废真空泵油</w:t>
                  </w:r>
                </w:p>
              </w:tc>
              <w:tc>
                <w:tcPr>
                  <w:tcW w:w="1712" w:type="dxa"/>
                  <w:tcBorders>
                    <w:tl2br w:val="nil"/>
                    <w:tr2bl w:val="nil"/>
                  </w:tcBorders>
                  <w:shd w:val="clear" w:color="auto" w:fill="auto"/>
                  <w:vAlign w:val="center"/>
                </w:tcPr>
                <w:p>
                  <w:pPr>
                    <w:pStyle w:val="32"/>
                    <w:bidi w:val="0"/>
                    <w:ind w:left="-48" w:leftChars="-20" w:right="-48" w:rightChars="-20" w:firstLine="0" w:firstLineChars="0"/>
                    <w:rPr>
                      <w:rFonts w:hint="default" w:cs="Times New Roman"/>
                      <w:color w:val="auto"/>
                      <w:lang w:val="en-US" w:eastAsia="zh-CN"/>
                    </w:rPr>
                  </w:pPr>
                  <w:r>
                    <w:rPr>
                      <w:rFonts w:hint="eastAsia" w:cs="Times New Roman"/>
                      <w:color w:val="auto"/>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435"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color w:val="auto"/>
                      <w:highlight w:val="none"/>
                      <w:lang w:eastAsia="zh-CN"/>
                    </w:rPr>
                    <w:t>设备维修</w:t>
                  </w:r>
                </w:p>
              </w:tc>
              <w:tc>
                <w:tcPr>
                  <w:tcW w:w="1984"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废油桶</w:t>
                  </w:r>
                </w:p>
              </w:tc>
              <w:tc>
                <w:tcPr>
                  <w:tcW w:w="1712" w:type="dxa"/>
                  <w:tcBorders>
                    <w:tl2br w:val="nil"/>
                    <w:tr2bl w:val="nil"/>
                  </w:tcBorders>
                  <w:shd w:val="clear" w:color="auto" w:fill="auto"/>
                  <w:vAlign w:val="center"/>
                </w:tcPr>
                <w:p>
                  <w:pPr>
                    <w:pStyle w:val="32"/>
                    <w:bidi w:val="0"/>
                    <w:ind w:left="-48" w:leftChars="-20" w:right="-48" w:rightChars="-20" w:firstLine="0" w:firstLineChars="0"/>
                    <w:rPr>
                      <w:rFonts w:hint="default" w:cs="Times New Roman"/>
                      <w:color w:val="auto"/>
                      <w:lang w:val="en-US" w:eastAsia="zh-CN"/>
                    </w:rPr>
                  </w:pPr>
                  <w:r>
                    <w:rPr>
                      <w:rFonts w:hint="eastAsia" w:cs="Times New Roman"/>
                      <w:color w:val="auto"/>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vMerge w:val="continue"/>
                  <w:tcBorders>
                    <w:tl2br w:val="nil"/>
                    <w:tr2bl w:val="nil"/>
                  </w:tcBorders>
                  <w:vAlign w:val="center"/>
                </w:tcPr>
                <w:p>
                  <w:pPr>
                    <w:pStyle w:val="32"/>
                    <w:bidi w:val="0"/>
                    <w:rPr>
                      <w:rFonts w:hint="default" w:ascii="Times New Roman" w:hAnsi="Times New Roman" w:cs="Times New Roman"/>
                      <w:color w:val="auto"/>
                      <w:lang w:eastAsia="zh-CN"/>
                    </w:rPr>
                  </w:pPr>
                </w:p>
              </w:tc>
              <w:tc>
                <w:tcPr>
                  <w:tcW w:w="2435"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color w:val="auto"/>
                      <w:highlight w:val="none"/>
                      <w:lang w:eastAsia="zh-CN"/>
                    </w:rPr>
                    <w:t>设备维修</w:t>
                  </w:r>
                </w:p>
              </w:tc>
              <w:tc>
                <w:tcPr>
                  <w:tcW w:w="1984"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color w:val="auto"/>
                      <w:highlight w:val="none"/>
                    </w:rPr>
                    <w:t>废旧手套</w:t>
                  </w:r>
                  <w:r>
                    <w:rPr>
                      <w:rFonts w:hint="default"/>
                      <w:color w:val="auto"/>
                      <w:highlight w:val="none"/>
                      <w:lang w:eastAsia="zh-CN"/>
                    </w:rPr>
                    <w:t>及</w:t>
                  </w:r>
                  <w:r>
                    <w:rPr>
                      <w:rFonts w:hint="default"/>
                      <w:color w:val="auto"/>
                      <w:highlight w:val="none"/>
                    </w:rPr>
                    <w:t>废</w:t>
                  </w:r>
                  <w:r>
                    <w:rPr>
                      <w:rFonts w:hint="eastAsia"/>
                      <w:color w:val="auto"/>
                      <w:highlight w:val="none"/>
                      <w:lang w:val="en-US" w:eastAsia="zh-CN"/>
                    </w:rPr>
                    <w:t>油</w:t>
                  </w:r>
                  <w:r>
                    <w:rPr>
                      <w:rFonts w:hint="default"/>
                      <w:color w:val="auto"/>
                      <w:highlight w:val="none"/>
                    </w:rPr>
                    <w:t>抹布</w:t>
                  </w:r>
                </w:p>
              </w:tc>
              <w:tc>
                <w:tcPr>
                  <w:tcW w:w="1712" w:type="dxa"/>
                  <w:tcBorders>
                    <w:tl2br w:val="nil"/>
                    <w:tr2bl w:val="nil"/>
                  </w:tcBorders>
                  <w:shd w:val="clear" w:color="auto" w:fill="auto"/>
                  <w:vAlign w:val="center"/>
                </w:tcPr>
                <w:p>
                  <w:pPr>
                    <w:pStyle w:val="32"/>
                    <w:bidi w:val="0"/>
                    <w:ind w:left="-48" w:leftChars="-20" w:right="-48" w:rightChars="-20" w:firstLine="0" w:firstLineChars="0"/>
                    <w:rPr>
                      <w:rFonts w:hint="default" w:cs="Times New Roman"/>
                      <w:color w:val="auto"/>
                      <w:lang w:val="en-US" w:eastAsia="zh-CN"/>
                    </w:rPr>
                  </w:pPr>
                  <w:r>
                    <w:rPr>
                      <w:rFonts w:hint="eastAsia" w:cs="Times New Roman"/>
                      <w:color w:val="auto"/>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863" w:type="dxa"/>
                  <w:tcBorders>
                    <w:tl2br w:val="nil"/>
                    <w:tr2bl w:val="nil"/>
                  </w:tcBorders>
                  <w:vAlign w:val="center"/>
                </w:tcPr>
                <w:p>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生活垃圾</w:t>
                  </w:r>
                </w:p>
              </w:tc>
              <w:tc>
                <w:tcPr>
                  <w:tcW w:w="2435"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生活办公</w:t>
                  </w:r>
                </w:p>
              </w:tc>
              <w:tc>
                <w:tcPr>
                  <w:tcW w:w="1984"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生活垃圾</w:t>
                  </w:r>
                </w:p>
              </w:tc>
              <w:tc>
                <w:tcPr>
                  <w:tcW w:w="1712"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12.67</w:t>
                  </w:r>
                </w:p>
              </w:tc>
            </w:tr>
          </w:tbl>
          <w:p>
            <w:pPr>
              <w:bidi w:val="0"/>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三、现有项目主要环境问题以及整改措施</w:t>
            </w:r>
          </w:p>
          <w:p>
            <w:pPr>
              <w:rPr>
                <w:rFonts w:hint="eastAsia" w:cs="Times New Roman"/>
                <w:color w:val="auto"/>
                <w:lang w:val="en-US" w:eastAsia="zh-CN"/>
              </w:rPr>
            </w:pPr>
            <w:r>
              <w:rPr>
                <w:rFonts w:hint="default" w:ascii="Times New Roman" w:hAnsi="Times New Roman" w:cs="Times New Roman"/>
                <w:color w:val="auto"/>
                <w:lang w:val="en-US" w:eastAsia="zh-CN"/>
              </w:rPr>
              <w:t>现有项目</w:t>
            </w:r>
            <w:r>
              <w:rPr>
                <w:rFonts w:hint="eastAsia"/>
                <w:lang w:val="en-US" w:eastAsia="zh-CN"/>
              </w:rPr>
              <w:t>生产废水管道及污水储罐已防渗处理，目前生产废水不直接排放，已改为拉运至岐山县大源污水处理厂。油烟废气治理设施均正常运行且达标排放，锅炉废气可做到达标排放。厂区已按相关要求建设危险废物贮存，并与</w:t>
            </w:r>
            <w:r>
              <w:rPr>
                <w:rFonts w:hint="eastAsia" w:cs="Times New Roman"/>
                <w:color w:val="auto"/>
                <w:lang w:val="en-US" w:eastAsia="zh-CN"/>
              </w:rPr>
              <w:t>陕西天行环保科技有限公司签订了危险废物处置协议。</w:t>
            </w: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pStyle w:val="2"/>
              <w:rPr>
                <w:rFonts w:hint="eastAsia" w:cs="Times New Roman"/>
                <w:color w:val="auto"/>
                <w:lang w:val="en-US" w:eastAsia="zh-CN"/>
              </w:rPr>
            </w:pPr>
          </w:p>
          <w:p>
            <w:pPr>
              <w:rPr>
                <w:rFonts w:hint="eastAsia" w:cs="Times New Roman"/>
                <w:color w:val="auto"/>
                <w:lang w:val="en-US" w:eastAsia="zh-CN"/>
              </w:rPr>
            </w:pPr>
          </w:p>
          <w:p>
            <w:pPr>
              <w:rPr>
                <w:rFonts w:hint="eastAsia" w:cs="Times New Roman"/>
                <w:color w:val="auto"/>
                <w:lang w:val="en-US" w:eastAsia="zh-CN"/>
              </w:rPr>
            </w:pPr>
          </w:p>
          <w:p>
            <w:pPr>
              <w:pStyle w:val="2"/>
              <w:rPr>
                <w:rFonts w:hint="default"/>
                <w:lang w:val="en-US" w:eastAsia="zh-CN"/>
              </w:rPr>
            </w:pPr>
          </w:p>
        </w:tc>
      </w:tr>
    </w:tbl>
    <w:p>
      <w:pPr>
        <w:pStyle w:val="24"/>
        <w:jc w:val="center"/>
        <w:rPr>
          <w:rFonts w:hint="default" w:ascii="Times New Roman" w:hAnsi="Times New Roman" w:eastAsia="宋体" w:cs="Times New Roman"/>
          <w:snapToGrid w:val="0"/>
          <w:color w:val="auto"/>
          <w:sz w:val="36"/>
          <w:szCs w:val="36"/>
          <w:highlight w:val="none"/>
        </w:rPr>
        <w:sectPr>
          <w:headerReference r:id="rId5" w:type="default"/>
          <w:footerReference r:id="rId6" w:type="default"/>
          <w:pgSz w:w="11906" w:h="16838"/>
          <w:pgMar w:top="1247" w:right="1247" w:bottom="1247" w:left="1587"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firstLine="0" w:firstLineChars="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bookmarkEnd w:id="4"/>
      <w:bookmarkEnd w:id="5"/>
      <w:bookmarkEnd w:id="6"/>
    </w:p>
    <w:tbl>
      <w:tblPr>
        <w:tblStyle w:val="30"/>
        <w:tblW w:w="928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4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区域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环境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质量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现状</w:t>
            </w:r>
          </w:p>
        </w:tc>
        <w:tc>
          <w:tcPr>
            <w:tcW w:w="846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一、环境空气质量现状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本项目位于</w:t>
            </w:r>
            <w:r>
              <w:rPr>
                <w:rFonts w:hint="eastAsia" w:ascii="Times New Roman" w:hAnsi="Times New Roman" w:cs="Times New Roman"/>
                <w:color w:val="auto"/>
                <w:sz w:val="24"/>
                <w:szCs w:val="24"/>
                <w:highlight w:val="none"/>
                <w:u w:val="none"/>
                <w:lang w:eastAsia="zh-CN"/>
              </w:rPr>
              <w:t>陕西省宝鸡市</w:t>
            </w:r>
            <w:r>
              <w:rPr>
                <w:rFonts w:hint="eastAsia" w:cs="Times New Roman"/>
                <w:color w:val="auto"/>
                <w:sz w:val="24"/>
                <w:szCs w:val="24"/>
                <w:highlight w:val="none"/>
                <w:u w:val="none"/>
                <w:lang w:eastAsia="zh-CN"/>
              </w:rPr>
              <w:t>陈仓区阳平镇第六寨村</w:t>
            </w:r>
            <w:r>
              <w:rPr>
                <w:rFonts w:hint="default" w:ascii="Times New Roman" w:hAnsi="Times New Roman" w:cs="Times New Roman"/>
                <w:color w:val="auto"/>
                <w:sz w:val="24"/>
                <w:szCs w:val="24"/>
                <w:highlight w:val="none"/>
              </w:rPr>
              <w:t>。根据大气功能区划，本项目所在地为二类功能区，环境空气质量标准执行《环境空气质量标准》（GB3095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softHyphen/>
            </w:r>
            <w:r>
              <w:rPr>
                <w:rFonts w:hint="default" w:ascii="Times New Roman" w:hAnsi="Times New Roman" w:cs="Times New Roman"/>
                <w:color w:val="auto"/>
                <w:sz w:val="24"/>
                <w:szCs w:val="24"/>
                <w:highlight w:val="none"/>
              </w:rPr>
              <w:t>2012）二级标准要求。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1、常规污染物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按</w:t>
            </w:r>
            <w:r>
              <w:rPr>
                <w:rFonts w:hint="eastAsia" w:ascii="宋体" w:hAnsi="宋体" w:eastAsia="宋体" w:cs="宋体"/>
                <w:color w:val="auto"/>
                <w:sz w:val="24"/>
                <w:szCs w:val="24"/>
                <w:highlight w:val="none"/>
                <w:lang w:eastAsia="zh-CN"/>
              </w:rPr>
              <w:t>照《建设项目环境影响报告表编制技术指南（污染影响类）（试行）》规定，“</w:t>
            </w:r>
            <w:r>
              <w:rPr>
                <w:rFonts w:hint="eastAsia" w:ascii="宋体" w:hAnsi="宋体" w:eastAsia="宋体" w:cs="宋体"/>
                <w:color w:val="auto"/>
                <w:sz w:val="24"/>
                <w:szCs w:val="24"/>
                <w:highlight w:val="none"/>
                <w:lang w:val="en-US" w:eastAsia="zh-CN"/>
              </w:rPr>
              <w:t>常规污染物引用与建设项目距离近的有效数据</w:t>
            </w:r>
            <w:r>
              <w:rPr>
                <w:rFonts w:hint="default" w:ascii="Times New Roman" w:hAnsi="Times New Roman" w:eastAsia="宋体" w:cs="Times New Roman"/>
                <w:color w:val="auto"/>
                <w:sz w:val="24"/>
                <w:szCs w:val="24"/>
                <w:highlight w:val="none"/>
                <w:lang w:val="en-US" w:eastAsia="zh-CN"/>
              </w:rPr>
              <w:t>，包括近3年</w:t>
            </w:r>
            <w:r>
              <w:rPr>
                <w:rFonts w:hint="eastAsia" w:ascii="宋体" w:hAnsi="宋体" w:eastAsia="宋体" w:cs="宋体"/>
                <w:color w:val="auto"/>
                <w:sz w:val="24"/>
                <w:szCs w:val="24"/>
                <w:highlight w:val="none"/>
                <w:lang w:val="en-US" w:eastAsia="zh-CN"/>
              </w:rPr>
              <w:t>的规划环境影响评价的监测数据，国家、地方环境空气质量监测网数据或生态环境主管部门公开发布的质量数据等。”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本次评价</w:t>
            </w:r>
            <w:r>
              <w:rPr>
                <w:rFonts w:hint="default" w:ascii="Times New Roman" w:hAnsi="Times New Roman" w:cs="Times New Roman"/>
                <w:color w:val="auto"/>
                <w:sz w:val="24"/>
                <w:szCs w:val="24"/>
                <w:highlight w:val="none"/>
                <w:lang w:val="en-US" w:eastAsia="zh-CN"/>
              </w:rPr>
              <w:t>常规</w:t>
            </w:r>
            <w:r>
              <w:rPr>
                <w:rFonts w:hint="default" w:ascii="Times New Roman" w:hAnsi="Times New Roman" w:eastAsia="宋体" w:cs="Times New Roman"/>
                <w:color w:val="auto"/>
                <w:sz w:val="24"/>
                <w:szCs w:val="24"/>
                <w:highlight w:val="none"/>
              </w:rPr>
              <w:t>污染物环境质量现状采用</w:t>
            </w:r>
            <w:r>
              <w:rPr>
                <w:rFonts w:hint="eastAsia" w:cs="Times New Roman"/>
                <w:color w:val="auto"/>
                <w:sz w:val="24"/>
                <w:szCs w:val="24"/>
                <w:highlight w:val="none"/>
                <w:lang w:val="en-US" w:eastAsia="zh-CN"/>
              </w:rPr>
              <w:t>陕西省生态环境厅办公室公布的</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2024年12月及1月～12月全省环境空气质量状况</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宝鸡市陈仓区</w:t>
            </w:r>
            <w:r>
              <w:rPr>
                <w:rFonts w:hint="default" w:ascii="Times New Roman" w:hAnsi="Times New Roman" w:eastAsia="宋体" w:cs="Times New Roman"/>
                <w:color w:val="auto"/>
                <w:sz w:val="24"/>
                <w:szCs w:val="24"/>
                <w:highlight w:val="none"/>
              </w:rPr>
              <w:t>的数据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具体分析结果如下</w:t>
            </w:r>
            <w:r>
              <w:rPr>
                <w:rFonts w:hint="default" w:ascii="Times New Roman" w:hAnsi="Times New Roman" w:eastAsia="宋体" w:cs="Times New Roman"/>
                <w:color w:val="auto"/>
                <w:sz w:val="24"/>
                <w:szCs w:val="24"/>
                <w:highlight w:val="none"/>
                <w:lang w:eastAsia="zh-CN"/>
              </w:rPr>
              <w:t>：</w:t>
            </w:r>
          </w:p>
          <w:p>
            <w:pPr>
              <w:pStyle w:val="76"/>
              <w:bidi w:val="0"/>
              <w:rPr>
                <w:rFonts w:hint="default"/>
                <w:color w:val="auto"/>
              </w:rPr>
            </w:pPr>
            <w:r>
              <w:rPr>
                <w:rFonts w:hint="default"/>
                <w:color w:val="auto"/>
              </w:rPr>
              <w:t>表</w:t>
            </w:r>
            <w:r>
              <w:rPr>
                <w:rFonts w:hint="eastAsia"/>
                <w:color w:val="auto"/>
                <w:lang w:val="en-US" w:eastAsia="zh-CN"/>
              </w:rPr>
              <w:t>3-1</w:t>
            </w:r>
            <w:r>
              <w:rPr>
                <w:rFonts w:hint="default"/>
                <w:color w:val="auto"/>
                <w:lang w:val="en-US" w:eastAsia="zh-CN"/>
              </w:rPr>
              <w:t xml:space="preserve">    202</w:t>
            </w:r>
            <w:r>
              <w:rPr>
                <w:rFonts w:hint="eastAsia"/>
                <w:color w:val="auto"/>
                <w:lang w:val="en-US" w:eastAsia="zh-CN"/>
              </w:rPr>
              <w:t>4</w:t>
            </w:r>
            <w:r>
              <w:rPr>
                <w:rFonts w:hint="default"/>
                <w:color w:val="auto"/>
              </w:rPr>
              <w:t>年</w:t>
            </w:r>
            <w:r>
              <w:rPr>
                <w:rFonts w:hint="eastAsia"/>
                <w:color w:val="auto"/>
                <w:lang w:eastAsia="zh-CN"/>
              </w:rPr>
              <w:t>宝鸡市</w:t>
            </w:r>
            <w:r>
              <w:rPr>
                <w:rFonts w:hint="eastAsia"/>
                <w:color w:val="auto"/>
                <w:lang w:val="en-US" w:eastAsia="zh-CN"/>
              </w:rPr>
              <w:t>陈仓区</w:t>
            </w:r>
            <w:r>
              <w:rPr>
                <w:rFonts w:hint="default"/>
                <w:color w:val="auto"/>
              </w:rPr>
              <w:t>环境空气质量</w:t>
            </w:r>
            <w:r>
              <w:rPr>
                <w:rFonts w:hint="default"/>
                <w:color w:val="auto"/>
                <w:lang w:val="en-US" w:eastAsia="zh-CN"/>
              </w:rPr>
              <w:t>状况</w:t>
            </w:r>
            <w:r>
              <w:rPr>
                <w:rFonts w:hint="default"/>
                <w:color w:val="auto"/>
              </w:rPr>
              <w:t>统计表</w:t>
            </w:r>
          </w:p>
          <w:tbl>
            <w:tblPr>
              <w:tblStyle w:val="30"/>
              <w:tblW w:w="8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792"/>
              <w:gridCol w:w="1868"/>
              <w:gridCol w:w="1900"/>
              <w:gridCol w:w="1233"/>
              <w:gridCol w:w="1000"/>
              <w:gridCol w:w="10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7" w:type="dxa"/>
                  <w:vMerge w:val="restart"/>
                  <w:tcBorders>
                    <w:tl2br w:val="nil"/>
                    <w:tr2bl w:val="nil"/>
                  </w:tcBorders>
                  <w:vAlign w:val="center"/>
                </w:tcPr>
                <w:p>
                  <w:pPr>
                    <w:pStyle w:val="32"/>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县区</w:t>
                  </w:r>
                </w:p>
              </w:tc>
              <w:tc>
                <w:tcPr>
                  <w:tcW w:w="792" w:type="dxa"/>
                  <w:vMerge w:val="restart"/>
                  <w:tcBorders>
                    <w:tl2br w:val="nil"/>
                    <w:tr2bl w:val="nil"/>
                  </w:tcBorders>
                  <w:vAlign w:val="center"/>
                </w:tcPr>
                <w:p>
                  <w:pPr>
                    <w:pStyle w:val="32"/>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项目</w:t>
                  </w:r>
                </w:p>
              </w:tc>
              <w:tc>
                <w:tcPr>
                  <w:tcW w:w="1868" w:type="dxa"/>
                  <w:vMerge w:val="restart"/>
                  <w:tcBorders>
                    <w:tl2br w:val="nil"/>
                    <w:tr2bl w:val="nil"/>
                  </w:tcBorders>
                  <w:vAlign w:val="center"/>
                </w:tcPr>
                <w:p>
                  <w:pPr>
                    <w:pStyle w:val="32"/>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浓度（均值）</w:t>
                  </w:r>
                </w:p>
              </w:tc>
              <w:tc>
                <w:tcPr>
                  <w:tcW w:w="1900" w:type="dxa"/>
                  <w:vMerge w:val="restart"/>
                  <w:tcBorders>
                    <w:tl2br w:val="nil"/>
                    <w:tr2bl w:val="nil"/>
                  </w:tcBorders>
                  <w:vAlign w:val="center"/>
                </w:tcPr>
                <w:p>
                  <w:pPr>
                    <w:pStyle w:val="32"/>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平均时间</w:t>
                  </w:r>
                </w:p>
              </w:tc>
              <w:tc>
                <w:tcPr>
                  <w:tcW w:w="1233" w:type="dxa"/>
                  <w:tcBorders>
                    <w:tl2br w:val="nil"/>
                    <w:tr2bl w:val="nil"/>
                  </w:tcBorders>
                  <w:vAlign w:val="center"/>
                </w:tcPr>
                <w:p>
                  <w:pPr>
                    <w:pStyle w:val="32"/>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标准限值</w:t>
                  </w:r>
                </w:p>
              </w:tc>
              <w:tc>
                <w:tcPr>
                  <w:tcW w:w="1000" w:type="dxa"/>
                  <w:vMerge w:val="restart"/>
                  <w:tcBorders>
                    <w:tl2br w:val="nil"/>
                    <w:tr2bl w:val="nil"/>
                  </w:tcBorders>
                  <w:vAlign w:val="center"/>
                </w:tcPr>
                <w:p>
                  <w:pPr>
                    <w:pStyle w:val="32"/>
                    <w:bidi w:val="0"/>
                    <w:rPr>
                      <w:rFonts w:hint="eastAsia"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占标率</w:t>
                  </w:r>
                  <w:r>
                    <w:rPr>
                      <w:rFonts w:hint="eastAsia"/>
                      <w:color w:val="auto"/>
                      <w:lang w:eastAsia="zh-CN"/>
                    </w:rPr>
                    <w:t>（</w:t>
                  </w:r>
                  <w:r>
                    <w:rPr>
                      <w:rFonts w:hint="eastAsia"/>
                      <w:color w:val="auto"/>
                      <w:lang w:val="en-US" w:eastAsia="zh-CN"/>
                    </w:rPr>
                    <w:t>%</w:t>
                  </w:r>
                  <w:r>
                    <w:rPr>
                      <w:rFonts w:hint="eastAsia"/>
                      <w:color w:val="auto"/>
                      <w:lang w:eastAsia="zh-CN"/>
                    </w:rPr>
                    <w:t>）</w:t>
                  </w:r>
                </w:p>
              </w:tc>
              <w:tc>
                <w:tcPr>
                  <w:tcW w:w="1048" w:type="dxa"/>
                  <w:vMerge w:val="restart"/>
                  <w:tcBorders>
                    <w:tl2br w:val="nil"/>
                    <w:tr2bl w:val="nil"/>
                  </w:tcBorders>
                  <w:vAlign w:val="center"/>
                </w:tcPr>
                <w:p>
                  <w:pPr>
                    <w:pStyle w:val="32"/>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达标</w:t>
                  </w:r>
                </w:p>
                <w:p>
                  <w:pPr>
                    <w:pStyle w:val="32"/>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7" w:type="dxa"/>
                  <w:vMerge w:val="continue"/>
                  <w:tcBorders>
                    <w:tl2br w:val="nil"/>
                    <w:tr2bl w:val="nil"/>
                  </w:tcBorders>
                  <w:vAlign w:val="center"/>
                </w:tcPr>
                <w:p>
                  <w:pPr>
                    <w:pStyle w:val="32"/>
                    <w:bidi w:val="0"/>
                    <w:rPr>
                      <w:rFonts w:hint="default" w:ascii="Times New Roman" w:hAnsi="Times New Roman" w:cs="Times New Roman"/>
                      <w:b/>
                      <w:bCs/>
                      <w:color w:val="auto"/>
                      <w:lang w:val="zh-CN" w:eastAsia="zh-CN"/>
                    </w:rPr>
                  </w:pPr>
                </w:p>
              </w:tc>
              <w:tc>
                <w:tcPr>
                  <w:tcW w:w="792" w:type="dxa"/>
                  <w:vMerge w:val="continue"/>
                  <w:tcBorders>
                    <w:tl2br w:val="nil"/>
                    <w:tr2bl w:val="nil"/>
                  </w:tcBorders>
                  <w:vAlign w:val="center"/>
                </w:tcPr>
                <w:p>
                  <w:pPr>
                    <w:pStyle w:val="32"/>
                    <w:bidi w:val="0"/>
                    <w:rPr>
                      <w:rFonts w:hint="default" w:ascii="Times New Roman" w:hAnsi="Times New Roman" w:cs="Times New Roman"/>
                      <w:b/>
                      <w:bCs/>
                      <w:color w:val="auto"/>
                      <w:lang w:val="zh-CN" w:eastAsia="zh-CN"/>
                    </w:rPr>
                  </w:pPr>
                </w:p>
              </w:tc>
              <w:tc>
                <w:tcPr>
                  <w:tcW w:w="1868" w:type="dxa"/>
                  <w:vMerge w:val="continue"/>
                  <w:tcBorders>
                    <w:tl2br w:val="nil"/>
                    <w:tr2bl w:val="nil"/>
                  </w:tcBorders>
                  <w:vAlign w:val="center"/>
                </w:tcPr>
                <w:p>
                  <w:pPr>
                    <w:pStyle w:val="32"/>
                    <w:bidi w:val="0"/>
                    <w:rPr>
                      <w:rFonts w:hint="default" w:ascii="Times New Roman" w:hAnsi="Times New Roman" w:cs="Times New Roman"/>
                      <w:b/>
                      <w:bCs/>
                      <w:color w:val="auto"/>
                      <w:lang w:val="zh-CN" w:eastAsia="zh-CN"/>
                    </w:rPr>
                  </w:pPr>
                </w:p>
              </w:tc>
              <w:tc>
                <w:tcPr>
                  <w:tcW w:w="1900" w:type="dxa"/>
                  <w:vMerge w:val="continue"/>
                  <w:tcBorders>
                    <w:tl2br w:val="nil"/>
                    <w:tr2bl w:val="nil"/>
                  </w:tcBorders>
                  <w:vAlign w:val="center"/>
                </w:tcPr>
                <w:p>
                  <w:pPr>
                    <w:pStyle w:val="32"/>
                    <w:bidi w:val="0"/>
                    <w:rPr>
                      <w:rFonts w:hint="default" w:ascii="Times New Roman" w:hAnsi="Times New Roman" w:cs="Times New Roman"/>
                      <w:b/>
                      <w:bCs/>
                      <w:color w:val="auto"/>
                      <w:lang w:val="zh-CN" w:eastAsia="zh-CN"/>
                    </w:rPr>
                  </w:pPr>
                </w:p>
              </w:tc>
              <w:tc>
                <w:tcPr>
                  <w:tcW w:w="1233" w:type="dxa"/>
                  <w:tcBorders>
                    <w:tl2br w:val="nil"/>
                    <w:tr2bl w:val="nil"/>
                  </w:tcBorders>
                  <w:vAlign w:val="center"/>
                </w:tcPr>
                <w:p>
                  <w:pPr>
                    <w:pStyle w:val="32"/>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二级</w:t>
                  </w:r>
                </w:p>
              </w:tc>
              <w:tc>
                <w:tcPr>
                  <w:tcW w:w="1000" w:type="dxa"/>
                  <w:vMerge w:val="continue"/>
                  <w:tcBorders>
                    <w:tl2br w:val="nil"/>
                    <w:tr2bl w:val="nil"/>
                  </w:tcBorders>
                  <w:vAlign w:val="center"/>
                </w:tcPr>
                <w:p>
                  <w:pPr>
                    <w:pStyle w:val="32"/>
                    <w:bidi w:val="0"/>
                    <w:rPr>
                      <w:rFonts w:hint="default" w:ascii="Times New Roman" w:hAnsi="Times New Roman" w:cs="Times New Roman"/>
                      <w:color w:val="auto"/>
                      <w:lang w:val="zh-CN" w:eastAsia="zh-CN"/>
                    </w:rPr>
                  </w:pPr>
                </w:p>
              </w:tc>
              <w:tc>
                <w:tcPr>
                  <w:tcW w:w="1048" w:type="dxa"/>
                  <w:vMerge w:val="continue"/>
                  <w:tcBorders>
                    <w:tl2br w:val="nil"/>
                    <w:tr2bl w:val="nil"/>
                  </w:tcBorders>
                  <w:vAlign w:val="center"/>
                </w:tcPr>
                <w:p>
                  <w:pPr>
                    <w:pStyle w:val="32"/>
                    <w:bidi w:val="0"/>
                    <w:rPr>
                      <w:rFonts w:hint="default" w:ascii="Times New Roman" w:hAnsi="Times New Roman" w:cs="Times New Roman"/>
                      <w:color w:val="auto"/>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7" w:type="dxa"/>
                  <w:vMerge w:val="restart"/>
                  <w:tcBorders>
                    <w:tl2br w:val="nil"/>
                    <w:tr2bl w:val="nil"/>
                  </w:tcBorders>
                  <w:vAlign w:val="center"/>
                </w:tcPr>
                <w:p>
                  <w:pPr>
                    <w:pStyle w:val="32"/>
                    <w:bidi w:val="0"/>
                    <w:rPr>
                      <w:rFonts w:hint="default" w:ascii="Times New Roman" w:hAnsi="Times New Roman" w:cs="Times New Roman"/>
                      <w:color w:val="auto"/>
                      <w:lang w:val="zh-CN" w:eastAsia="zh-CN"/>
                    </w:rPr>
                  </w:pPr>
                  <w:r>
                    <w:rPr>
                      <w:rFonts w:hint="eastAsia" w:cs="Times New Roman"/>
                      <w:color w:val="auto"/>
                      <w:lang w:val="en-US" w:eastAsia="zh-CN"/>
                    </w:rPr>
                    <w:t>陈仓区</w:t>
                  </w:r>
                </w:p>
              </w:tc>
              <w:tc>
                <w:tcPr>
                  <w:tcW w:w="792"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10</w:t>
                  </w:r>
                </w:p>
              </w:tc>
              <w:tc>
                <w:tcPr>
                  <w:tcW w:w="1868"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70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9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年均值</w:t>
                  </w:r>
                </w:p>
              </w:tc>
              <w:tc>
                <w:tcPr>
                  <w:tcW w:w="1233"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100</w:t>
                  </w:r>
                </w:p>
              </w:tc>
              <w:tc>
                <w:tcPr>
                  <w:tcW w:w="1048"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cs="Times New Roman"/>
                      <w:color w:val="auto"/>
                      <w:lang w:val="zh-CN"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7" w:type="dxa"/>
                  <w:vMerge w:val="continue"/>
                  <w:tcBorders>
                    <w:tl2br w:val="nil"/>
                    <w:tr2bl w:val="nil"/>
                  </w:tcBorders>
                  <w:vAlign w:val="center"/>
                </w:tcPr>
                <w:p>
                  <w:pPr>
                    <w:pStyle w:val="32"/>
                    <w:bidi w:val="0"/>
                    <w:rPr>
                      <w:rFonts w:hint="default" w:ascii="Times New Roman" w:hAnsi="Times New Roman" w:cs="Times New Roman"/>
                      <w:color w:val="auto"/>
                      <w:lang w:val="zh-CN" w:eastAsia="zh-CN"/>
                    </w:rPr>
                  </w:pPr>
                </w:p>
              </w:tc>
              <w:tc>
                <w:tcPr>
                  <w:tcW w:w="792"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2.5</w:t>
                  </w:r>
                </w:p>
              </w:tc>
              <w:tc>
                <w:tcPr>
                  <w:tcW w:w="1868"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43</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9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年均值</w:t>
                  </w:r>
                </w:p>
              </w:tc>
              <w:tc>
                <w:tcPr>
                  <w:tcW w:w="1233"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123</w:t>
                  </w:r>
                </w:p>
              </w:tc>
              <w:tc>
                <w:tcPr>
                  <w:tcW w:w="1048"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不</w:t>
                  </w:r>
                  <w:r>
                    <w:rPr>
                      <w:rFonts w:hint="default" w:ascii="Times New Roman" w:hAnsi="Times New Roman" w:cs="Times New Roman"/>
                      <w:color w:va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7" w:type="dxa"/>
                  <w:vMerge w:val="continue"/>
                  <w:tcBorders>
                    <w:tl2br w:val="nil"/>
                    <w:tr2bl w:val="nil"/>
                  </w:tcBorders>
                  <w:vAlign w:val="center"/>
                </w:tcPr>
                <w:p>
                  <w:pPr>
                    <w:pStyle w:val="32"/>
                    <w:bidi w:val="0"/>
                    <w:rPr>
                      <w:rFonts w:hint="default" w:ascii="Times New Roman" w:hAnsi="Times New Roman" w:cs="Times New Roman"/>
                      <w:color w:val="auto"/>
                      <w:lang w:val="zh-CN" w:eastAsia="zh-CN"/>
                    </w:rPr>
                  </w:pPr>
                </w:p>
              </w:tc>
              <w:tc>
                <w:tcPr>
                  <w:tcW w:w="792"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2</w:t>
                  </w:r>
                </w:p>
              </w:tc>
              <w:tc>
                <w:tcPr>
                  <w:tcW w:w="1868"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13</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9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年均值</w:t>
                  </w:r>
                </w:p>
              </w:tc>
              <w:tc>
                <w:tcPr>
                  <w:tcW w:w="1233"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22</w:t>
                  </w:r>
                </w:p>
              </w:tc>
              <w:tc>
                <w:tcPr>
                  <w:tcW w:w="1048"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cs="Times New Roman"/>
                      <w:color w:val="auto"/>
                      <w:lang w:val="zh-CN"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7" w:type="dxa"/>
                  <w:vMerge w:val="continue"/>
                  <w:tcBorders>
                    <w:tl2br w:val="nil"/>
                    <w:tr2bl w:val="nil"/>
                  </w:tcBorders>
                  <w:vAlign w:val="center"/>
                </w:tcPr>
                <w:p>
                  <w:pPr>
                    <w:pStyle w:val="32"/>
                    <w:bidi w:val="0"/>
                    <w:rPr>
                      <w:rFonts w:hint="default" w:ascii="Times New Roman" w:hAnsi="Times New Roman" w:cs="Times New Roman"/>
                      <w:color w:val="auto"/>
                      <w:lang w:val="zh-CN" w:eastAsia="zh-CN"/>
                    </w:rPr>
                  </w:pPr>
                </w:p>
              </w:tc>
              <w:tc>
                <w:tcPr>
                  <w:tcW w:w="792"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2</w:t>
                  </w:r>
                </w:p>
              </w:tc>
              <w:tc>
                <w:tcPr>
                  <w:tcW w:w="1868"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29</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9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年均值</w:t>
                  </w:r>
                </w:p>
              </w:tc>
              <w:tc>
                <w:tcPr>
                  <w:tcW w:w="1233"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73</w:t>
                  </w:r>
                </w:p>
              </w:tc>
              <w:tc>
                <w:tcPr>
                  <w:tcW w:w="1048"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zh-CN"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7" w:type="dxa"/>
                  <w:vMerge w:val="continue"/>
                  <w:tcBorders>
                    <w:tl2br w:val="nil"/>
                    <w:tr2bl w:val="nil"/>
                  </w:tcBorders>
                  <w:vAlign w:val="center"/>
                </w:tcPr>
                <w:p>
                  <w:pPr>
                    <w:pStyle w:val="32"/>
                    <w:bidi w:val="0"/>
                    <w:rPr>
                      <w:rFonts w:hint="default" w:ascii="Times New Roman" w:hAnsi="Times New Roman" w:cs="Times New Roman"/>
                      <w:color w:val="auto"/>
                      <w:lang w:val="zh-CN" w:eastAsia="zh-CN"/>
                    </w:rPr>
                  </w:pPr>
                </w:p>
              </w:tc>
              <w:tc>
                <w:tcPr>
                  <w:tcW w:w="792"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w:t>
                  </w:r>
                </w:p>
              </w:tc>
              <w:tc>
                <w:tcPr>
                  <w:tcW w:w="1868"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1.2</w:t>
                  </w:r>
                  <w:r>
                    <w:rPr>
                      <w:rFonts w:hint="default" w:ascii="Times New Roman" w:hAnsi="Times New Roman" w:cs="Times New Roman"/>
                      <w:color w:val="auto"/>
                      <w:lang w:val="en-US" w:eastAsia="zh-CN"/>
                    </w:rPr>
                    <w:t>m</w:t>
                  </w:r>
                  <w:r>
                    <w:rPr>
                      <w:rFonts w:hint="default" w:ascii="Times New Roman" w:hAnsi="Times New Roman" w:cs="Times New Roman"/>
                      <w:color w:val="auto"/>
                      <w:lang w:val="zh-CN" w:eastAsia="zh-CN"/>
                    </w:rPr>
                    <w:t>g/m</w:t>
                  </w:r>
                  <w:r>
                    <w:rPr>
                      <w:rFonts w:hint="default" w:ascii="Times New Roman" w:hAnsi="Times New Roman" w:cs="Times New Roman"/>
                      <w:color w:val="auto"/>
                      <w:vertAlign w:val="superscript"/>
                      <w:lang w:val="en-US" w:eastAsia="zh-CN"/>
                    </w:rPr>
                    <w:t>3</w:t>
                  </w:r>
                </w:p>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（95位百分浓度）</w:t>
                  </w:r>
                </w:p>
              </w:tc>
              <w:tc>
                <w:tcPr>
                  <w:tcW w:w="19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24小时平均</w:t>
                  </w:r>
                </w:p>
              </w:tc>
              <w:tc>
                <w:tcPr>
                  <w:tcW w:w="1233"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4m</w:t>
                  </w:r>
                  <w:r>
                    <w:rPr>
                      <w:rFonts w:hint="default" w:ascii="Times New Roman" w:hAnsi="Times New Roman" w:cs="Times New Roman"/>
                      <w:color w:val="auto"/>
                      <w:lang w:val="zh-CN" w:eastAsia="zh-CN"/>
                    </w:rPr>
                    <w:t>g/m</w:t>
                  </w:r>
                  <w:r>
                    <w:rPr>
                      <w:rFonts w:hint="default" w:ascii="Times New Roman" w:hAnsi="Times New Roman" w:cs="Times New Roman"/>
                      <w:color w:val="auto"/>
                      <w:vertAlign w:val="superscript"/>
                      <w:lang w:val="en-US" w:eastAsia="zh-CN"/>
                    </w:rPr>
                    <w:t>3</w:t>
                  </w:r>
                </w:p>
              </w:tc>
              <w:tc>
                <w:tcPr>
                  <w:tcW w:w="10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30</w:t>
                  </w:r>
                </w:p>
              </w:tc>
              <w:tc>
                <w:tcPr>
                  <w:tcW w:w="1048"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cs="Times New Roman"/>
                      <w:color w:va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47" w:type="dxa"/>
                  <w:vMerge w:val="continue"/>
                  <w:tcBorders>
                    <w:tl2br w:val="nil"/>
                    <w:tr2bl w:val="nil"/>
                  </w:tcBorders>
                  <w:vAlign w:val="center"/>
                </w:tcPr>
                <w:p>
                  <w:pPr>
                    <w:pStyle w:val="32"/>
                    <w:bidi w:val="0"/>
                    <w:rPr>
                      <w:rFonts w:hint="default" w:ascii="Times New Roman" w:hAnsi="Times New Roman" w:cs="Times New Roman"/>
                      <w:color w:val="auto"/>
                      <w:lang w:val="zh-CN" w:eastAsia="zh-CN"/>
                    </w:rPr>
                  </w:pPr>
                </w:p>
              </w:tc>
              <w:tc>
                <w:tcPr>
                  <w:tcW w:w="792"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O</w:t>
                  </w:r>
                  <w:r>
                    <w:rPr>
                      <w:rFonts w:hint="default" w:ascii="Times New Roman" w:hAnsi="Times New Roman" w:cs="Times New Roman"/>
                      <w:color w:val="auto"/>
                      <w:vertAlign w:val="subscript"/>
                      <w:lang w:val="en-US" w:eastAsia="zh-CN"/>
                    </w:rPr>
                    <w:t>3</w:t>
                  </w:r>
                </w:p>
              </w:tc>
              <w:tc>
                <w:tcPr>
                  <w:tcW w:w="1868"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156</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（90位百分浓度）</w:t>
                  </w:r>
                </w:p>
              </w:tc>
              <w:tc>
                <w:tcPr>
                  <w:tcW w:w="19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日最大8小时平均</w:t>
                  </w:r>
                </w:p>
              </w:tc>
              <w:tc>
                <w:tcPr>
                  <w:tcW w:w="1233"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98</w:t>
                  </w:r>
                </w:p>
              </w:tc>
              <w:tc>
                <w:tcPr>
                  <w:tcW w:w="1048"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cs="Times New Roman"/>
                      <w:color w:val="auto"/>
                      <w:lang w:val="zh-CN"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 大气环境》（HJ2.2-2018），城市环境空气质量达标情况指标为SO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、CO、O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，六项污染物全部达标即为城市环境空气质量达标。根据监测结果可以看出，</w:t>
            </w:r>
            <w:r>
              <w:rPr>
                <w:rFonts w:hint="eastAsia" w:cs="Times New Roman"/>
                <w:color w:val="auto"/>
                <w:sz w:val="24"/>
                <w:szCs w:val="24"/>
                <w:highlight w:val="none"/>
                <w:lang w:val="en-US" w:eastAsia="zh-CN"/>
              </w:rPr>
              <w:t>陈仓区</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、CO、O</w:t>
            </w:r>
            <w:r>
              <w:rPr>
                <w:rFonts w:hint="default" w:ascii="Times New Roman" w:hAnsi="Times New Roman" w:eastAsia="宋体"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lang w:val="en-US" w:eastAsia="zh-CN"/>
              </w:rPr>
              <w:t>满足《环境空气质量标准》（GB3095-2012）二级标准，PM</w:t>
            </w:r>
            <w:r>
              <w:rPr>
                <w:rFonts w:hint="default" w:ascii="Times New Roman" w:hAnsi="Times New Roman" w:eastAsia="宋体" w:cs="Times New Roman"/>
                <w:color w:val="auto"/>
                <w:sz w:val="24"/>
                <w:szCs w:val="24"/>
                <w:highlight w:val="none"/>
                <w:vertAlign w:val="subscript"/>
                <w:lang w:val="en-US" w:eastAsia="zh-CN"/>
              </w:rPr>
              <w:t>2.5</w:t>
            </w:r>
            <w:r>
              <w:rPr>
                <w:rFonts w:hint="eastAsia" w:ascii="Times New Roman" w:hAnsi="Times New Roman" w:eastAsia="宋体" w:cs="Times New Roman"/>
                <w:color w:val="auto"/>
                <w:sz w:val="24"/>
                <w:szCs w:val="24"/>
                <w:highlight w:val="none"/>
                <w:lang w:val="en-US" w:eastAsia="zh-CN"/>
              </w:rPr>
              <w:t>超过</w:t>
            </w:r>
            <w:r>
              <w:rPr>
                <w:rFonts w:hint="default" w:ascii="Times New Roman" w:hAnsi="Times New Roman" w:eastAsia="宋体" w:cs="Times New Roman"/>
                <w:color w:val="auto"/>
                <w:sz w:val="24"/>
                <w:szCs w:val="24"/>
                <w:highlight w:val="none"/>
                <w:lang w:val="en-US" w:eastAsia="zh-CN"/>
              </w:rPr>
              <w:t>《环境空气质量标准》（GB3095-2012）二级标准</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因此，项目所在区域属于</w:t>
            </w:r>
            <w:r>
              <w:rPr>
                <w:rFonts w:hint="eastAsia" w:cs="Times New Roman"/>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达标区。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2、特征污染物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（1）TSP及氮氧化物现状监测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2"/>
              </w:rPr>
            </w:pPr>
            <w:r>
              <w:rPr>
                <w:rFonts w:hint="default" w:ascii="Times New Roman" w:hAnsi="Times New Roman" w:eastAsia="宋体" w:cs="Times New Roman"/>
                <w:color w:val="auto"/>
                <w:sz w:val="24"/>
                <w:szCs w:val="24"/>
                <w:highlight w:val="none"/>
                <w:lang w:val="en-US" w:eastAsia="zh-CN"/>
              </w:rPr>
              <w:t>为了解项目所在地区环境空气中</w:t>
            </w:r>
            <w:r>
              <w:rPr>
                <w:rFonts w:hint="eastAsia" w:ascii="Times New Roman" w:hAnsi="Times New Roman" w:eastAsia="宋体" w:cs="Times New Roman"/>
                <w:color w:val="auto"/>
                <w:sz w:val="24"/>
                <w:szCs w:val="24"/>
                <w:highlight w:val="none"/>
                <w:lang w:val="en-US" w:eastAsia="zh-CN"/>
              </w:rPr>
              <w:t>特征因子TSP及氮氧化物</w:t>
            </w:r>
            <w:r>
              <w:rPr>
                <w:rFonts w:hint="default" w:ascii="Times New Roman" w:hAnsi="Times New Roman" w:eastAsia="宋体" w:cs="Times New Roman"/>
                <w:color w:val="auto"/>
                <w:sz w:val="24"/>
                <w:szCs w:val="24"/>
                <w:highlight w:val="none"/>
                <w:lang w:val="en-US" w:eastAsia="zh-CN"/>
              </w:rPr>
              <w:t>现状</w:t>
            </w:r>
            <w:r>
              <w:rPr>
                <w:rFonts w:hint="eastAsia" w:ascii="Times New Roman" w:hAnsi="Times New Roman" w:eastAsia="宋体" w:cs="Times New Roman"/>
                <w:color w:val="auto"/>
                <w:sz w:val="24"/>
                <w:szCs w:val="24"/>
                <w:highlight w:val="none"/>
                <w:lang w:val="en-US" w:eastAsia="zh-CN"/>
              </w:rPr>
              <w:t>，本次环评引用陕西珈迈森环境检测有限公司出具的《陕西新海和铝业科技有限责任公司铝型材生产制造项目(一期)环境空气现状监测报告监测报告》（报告编号：珈迈森环(气)字</w:t>
            </w:r>
            <w:r>
              <w:rPr>
                <w:rFonts w:hint="eastAsia" w:cs="Times New Roman"/>
                <w:color w:val="auto"/>
                <w:sz w:val="24"/>
                <w:szCs w:val="24"/>
                <w:highlight w:val="none"/>
                <w:lang w:val="en-US" w:eastAsia="zh-CN"/>
              </w:rPr>
              <w:t>〔2024〕1号</w:t>
            </w:r>
            <w:r>
              <w:rPr>
                <w:rFonts w:hint="eastAsia" w:ascii="Times New Roman" w:hAnsi="Times New Roman" w:eastAsia="宋体" w:cs="Times New Roman"/>
                <w:color w:val="auto"/>
                <w:sz w:val="24"/>
                <w:szCs w:val="24"/>
                <w:highlight w:val="none"/>
                <w:lang w:val="en-US" w:eastAsia="zh-CN"/>
              </w:rPr>
              <w:t>）中TSP及氮氧化物监测数据，监测时间为2024年4月28日--5月1日，监测点位距离本项目约1487m，</w:t>
            </w:r>
            <w:r>
              <w:rPr>
                <w:rFonts w:hint="default" w:ascii="Times New Roman" w:hAnsi="Times New Roman" w:eastAsia="宋体" w:cs="Times New Roman"/>
                <w:color w:val="auto"/>
                <w:spacing w:val="0"/>
                <w:sz w:val="24"/>
              </w:rPr>
              <w:t>符合《建设项目环境影响报告表编制技术指南（污染影响类）（试行）》中“引用建设项目周边5千米范围内近3年的现有监测数据”要求</w:t>
            </w:r>
            <w:r>
              <w:rPr>
                <w:rFonts w:hint="default" w:ascii="Times New Roman" w:hAnsi="Times New Roman" w:eastAsia="宋体" w:cs="Times New Roman"/>
                <w:color w:val="auto"/>
                <w:spacing w:val="0"/>
                <w:sz w:val="24"/>
                <w:szCs w:val="22"/>
              </w:rPr>
              <w:t>，可以引用。</w:t>
            </w:r>
            <w:r>
              <w:rPr>
                <w:rFonts w:hint="default" w:ascii="Times New Roman" w:hAnsi="Times New Roman" w:eastAsia="宋体" w:cs="Times New Roman"/>
                <w:color w:val="auto"/>
                <w:highlight w:val="none"/>
              </w:rPr>
              <w:t>引用监测</w:t>
            </w:r>
            <w:r>
              <w:rPr>
                <w:rFonts w:hint="eastAsia" w:ascii="Times New Roman" w:hAnsi="Times New Roman" w:eastAsia="宋体" w:cs="Times New Roman"/>
                <w:color w:val="auto"/>
                <w:highlight w:val="none"/>
              </w:rPr>
              <w:t>点位与项目位置关系见图3-</w:t>
            </w:r>
            <w:r>
              <w:rPr>
                <w:rFonts w:hint="eastAsia"/>
                <w:color w:val="auto"/>
                <w:highlight w:val="none"/>
              </w:rPr>
              <w:t>1</w:t>
            </w:r>
            <w:r>
              <w:rPr>
                <w:rFonts w:hint="eastAsia"/>
                <w:color w:val="auto"/>
                <w:highlight w:val="none"/>
                <w:lang w:eastAsia="zh-CN"/>
              </w:rPr>
              <w:t>，</w:t>
            </w:r>
            <w:r>
              <w:rPr>
                <w:rFonts w:hint="default" w:ascii="Times New Roman" w:hAnsi="Times New Roman" w:eastAsia="宋体" w:cs="Times New Roman"/>
                <w:color w:val="auto"/>
                <w:spacing w:val="0"/>
                <w:sz w:val="24"/>
                <w:szCs w:val="22"/>
              </w:rPr>
              <w:t>具体监测结果见表</w:t>
            </w:r>
            <w:r>
              <w:rPr>
                <w:rFonts w:hint="eastAsia" w:ascii="Times New Roman" w:hAnsi="Times New Roman" w:eastAsia="宋体" w:cs="Times New Roman"/>
                <w:color w:val="auto"/>
                <w:spacing w:val="0"/>
                <w:sz w:val="24"/>
                <w:szCs w:val="22"/>
                <w:lang w:val="en-US" w:eastAsia="zh-CN"/>
              </w:rPr>
              <w:t>3-2</w:t>
            </w:r>
            <w:r>
              <w:rPr>
                <w:rFonts w:hint="default" w:ascii="Times New Roman" w:hAnsi="Times New Roman" w:eastAsia="宋体" w:cs="Times New Roman"/>
                <w:color w:val="auto"/>
                <w:spacing w:val="0"/>
                <w:sz w:val="24"/>
                <w:szCs w:val="22"/>
              </w:rPr>
              <w:t>。</w:t>
            </w:r>
          </w:p>
          <w:p>
            <w:pPr>
              <w:pStyle w:val="35"/>
              <w:bidi w:val="0"/>
              <w:rPr>
                <w:rFonts w:hint="default"/>
                <w:color w:val="auto"/>
                <w:lang w:val="en-US" w:eastAsia="zh-CN"/>
              </w:rPr>
            </w:pPr>
            <w:r>
              <w:rPr>
                <w:rFonts w:hint="eastAsia" w:eastAsia="宋体"/>
                <w:color w:val="auto"/>
                <w:lang w:eastAsia="zh-CN"/>
              </w:rPr>
              <w:drawing>
                <wp:anchor distT="0" distB="0" distL="114300" distR="114300" simplePos="0" relativeHeight="251665408" behindDoc="0" locked="0" layoutInCell="1" allowOverlap="1">
                  <wp:simplePos x="0" y="0"/>
                  <wp:positionH relativeFrom="column">
                    <wp:posOffset>4533265</wp:posOffset>
                  </wp:positionH>
                  <wp:positionV relativeFrom="paragraph">
                    <wp:posOffset>635</wp:posOffset>
                  </wp:positionV>
                  <wp:extent cx="706120" cy="1080770"/>
                  <wp:effectExtent l="0" t="0" r="17780" b="5080"/>
                  <wp:wrapNone/>
                  <wp:docPr id="5" name="图片 72" descr="b2eb17b92a5943c72fa86ad99f7e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2" descr="b2eb17b92a5943c72fa86ad99f7efc7"/>
                          <pic:cNvPicPr>
                            <a:picLocks noChangeAspect="1"/>
                          </pic:cNvPicPr>
                        </pic:nvPicPr>
                        <pic:blipFill>
                          <a:blip r:embed="rId24"/>
                          <a:stretch>
                            <a:fillRect/>
                          </a:stretch>
                        </pic:blipFill>
                        <pic:spPr>
                          <a:xfrm>
                            <a:off x="0" y="0"/>
                            <a:ext cx="706120" cy="1080770"/>
                          </a:xfrm>
                          <a:prstGeom prst="rect">
                            <a:avLst/>
                          </a:prstGeom>
                          <a:noFill/>
                          <a:ln>
                            <a:noFill/>
                          </a:ln>
                        </pic:spPr>
                      </pic:pic>
                    </a:graphicData>
                  </a:graphic>
                </wp:anchor>
              </w:drawing>
            </w:r>
            <w:r>
              <w:drawing>
                <wp:inline distT="0" distB="0" distL="114300" distR="114300">
                  <wp:extent cx="5231765" cy="4160520"/>
                  <wp:effectExtent l="0" t="0" r="6985" b="1143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25"/>
                          <a:stretch>
                            <a:fillRect/>
                          </a:stretch>
                        </pic:blipFill>
                        <pic:spPr>
                          <a:xfrm>
                            <a:off x="0" y="0"/>
                            <a:ext cx="5231765" cy="4160520"/>
                          </a:xfrm>
                          <a:prstGeom prst="rect">
                            <a:avLst/>
                          </a:prstGeom>
                          <a:noFill/>
                          <a:ln>
                            <a:noFill/>
                          </a:ln>
                        </pic:spPr>
                      </pic:pic>
                    </a:graphicData>
                  </a:graphic>
                </wp:inline>
              </w:drawing>
            </w:r>
          </w:p>
          <w:p>
            <w:pPr>
              <w:spacing w:line="240" w:lineRule="auto"/>
              <w:ind w:firstLine="0" w:firstLineChars="0"/>
              <w:jc w:val="center"/>
              <w:rPr>
                <w:rFonts w:hint="eastAsia"/>
                <w:b/>
                <w:bCs/>
                <w:color w:val="auto"/>
                <w:highlight w:val="none"/>
              </w:rPr>
            </w:pPr>
            <w:r>
              <w:rPr>
                <w:rFonts w:hint="eastAsia"/>
                <w:b/>
                <w:bCs/>
                <w:color w:val="auto"/>
                <w:highlight w:val="none"/>
              </w:rPr>
              <w:t>图3-1   引用监测点位与项目位置关系图</w:t>
            </w:r>
          </w:p>
          <w:p>
            <w:pPr>
              <w:pStyle w:val="76"/>
              <w:bidi w:val="0"/>
              <w:rPr>
                <w:rFonts w:hint="default"/>
                <w:color w:val="auto"/>
                <w:lang w:val="en-US" w:eastAsia="zh-CN"/>
              </w:rPr>
            </w:pPr>
            <w:r>
              <w:rPr>
                <w:rFonts w:hint="eastAsia"/>
                <w:color w:val="auto"/>
                <w:lang w:eastAsia="zh-CN"/>
              </w:rPr>
              <w:t>表</w:t>
            </w:r>
            <w:r>
              <w:rPr>
                <w:rFonts w:hint="eastAsia"/>
                <w:color w:val="auto"/>
                <w:lang w:val="en-US" w:eastAsia="zh-CN"/>
              </w:rPr>
              <w:t>3-2   特征污染物</w:t>
            </w:r>
            <w:r>
              <w:rPr>
                <w:rFonts w:hint="default"/>
                <w:color w:val="auto"/>
                <w:lang w:eastAsia="zh-CN"/>
              </w:rPr>
              <w:t>监测结果</w:t>
            </w:r>
          </w:p>
          <w:tbl>
            <w:tblPr>
              <w:tblStyle w:val="30"/>
              <w:tblW w:w="821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082"/>
              <w:gridCol w:w="2205"/>
              <w:gridCol w:w="885"/>
              <w:gridCol w:w="750"/>
              <w:gridCol w:w="1155"/>
              <w:gridCol w:w="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5" w:type="dxa"/>
                  <w:vAlign w:val="center"/>
                </w:tcPr>
                <w:p>
                  <w:pPr>
                    <w:pStyle w:val="35"/>
                    <w:bidi w:val="0"/>
                    <w:rPr>
                      <w:rFonts w:hint="default"/>
                      <w:color w:val="auto"/>
                    </w:rPr>
                  </w:pPr>
                  <w:r>
                    <w:rPr>
                      <w:rFonts w:hint="default"/>
                      <w:color w:val="auto"/>
                    </w:rPr>
                    <w:t>污染物</w:t>
                  </w:r>
                </w:p>
              </w:tc>
              <w:tc>
                <w:tcPr>
                  <w:tcW w:w="1082" w:type="dxa"/>
                  <w:vAlign w:val="center"/>
                </w:tcPr>
                <w:p>
                  <w:pPr>
                    <w:pStyle w:val="35"/>
                    <w:bidi w:val="0"/>
                    <w:rPr>
                      <w:rFonts w:hint="default"/>
                      <w:color w:val="auto"/>
                    </w:rPr>
                  </w:pPr>
                  <w:r>
                    <w:rPr>
                      <w:rFonts w:hint="default"/>
                      <w:color w:val="auto"/>
                    </w:rPr>
                    <w:t>评价标准</w:t>
                  </w:r>
                </w:p>
              </w:tc>
              <w:tc>
                <w:tcPr>
                  <w:tcW w:w="2205" w:type="dxa"/>
                  <w:vAlign w:val="center"/>
                </w:tcPr>
                <w:p>
                  <w:pPr>
                    <w:pStyle w:val="35"/>
                    <w:bidi w:val="0"/>
                    <w:rPr>
                      <w:rFonts w:hint="default"/>
                      <w:color w:val="auto"/>
                    </w:rPr>
                  </w:pPr>
                  <w:r>
                    <w:rPr>
                      <w:rFonts w:hint="default"/>
                      <w:color w:val="auto"/>
                    </w:rPr>
                    <w:t>监测浓度范围</w:t>
                  </w:r>
                </w:p>
              </w:tc>
              <w:tc>
                <w:tcPr>
                  <w:tcW w:w="885" w:type="dxa"/>
                  <w:vAlign w:val="center"/>
                </w:tcPr>
                <w:p>
                  <w:pPr>
                    <w:pStyle w:val="35"/>
                    <w:bidi w:val="0"/>
                    <w:rPr>
                      <w:rFonts w:hint="default"/>
                      <w:color w:val="auto"/>
                    </w:rPr>
                  </w:pPr>
                  <w:r>
                    <w:rPr>
                      <w:rFonts w:hint="default"/>
                      <w:color w:val="auto"/>
                    </w:rPr>
                    <w:t>超标率/%</w:t>
                  </w:r>
                </w:p>
              </w:tc>
              <w:tc>
                <w:tcPr>
                  <w:tcW w:w="750" w:type="dxa"/>
                  <w:vAlign w:val="center"/>
                </w:tcPr>
                <w:p>
                  <w:pPr>
                    <w:pStyle w:val="35"/>
                    <w:bidi w:val="0"/>
                    <w:rPr>
                      <w:rFonts w:hint="default"/>
                      <w:color w:val="auto"/>
                    </w:rPr>
                  </w:pPr>
                  <w:r>
                    <w:rPr>
                      <w:rFonts w:hint="default"/>
                      <w:color w:val="auto"/>
                    </w:rPr>
                    <w:t>达标情况</w:t>
                  </w:r>
                </w:p>
              </w:tc>
              <w:tc>
                <w:tcPr>
                  <w:tcW w:w="1155" w:type="dxa"/>
                  <w:vAlign w:val="center"/>
                </w:tcPr>
                <w:p>
                  <w:pPr>
                    <w:pStyle w:val="35"/>
                    <w:bidi w:val="0"/>
                    <w:rPr>
                      <w:rFonts w:hint="default"/>
                      <w:color w:val="auto"/>
                    </w:rPr>
                  </w:pPr>
                  <w:r>
                    <w:rPr>
                      <w:rFonts w:hint="default"/>
                      <w:color w:val="auto"/>
                    </w:rPr>
                    <w:t>相对厂址方位</w:t>
                  </w:r>
                </w:p>
              </w:tc>
              <w:tc>
                <w:tcPr>
                  <w:tcW w:w="993" w:type="dxa"/>
                  <w:vAlign w:val="center"/>
                </w:tcPr>
                <w:p>
                  <w:pPr>
                    <w:pStyle w:val="35"/>
                    <w:bidi w:val="0"/>
                    <w:rPr>
                      <w:rFonts w:hint="default"/>
                      <w:color w:val="auto"/>
                    </w:rPr>
                  </w:pPr>
                  <w:r>
                    <w:rPr>
                      <w:rFonts w:hint="default"/>
                      <w:color w:val="auto"/>
                    </w:rPr>
                    <w:t>相对厂界距离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5" w:type="dxa"/>
                  <w:vAlign w:val="center"/>
                </w:tcPr>
                <w:p>
                  <w:pPr>
                    <w:pStyle w:val="35"/>
                    <w:bidi w:val="0"/>
                    <w:rPr>
                      <w:rFonts w:hint="default"/>
                      <w:color w:val="auto"/>
                    </w:rPr>
                  </w:pPr>
                  <w:r>
                    <w:rPr>
                      <w:rFonts w:hint="default"/>
                      <w:color w:val="auto"/>
                    </w:rPr>
                    <w:t>TSP</w:t>
                  </w:r>
                </w:p>
              </w:tc>
              <w:tc>
                <w:tcPr>
                  <w:tcW w:w="1082" w:type="dxa"/>
                  <w:vAlign w:val="center"/>
                </w:tcPr>
                <w:p>
                  <w:pPr>
                    <w:pStyle w:val="35"/>
                    <w:bidi w:val="0"/>
                    <w:rPr>
                      <w:rFonts w:hint="default"/>
                      <w:color w:val="auto"/>
                    </w:rPr>
                  </w:pPr>
                  <w:r>
                    <w:rPr>
                      <w:rFonts w:hint="default"/>
                      <w:color w:val="auto"/>
                    </w:rPr>
                    <w:t>300</w:t>
                  </w:r>
                </w:p>
              </w:tc>
              <w:tc>
                <w:tcPr>
                  <w:tcW w:w="2205" w:type="dxa"/>
                  <w:vAlign w:val="center"/>
                </w:tcPr>
                <w:p>
                  <w:pPr>
                    <w:pStyle w:val="35"/>
                    <w:bidi w:val="0"/>
                    <w:rPr>
                      <w:rFonts w:hint="default"/>
                      <w:color w:val="auto"/>
                    </w:rPr>
                  </w:pPr>
                  <w:r>
                    <w:rPr>
                      <w:rFonts w:hint="eastAsia"/>
                      <w:color w:val="auto"/>
                      <w:lang w:val="en-US" w:eastAsia="zh-CN"/>
                    </w:rPr>
                    <w:t>179μg/m</w:t>
                  </w:r>
                  <w:r>
                    <w:rPr>
                      <w:rFonts w:hint="eastAsia"/>
                      <w:color w:val="auto"/>
                      <w:vertAlign w:val="superscript"/>
                      <w:lang w:val="en-US" w:eastAsia="zh-CN"/>
                    </w:rPr>
                    <w:t>3</w:t>
                  </w:r>
                  <w:r>
                    <w:rPr>
                      <w:rFonts w:hint="default"/>
                      <w:color w:val="auto"/>
                    </w:rPr>
                    <w:t>-</w:t>
                  </w:r>
                  <w:r>
                    <w:rPr>
                      <w:rFonts w:hint="eastAsia"/>
                      <w:color w:val="auto"/>
                      <w:lang w:val="en-US" w:eastAsia="zh-CN"/>
                    </w:rPr>
                    <w:t>187μg/m</w:t>
                  </w:r>
                  <w:r>
                    <w:rPr>
                      <w:rFonts w:hint="eastAsia"/>
                      <w:color w:val="auto"/>
                      <w:vertAlign w:val="superscript"/>
                      <w:lang w:val="en-US" w:eastAsia="zh-CN"/>
                    </w:rPr>
                    <w:t>3</w:t>
                  </w:r>
                </w:p>
              </w:tc>
              <w:tc>
                <w:tcPr>
                  <w:tcW w:w="885" w:type="dxa"/>
                  <w:vAlign w:val="center"/>
                </w:tcPr>
                <w:p>
                  <w:pPr>
                    <w:pStyle w:val="35"/>
                    <w:bidi w:val="0"/>
                    <w:rPr>
                      <w:rFonts w:hint="default"/>
                      <w:color w:val="auto"/>
                    </w:rPr>
                  </w:pPr>
                  <w:r>
                    <w:rPr>
                      <w:rFonts w:hint="default"/>
                      <w:color w:val="auto"/>
                    </w:rPr>
                    <w:t>0</w:t>
                  </w:r>
                </w:p>
              </w:tc>
              <w:tc>
                <w:tcPr>
                  <w:tcW w:w="750" w:type="dxa"/>
                  <w:vAlign w:val="center"/>
                </w:tcPr>
                <w:p>
                  <w:pPr>
                    <w:pStyle w:val="35"/>
                    <w:bidi w:val="0"/>
                    <w:rPr>
                      <w:rFonts w:hint="default"/>
                      <w:color w:val="auto"/>
                    </w:rPr>
                  </w:pPr>
                  <w:r>
                    <w:rPr>
                      <w:rFonts w:hint="default"/>
                      <w:color w:val="auto"/>
                    </w:rPr>
                    <w:t>达标</w:t>
                  </w:r>
                </w:p>
              </w:tc>
              <w:tc>
                <w:tcPr>
                  <w:tcW w:w="1155" w:type="dxa"/>
                  <w:vMerge w:val="restart"/>
                  <w:vAlign w:val="center"/>
                </w:tcPr>
                <w:p>
                  <w:pPr>
                    <w:pStyle w:val="35"/>
                    <w:bidi w:val="0"/>
                    <w:rPr>
                      <w:rFonts w:hint="eastAsia" w:eastAsia="宋体"/>
                      <w:color w:val="auto"/>
                      <w:lang w:val="en-US" w:eastAsia="zh-CN"/>
                    </w:rPr>
                  </w:pPr>
                  <w:r>
                    <w:rPr>
                      <w:rFonts w:hint="default"/>
                      <w:color w:val="auto"/>
                      <w:lang w:val="zh-CN"/>
                    </w:rPr>
                    <w:t>西</w:t>
                  </w:r>
                  <w:r>
                    <w:rPr>
                      <w:rFonts w:hint="eastAsia"/>
                      <w:color w:val="auto"/>
                      <w:lang w:val="en-US" w:eastAsia="zh-CN"/>
                    </w:rPr>
                    <w:t>南</w:t>
                  </w:r>
                </w:p>
              </w:tc>
              <w:tc>
                <w:tcPr>
                  <w:tcW w:w="993" w:type="dxa"/>
                  <w:vMerge w:val="restart"/>
                  <w:vAlign w:val="center"/>
                </w:tcPr>
                <w:p>
                  <w:pPr>
                    <w:pStyle w:val="35"/>
                    <w:bidi w:val="0"/>
                    <w:rPr>
                      <w:rFonts w:hint="default"/>
                      <w:color w:val="auto"/>
                    </w:rPr>
                  </w:pPr>
                  <w:r>
                    <w:rPr>
                      <w:rFonts w:hint="eastAsia"/>
                      <w:color w:val="auto"/>
                      <w:lang w:val="en-US" w:eastAsia="zh-CN"/>
                    </w:rPr>
                    <w:t>3878</w:t>
                  </w:r>
                  <w:r>
                    <w:rPr>
                      <w:rFonts w:hint="default"/>
                      <w:color w:val="auto"/>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5" w:type="dxa"/>
                  <w:vAlign w:val="center"/>
                </w:tcPr>
                <w:p>
                  <w:pPr>
                    <w:pStyle w:val="35"/>
                    <w:bidi w:val="0"/>
                    <w:rPr>
                      <w:rFonts w:hint="eastAsia" w:eastAsia="宋体"/>
                      <w:color w:val="auto"/>
                      <w:lang w:val="en-US" w:eastAsia="zh-CN"/>
                    </w:rPr>
                  </w:pPr>
                  <w:r>
                    <w:rPr>
                      <w:rFonts w:hint="eastAsia"/>
                      <w:color w:val="auto"/>
                      <w:lang w:val="en-US" w:eastAsia="zh-CN"/>
                    </w:rPr>
                    <w:t>氮氧化物</w:t>
                  </w:r>
                </w:p>
              </w:tc>
              <w:tc>
                <w:tcPr>
                  <w:tcW w:w="1082" w:type="dxa"/>
                  <w:vAlign w:val="center"/>
                </w:tcPr>
                <w:p>
                  <w:pPr>
                    <w:pStyle w:val="35"/>
                    <w:bidi w:val="0"/>
                    <w:rPr>
                      <w:rFonts w:hint="default" w:eastAsia="宋体"/>
                      <w:color w:val="auto"/>
                      <w:lang w:val="en-US" w:eastAsia="zh-CN"/>
                    </w:rPr>
                  </w:pPr>
                  <w:r>
                    <w:rPr>
                      <w:rFonts w:hint="eastAsia"/>
                      <w:color w:val="auto"/>
                      <w:lang w:val="en-US" w:eastAsia="zh-CN"/>
                    </w:rPr>
                    <w:t>250</w:t>
                  </w:r>
                </w:p>
              </w:tc>
              <w:tc>
                <w:tcPr>
                  <w:tcW w:w="2205" w:type="dxa"/>
                  <w:shd w:val="clear" w:color="auto" w:fill="auto"/>
                  <w:vAlign w:val="center"/>
                </w:tcPr>
                <w:p>
                  <w:pPr>
                    <w:pStyle w:val="35"/>
                    <w:bidi w:val="0"/>
                    <w:ind w:left="-24" w:leftChars="-10" w:right="-24" w:rightChars="-10" w:firstLine="0" w:firstLineChars="0"/>
                    <w:rPr>
                      <w:rFonts w:hint="eastAsia" w:ascii="Times New Roman" w:hAnsi="Times New Roman" w:eastAsia="宋体" w:cs="Times New Roman"/>
                      <w:bCs/>
                      <w:color w:val="auto"/>
                      <w:kern w:val="0"/>
                      <w:sz w:val="21"/>
                      <w:szCs w:val="21"/>
                      <w:lang w:val="en-US" w:eastAsia="zh-CN" w:bidi="ar-SA"/>
                    </w:rPr>
                  </w:pPr>
                  <w:r>
                    <w:rPr>
                      <w:rFonts w:hint="eastAsia"/>
                      <w:color w:val="auto"/>
                      <w:lang w:val="en-US" w:eastAsia="zh-CN"/>
                    </w:rPr>
                    <w:t>8μg/m</w:t>
                  </w:r>
                  <w:r>
                    <w:rPr>
                      <w:rFonts w:hint="eastAsia"/>
                      <w:color w:val="auto"/>
                      <w:vertAlign w:val="superscript"/>
                      <w:lang w:val="en-US" w:eastAsia="zh-CN"/>
                    </w:rPr>
                    <w:t>3</w:t>
                  </w:r>
                  <w:r>
                    <w:rPr>
                      <w:rFonts w:hint="default"/>
                      <w:color w:val="auto"/>
                    </w:rPr>
                    <w:t>-</w:t>
                  </w:r>
                  <w:r>
                    <w:rPr>
                      <w:rFonts w:hint="eastAsia"/>
                      <w:color w:val="auto"/>
                      <w:lang w:val="en-US" w:eastAsia="zh-CN"/>
                    </w:rPr>
                    <w:t>17μg/m</w:t>
                  </w:r>
                  <w:r>
                    <w:rPr>
                      <w:rFonts w:hint="eastAsia"/>
                      <w:color w:val="auto"/>
                      <w:vertAlign w:val="superscript"/>
                      <w:lang w:val="en-US" w:eastAsia="zh-CN"/>
                    </w:rPr>
                    <w:t>3</w:t>
                  </w:r>
                </w:p>
              </w:tc>
              <w:tc>
                <w:tcPr>
                  <w:tcW w:w="885" w:type="dxa"/>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auto"/>
                      <w:kern w:val="0"/>
                      <w:sz w:val="21"/>
                      <w:szCs w:val="21"/>
                      <w:lang w:val="en-US" w:eastAsia="zh-CN" w:bidi="ar-SA"/>
                    </w:rPr>
                  </w:pPr>
                  <w:r>
                    <w:rPr>
                      <w:rFonts w:hint="default"/>
                      <w:color w:val="auto"/>
                    </w:rPr>
                    <w:t>0</w:t>
                  </w:r>
                </w:p>
              </w:tc>
              <w:tc>
                <w:tcPr>
                  <w:tcW w:w="750" w:type="dxa"/>
                  <w:shd w:val="clear" w:color="auto" w:fill="auto"/>
                  <w:vAlign w:val="center"/>
                </w:tcPr>
                <w:p>
                  <w:pPr>
                    <w:pStyle w:val="35"/>
                    <w:bidi w:val="0"/>
                    <w:ind w:left="-24" w:leftChars="-10" w:right="-24" w:rightChars="-10" w:firstLine="0" w:firstLineChars="0"/>
                    <w:rPr>
                      <w:rFonts w:hint="default" w:ascii="Times New Roman" w:hAnsi="Times New Roman" w:eastAsia="宋体" w:cs="Times New Roman"/>
                      <w:bCs/>
                      <w:color w:val="auto"/>
                      <w:kern w:val="0"/>
                      <w:sz w:val="21"/>
                      <w:szCs w:val="21"/>
                      <w:lang w:val="en-US" w:eastAsia="zh-CN" w:bidi="ar-SA"/>
                    </w:rPr>
                  </w:pPr>
                  <w:r>
                    <w:rPr>
                      <w:rFonts w:hint="default"/>
                      <w:color w:val="auto"/>
                    </w:rPr>
                    <w:t>达标</w:t>
                  </w:r>
                </w:p>
              </w:tc>
              <w:tc>
                <w:tcPr>
                  <w:tcW w:w="1155" w:type="dxa"/>
                  <w:vMerge w:val="continue"/>
                  <w:vAlign w:val="center"/>
                </w:tcPr>
                <w:p>
                  <w:pPr>
                    <w:pStyle w:val="35"/>
                    <w:bidi w:val="0"/>
                    <w:rPr>
                      <w:rFonts w:hint="default"/>
                      <w:color w:val="auto"/>
                      <w:lang w:val="zh-CN"/>
                    </w:rPr>
                  </w:pPr>
                </w:p>
              </w:tc>
              <w:tc>
                <w:tcPr>
                  <w:tcW w:w="993" w:type="dxa"/>
                  <w:vMerge w:val="continue"/>
                  <w:vAlign w:val="center"/>
                </w:tcPr>
                <w:p>
                  <w:pPr>
                    <w:pStyle w:val="35"/>
                    <w:bidi w:val="0"/>
                    <w:rPr>
                      <w:rFonts w:hint="eastAsia"/>
                      <w:color w:val="auto"/>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default" w:ascii="Times New Roman" w:hAnsi="Times New Roman" w:eastAsia="宋体" w:cs="Times New Roman"/>
                <w:color w:val="auto"/>
                <w:spacing w:val="0"/>
                <w:sz w:val="24"/>
                <w:szCs w:val="22"/>
              </w:rPr>
              <w:t>由引用监测结果可以看出，监测点位TSP</w:t>
            </w:r>
            <w:r>
              <w:rPr>
                <w:rFonts w:hint="eastAsia" w:ascii="Times New Roman" w:hAnsi="Times New Roman" w:cs="Times New Roman"/>
                <w:color w:val="auto"/>
                <w:spacing w:val="0"/>
                <w:sz w:val="24"/>
                <w:szCs w:val="22"/>
                <w:lang w:val="en-US" w:eastAsia="zh-CN"/>
              </w:rPr>
              <w:t>及氮氧化物</w:t>
            </w:r>
            <w:r>
              <w:rPr>
                <w:rFonts w:hint="default" w:ascii="Times New Roman" w:hAnsi="Times New Roman" w:eastAsia="宋体" w:cs="Times New Roman"/>
                <w:color w:val="auto"/>
                <w:spacing w:val="0"/>
                <w:sz w:val="24"/>
                <w:szCs w:val="22"/>
              </w:rPr>
              <w:t>均满足《环境空气质量标准》（GB3095</w:t>
            </w:r>
            <w:r>
              <w:rPr>
                <w:rFonts w:hint="eastAsia" w:cs="Times New Roman"/>
                <w:color w:val="auto"/>
                <w:spacing w:val="0"/>
                <w:sz w:val="24"/>
                <w:szCs w:val="22"/>
                <w:lang w:val="en-US" w:eastAsia="zh-CN"/>
              </w:rPr>
              <w:t>-</w:t>
            </w:r>
            <w:r>
              <w:rPr>
                <w:rFonts w:hint="default" w:ascii="Times New Roman" w:hAnsi="Times New Roman" w:eastAsia="宋体" w:cs="Times New Roman"/>
                <w:color w:val="auto"/>
                <w:spacing w:val="0"/>
                <w:sz w:val="24"/>
                <w:szCs w:val="22"/>
              </w:rPr>
              <w:softHyphen/>
            </w:r>
            <w:r>
              <w:rPr>
                <w:rFonts w:hint="default" w:ascii="Times New Roman" w:hAnsi="Times New Roman" w:eastAsia="宋体" w:cs="Times New Roman"/>
                <w:color w:val="auto"/>
                <w:spacing w:val="0"/>
                <w:sz w:val="24"/>
                <w:szCs w:val="22"/>
              </w:rPr>
              <w:t>2012）二级标准要求。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二、地表水环境质量现状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Cs/>
                <w:iCs/>
                <w:color w:val="auto"/>
                <w:sz w:val="24"/>
                <w:szCs w:val="24"/>
                <w:highlight w:val="none"/>
              </w:rPr>
            </w:pPr>
            <w:r>
              <w:rPr>
                <w:rFonts w:hint="default" w:ascii="Times New Roman" w:hAnsi="Times New Roman" w:eastAsia="宋体" w:cs="Times New Roman"/>
                <w:bCs/>
                <w:iCs/>
                <w:color w:val="auto"/>
                <w:sz w:val="24"/>
                <w:szCs w:val="24"/>
                <w:highlight w:val="none"/>
              </w:rPr>
              <w:t>本项目污水</w:t>
            </w:r>
            <w:r>
              <w:rPr>
                <w:rFonts w:hint="eastAsia" w:eastAsia="宋体" w:cs="Times New Roman"/>
                <w:bCs/>
                <w:iCs/>
                <w:color w:val="auto"/>
                <w:sz w:val="24"/>
                <w:szCs w:val="24"/>
                <w:highlight w:val="none"/>
                <w:lang w:val="en-US" w:eastAsia="zh-CN"/>
              </w:rPr>
              <w:t>拉运至岐山大源污水处理厂处理后</w:t>
            </w:r>
            <w:r>
              <w:rPr>
                <w:rFonts w:hint="default" w:ascii="Times New Roman" w:hAnsi="Times New Roman" w:eastAsia="宋体" w:cs="Times New Roman"/>
                <w:bCs/>
                <w:iCs/>
                <w:color w:val="auto"/>
                <w:sz w:val="24"/>
                <w:szCs w:val="24"/>
                <w:highlight w:val="none"/>
              </w:rPr>
              <w:t>，最终排入</w:t>
            </w:r>
            <w:r>
              <w:rPr>
                <w:rFonts w:hint="eastAsia" w:ascii="Times New Roman" w:hAnsi="Times New Roman" w:eastAsia="宋体" w:cs="Times New Roman"/>
                <w:bCs/>
                <w:iCs/>
                <w:color w:val="auto"/>
                <w:sz w:val="24"/>
                <w:szCs w:val="24"/>
                <w:highlight w:val="none"/>
                <w:lang w:val="en-US" w:eastAsia="zh-CN"/>
              </w:rPr>
              <w:t>渭河</w:t>
            </w:r>
            <w:r>
              <w:rPr>
                <w:rFonts w:hint="eastAsia" w:ascii="Times New Roman" w:hAnsi="Times New Roman" w:cs="Times New Roman"/>
                <w:bCs/>
                <w:iCs/>
                <w:color w:val="auto"/>
                <w:sz w:val="24"/>
                <w:szCs w:val="24"/>
                <w:highlight w:val="none"/>
                <w:lang w:eastAsia="zh-CN"/>
              </w:rPr>
              <w:t>。</w:t>
            </w:r>
            <w:r>
              <w:rPr>
                <w:rFonts w:hint="eastAsia" w:eastAsia="宋体" w:cs="Times New Roman"/>
                <w:bCs/>
                <w:iCs/>
                <w:color w:val="auto"/>
                <w:sz w:val="24"/>
                <w:szCs w:val="24"/>
                <w:highlight w:val="none"/>
                <w:lang w:val="en-US" w:eastAsia="zh-CN"/>
              </w:rPr>
              <w:t>岐山大源污水处理厂</w:t>
            </w:r>
            <w:r>
              <w:rPr>
                <w:rFonts w:hint="default" w:ascii="Times New Roman" w:hAnsi="Times New Roman" w:eastAsia="宋体" w:cs="Times New Roman"/>
                <w:bCs/>
                <w:iCs/>
                <w:color w:val="auto"/>
                <w:sz w:val="24"/>
                <w:szCs w:val="24"/>
                <w:highlight w:val="none"/>
              </w:rPr>
              <w:t>排水口下游</w:t>
            </w:r>
            <w:r>
              <w:rPr>
                <w:rFonts w:hint="eastAsia" w:ascii="Times New Roman" w:hAnsi="Times New Roman" w:eastAsia="宋体" w:cs="Times New Roman"/>
                <w:bCs/>
                <w:iCs/>
                <w:color w:val="auto"/>
                <w:sz w:val="24"/>
                <w:szCs w:val="24"/>
                <w:highlight w:val="none"/>
                <w:lang w:val="en-US" w:eastAsia="zh-CN"/>
              </w:rPr>
              <w:t>为渭河魏家堡断面</w:t>
            </w:r>
            <w:r>
              <w:rPr>
                <w:rFonts w:hint="eastAsia" w:ascii="Times New Roman" w:hAnsi="Times New Roman" w:cs="Times New Roman"/>
                <w:bCs/>
                <w:iCs/>
                <w:color w:val="auto"/>
                <w:sz w:val="24"/>
                <w:szCs w:val="24"/>
                <w:highlight w:val="none"/>
                <w:lang w:eastAsia="zh-CN"/>
              </w:rPr>
              <w:t>。</w:t>
            </w:r>
            <w:r>
              <w:rPr>
                <w:rFonts w:hint="default" w:ascii="Times New Roman" w:hAnsi="Times New Roman" w:eastAsia="宋体" w:cs="Times New Roman"/>
                <w:color w:val="auto"/>
                <w:sz w:val="24"/>
                <w:szCs w:val="24"/>
                <w:highlight w:val="none"/>
              </w:rPr>
              <w:t>本次评价数据引用</w:t>
            </w:r>
            <w:r>
              <w:rPr>
                <w:rFonts w:hint="eastAsia"/>
                <w:color w:val="auto"/>
                <w:lang w:val="en-US" w:eastAsia="zh-CN"/>
              </w:rPr>
              <w:t>宝鸡市生态环境局公布的</w:t>
            </w:r>
            <w:r>
              <w:rPr>
                <w:color w:val="auto"/>
              </w:rPr>
              <w:t>《</w:t>
            </w:r>
            <w:r>
              <w:rPr>
                <w:rFonts w:hint="eastAsia"/>
                <w:color w:val="auto"/>
                <w:lang w:val="en-US" w:eastAsia="zh-CN"/>
              </w:rPr>
              <w:t>宝鸡市生态环境质量报告书2024年</w:t>
            </w:r>
            <w:r>
              <w:rPr>
                <w:color w:val="auto"/>
              </w:rPr>
              <w:t>》</w:t>
            </w:r>
            <w:r>
              <w:rPr>
                <w:rFonts w:hint="default" w:ascii="Times New Roman" w:hAnsi="Times New Roman" w:eastAsia="宋体" w:cs="Times New Roman"/>
                <w:color w:val="auto"/>
                <w:sz w:val="24"/>
                <w:szCs w:val="24"/>
                <w:highlight w:val="none"/>
              </w:rPr>
              <w:t>中</w:t>
            </w:r>
            <w:r>
              <w:rPr>
                <w:rFonts w:hint="eastAsia" w:ascii="Times New Roman" w:hAnsi="Times New Roman" w:eastAsia="宋体" w:cs="Times New Roman"/>
                <w:bCs/>
                <w:iCs/>
                <w:color w:val="auto"/>
                <w:sz w:val="24"/>
                <w:szCs w:val="24"/>
                <w:highlight w:val="none"/>
                <w:lang w:val="en-US" w:eastAsia="zh-CN"/>
              </w:rPr>
              <w:t>渭河魏家堡断面</w:t>
            </w:r>
            <w:r>
              <w:rPr>
                <w:rFonts w:hint="default" w:ascii="Times New Roman" w:hAnsi="Times New Roman" w:eastAsia="宋体" w:cs="Times New Roman"/>
                <w:color w:val="auto"/>
                <w:sz w:val="24"/>
                <w:szCs w:val="24"/>
                <w:highlight w:val="none"/>
              </w:rPr>
              <w:t>（下游）监测数据进行地表水现状评价</w:t>
            </w:r>
            <w:r>
              <w:rPr>
                <w:rFonts w:hint="default" w:ascii="Times New Roman" w:hAnsi="Times New Roman" w:eastAsia="宋体" w:cs="Times New Roman"/>
                <w:bCs/>
                <w:iCs/>
                <w:color w:val="auto"/>
                <w:sz w:val="24"/>
                <w:szCs w:val="24"/>
                <w:highlight w:val="none"/>
              </w:rPr>
              <w:t>。具体见下表。</w:t>
            </w:r>
          </w:p>
          <w:p>
            <w:pPr>
              <w:pStyle w:val="8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地表水</w:t>
            </w:r>
            <w:r>
              <w:rPr>
                <w:rFonts w:hint="default" w:ascii="Times New Roman" w:hAnsi="Times New Roman" w:cs="Times New Roman"/>
                <w:color w:val="auto"/>
                <w:highlight w:val="none"/>
                <w:lang w:val="en-US" w:eastAsia="zh-CN"/>
              </w:rPr>
              <w:t>监测断面主要指标年均值统计表</w:t>
            </w:r>
            <w:r>
              <w:rPr>
                <w:rFonts w:hint="default" w:ascii="Times New Roman" w:hAnsi="Times New Roman" w:cs="Times New Roman"/>
                <w:color w:val="auto"/>
                <w:highlight w:val="none"/>
              </w:rPr>
              <w:t xml:space="preserve">   单位：mg/L</w:t>
            </w:r>
          </w:p>
          <w:tbl>
            <w:tblPr>
              <w:tblStyle w:val="30"/>
              <w:tblW w:w="83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1489"/>
              <w:gridCol w:w="1133"/>
              <w:gridCol w:w="1015"/>
              <w:gridCol w:w="915"/>
              <w:gridCol w:w="990"/>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tcBorders>
                    <w:tl2br w:val="nil"/>
                    <w:tr2bl w:val="nil"/>
                  </w:tcBorders>
                  <w:vAlign w:val="center"/>
                </w:tcPr>
                <w:p>
                  <w:pPr>
                    <w:pStyle w:val="3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监测断面</w:t>
                  </w:r>
                </w:p>
              </w:tc>
              <w:tc>
                <w:tcPr>
                  <w:tcW w:w="1489" w:type="dxa"/>
                  <w:tcBorders>
                    <w:tl2br w:val="nil"/>
                    <w:tr2bl w:val="nil"/>
                  </w:tcBorders>
                  <w:vAlign w:val="center"/>
                </w:tcPr>
                <w:p>
                  <w:pPr>
                    <w:pStyle w:val="32"/>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val="en-US" w:eastAsia="zh-CN"/>
                    </w:rPr>
                    <w:t>高锰酸盐指数</w:t>
                  </w:r>
                </w:p>
              </w:tc>
              <w:tc>
                <w:tcPr>
                  <w:tcW w:w="1133" w:type="dxa"/>
                  <w:tcBorders>
                    <w:tl2br w:val="nil"/>
                    <w:tr2bl w:val="nil"/>
                  </w:tcBorders>
                  <w:vAlign w:val="center"/>
                </w:tcPr>
                <w:p>
                  <w:pPr>
                    <w:pStyle w:val="32"/>
                    <w:bidi w:val="0"/>
                    <w:rPr>
                      <w:rFonts w:hint="default" w:ascii="Times New Roman" w:hAnsi="Times New Roman" w:cs="Times New Roman"/>
                      <w:b/>
                      <w:bCs/>
                      <w:color w:val="auto"/>
                      <w:kern w:val="0"/>
                      <w:sz w:val="21"/>
                      <w:szCs w:val="21"/>
                      <w:highlight w:val="none"/>
                      <w:lang w:val="en-US" w:eastAsia="zh-CN" w:bidi="ar-SA"/>
                    </w:rPr>
                  </w:pPr>
                  <w:r>
                    <w:rPr>
                      <w:rFonts w:hint="default" w:ascii="Times New Roman" w:hAnsi="Times New Roman" w:cs="Times New Roman"/>
                      <w:b/>
                      <w:bCs/>
                      <w:color w:val="auto"/>
                      <w:highlight w:val="none"/>
                    </w:rPr>
                    <w:t>BOD</w:t>
                  </w:r>
                  <w:r>
                    <w:rPr>
                      <w:rFonts w:hint="default" w:ascii="Times New Roman" w:hAnsi="Times New Roman" w:cs="Times New Roman"/>
                      <w:b/>
                      <w:bCs/>
                      <w:color w:val="auto"/>
                      <w:highlight w:val="none"/>
                      <w:vertAlign w:val="subscript"/>
                    </w:rPr>
                    <w:t>5</w:t>
                  </w:r>
                </w:p>
              </w:tc>
              <w:tc>
                <w:tcPr>
                  <w:tcW w:w="1015" w:type="dxa"/>
                  <w:tcBorders>
                    <w:tl2br w:val="nil"/>
                    <w:tr2bl w:val="nil"/>
                  </w:tcBorders>
                  <w:vAlign w:val="center"/>
                </w:tcPr>
                <w:p>
                  <w:pPr>
                    <w:pStyle w:val="32"/>
                    <w:bidi w:val="0"/>
                    <w:rPr>
                      <w:rFonts w:hint="default" w:ascii="Times New Roman" w:hAnsi="Times New Roman" w:cs="Times New Roman"/>
                      <w:b/>
                      <w:bCs/>
                      <w:color w:val="auto"/>
                      <w:kern w:val="0"/>
                      <w:sz w:val="21"/>
                      <w:szCs w:val="21"/>
                      <w:highlight w:val="none"/>
                      <w:lang w:val="en-US" w:eastAsia="zh-CN" w:bidi="ar-SA"/>
                    </w:rPr>
                  </w:pPr>
                  <w:r>
                    <w:rPr>
                      <w:rFonts w:hint="default" w:ascii="Times New Roman" w:hAnsi="Times New Roman" w:cs="Times New Roman"/>
                      <w:b/>
                      <w:bCs/>
                      <w:color w:val="auto"/>
                      <w:highlight w:val="none"/>
                    </w:rPr>
                    <w:t>氨氮</w:t>
                  </w:r>
                </w:p>
              </w:tc>
              <w:tc>
                <w:tcPr>
                  <w:tcW w:w="915"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COD</w:t>
                  </w:r>
                </w:p>
              </w:tc>
              <w:tc>
                <w:tcPr>
                  <w:tcW w:w="990"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总磷</w:t>
                  </w:r>
                </w:p>
              </w:tc>
              <w:tc>
                <w:tcPr>
                  <w:tcW w:w="1072"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魏家堡</w:t>
                  </w:r>
                  <w:r>
                    <w:rPr>
                      <w:rFonts w:hint="default" w:ascii="Times New Roman" w:hAnsi="Times New Roman" w:eastAsia="宋体" w:cs="Times New Roman"/>
                      <w:color w:val="auto"/>
                      <w:highlight w:val="none"/>
                    </w:rPr>
                    <w:t>断面</w:t>
                  </w:r>
                </w:p>
              </w:tc>
              <w:tc>
                <w:tcPr>
                  <w:tcW w:w="1489"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3.6</w:t>
                  </w:r>
                </w:p>
              </w:tc>
              <w:tc>
                <w:tcPr>
                  <w:tcW w:w="1133"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w:t>
                  </w:r>
                </w:p>
              </w:tc>
              <w:tc>
                <w:tcPr>
                  <w:tcW w:w="1015"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0.42</w:t>
                  </w:r>
                </w:p>
              </w:tc>
              <w:tc>
                <w:tcPr>
                  <w:tcW w:w="915"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16.4</w:t>
                  </w:r>
                </w:p>
              </w:tc>
              <w:tc>
                <w:tcPr>
                  <w:tcW w:w="990"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0.102</w:t>
                  </w:r>
                </w:p>
              </w:tc>
              <w:tc>
                <w:tcPr>
                  <w:tcW w:w="1072"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2"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Ⅲ类标准</w:t>
                  </w:r>
                </w:p>
              </w:tc>
              <w:tc>
                <w:tcPr>
                  <w:tcW w:w="1489"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6</w:t>
                  </w:r>
                </w:p>
              </w:tc>
              <w:tc>
                <w:tcPr>
                  <w:tcW w:w="1133"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4</w:t>
                  </w:r>
                </w:p>
              </w:tc>
              <w:tc>
                <w:tcPr>
                  <w:tcW w:w="1015"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highlight w:val="none"/>
                      <w:lang w:val="en-US" w:eastAsia="zh-CN"/>
                    </w:rPr>
                    <w:t>1.0</w:t>
                  </w:r>
                </w:p>
              </w:tc>
              <w:tc>
                <w:tcPr>
                  <w:tcW w:w="915"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highlight w:val="none"/>
                      <w:lang w:val="en-US" w:eastAsia="zh-CN"/>
                    </w:rPr>
                    <w:t>20</w:t>
                  </w:r>
                </w:p>
              </w:tc>
              <w:tc>
                <w:tcPr>
                  <w:tcW w:w="990"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0.</w:t>
                  </w:r>
                  <w:r>
                    <w:rPr>
                      <w:rFonts w:hint="eastAsia" w:ascii="Times New Roman" w:hAnsi="Times New Roman" w:cs="Times New Roman"/>
                      <w:color w:val="auto"/>
                      <w:highlight w:val="none"/>
                      <w:lang w:val="en-US" w:eastAsia="zh-CN"/>
                    </w:rPr>
                    <w:t>2</w:t>
                  </w:r>
                </w:p>
              </w:tc>
              <w:tc>
                <w:tcPr>
                  <w:tcW w:w="1072"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rPr>
              <w:t>由监测结果可以看出，</w:t>
            </w:r>
            <w:r>
              <w:rPr>
                <w:rFonts w:hint="eastAsia" w:ascii="Times New Roman" w:hAnsi="Times New Roman" w:eastAsia="宋体" w:cs="Times New Roman"/>
                <w:bCs/>
                <w:iCs/>
                <w:color w:val="auto"/>
                <w:sz w:val="24"/>
                <w:szCs w:val="24"/>
                <w:highlight w:val="none"/>
                <w:lang w:val="en-US" w:eastAsia="zh-CN"/>
              </w:rPr>
              <w:t>渭河魏家堡</w:t>
            </w:r>
            <w:r>
              <w:rPr>
                <w:rFonts w:hint="default" w:ascii="Times New Roman" w:hAnsi="Times New Roman" w:eastAsia="宋体" w:cs="Times New Roman"/>
                <w:color w:val="auto"/>
                <w:sz w:val="24"/>
                <w:szCs w:val="24"/>
                <w:highlight w:val="none"/>
              </w:rPr>
              <w:t>断面水质监测指标均符合《地表水环境质量标准》（GB3838-2002）中的</w:t>
            </w:r>
            <w:r>
              <w:rPr>
                <w:rFonts w:hint="default" w:ascii="Times New Roman" w:hAnsi="Times New Roman" w:cs="Times New Roman"/>
                <w:color w:val="auto"/>
                <w:highlight w:val="none"/>
              </w:rPr>
              <w:t>Ⅲ</w:t>
            </w:r>
            <w:r>
              <w:rPr>
                <w:rFonts w:hint="default" w:ascii="Times New Roman" w:hAnsi="Times New Roman" w:eastAsia="宋体" w:cs="Times New Roman"/>
                <w:color w:val="auto"/>
                <w:sz w:val="24"/>
                <w:szCs w:val="24"/>
                <w:highlight w:val="none"/>
              </w:rPr>
              <w:t>类</w:t>
            </w:r>
            <w:r>
              <w:rPr>
                <w:rFonts w:hint="eastAsia" w:ascii="Times New Roman" w:hAnsi="Times New Roman" w:eastAsia="宋体" w:cs="Times New Roman"/>
                <w:color w:val="auto"/>
                <w:sz w:val="24"/>
                <w:szCs w:val="24"/>
                <w:highlight w:val="none"/>
                <w:lang w:eastAsia="zh-CN"/>
              </w:rPr>
              <w:t>水质标准</w:t>
            </w:r>
            <w:r>
              <w:rPr>
                <w:rFonts w:hint="default" w:ascii="Times New Roman" w:hAnsi="Times New Roman" w:eastAsia="宋体" w:cs="Times New Roman"/>
                <w:color w:val="auto"/>
                <w:sz w:val="24"/>
                <w:szCs w:val="24"/>
                <w:highlight w:val="none"/>
              </w:rPr>
              <w:t>值。</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三</w:t>
            </w:r>
            <w:r>
              <w:rPr>
                <w:rFonts w:hint="default"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rPr>
              <w:t>声环境质量现状</w:t>
            </w:r>
          </w:p>
          <w:p>
            <w:pPr>
              <w:ind w:firstLine="480"/>
              <w:rPr>
                <w:rFonts w:hint="eastAsia"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根据《建设项目环境影响报告表编制技术指南》（污染影响类）中“厂界外周边50米范围内存在声环境保护目标的建设项目，应监测保护目标声环境质量现状并评价达标情况。”经现场调查，本项目</w:t>
            </w:r>
            <w:r>
              <w:rPr>
                <w:rFonts w:hint="eastAsia" w:cs="Times New Roman"/>
                <w:color w:val="auto"/>
                <w:kern w:val="0"/>
                <w:sz w:val="24"/>
                <w:szCs w:val="24"/>
                <w:highlight w:val="none"/>
                <w:lang w:val="en-US" w:eastAsia="zh-CN" w:bidi="ar"/>
              </w:rPr>
              <w:t>50m范围内存在声环境保护目标第六寨村。因此，本次环评在厂界四周及第六寨村设声环境质量监测点，项目夜间不生产，因此未监测夜间噪声。监测结果详见下表。</w:t>
            </w:r>
          </w:p>
          <w:p>
            <w:pPr>
              <w:pStyle w:val="81"/>
              <w:bidi w:val="0"/>
              <w:rPr>
                <w:rFonts w:hint="default"/>
                <w:color w:val="auto"/>
                <w:highlight w:val="none"/>
              </w:rPr>
            </w:pPr>
            <w:r>
              <w:rPr>
                <w:rFonts w:hint="default"/>
                <w:color w:val="auto"/>
                <w:highlight w:val="none"/>
              </w:rPr>
              <w:t>表3-</w:t>
            </w:r>
            <w:r>
              <w:rPr>
                <w:rFonts w:hint="eastAsia"/>
                <w:color w:val="auto"/>
                <w:highlight w:val="none"/>
                <w:lang w:val="en-US" w:eastAsia="zh-CN"/>
              </w:rPr>
              <w:t xml:space="preserve">4   </w:t>
            </w:r>
            <w:r>
              <w:rPr>
                <w:rFonts w:hint="default"/>
                <w:color w:val="auto"/>
                <w:highlight w:val="none"/>
              </w:rPr>
              <w:t>厂界四周声环境监测结果单位：dB(A)</w:t>
            </w:r>
          </w:p>
          <w:tbl>
            <w:tblPr>
              <w:tblStyle w:val="30"/>
              <w:tblW w:w="820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0"/>
              <w:gridCol w:w="2900"/>
              <w:gridCol w:w="2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测点编号</w:t>
                  </w:r>
                </w:p>
              </w:tc>
              <w:tc>
                <w:tcPr>
                  <w:tcW w:w="558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2025年8</w:t>
                  </w:r>
                  <w:r>
                    <w:rPr>
                      <w:rFonts w:hint="default" w:ascii="Times New Roman" w:hAnsi="Times New Roman" w:eastAsia="宋体" w:cs="Times New Roman"/>
                      <w:b/>
                      <w:bCs/>
                      <w:color w:val="auto"/>
                      <w:sz w:val="21"/>
                      <w:szCs w:val="21"/>
                      <w:highlight w:val="none"/>
                    </w:rPr>
                    <w:t>月</w:t>
                  </w: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c>
                <w:tcPr>
                  <w:tcW w:w="2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2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2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厂界东侧</w:t>
                  </w:r>
                </w:p>
              </w:tc>
              <w:tc>
                <w:tcPr>
                  <w:tcW w:w="290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56</w:t>
                  </w:r>
                </w:p>
              </w:tc>
              <w:tc>
                <w:tcPr>
                  <w:tcW w:w="2687"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2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厂界南侧</w:t>
                  </w:r>
                </w:p>
              </w:tc>
              <w:tc>
                <w:tcPr>
                  <w:tcW w:w="290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58</w:t>
                  </w:r>
                </w:p>
              </w:tc>
              <w:tc>
                <w:tcPr>
                  <w:tcW w:w="2687"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2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厂界西侧</w:t>
                  </w:r>
                </w:p>
              </w:tc>
              <w:tc>
                <w:tcPr>
                  <w:tcW w:w="290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52</w:t>
                  </w:r>
                </w:p>
              </w:tc>
              <w:tc>
                <w:tcPr>
                  <w:tcW w:w="2687"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2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厂界北侧</w:t>
                  </w:r>
                </w:p>
              </w:tc>
              <w:tc>
                <w:tcPr>
                  <w:tcW w:w="290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56</w:t>
                  </w:r>
                </w:p>
              </w:tc>
              <w:tc>
                <w:tcPr>
                  <w:tcW w:w="2687"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2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第六寨村</w:t>
                  </w:r>
                </w:p>
              </w:tc>
              <w:tc>
                <w:tcPr>
                  <w:tcW w:w="2900"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53</w:t>
                  </w:r>
                </w:p>
              </w:tc>
              <w:tc>
                <w:tcPr>
                  <w:tcW w:w="2687" w:type="dxa"/>
                  <w:tcBorders>
                    <w:tl2br w:val="nil"/>
                    <w:tr2bl w:val="nil"/>
                  </w:tcBorders>
                  <w:vAlign w:val="center"/>
                </w:tcPr>
                <w:p>
                  <w:pPr>
                    <w:pStyle w:val="82"/>
                    <w:bidi w:val="0"/>
                    <w:rPr>
                      <w:rFonts w:hint="default"/>
                      <w:color w:val="auto"/>
                      <w:highlight w:val="none"/>
                      <w:lang w:val="en-US" w:eastAsia="zh-CN"/>
                    </w:rPr>
                  </w:pPr>
                  <w:r>
                    <w:rPr>
                      <w:rFonts w:hint="eastAsia"/>
                      <w:color w:val="auto"/>
                      <w:highlight w:val="none"/>
                      <w:lang w:val="en-US" w:eastAsia="zh-CN"/>
                    </w:rPr>
                    <w:t>/</w:t>
                  </w:r>
                </w:p>
              </w:tc>
            </w:tr>
          </w:tbl>
          <w:p>
            <w:pPr>
              <w:bidi w:val="0"/>
              <w:rPr>
                <w:rFonts w:hint="eastAsia"/>
                <w:color w:val="auto"/>
                <w:highlight w:val="none"/>
                <w:lang w:val="en-US" w:eastAsia="zh-CN"/>
              </w:rPr>
            </w:pPr>
            <w:r>
              <w:rPr>
                <w:rFonts w:hint="eastAsia"/>
                <w:color w:val="auto"/>
                <w:highlight w:val="none"/>
                <w:lang w:val="en-US" w:eastAsia="zh-CN"/>
              </w:rPr>
              <w:t>根据以上监测结果可知，项目所在区域厂界四周及敏感点声环境满足《声环境质量标准》（GB3096-2008）中2类声环境功能区标准。</w:t>
            </w:r>
          </w:p>
          <w:p>
            <w:pPr>
              <w:keepNext w:val="0"/>
              <w:keepLines w:val="0"/>
              <w:pageBreakBefore w:val="0"/>
              <w:widowControl w:val="0"/>
              <w:tabs>
                <w:tab w:val="left" w:pos="9345"/>
              </w:tabs>
              <w:kinsoku/>
              <w:wordWrap/>
              <w:overflowPunct/>
              <w:topLinePunct w:val="0"/>
              <w:autoSpaceDE/>
              <w:autoSpaceDN/>
              <w:bidi w:val="0"/>
              <w:adjustRightInd/>
              <w:snapToGrid/>
              <w:spacing w:line="360" w:lineRule="auto"/>
              <w:ind w:right="0" w:firstLine="482" w:firstLineChars="200"/>
              <w:jc w:val="both"/>
              <w:textAlignment w:val="auto"/>
              <w:rPr>
                <w:rFonts w:hint="default" w:ascii="Times New Roman" w:hAnsi="Times New Roman" w:eastAsia="宋体" w:cs="Times New Roman"/>
                <w:b/>
                <w:bCs/>
                <w:color w:val="auto"/>
                <w:sz w:val="24"/>
                <w:szCs w:val="24"/>
                <w:highlight w:val="none"/>
                <w:lang w:eastAsia="zh-CN"/>
              </w:rPr>
            </w:pPr>
            <w:r>
              <w:rPr>
                <w:rFonts w:hint="eastAsia" w:eastAsia="宋体"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生态环境</w:t>
            </w:r>
          </w:p>
          <w:p>
            <w:pPr>
              <w:keepNext w:val="0"/>
              <w:keepLines w:val="0"/>
              <w:pageBreakBefore w:val="0"/>
              <w:widowControl w:val="0"/>
              <w:tabs>
                <w:tab w:val="left" w:pos="9345"/>
              </w:tabs>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本项目用地范围内不涉及生态环境保护目标，无需进行生态现状调查。</w:t>
            </w:r>
          </w:p>
          <w:p>
            <w:pPr>
              <w:keepNext w:val="0"/>
              <w:keepLines w:val="0"/>
              <w:pageBreakBefore w:val="0"/>
              <w:widowControl w:val="0"/>
              <w:tabs>
                <w:tab w:val="left" w:pos="9345"/>
              </w:tabs>
              <w:kinsoku/>
              <w:wordWrap/>
              <w:overflowPunct/>
              <w:topLinePunct w:val="0"/>
              <w:autoSpaceDE/>
              <w:autoSpaceDN/>
              <w:bidi w:val="0"/>
              <w:adjustRightInd/>
              <w:snapToGrid/>
              <w:spacing w:line="360" w:lineRule="auto"/>
              <w:ind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五</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地下水</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土壤</w:t>
            </w:r>
            <w:r>
              <w:rPr>
                <w:rFonts w:hint="default" w:ascii="Times New Roman" w:hAnsi="Times New Roman" w:eastAsia="宋体" w:cs="Times New Roman"/>
                <w:b/>
                <w:bCs/>
                <w:color w:val="auto"/>
                <w:sz w:val="24"/>
                <w:szCs w:val="24"/>
                <w:highlight w:val="none"/>
              </w:rPr>
              <w:t>环境</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kern w:val="0"/>
                <w:sz w:val="24"/>
                <w:szCs w:val="24"/>
                <w:highlight w:val="none"/>
                <w:lang w:val="en-US" w:eastAsia="zh-CN" w:bidi="ar"/>
              </w:rPr>
              <w:t>《建设项目环境影响报告表编制技术指南》（污染影响类）中原则上不开展环境质量现状调查。本项目大气无土壤污染因子，</w:t>
            </w:r>
            <w:r>
              <w:rPr>
                <w:rFonts w:hint="eastAsia" w:cs="Times New Roman"/>
                <w:color w:val="auto"/>
                <w:kern w:val="0"/>
                <w:sz w:val="24"/>
                <w:szCs w:val="24"/>
                <w:highlight w:val="none"/>
                <w:lang w:val="en-US" w:eastAsia="zh-CN" w:bidi="ar"/>
              </w:rPr>
              <w:t>危废贮存库</w:t>
            </w:r>
            <w:r>
              <w:rPr>
                <w:rFonts w:hint="default" w:ascii="Times New Roman" w:hAnsi="Times New Roman" w:eastAsia="宋体" w:cs="Times New Roman"/>
                <w:color w:val="auto"/>
                <w:kern w:val="0"/>
                <w:sz w:val="24"/>
                <w:szCs w:val="24"/>
                <w:highlight w:val="none"/>
                <w:lang w:val="en-US" w:eastAsia="zh-CN" w:bidi="ar"/>
              </w:rPr>
              <w:t>采取重点防渗措施，不存在土壤、地下水环境污染途径，</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项目不进行地下水环境质量现状调查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不进行土壤环境质量现状调查</w:t>
            </w:r>
            <w:r>
              <w:rPr>
                <w:rFonts w:hint="default"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环境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保护</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目标</w:t>
            </w:r>
          </w:p>
        </w:tc>
        <w:tc>
          <w:tcPr>
            <w:tcW w:w="8462" w:type="dxa"/>
            <w:vAlign w:val="center"/>
          </w:tcPr>
          <w:p>
            <w:pPr>
              <w:ind w:firstLine="480"/>
              <w:rPr>
                <w:b/>
                <w:bCs/>
                <w:color w:val="auto"/>
              </w:rPr>
            </w:pPr>
            <w:r>
              <w:rPr>
                <w:rFonts w:hint="eastAsia"/>
                <w:b/>
                <w:bCs/>
                <w:color w:val="auto"/>
              </w:rPr>
              <w:t>1、大气环境</w:t>
            </w:r>
          </w:p>
          <w:p>
            <w:pPr>
              <w:pStyle w:val="76"/>
              <w:bidi w:val="0"/>
              <w:rPr>
                <w:rFonts w:hint="eastAsia"/>
                <w:color w:val="auto"/>
                <w:highlight w:val="none"/>
                <w:lang w:val="en-US" w:eastAsia="zh-CN"/>
              </w:rPr>
            </w:pPr>
            <w:r>
              <w:rPr>
                <w:rFonts w:hint="default"/>
                <w:color w:val="auto"/>
                <w:highlight w:val="none"/>
              </w:rPr>
              <w:t>表</w:t>
            </w:r>
            <w:r>
              <w:rPr>
                <w:rFonts w:hint="eastAsia"/>
                <w:color w:val="auto"/>
                <w:highlight w:val="none"/>
                <w:lang w:val="en-US" w:eastAsia="zh-CN"/>
              </w:rPr>
              <w:t>3-5</w:t>
            </w:r>
            <w:r>
              <w:rPr>
                <w:rFonts w:hint="default"/>
                <w:color w:val="auto"/>
                <w:highlight w:val="none"/>
              </w:rPr>
              <w:t xml:space="preserve">   项目主要</w:t>
            </w:r>
            <w:r>
              <w:rPr>
                <w:rFonts w:hint="eastAsia"/>
                <w:color w:val="auto"/>
                <w:highlight w:val="none"/>
                <w:lang w:val="en-US" w:eastAsia="zh-CN"/>
              </w:rPr>
              <w:t>大气</w:t>
            </w:r>
            <w:r>
              <w:rPr>
                <w:rFonts w:hint="default"/>
                <w:color w:val="auto"/>
                <w:highlight w:val="none"/>
              </w:rPr>
              <w:t>环境保护目标</w:t>
            </w:r>
            <w:r>
              <w:rPr>
                <w:rFonts w:hint="eastAsia"/>
                <w:color w:val="auto"/>
                <w:highlight w:val="none"/>
                <w:lang w:val="en-US" w:eastAsia="zh-CN"/>
              </w:rPr>
              <w:t>一览表</w:t>
            </w:r>
          </w:p>
          <w:tbl>
            <w:tblPr>
              <w:tblStyle w:val="30"/>
              <w:tblW w:w="8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901"/>
              <w:gridCol w:w="1322"/>
              <w:gridCol w:w="1223"/>
              <w:gridCol w:w="924"/>
              <w:gridCol w:w="649"/>
              <w:gridCol w:w="765"/>
              <w:gridCol w:w="795"/>
              <w:gridCol w:w="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7"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环境要素</w:t>
                  </w:r>
                </w:p>
              </w:tc>
              <w:tc>
                <w:tcPr>
                  <w:tcW w:w="901"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名称</w:t>
                  </w:r>
                </w:p>
              </w:tc>
              <w:tc>
                <w:tcPr>
                  <w:tcW w:w="2545" w:type="dxa"/>
                  <w:gridSpan w:val="2"/>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坐标</w:t>
                  </w:r>
                </w:p>
              </w:tc>
              <w:tc>
                <w:tcPr>
                  <w:tcW w:w="924"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保护对象</w:t>
                  </w:r>
                </w:p>
              </w:tc>
              <w:tc>
                <w:tcPr>
                  <w:tcW w:w="649"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保护内容</w:t>
                  </w:r>
                </w:p>
              </w:tc>
              <w:tc>
                <w:tcPr>
                  <w:tcW w:w="765"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环境功能区</w:t>
                  </w:r>
                </w:p>
              </w:tc>
              <w:tc>
                <w:tcPr>
                  <w:tcW w:w="795"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相对厂址方位</w:t>
                  </w:r>
                </w:p>
              </w:tc>
              <w:tc>
                <w:tcPr>
                  <w:tcW w:w="908"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7" w:type="dxa"/>
                  <w:vMerge w:val="continue"/>
                  <w:tcBorders>
                    <w:tl2br w:val="nil"/>
                    <w:tr2bl w:val="nil"/>
                  </w:tcBorders>
                  <w:vAlign w:val="center"/>
                </w:tcPr>
                <w:p>
                  <w:pPr>
                    <w:pStyle w:val="32"/>
                    <w:bidi w:val="0"/>
                    <w:rPr>
                      <w:rFonts w:hint="default" w:ascii="Times New Roman" w:hAnsi="Times New Roman" w:cs="Times New Roman"/>
                    </w:rPr>
                  </w:pPr>
                </w:p>
              </w:tc>
              <w:tc>
                <w:tcPr>
                  <w:tcW w:w="901" w:type="dxa"/>
                  <w:vMerge w:val="continue"/>
                  <w:tcBorders>
                    <w:tl2br w:val="nil"/>
                    <w:tr2bl w:val="nil"/>
                  </w:tcBorders>
                  <w:vAlign w:val="center"/>
                </w:tcPr>
                <w:p>
                  <w:pPr>
                    <w:pStyle w:val="32"/>
                    <w:bidi w:val="0"/>
                    <w:rPr>
                      <w:rFonts w:hint="default" w:ascii="Times New Roman" w:hAnsi="Times New Roman" w:cs="Times New Roman"/>
                    </w:rPr>
                  </w:pPr>
                </w:p>
              </w:tc>
              <w:tc>
                <w:tcPr>
                  <w:tcW w:w="1322" w:type="dxa"/>
                  <w:tcBorders>
                    <w:tl2br w:val="nil"/>
                    <w:tr2bl w:val="nil"/>
                  </w:tcBorders>
                  <w:vAlign w:val="center"/>
                </w:tcPr>
                <w:p>
                  <w:pPr>
                    <w:pStyle w:val="32"/>
                    <w:bidi w:val="0"/>
                    <w:rPr>
                      <w:rFonts w:hint="default" w:ascii="Times New Roman" w:hAnsi="Times New Roman" w:cs="Times New Roman"/>
                      <w:lang w:eastAsia="zh-CN"/>
                    </w:rPr>
                  </w:pPr>
                  <w:r>
                    <w:rPr>
                      <w:rFonts w:hint="default" w:ascii="Times New Roman" w:hAnsi="Times New Roman" w:cs="Times New Roman"/>
                      <w:lang w:val="en-US" w:eastAsia="zh-CN"/>
                    </w:rPr>
                    <w:t>E</w:t>
                  </w:r>
                </w:p>
              </w:tc>
              <w:tc>
                <w:tcPr>
                  <w:tcW w:w="1223"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N</w:t>
                  </w:r>
                </w:p>
              </w:tc>
              <w:tc>
                <w:tcPr>
                  <w:tcW w:w="924" w:type="dxa"/>
                  <w:vMerge w:val="continue"/>
                  <w:tcBorders>
                    <w:tl2br w:val="nil"/>
                    <w:tr2bl w:val="nil"/>
                  </w:tcBorders>
                  <w:vAlign w:val="center"/>
                </w:tcPr>
                <w:p>
                  <w:pPr>
                    <w:pStyle w:val="32"/>
                    <w:bidi w:val="0"/>
                    <w:rPr>
                      <w:rFonts w:hint="default" w:ascii="Times New Roman" w:hAnsi="Times New Roman" w:cs="Times New Roman"/>
                    </w:rPr>
                  </w:pPr>
                </w:p>
              </w:tc>
              <w:tc>
                <w:tcPr>
                  <w:tcW w:w="649" w:type="dxa"/>
                  <w:vMerge w:val="continue"/>
                  <w:tcBorders>
                    <w:tl2br w:val="nil"/>
                    <w:tr2bl w:val="nil"/>
                  </w:tcBorders>
                  <w:vAlign w:val="center"/>
                </w:tcPr>
                <w:p>
                  <w:pPr>
                    <w:pStyle w:val="32"/>
                    <w:bidi w:val="0"/>
                    <w:rPr>
                      <w:rFonts w:hint="default" w:ascii="Times New Roman" w:hAnsi="Times New Roman" w:cs="Times New Roman"/>
                    </w:rPr>
                  </w:pPr>
                </w:p>
              </w:tc>
              <w:tc>
                <w:tcPr>
                  <w:tcW w:w="765" w:type="dxa"/>
                  <w:vMerge w:val="continue"/>
                  <w:tcBorders>
                    <w:tl2br w:val="nil"/>
                    <w:tr2bl w:val="nil"/>
                  </w:tcBorders>
                  <w:vAlign w:val="center"/>
                </w:tcPr>
                <w:p>
                  <w:pPr>
                    <w:pStyle w:val="32"/>
                    <w:bidi w:val="0"/>
                    <w:rPr>
                      <w:rFonts w:hint="default" w:ascii="Times New Roman" w:hAnsi="Times New Roman" w:cs="Times New Roman"/>
                    </w:rPr>
                  </w:pPr>
                </w:p>
              </w:tc>
              <w:tc>
                <w:tcPr>
                  <w:tcW w:w="795" w:type="dxa"/>
                  <w:vMerge w:val="continue"/>
                  <w:tcBorders>
                    <w:tl2br w:val="nil"/>
                    <w:tr2bl w:val="nil"/>
                  </w:tcBorders>
                  <w:vAlign w:val="center"/>
                </w:tcPr>
                <w:p>
                  <w:pPr>
                    <w:pStyle w:val="32"/>
                    <w:bidi w:val="0"/>
                    <w:rPr>
                      <w:rFonts w:hint="default" w:ascii="Times New Roman" w:hAnsi="Times New Roman" w:cs="Times New Roman"/>
                    </w:rPr>
                  </w:pPr>
                </w:p>
              </w:tc>
              <w:tc>
                <w:tcPr>
                  <w:tcW w:w="908" w:type="dxa"/>
                  <w:vMerge w:val="continue"/>
                  <w:tcBorders>
                    <w:tl2br w:val="nil"/>
                    <w:tr2bl w:val="nil"/>
                  </w:tcBorders>
                  <w:vAlign w:val="center"/>
                </w:tcPr>
                <w:p>
                  <w:pPr>
                    <w:pStyle w:val="32"/>
                    <w:bidi w:val="0"/>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7" w:type="dxa"/>
                  <w:vMerge w:val="restart"/>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环境空气</w:t>
                  </w:r>
                </w:p>
              </w:tc>
              <w:tc>
                <w:tcPr>
                  <w:tcW w:w="901"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第六寨村</w:t>
                  </w:r>
                </w:p>
              </w:tc>
              <w:tc>
                <w:tcPr>
                  <w:tcW w:w="1322"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107.569481°</w:t>
                  </w:r>
                </w:p>
              </w:tc>
              <w:tc>
                <w:tcPr>
                  <w:tcW w:w="1223"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34.311896°</w:t>
                  </w:r>
                </w:p>
              </w:tc>
              <w:tc>
                <w:tcPr>
                  <w:tcW w:w="924"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居民区</w:t>
                  </w:r>
                </w:p>
              </w:tc>
              <w:tc>
                <w:tcPr>
                  <w:tcW w:w="649"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人群</w:t>
                  </w:r>
                </w:p>
              </w:tc>
              <w:tc>
                <w:tcPr>
                  <w:tcW w:w="765"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lang w:val="en-US" w:eastAsia="zh-CN"/>
                    </w:rPr>
                    <w:t>二</w:t>
                  </w:r>
                  <w:r>
                    <w:rPr>
                      <w:rFonts w:hint="default" w:ascii="Times New Roman" w:hAnsi="Times New Roman" w:cs="Times New Roman"/>
                    </w:rPr>
                    <w:t>类功能区</w:t>
                  </w:r>
                </w:p>
              </w:tc>
              <w:tc>
                <w:tcPr>
                  <w:tcW w:w="795" w:type="dxa"/>
                  <w:tcBorders>
                    <w:tl2br w:val="nil"/>
                    <w:tr2bl w:val="nil"/>
                  </w:tcBorders>
                  <w:vAlign w:val="center"/>
                </w:tcPr>
                <w:p>
                  <w:pPr>
                    <w:pStyle w:val="32"/>
                    <w:bidi w:val="0"/>
                    <w:rPr>
                      <w:rFonts w:hint="default" w:ascii="Times New Roman" w:hAnsi="Times New Roman" w:cs="Times New Roman"/>
                      <w:lang w:val="en-US" w:eastAsia="zh-CN"/>
                    </w:rPr>
                  </w:pPr>
                  <w:r>
                    <w:rPr>
                      <w:rFonts w:hint="eastAsia" w:cs="Times New Roman"/>
                      <w:lang w:val="en-US" w:eastAsia="zh-CN"/>
                    </w:rPr>
                    <w:t>北</w:t>
                  </w:r>
                </w:p>
              </w:tc>
              <w:tc>
                <w:tcPr>
                  <w:tcW w:w="908" w:type="dxa"/>
                  <w:tcBorders>
                    <w:tl2br w:val="nil"/>
                    <w:tr2bl w:val="nil"/>
                  </w:tcBorders>
                  <w:vAlign w:val="center"/>
                </w:tcPr>
                <w:p>
                  <w:pPr>
                    <w:pStyle w:val="32"/>
                    <w:bidi w:val="0"/>
                    <w:rPr>
                      <w:rFonts w:hint="default" w:ascii="Times New Roman" w:hAnsi="Times New Roman" w:cs="Times New Roman"/>
                      <w:lang w:val="en-US" w:eastAsia="zh-CN"/>
                    </w:rPr>
                  </w:pPr>
                  <w:r>
                    <w:rPr>
                      <w:rFonts w:hint="eastAsia" w:cs="Times New Roman"/>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7" w:type="dxa"/>
                  <w:vMerge w:val="continue"/>
                  <w:tcBorders>
                    <w:tl2br w:val="nil"/>
                    <w:tr2bl w:val="nil"/>
                  </w:tcBorders>
                  <w:vAlign w:val="center"/>
                </w:tcPr>
                <w:p>
                  <w:pPr>
                    <w:pStyle w:val="32"/>
                    <w:bidi w:val="0"/>
                    <w:rPr>
                      <w:rFonts w:hint="default" w:ascii="Times New Roman" w:hAnsi="Times New Roman" w:cs="Times New Roman"/>
                      <w:lang w:val="en-US" w:eastAsia="zh-CN"/>
                    </w:rPr>
                  </w:pPr>
                </w:p>
              </w:tc>
              <w:tc>
                <w:tcPr>
                  <w:tcW w:w="901"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严家庄</w:t>
                  </w:r>
                </w:p>
              </w:tc>
              <w:tc>
                <w:tcPr>
                  <w:tcW w:w="1322"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107.564985°</w:t>
                  </w:r>
                </w:p>
              </w:tc>
              <w:tc>
                <w:tcPr>
                  <w:tcW w:w="1223"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34.313712°</w:t>
                  </w:r>
                </w:p>
              </w:tc>
              <w:tc>
                <w:tcPr>
                  <w:tcW w:w="924"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居民区</w:t>
                  </w:r>
                </w:p>
              </w:tc>
              <w:tc>
                <w:tcPr>
                  <w:tcW w:w="649"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人群</w:t>
                  </w:r>
                </w:p>
              </w:tc>
              <w:tc>
                <w:tcPr>
                  <w:tcW w:w="765" w:type="dxa"/>
                  <w:vMerge w:val="continue"/>
                  <w:tcBorders>
                    <w:tl2br w:val="nil"/>
                    <w:tr2bl w:val="nil"/>
                  </w:tcBorders>
                  <w:vAlign w:val="center"/>
                </w:tcPr>
                <w:p>
                  <w:pPr>
                    <w:pStyle w:val="32"/>
                    <w:bidi w:val="0"/>
                    <w:rPr>
                      <w:rFonts w:hint="default" w:ascii="Times New Roman" w:hAnsi="Times New Roman" w:cs="Times New Roman"/>
                      <w:lang w:val="en-US" w:eastAsia="zh-CN"/>
                    </w:rPr>
                  </w:pPr>
                </w:p>
              </w:tc>
              <w:tc>
                <w:tcPr>
                  <w:tcW w:w="795"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西</w:t>
                  </w:r>
                  <w:r>
                    <w:rPr>
                      <w:rFonts w:hint="eastAsia" w:cs="Times New Roman"/>
                      <w:lang w:val="en-US" w:eastAsia="zh-CN"/>
                    </w:rPr>
                    <w:t>北</w:t>
                  </w:r>
                </w:p>
              </w:tc>
              <w:tc>
                <w:tcPr>
                  <w:tcW w:w="908" w:type="dxa"/>
                  <w:tcBorders>
                    <w:tl2br w:val="nil"/>
                    <w:tr2bl w:val="nil"/>
                  </w:tcBorders>
                  <w:vAlign w:val="center"/>
                </w:tcPr>
                <w:p>
                  <w:pPr>
                    <w:pStyle w:val="32"/>
                    <w:bidi w:val="0"/>
                    <w:rPr>
                      <w:rFonts w:hint="default" w:ascii="Times New Roman" w:hAnsi="Times New Roman" w:cs="Times New Roman"/>
                      <w:lang w:val="en-US" w:eastAsia="zh-CN"/>
                    </w:rPr>
                  </w:pPr>
                  <w:r>
                    <w:rPr>
                      <w:rFonts w:hint="eastAsia" w:cs="Times New Roman"/>
                      <w:lang w:val="en-US" w:eastAsia="zh-CN"/>
                    </w:rPr>
                    <w:t>445</w:t>
                  </w:r>
                </w:p>
              </w:tc>
            </w:tr>
          </w:tbl>
          <w:p>
            <w:pPr>
              <w:widowControl/>
              <w:adjustRightInd w:val="0"/>
              <w:snapToGrid w:val="0"/>
              <w:ind w:firstLine="480"/>
              <w:rPr>
                <w:b/>
                <w:bCs/>
                <w:color w:val="auto"/>
              </w:rPr>
            </w:pPr>
            <w:r>
              <w:rPr>
                <w:b/>
                <w:bCs/>
                <w:color w:val="auto"/>
              </w:rPr>
              <w:t>2、声环境</w:t>
            </w:r>
          </w:p>
          <w:p>
            <w:pPr>
              <w:pStyle w:val="76"/>
              <w:bidi w:val="0"/>
              <w:rPr>
                <w:rFonts w:hint="eastAsia"/>
                <w:color w:val="auto"/>
                <w:highlight w:val="none"/>
                <w:lang w:val="en-US" w:eastAsia="zh-CN"/>
              </w:rPr>
            </w:pPr>
            <w:r>
              <w:rPr>
                <w:rFonts w:hint="default"/>
                <w:color w:val="auto"/>
                <w:highlight w:val="none"/>
              </w:rPr>
              <w:t>表</w:t>
            </w:r>
            <w:r>
              <w:rPr>
                <w:rFonts w:hint="eastAsia"/>
                <w:color w:val="auto"/>
                <w:highlight w:val="none"/>
                <w:lang w:val="en-US" w:eastAsia="zh-CN"/>
              </w:rPr>
              <w:t>3-6</w:t>
            </w:r>
            <w:r>
              <w:rPr>
                <w:rFonts w:hint="default"/>
                <w:color w:val="auto"/>
                <w:highlight w:val="none"/>
              </w:rPr>
              <w:t xml:space="preserve">   项目主要</w:t>
            </w:r>
            <w:r>
              <w:rPr>
                <w:rFonts w:hint="eastAsia"/>
                <w:color w:val="auto"/>
                <w:highlight w:val="none"/>
                <w:lang w:val="en-US" w:eastAsia="zh-CN"/>
              </w:rPr>
              <w:t>声</w:t>
            </w:r>
            <w:r>
              <w:rPr>
                <w:rFonts w:hint="default"/>
                <w:color w:val="auto"/>
                <w:highlight w:val="none"/>
              </w:rPr>
              <w:t>环境保护目标</w:t>
            </w:r>
            <w:r>
              <w:rPr>
                <w:rFonts w:hint="eastAsia"/>
                <w:color w:val="auto"/>
                <w:highlight w:val="none"/>
                <w:lang w:val="en-US" w:eastAsia="zh-CN"/>
              </w:rPr>
              <w:t>一览表</w:t>
            </w:r>
          </w:p>
          <w:tbl>
            <w:tblPr>
              <w:tblStyle w:val="30"/>
              <w:tblW w:w="8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901"/>
              <w:gridCol w:w="1322"/>
              <w:gridCol w:w="1223"/>
              <w:gridCol w:w="924"/>
              <w:gridCol w:w="649"/>
              <w:gridCol w:w="765"/>
              <w:gridCol w:w="795"/>
              <w:gridCol w:w="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7"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环境要素</w:t>
                  </w:r>
                </w:p>
              </w:tc>
              <w:tc>
                <w:tcPr>
                  <w:tcW w:w="901"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名称</w:t>
                  </w:r>
                </w:p>
              </w:tc>
              <w:tc>
                <w:tcPr>
                  <w:tcW w:w="2545" w:type="dxa"/>
                  <w:gridSpan w:val="2"/>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坐标</w:t>
                  </w:r>
                </w:p>
              </w:tc>
              <w:tc>
                <w:tcPr>
                  <w:tcW w:w="924"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保护对象</w:t>
                  </w:r>
                </w:p>
              </w:tc>
              <w:tc>
                <w:tcPr>
                  <w:tcW w:w="649"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保护内容</w:t>
                  </w:r>
                </w:p>
              </w:tc>
              <w:tc>
                <w:tcPr>
                  <w:tcW w:w="765"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环境功能区</w:t>
                  </w:r>
                </w:p>
              </w:tc>
              <w:tc>
                <w:tcPr>
                  <w:tcW w:w="795"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相对厂址方位</w:t>
                  </w:r>
                </w:p>
              </w:tc>
              <w:tc>
                <w:tcPr>
                  <w:tcW w:w="908" w:type="dxa"/>
                  <w:vMerge w:val="restart"/>
                  <w:tcBorders>
                    <w:tl2br w:val="nil"/>
                    <w:tr2bl w:val="nil"/>
                  </w:tcBorders>
                  <w:vAlign w:val="center"/>
                </w:tcPr>
                <w:p>
                  <w:pPr>
                    <w:pStyle w:val="32"/>
                    <w:bidi w:val="0"/>
                    <w:rPr>
                      <w:rFonts w:hint="default" w:ascii="Times New Roman" w:hAnsi="Times New Roman" w:cs="Times New Roman"/>
                    </w:rPr>
                  </w:pPr>
                  <w:r>
                    <w:rPr>
                      <w:rFonts w:hint="default" w:ascii="Times New Roman" w:hAnsi="Times New Roman" w:cs="Times New Roman"/>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7" w:type="dxa"/>
                  <w:vMerge w:val="continue"/>
                  <w:tcBorders>
                    <w:tl2br w:val="nil"/>
                    <w:tr2bl w:val="nil"/>
                  </w:tcBorders>
                  <w:vAlign w:val="center"/>
                </w:tcPr>
                <w:p>
                  <w:pPr>
                    <w:pStyle w:val="32"/>
                    <w:bidi w:val="0"/>
                    <w:rPr>
                      <w:rFonts w:hint="default" w:ascii="Times New Roman" w:hAnsi="Times New Roman" w:cs="Times New Roman"/>
                    </w:rPr>
                  </w:pPr>
                </w:p>
              </w:tc>
              <w:tc>
                <w:tcPr>
                  <w:tcW w:w="901" w:type="dxa"/>
                  <w:vMerge w:val="continue"/>
                  <w:tcBorders>
                    <w:tl2br w:val="nil"/>
                    <w:tr2bl w:val="nil"/>
                  </w:tcBorders>
                  <w:vAlign w:val="center"/>
                </w:tcPr>
                <w:p>
                  <w:pPr>
                    <w:pStyle w:val="32"/>
                    <w:bidi w:val="0"/>
                    <w:rPr>
                      <w:rFonts w:hint="default" w:ascii="Times New Roman" w:hAnsi="Times New Roman" w:cs="Times New Roman"/>
                    </w:rPr>
                  </w:pPr>
                </w:p>
              </w:tc>
              <w:tc>
                <w:tcPr>
                  <w:tcW w:w="1322" w:type="dxa"/>
                  <w:tcBorders>
                    <w:tl2br w:val="nil"/>
                    <w:tr2bl w:val="nil"/>
                  </w:tcBorders>
                  <w:vAlign w:val="center"/>
                </w:tcPr>
                <w:p>
                  <w:pPr>
                    <w:pStyle w:val="32"/>
                    <w:bidi w:val="0"/>
                    <w:rPr>
                      <w:rFonts w:hint="default" w:ascii="Times New Roman" w:hAnsi="Times New Roman" w:cs="Times New Roman"/>
                      <w:lang w:eastAsia="zh-CN"/>
                    </w:rPr>
                  </w:pPr>
                  <w:r>
                    <w:rPr>
                      <w:rFonts w:hint="default" w:ascii="Times New Roman" w:hAnsi="Times New Roman" w:cs="Times New Roman"/>
                      <w:lang w:val="en-US" w:eastAsia="zh-CN"/>
                    </w:rPr>
                    <w:t>E</w:t>
                  </w:r>
                </w:p>
              </w:tc>
              <w:tc>
                <w:tcPr>
                  <w:tcW w:w="1223"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N</w:t>
                  </w:r>
                </w:p>
              </w:tc>
              <w:tc>
                <w:tcPr>
                  <w:tcW w:w="924" w:type="dxa"/>
                  <w:vMerge w:val="continue"/>
                  <w:tcBorders>
                    <w:tl2br w:val="nil"/>
                    <w:tr2bl w:val="nil"/>
                  </w:tcBorders>
                  <w:vAlign w:val="center"/>
                </w:tcPr>
                <w:p>
                  <w:pPr>
                    <w:pStyle w:val="32"/>
                    <w:bidi w:val="0"/>
                    <w:rPr>
                      <w:rFonts w:hint="default" w:ascii="Times New Roman" w:hAnsi="Times New Roman" w:cs="Times New Roman"/>
                    </w:rPr>
                  </w:pPr>
                </w:p>
              </w:tc>
              <w:tc>
                <w:tcPr>
                  <w:tcW w:w="649" w:type="dxa"/>
                  <w:vMerge w:val="continue"/>
                  <w:tcBorders>
                    <w:tl2br w:val="nil"/>
                    <w:tr2bl w:val="nil"/>
                  </w:tcBorders>
                  <w:vAlign w:val="center"/>
                </w:tcPr>
                <w:p>
                  <w:pPr>
                    <w:pStyle w:val="32"/>
                    <w:bidi w:val="0"/>
                    <w:rPr>
                      <w:rFonts w:hint="default" w:ascii="Times New Roman" w:hAnsi="Times New Roman" w:cs="Times New Roman"/>
                    </w:rPr>
                  </w:pPr>
                </w:p>
              </w:tc>
              <w:tc>
                <w:tcPr>
                  <w:tcW w:w="765" w:type="dxa"/>
                  <w:vMerge w:val="continue"/>
                  <w:tcBorders>
                    <w:tl2br w:val="nil"/>
                    <w:tr2bl w:val="nil"/>
                  </w:tcBorders>
                  <w:vAlign w:val="center"/>
                </w:tcPr>
                <w:p>
                  <w:pPr>
                    <w:pStyle w:val="32"/>
                    <w:bidi w:val="0"/>
                    <w:rPr>
                      <w:rFonts w:hint="default" w:ascii="Times New Roman" w:hAnsi="Times New Roman" w:cs="Times New Roman"/>
                    </w:rPr>
                  </w:pPr>
                </w:p>
              </w:tc>
              <w:tc>
                <w:tcPr>
                  <w:tcW w:w="795" w:type="dxa"/>
                  <w:vMerge w:val="continue"/>
                  <w:tcBorders>
                    <w:tl2br w:val="nil"/>
                    <w:tr2bl w:val="nil"/>
                  </w:tcBorders>
                  <w:vAlign w:val="center"/>
                </w:tcPr>
                <w:p>
                  <w:pPr>
                    <w:pStyle w:val="32"/>
                    <w:bidi w:val="0"/>
                    <w:rPr>
                      <w:rFonts w:hint="default" w:ascii="Times New Roman" w:hAnsi="Times New Roman" w:cs="Times New Roman"/>
                    </w:rPr>
                  </w:pPr>
                </w:p>
              </w:tc>
              <w:tc>
                <w:tcPr>
                  <w:tcW w:w="908" w:type="dxa"/>
                  <w:vMerge w:val="continue"/>
                  <w:tcBorders>
                    <w:tl2br w:val="nil"/>
                    <w:tr2bl w:val="nil"/>
                  </w:tcBorders>
                  <w:vAlign w:val="center"/>
                </w:tcPr>
                <w:p>
                  <w:pPr>
                    <w:pStyle w:val="32"/>
                    <w:bidi w:val="0"/>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7" w:type="dxa"/>
                  <w:tcBorders>
                    <w:tl2br w:val="nil"/>
                    <w:tr2bl w:val="nil"/>
                  </w:tcBorders>
                  <w:vAlign w:val="center"/>
                </w:tcPr>
                <w:p>
                  <w:pPr>
                    <w:pStyle w:val="32"/>
                    <w:bidi w:val="0"/>
                    <w:rPr>
                      <w:rFonts w:hint="default" w:ascii="Times New Roman" w:hAnsi="Times New Roman" w:cs="Times New Roman"/>
                      <w:lang w:val="en-US" w:eastAsia="zh-CN"/>
                    </w:rPr>
                  </w:pPr>
                  <w:r>
                    <w:rPr>
                      <w:rFonts w:hint="eastAsia" w:ascii="Times New Roman" w:hAnsi="Times New Roman" w:cs="Times New Roman"/>
                      <w:lang w:val="en-US" w:eastAsia="zh-CN"/>
                    </w:rPr>
                    <w:t>声环境</w:t>
                  </w:r>
                </w:p>
              </w:tc>
              <w:tc>
                <w:tcPr>
                  <w:tcW w:w="901"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第六寨村</w:t>
                  </w:r>
                </w:p>
              </w:tc>
              <w:tc>
                <w:tcPr>
                  <w:tcW w:w="1322"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107.569481°</w:t>
                  </w:r>
                </w:p>
              </w:tc>
              <w:tc>
                <w:tcPr>
                  <w:tcW w:w="1223"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34.311896°</w:t>
                  </w:r>
                </w:p>
              </w:tc>
              <w:tc>
                <w:tcPr>
                  <w:tcW w:w="924"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居民区</w:t>
                  </w:r>
                </w:p>
              </w:tc>
              <w:tc>
                <w:tcPr>
                  <w:tcW w:w="649" w:type="dxa"/>
                  <w:tcBorders>
                    <w:tl2br w:val="nil"/>
                    <w:tr2bl w:val="nil"/>
                  </w:tcBorders>
                  <w:vAlign w:val="center"/>
                </w:tcPr>
                <w:p>
                  <w:pPr>
                    <w:pStyle w:val="32"/>
                    <w:bidi w:val="0"/>
                    <w:rPr>
                      <w:rFonts w:hint="default" w:ascii="Times New Roman" w:hAnsi="Times New Roman" w:cs="Times New Roman"/>
                      <w:lang w:val="en-US" w:eastAsia="zh-CN"/>
                    </w:rPr>
                  </w:pPr>
                  <w:r>
                    <w:rPr>
                      <w:rFonts w:hint="default" w:ascii="Times New Roman" w:hAnsi="Times New Roman" w:cs="Times New Roman"/>
                      <w:lang w:val="en-US" w:eastAsia="zh-CN"/>
                    </w:rPr>
                    <w:t>人群</w:t>
                  </w:r>
                </w:p>
              </w:tc>
              <w:tc>
                <w:tcPr>
                  <w:tcW w:w="765" w:type="dxa"/>
                  <w:tcBorders>
                    <w:tl2br w:val="nil"/>
                    <w:tr2bl w:val="nil"/>
                  </w:tcBorders>
                  <w:vAlign w:val="center"/>
                </w:tcPr>
                <w:p>
                  <w:pPr>
                    <w:pStyle w:val="32"/>
                    <w:bidi w:val="0"/>
                    <w:rPr>
                      <w:rFonts w:hint="default" w:ascii="Times New Roman" w:hAnsi="Times New Roman" w:cs="Times New Roman"/>
                      <w:lang w:val="en-US"/>
                    </w:rPr>
                  </w:pPr>
                  <w:r>
                    <w:rPr>
                      <w:rFonts w:hint="eastAsia" w:ascii="Times New Roman" w:hAnsi="Times New Roman" w:cs="Times New Roman"/>
                      <w:lang w:val="en-US" w:eastAsia="zh-CN"/>
                    </w:rPr>
                    <w:t>2类</w:t>
                  </w:r>
                </w:p>
              </w:tc>
              <w:tc>
                <w:tcPr>
                  <w:tcW w:w="795" w:type="dxa"/>
                  <w:tcBorders>
                    <w:tl2br w:val="nil"/>
                    <w:tr2bl w:val="nil"/>
                  </w:tcBorders>
                  <w:vAlign w:val="center"/>
                </w:tcPr>
                <w:p>
                  <w:pPr>
                    <w:pStyle w:val="32"/>
                    <w:bidi w:val="0"/>
                    <w:rPr>
                      <w:rFonts w:hint="default" w:ascii="Times New Roman" w:hAnsi="Times New Roman" w:cs="Times New Roman"/>
                      <w:lang w:val="en-US" w:eastAsia="zh-CN"/>
                    </w:rPr>
                  </w:pPr>
                  <w:r>
                    <w:rPr>
                      <w:rFonts w:hint="eastAsia" w:cs="Times New Roman"/>
                      <w:lang w:val="en-US" w:eastAsia="zh-CN"/>
                    </w:rPr>
                    <w:t>北</w:t>
                  </w:r>
                </w:p>
              </w:tc>
              <w:tc>
                <w:tcPr>
                  <w:tcW w:w="908" w:type="dxa"/>
                  <w:tcBorders>
                    <w:tl2br w:val="nil"/>
                    <w:tr2bl w:val="nil"/>
                  </w:tcBorders>
                  <w:vAlign w:val="center"/>
                </w:tcPr>
                <w:p>
                  <w:pPr>
                    <w:pStyle w:val="32"/>
                    <w:bidi w:val="0"/>
                    <w:rPr>
                      <w:rFonts w:hint="default" w:ascii="Times New Roman" w:hAnsi="Times New Roman" w:cs="Times New Roman"/>
                      <w:lang w:val="en-US" w:eastAsia="zh-CN"/>
                    </w:rPr>
                  </w:pPr>
                  <w:r>
                    <w:rPr>
                      <w:rFonts w:hint="eastAsia" w:cs="Times New Roman"/>
                      <w:lang w:val="en-US" w:eastAsia="zh-CN"/>
                    </w:rPr>
                    <w:t>5</w:t>
                  </w:r>
                </w:p>
              </w:tc>
            </w:tr>
          </w:tbl>
          <w:p>
            <w:pPr>
              <w:adjustRightInd w:val="0"/>
              <w:snapToGrid w:val="0"/>
              <w:ind w:firstLine="480"/>
              <w:rPr>
                <w:b/>
                <w:bCs/>
                <w:color w:val="auto"/>
                <w:highlight w:val="lightGray"/>
              </w:rPr>
            </w:pPr>
            <w:r>
              <w:rPr>
                <w:rFonts w:hint="eastAsia"/>
                <w:b/>
                <w:bCs/>
                <w:color w:val="auto"/>
                <w:kern w:val="0"/>
                <w:szCs w:val="21"/>
                <w:lang w:val="en-US" w:eastAsia="zh-CN"/>
              </w:rPr>
              <w:t>3</w:t>
            </w:r>
            <w:r>
              <w:rPr>
                <w:b/>
                <w:bCs/>
                <w:color w:val="auto"/>
                <w:kern w:val="0"/>
                <w:szCs w:val="21"/>
              </w:rPr>
              <w:t>、地下水环境</w:t>
            </w:r>
          </w:p>
          <w:p>
            <w:pPr>
              <w:adjustRightInd w:val="0"/>
              <w:snapToGrid w:val="0"/>
              <w:ind w:firstLine="480"/>
              <w:rPr>
                <w:color w:val="auto"/>
                <w:kern w:val="0"/>
                <w:szCs w:val="21"/>
              </w:rPr>
            </w:pPr>
            <w:r>
              <w:rPr>
                <w:color w:val="auto"/>
              </w:rPr>
              <w:t>项目位于</w:t>
            </w:r>
            <w:r>
              <w:rPr>
                <w:rFonts w:hint="eastAsia"/>
                <w:color w:val="auto"/>
                <w:lang w:eastAsia="zh-CN"/>
              </w:rPr>
              <w:t>宝鸡市陈仓区阳平镇第六寨村</w:t>
            </w:r>
            <w:r>
              <w:rPr>
                <w:color w:val="auto"/>
              </w:rPr>
              <w:t>，</w:t>
            </w:r>
            <w:r>
              <w:rPr>
                <w:color w:val="auto"/>
                <w:kern w:val="0"/>
                <w:szCs w:val="21"/>
              </w:rPr>
              <w:t>厂界外500</w:t>
            </w:r>
            <w:r>
              <w:rPr>
                <w:rFonts w:hint="eastAsia"/>
                <w:color w:val="auto"/>
                <w:kern w:val="0"/>
                <w:szCs w:val="21"/>
              </w:rPr>
              <w:t>m</w:t>
            </w:r>
            <w:r>
              <w:rPr>
                <w:color w:val="auto"/>
                <w:kern w:val="0"/>
                <w:szCs w:val="21"/>
              </w:rPr>
              <w:t>范围内没有地下水集中式饮用水水源和热水、矿泉水、温泉等特殊地下水资源，无地下水环境保护目标。</w:t>
            </w:r>
          </w:p>
          <w:p>
            <w:pPr>
              <w:adjustRightInd w:val="0"/>
              <w:snapToGrid w:val="0"/>
              <w:ind w:firstLine="480"/>
              <w:rPr>
                <w:b/>
                <w:bCs/>
                <w:color w:val="auto"/>
                <w:kern w:val="0"/>
                <w:szCs w:val="21"/>
              </w:rPr>
            </w:pPr>
            <w:r>
              <w:rPr>
                <w:rFonts w:hint="eastAsia"/>
                <w:b/>
                <w:bCs/>
                <w:color w:val="auto"/>
                <w:kern w:val="0"/>
                <w:szCs w:val="21"/>
                <w:lang w:val="en-US" w:eastAsia="zh-CN"/>
              </w:rPr>
              <w:t>4</w:t>
            </w:r>
            <w:r>
              <w:rPr>
                <w:b/>
                <w:bCs/>
                <w:color w:val="auto"/>
                <w:kern w:val="0"/>
                <w:szCs w:val="21"/>
              </w:rPr>
              <w:t>、生态环境</w:t>
            </w:r>
          </w:p>
          <w:p>
            <w:pPr>
              <w:bidi w:val="0"/>
              <w:rPr>
                <w:rFonts w:hint="default" w:ascii="Times New Roman" w:hAnsi="Times New Roman" w:eastAsia="宋体" w:cs="Times New Roman"/>
                <w:color w:val="auto"/>
                <w:kern w:val="0"/>
                <w:sz w:val="24"/>
                <w:szCs w:val="24"/>
                <w:highlight w:val="none"/>
                <w:lang w:eastAsia="zh-CN"/>
              </w:rPr>
            </w:pPr>
            <w:r>
              <w:rPr>
                <w:color w:val="auto"/>
                <w:szCs w:val="21"/>
              </w:rPr>
              <w:t>项目位于</w:t>
            </w:r>
            <w:r>
              <w:rPr>
                <w:rFonts w:hint="eastAsia"/>
                <w:color w:val="auto"/>
                <w:lang w:eastAsia="zh-CN"/>
              </w:rPr>
              <w:t>宝鸡市陈仓区阳平镇第六寨村</w:t>
            </w:r>
            <w:r>
              <w:rPr>
                <w:rFonts w:hAnsi="宋体"/>
                <w:color w:val="auto"/>
                <w:szCs w:val="21"/>
              </w:rPr>
              <w:t>，</w:t>
            </w:r>
            <w:r>
              <w:rPr>
                <w:color w:val="auto"/>
                <w:szCs w:val="21"/>
              </w:rPr>
              <w:t>属于城市建成区。厂区周围植被主要以人工植被为主，不含有生态环境保护目标。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污染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物排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放控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制标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准</w:t>
            </w:r>
          </w:p>
        </w:tc>
        <w:tc>
          <w:tcPr>
            <w:tcW w:w="8462" w:type="dxa"/>
            <w:vAlign w:val="center"/>
          </w:tcPr>
          <w:p>
            <w:pPr>
              <w:bidi w:val="0"/>
              <w:rPr>
                <w:rFonts w:hint="default" w:ascii="Times New Roman" w:hAnsi="Times New Roman" w:eastAsia="宋体" w:cs="Times New Roman"/>
                <w:smallCaps w:val="0"/>
                <w:color w:val="auto"/>
                <w:spacing w:val="0"/>
                <w:w w:val="100"/>
                <w:position w:val="0"/>
                <w:sz w:val="24"/>
                <w:szCs w:val="24"/>
                <w:lang w:val="zh-CN" w:eastAsia="zh-CN" w:bidi="ar-SA"/>
              </w:rPr>
            </w:pPr>
            <w:r>
              <w:rPr>
                <w:rFonts w:hint="default" w:ascii="Times New Roman" w:hAnsi="Times New Roman" w:eastAsia="宋体" w:cs="Times New Roman"/>
                <w:b/>
                <w:bCs/>
                <w:color w:val="auto"/>
                <w:sz w:val="24"/>
                <w:szCs w:val="24"/>
              </w:rPr>
              <w:t>一、废气</w:t>
            </w:r>
          </w:p>
          <w:p>
            <w:pPr>
              <w:bidi w:val="0"/>
              <w:rPr>
                <w:rFonts w:hint="default" w:ascii="Times New Roman" w:hAnsi="Times New Roman" w:eastAsia="宋体" w:cs="Times New Roman"/>
                <w:smallCaps w:val="0"/>
                <w:color w:val="auto"/>
                <w:spacing w:val="0"/>
                <w:w w:val="100"/>
                <w:position w:val="0"/>
                <w:sz w:val="24"/>
                <w:szCs w:val="24"/>
                <w:lang w:val="en-US" w:eastAsia="zh-CN" w:bidi="ar-SA"/>
              </w:rPr>
            </w:pPr>
            <w:r>
              <w:rPr>
                <w:rFonts w:hint="default" w:ascii="Times New Roman" w:hAnsi="Times New Roman" w:eastAsia="宋体" w:cs="Times New Roman"/>
                <w:smallCaps w:val="0"/>
                <w:color w:val="auto"/>
                <w:spacing w:val="0"/>
                <w:w w:val="100"/>
                <w:position w:val="0"/>
                <w:sz w:val="24"/>
                <w:szCs w:val="24"/>
                <w:lang w:val="zh-CN" w:eastAsia="zh-CN" w:bidi="ar-SA"/>
              </w:rPr>
              <w:t>项目施工期废气执行《施工场界扬尘排放限值》（DB61/1078-2017）中相关标准；</w:t>
            </w:r>
            <w:r>
              <w:rPr>
                <w:rFonts w:hint="default" w:ascii="Times New Roman" w:hAnsi="Times New Roman" w:eastAsia="宋体" w:cs="Times New Roman"/>
                <w:color w:val="auto"/>
                <w:highlight w:val="none"/>
              </w:rPr>
              <w:t>运营期锅炉废气</w:t>
            </w:r>
            <w:r>
              <w:rPr>
                <w:rFonts w:hint="default" w:ascii="Times New Roman" w:hAnsi="Times New Roman" w:eastAsia="宋体" w:cs="Times New Roman"/>
                <w:color w:val="auto"/>
                <w:highlight w:val="none"/>
                <w:lang w:val="en-US" w:eastAsia="zh-CN"/>
              </w:rPr>
              <w:t>中颗粒物</w:t>
            </w:r>
            <w:r>
              <w:rPr>
                <w:rFonts w:hint="eastAsia" w:ascii="Times New Roman" w:hAnsi="Times New Roman" w:eastAsia="宋体" w:cs="Times New Roman"/>
                <w:color w:val="auto"/>
                <w:highlight w:val="none"/>
                <w:lang w:val="en-US" w:eastAsia="zh-CN"/>
              </w:rPr>
              <w:t>、氮氧化物</w:t>
            </w:r>
            <w:r>
              <w:rPr>
                <w:rFonts w:hint="default" w:ascii="Times New Roman" w:hAnsi="Times New Roman" w:eastAsia="宋体" w:cs="Times New Roman"/>
                <w:color w:val="auto"/>
                <w:highlight w:val="none"/>
                <w:lang w:val="en-US" w:eastAsia="zh-CN"/>
              </w:rPr>
              <w:t>和二氧化硫</w:t>
            </w:r>
            <w:r>
              <w:rPr>
                <w:rFonts w:hint="default" w:ascii="Times New Roman" w:hAnsi="Times New Roman" w:eastAsia="宋体" w:cs="Times New Roman"/>
                <w:color w:val="auto"/>
                <w:highlight w:val="none"/>
              </w:rPr>
              <w:t>排放执行《锅炉大气污染物排放标准》（DB61/1226-2018）表3中相关限值要求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烟气林格曼黑度执行《锅炉大气污染物排放标准》（GB13271-2014）中限值。</w:t>
            </w:r>
            <w:r>
              <w:rPr>
                <w:rFonts w:hint="eastAsia"/>
                <w:lang w:val="en-US" w:eastAsia="zh-CN"/>
              </w:rPr>
              <w:t>热油锅天然气燃烧废气</w:t>
            </w:r>
            <w:r>
              <w:rPr>
                <w:rFonts w:hint="default" w:ascii="Times New Roman" w:hAnsi="Times New Roman" w:eastAsia="宋体" w:cs="Times New Roman"/>
                <w:color w:val="auto"/>
                <w:highlight w:val="none"/>
                <w:lang w:val="en-US" w:eastAsia="zh-CN"/>
              </w:rPr>
              <w:t>中颗粒物</w:t>
            </w:r>
            <w:r>
              <w:rPr>
                <w:rFonts w:hint="eastAsia" w:ascii="Times New Roman" w:hAnsi="Times New Roman" w:eastAsia="宋体" w:cs="Times New Roman"/>
                <w:color w:val="auto"/>
                <w:highlight w:val="none"/>
                <w:lang w:val="en-US" w:eastAsia="zh-CN"/>
              </w:rPr>
              <w:t>、氮氧化物</w:t>
            </w:r>
            <w:r>
              <w:rPr>
                <w:rFonts w:hint="default" w:ascii="Times New Roman" w:hAnsi="Times New Roman" w:eastAsia="宋体" w:cs="Times New Roman"/>
                <w:color w:val="auto"/>
                <w:highlight w:val="none"/>
                <w:lang w:val="en-US" w:eastAsia="zh-CN"/>
              </w:rPr>
              <w:t>和二氧化硫</w:t>
            </w:r>
            <w:r>
              <w:rPr>
                <w:rFonts w:hint="default" w:ascii="Times New Roman" w:hAnsi="Times New Roman" w:eastAsia="宋体" w:cs="Times New Roman"/>
                <w:color w:val="auto"/>
                <w:highlight w:val="none"/>
              </w:rPr>
              <w:t>排放执行</w:t>
            </w:r>
            <w:r>
              <w:rPr>
                <w:rFonts w:hint="default"/>
                <w:color w:val="auto"/>
                <w:highlight w:val="none"/>
                <w:lang w:val="zh-CN" w:eastAsia="zh-CN"/>
              </w:rPr>
              <w:t>《大气污染物综合排放标准》（GB16297-1996）的限值</w:t>
            </w:r>
            <w:r>
              <w:rPr>
                <w:rFonts w:hint="eastAsia"/>
                <w:color w:val="auto"/>
                <w:highlight w:val="none"/>
                <w:lang w:val="zh-CN" w:eastAsia="zh-CN"/>
              </w:rPr>
              <w:t>。</w:t>
            </w:r>
            <w:r>
              <w:rPr>
                <w:rFonts w:hint="eastAsia" w:ascii="Times New Roman" w:hAnsi="Times New Roman" w:eastAsia="宋体" w:cs="Times New Roman"/>
                <w:smallCaps w:val="0"/>
                <w:color w:val="auto"/>
                <w:spacing w:val="0"/>
                <w:w w:val="100"/>
                <w:position w:val="0"/>
                <w:sz w:val="24"/>
                <w:szCs w:val="24"/>
                <w:lang w:val="en-US" w:eastAsia="zh-CN" w:bidi="ar-SA"/>
              </w:rPr>
              <w:t>油烟</w:t>
            </w:r>
            <w:r>
              <w:rPr>
                <w:rFonts w:hint="eastAsia" w:cs="Times New Roman"/>
                <w:smallCaps w:val="0"/>
                <w:color w:val="auto"/>
                <w:spacing w:val="0"/>
                <w:w w:val="100"/>
                <w:position w:val="0"/>
                <w:sz w:val="24"/>
                <w:szCs w:val="24"/>
                <w:lang w:val="en-US" w:eastAsia="zh-CN" w:bidi="ar-SA"/>
              </w:rPr>
              <w:t>废气</w:t>
            </w:r>
            <w:r>
              <w:rPr>
                <w:rFonts w:hint="eastAsia" w:ascii="Times New Roman" w:hAnsi="Times New Roman" w:eastAsia="宋体" w:cs="Times New Roman"/>
                <w:smallCaps w:val="0"/>
                <w:color w:val="auto"/>
                <w:spacing w:val="0"/>
                <w:w w:val="100"/>
                <w:position w:val="0"/>
                <w:sz w:val="24"/>
                <w:szCs w:val="24"/>
                <w:lang w:val="en-US" w:eastAsia="zh-CN" w:bidi="ar-SA"/>
              </w:rPr>
              <w:t>执行</w:t>
            </w:r>
            <w:r>
              <w:rPr>
                <w:rFonts w:hint="default" w:ascii="Times New Roman" w:hAnsi="Times New Roman" w:eastAsia="宋体" w:cs="Times New Roman"/>
                <w:smallCaps w:val="0"/>
                <w:color w:val="auto"/>
                <w:spacing w:val="0"/>
                <w:w w:val="100"/>
                <w:position w:val="0"/>
                <w:sz w:val="24"/>
                <w:szCs w:val="24"/>
                <w:lang w:val="zh-CN" w:eastAsia="zh-CN" w:bidi="ar-SA"/>
              </w:rPr>
              <w:t>《饮食业油烟排放标准》（试行）（GB18483-2001）</w:t>
            </w:r>
            <w:r>
              <w:rPr>
                <w:rFonts w:hint="eastAsia" w:ascii="Times New Roman" w:hAnsi="Times New Roman" w:eastAsia="宋体" w:cs="Times New Roman"/>
                <w:smallCaps w:val="0"/>
                <w:color w:val="auto"/>
                <w:spacing w:val="0"/>
                <w:w w:val="100"/>
                <w:position w:val="0"/>
                <w:sz w:val="24"/>
                <w:szCs w:val="24"/>
                <w:lang w:val="en-US" w:eastAsia="zh-CN" w:bidi="ar-SA"/>
              </w:rPr>
              <w:t>标准限值。</w:t>
            </w:r>
            <w:r>
              <w:rPr>
                <w:rFonts w:hint="default" w:ascii="Times New Roman" w:hAnsi="Times New Roman" w:eastAsia="宋体" w:cs="Times New Roman"/>
                <w:smallCaps w:val="0"/>
                <w:color w:val="auto"/>
                <w:spacing w:val="0"/>
                <w:w w:val="100"/>
                <w:position w:val="0"/>
                <w:sz w:val="24"/>
                <w:szCs w:val="24"/>
                <w:lang w:val="en-US" w:eastAsia="zh-CN" w:bidi="ar-SA"/>
              </w:rPr>
              <w:t>标准限值具体详见下表。</w:t>
            </w:r>
          </w:p>
          <w:p>
            <w:pPr>
              <w:pStyle w:val="76"/>
              <w:bidi w:val="0"/>
              <w:rPr>
                <w:rFonts w:hint="default"/>
                <w:color w:val="auto"/>
              </w:rPr>
            </w:pPr>
            <w:r>
              <w:rPr>
                <w:rFonts w:hint="default"/>
                <w:color w:val="auto"/>
              </w:rPr>
              <w:t>表</w:t>
            </w:r>
            <w:r>
              <w:rPr>
                <w:rFonts w:hint="eastAsia"/>
                <w:color w:val="auto"/>
                <w:lang w:val="en-US" w:eastAsia="zh-CN"/>
              </w:rPr>
              <w:t>3-7</w:t>
            </w:r>
            <w:r>
              <w:rPr>
                <w:rFonts w:hint="default"/>
                <w:color w:val="auto"/>
              </w:rPr>
              <w:t xml:space="preserve">   污染物排放标准明细表</w:t>
            </w:r>
          </w:p>
          <w:tbl>
            <w:tblPr>
              <w:tblStyle w:val="30"/>
              <w:tblW w:w="8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2278"/>
              <w:gridCol w:w="1227"/>
              <w:gridCol w:w="941"/>
              <w:gridCol w:w="2795"/>
              <w:gridCol w:w="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标准名称及级（类）别</w:t>
                  </w:r>
                </w:p>
              </w:tc>
              <w:tc>
                <w:tcPr>
                  <w:tcW w:w="122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污染因子</w:t>
                  </w:r>
                </w:p>
              </w:tc>
              <w:tc>
                <w:tcPr>
                  <w:tcW w:w="465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12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rPr>
                  </w:pPr>
                </w:p>
              </w:tc>
              <w:tc>
                <w:tcPr>
                  <w:tcW w:w="373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类别</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4"/>
                      <w:sz w:val="21"/>
                      <w:szCs w:val="21"/>
                    </w:rPr>
                    <w:t>《施工场界扬尘排放限值》（DB61/1078-2017）</w:t>
                  </w:r>
                </w:p>
              </w:tc>
              <w:tc>
                <w:tcPr>
                  <w:tcW w:w="122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总悬浮颗粒物</w:t>
                  </w:r>
                </w:p>
              </w:tc>
              <w:tc>
                <w:tcPr>
                  <w:tcW w:w="373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kern w:val="24"/>
                      <w:sz w:val="21"/>
                      <w:szCs w:val="21"/>
                    </w:rPr>
                    <w:t>基础、主体结构及装饰工程</w:t>
                  </w:r>
                  <w:r>
                    <w:rPr>
                      <w:rFonts w:hint="default" w:ascii="Times New Roman" w:hAnsi="Times New Roman" w:eastAsia="宋体" w:cs="Times New Roman"/>
                      <w:color w:val="auto"/>
                      <w:spacing w:val="0"/>
                      <w:kern w:val="24"/>
                      <w:position w:val="0"/>
                      <w:sz w:val="21"/>
                      <w:szCs w:val="21"/>
                    </w:rPr>
                    <w:t>mg/m</w:t>
                  </w:r>
                  <w:r>
                    <w:rPr>
                      <w:rFonts w:hint="default" w:ascii="Times New Roman" w:hAnsi="Times New Roman" w:eastAsia="宋体" w:cs="Times New Roman"/>
                      <w:color w:val="auto"/>
                      <w:spacing w:val="0"/>
                      <w:kern w:val="24"/>
                      <w:position w:val="0"/>
                      <w:sz w:val="21"/>
                      <w:szCs w:val="21"/>
                      <w:vertAlign w:val="superscript"/>
                    </w:rPr>
                    <w:t>3</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sz w:val="21"/>
                      <w:szCs w:val="21"/>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sz w:val="21"/>
                      <w:szCs w:val="21"/>
                      <w:highlight w:val="none"/>
                    </w:rPr>
                    <w:t>《锅炉大气污染物排放标准》（DB61/1226-2018）</w:t>
                  </w:r>
                </w:p>
              </w:tc>
              <w:tc>
                <w:tcPr>
                  <w:tcW w:w="12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eastAsia" w:cs="Times New Roman"/>
                      <w:color w:val="auto"/>
                      <w:kern w:val="24"/>
                      <w:sz w:val="21"/>
                      <w:szCs w:val="21"/>
                      <w:lang w:val="en-US" w:eastAsia="zh-CN"/>
                    </w:rPr>
                    <w:t>颗粒物</w:t>
                  </w:r>
                </w:p>
              </w:tc>
              <w:tc>
                <w:tcPr>
                  <w:tcW w:w="373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rPr>
                    <w:t>排放浓度限值</w:t>
                  </w:r>
                  <w:r>
                    <w:rPr>
                      <w:rFonts w:hint="default" w:ascii="Times New Roman" w:hAnsi="Times New Roman" w:eastAsia="宋体" w:cs="Times New Roman"/>
                      <w:color w:val="auto"/>
                      <w:spacing w:val="0"/>
                      <w:kern w:val="24"/>
                      <w:position w:val="0"/>
                      <w:sz w:val="21"/>
                      <w:szCs w:val="21"/>
                    </w:rPr>
                    <w:t>mg/m</w:t>
                  </w:r>
                  <w:r>
                    <w:rPr>
                      <w:rFonts w:hint="default" w:ascii="Times New Roman" w:hAnsi="Times New Roman" w:eastAsia="宋体" w:cs="Times New Roman"/>
                      <w:color w:val="auto"/>
                      <w:spacing w:val="0"/>
                      <w:kern w:val="24"/>
                      <w:position w:val="0"/>
                      <w:sz w:val="21"/>
                      <w:szCs w:val="21"/>
                      <w:vertAlign w:val="superscript"/>
                    </w:rPr>
                    <w:t>3</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eastAsia" w:cs="Times New Roman"/>
                      <w:color w:val="auto"/>
                      <w:kern w:val="24"/>
                      <w:sz w:val="21"/>
                      <w:szCs w:val="21"/>
                      <w:lang w:val="en-US" w:eastAsia="zh-CN"/>
                    </w:rPr>
                    <w:t>二氧化硫</w:t>
                  </w:r>
                </w:p>
              </w:tc>
              <w:tc>
                <w:tcPr>
                  <w:tcW w:w="373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rPr>
                    <w:t>排放浓度限值</w:t>
                  </w:r>
                  <w:r>
                    <w:rPr>
                      <w:rFonts w:hint="default" w:ascii="Times New Roman" w:hAnsi="Times New Roman" w:eastAsia="宋体" w:cs="Times New Roman"/>
                      <w:color w:val="auto"/>
                      <w:spacing w:val="0"/>
                      <w:kern w:val="24"/>
                      <w:position w:val="0"/>
                      <w:sz w:val="21"/>
                      <w:szCs w:val="21"/>
                    </w:rPr>
                    <w:t>mg/m</w:t>
                  </w:r>
                  <w:r>
                    <w:rPr>
                      <w:rFonts w:hint="default" w:ascii="Times New Roman" w:hAnsi="Times New Roman" w:eastAsia="宋体" w:cs="Times New Roman"/>
                      <w:color w:val="auto"/>
                      <w:spacing w:val="0"/>
                      <w:kern w:val="24"/>
                      <w:position w:val="0"/>
                      <w:sz w:val="21"/>
                      <w:szCs w:val="21"/>
                      <w:vertAlign w:val="superscript"/>
                    </w:rPr>
                    <w:t>3</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4"/>
                      <w:sz w:val="21"/>
                      <w:szCs w:val="21"/>
                      <w:lang w:eastAsia="zh-CN"/>
                    </w:rPr>
                  </w:pPr>
                </w:p>
              </w:tc>
              <w:tc>
                <w:tcPr>
                  <w:tcW w:w="12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eastAsia" w:cs="Times New Roman"/>
                      <w:color w:val="auto"/>
                      <w:kern w:val="24"/>
                      <w:sz w:val="21"/>
                      <w:szCs w:val="21"/>
                      <w:lang w:val="en-US" w:eastAsia="zh-CN"/>
                    </w:rPr>
                    <w:t>氮氧化物</w:t>
                  </w:r>
                </w:p>
              </w:tc>
              <w:tc>
                <w:tcPr>
                  <w:tcW w:w="373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rPr>
                    <w:t>排放浓度限值</w:t>
                  </w:r>
                  <w:r>
                    <w:rPr>
                      <w:rFonts w:hint="default" w:ascii="Times New Roman" w:hAnsi="Times New Roman" w:eastAsia="宋体" w:cs="Times New Roman"/>
                      <w:color w:val="auto"/>
                      <w:spacing w:val="0"/>
                      <w:kern w:val="24"/>
                      <w:position w:val="0"/>
                      <w:sz w:val="21"/>
                      <w:szCs w:val="21"/>
                    </w:rPr>
                    <w:t>mg/m</w:t>
                  </w:r>
                  <w:r>
                    <w:rPr>
                      <w:rFonts w:hint="default" w:ascii="Times New Roman" w:hAnsi="Times New Roman" w:eastAsia="宋体" w:cs="Times New Roman"/>
                      <w:color w:val="auto"/>
                      <w:spacing w:val="0"/>
                      <w:kern w:val="24"/>
                      <w:position w:val="0"/>
                      <w:sz w:val="21"/>
                      <w:szCs w:val="21"/>
                      <w:vertAlign w:val="superscript"/>
                    </w:rPr>
                    <w:t>3</w:t>
                  </w:r>
                </w:p>
              </w:tc>
              <w:tc>
                <w:tcPr>
                  <w:tcW w:w="9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4"/>
                      <w:sz w:val="21"/>
                      <w:szCs w:val="21"/>
                      <w:lang w:eastAsia="zh-CN"/>
                    </w:rPr>
                  </w:pPr>
                  <w:r>
                    <w:rPr>
                      <w:rFonts w:hint="default" w:ascii="Times New Roman" w:hAnsi="Times New Roman" w:eastAsia="宋体" w:cs="Times New Roman"/>
                      <w:color w:val="auto"/>
                      <w:sz w:val="21"/>
                      <w:szCs w:val="21"/>
                      <w:highlight w:val="none"/>
                    </w:rPr>
                    <w:t>《锅炉大气污染物排放标准》（GB13271-2014）</w:t>
                  </w:r>
                </w:p>
              </w:tc>
              <w:tc>
                <w:tcPr>
                  <w:tcW w:w="12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cs="Times New Roman"/>
                      <w:color w:val="auto"/>
                      <w:kern w:val="24"/>
                      <w:sz w:val="21"/>
                      <w:szCs w:val="21"/>
                      <w:lang w:val="en-US" w:eastAsia="zh-CN"/>
                    </w:rPr>
                  </w:pPr>
                  <w:r>
                    <w:rPr>
                      <w:rFonts w:hint="eastAsia" w:cs="Times New Roman"/>
                      <w:color w:val="auto"/>
                      <w:kern w:val="24"/>
                      <w:sz w:val="21"/>
                      <w:szCs w:val="21"/>
                      <w:lang w:val="en-US" w:eastAsia="zh-CN"/>
                    </w:rPr>
                    <w:t>林格曼黑度</w:t>
                  </w:r>
                </w:p>
              </w:tc>
              <w:tc>
                <w:tcPr>
                  <w:tcW w:w="373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eastAsia" w:cs="Times New Roman"/>
                      <w:color w:val="auto"/>
                      <w:kern w:val="24"/>
                      <w:sz w:val="21"/>
                      <w:szCs w:val="21"/>
                      <w:lang w:val="en-US" w:eastAsia="zh-CN"/>
                    </w:rPr>
                    <w:t>级</w:t>
                  </w:r>
                </w:p>
              </w:tc>
              <w:tc>
                <w:tcPr>
                  <w:tcW w:w="9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《大气污染物综合排放标准》（GB16297-1996）</w:t>
                  </w:r>
                </w:p>
              </w:tc>
              <w:tc>
                <w:tcPr>
                  <w:tcW w:w="12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373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cs="Times New Roman"/>
                      <w:color w:val="auto"/>
                      <w:kern w:val="24"/>
                      <w:sz w:val="21"/>
                      <w:szCs w:val="21"/>
                      <w:lang w:val="en-US" w:eastAsia="zh-CN"/>
                    </w:rPr>
                  </w:pPr>
                  <w:r>
                    <w:rPr>
                      <w:rFonts w:hint="default" w:ascii="Times New Roman" w:hAnsi="Times New Roman" w:eastAsia="宋体" w:cs="Times New Roman"/>
                      <w:color w:val="auto"/>
                      <w:kern w:val="24"/>
                      <w:sz w:val="21"/>
                      <w:szCs w:val="21"/>
                      <w:highlight w:val="none"/>
                      <w:lang w:val="en-US" w:eastAsia="zh-CN" w:bidi="ar-SA"/>
                    </w:rPr>
                    <w:t>周界外浓度最高点mg/m³</w:t>
                  </w:r>
                </w:p>
              </w:tc>
              <w:tc>
                <w:tcPr>
                  <w:tcW w:w="9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bidi="ar-SA"/>
                    </w:rPr>
                  </w:pPr>
                  <w:r>
                    <w:rPr>
                      <w:rFonts w:hint="eastAsia" w:cs="Times New Roman"/>
                      <w:color w:val="auto"/>
                      <w:kern w:val="24"/>
                      <w:sz w:val="21"/>
                      <w:szCs w:val="21"/>
                      <w:lang w:val="en-US" w:eastAsia="zh-CN"/>
                    </w:rPr>
                    <w:t>二氧化硫</w:t>
                  </w:r>
                </w:p>
              </w:tc>
              <w:tc>
                <w:tcPr>
                  <w:tcW w:w="373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cs="Times New Roman"/>
                      <w:color w:val="auto"/>
                      <w:kern w:val="24"/>
                      <w:sz w:val="21"/>
                      <w:szCs w:val="21"/>
                      <w:lang w:val="en-US" w:eastAsia="zh-CN"/>
                    </w:rPr>
                  </w:pPr>
                  <w:r>
                    <w:rPr>
                      <w:rFonts w:hint="default" w:ascii="Times New Roman" w:hAnsi="Times New Roman" w:eastAsia="宋体" w:cs="Times New Roman"/>
                      <w:color w:val="auto"/>
                      <w:kern w:val="24"/>
                      <w:sz w:val="21"/>
                      <w:szCs w:val="21"/>
                      <w:highlight w:val="none"/>
                      <w:lang w:val="en-US" w:eastAsia="zh-CN" w:bidi="ar-SA"/>
                    </w:rPr>
                    <w:t>周界外浓度最高点mg/m³</w:t>
                  </w:r>
                </w:p>
              </w:tc>
              <w:tc>
                <w:tcPr>
                  <w:tcW w:w="9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bidi="ar-SA"/>
                    </w:rPr>
                  </w:pPr>
                  <w:r>
                    <w:rPr>
                      <w:rFonts w:hint="eastAsia" w:cs="Times New Roman"/>
                      <w:color w:val="auto"/>
                      <w:kern w:val="24"/>
                      <w:sz w:val="21"/>
                      <w:szCs w:val="21"/>
                      <w:lang w:val="en-US" w:eastAsia="zh-CN"/>
                    </w:rPr>
                    <w:t>氮氧化物</w:t>
                  </w:r>
                </w:p>
              </w:tc>
              <w:tc>
                <w:tcPr>
                  <w:tcW w:w="373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cs="Times New Roman"/>
                      <w:color w:val="auto"/>
                      <w:kern w:val="24"/>
                      <w:sz w:val="21"/>
                      <w:szCs w:val="21"/>
                      <w:lang w:val="en-US" w:eastAsia="zh-CN"/>
                    </w:rPr>
                  </w:pPr>
                  <w:r>
                    <w:rPr>
                      <w:rFonts w:hint="default" w:ascii="Times New Roman" w:hAnsi="Times New Roman" w:eastAsia="宋体" w:cs="Times New Roman"/>
                      <w:color w:val="auto"/>
                      <w:kern w:val="24"/>
                      <w:sz w:val="21"/>
                      <w:szCs w:val="21"/>
                      <w:highlight w:val="none"/>
                      <w:lang w:val="en-US" w:eastAsia="zh-CN" w:bidi="ar-SA"/>
                    </w:rPr>
                    <w:t>周界外浓度最高点mg/m³</w:t>
                  </w:r>
                </w:p>
              </w:tc>
              <w:tc>
                <w:tcPr>
                  <w:tcW w:w="92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《饮食业油烟排放标准》（试行）（GB18483-2001）</w:t>
                  </w:r>
                </w:p>
              </w:tc>
              <w:tc>
                <w:tcPr>
                  <w:tcW w:w="122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eastAsia" w:ascii="Times New Roman" w:hAnsi="Times New Roman" w:eastAsia="宋体" w:cs="Times New Roman"/>
                      <w:color w:val="auto"/>
                      <w:kern w:val="24"/>
                      <w:sz w:val="21"/>
                      <w:szCs w:val="21"/>
                      <w:lang w:val="en-US" w:eastAsia="zh-CN"/>
                    </w:rPr>
                    <w:t>油烟</w:t>
                  </w:r>
                </w:p>
              </w:tc>
              <w:tc>
                <w:tcPr>
                  <w:tcW w:w="94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eastAsia" w:ascii="Times New Roman" w:hAnsi="Times New Roman" w:eastAsia="宋体" w:cs="Times New Roman"/>
                      <w:color w:val="auto"/>
                      <w:kern w:val="24"/>
                      <w:sz w:val="21"/>
                      <w:szCs w:val="21"/>
                      <w:lang w:val="en-US" w:eastAsia="zh-CN"/>
                    </w:rPr>
                    <w:t>有组织</w:t>
                  </w:r>
                </w:p>
              </w:tc>
              <w:tc>
                <w:tcPr>
                  <w:tcW w:w="2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rPr>
                  </w:pPr>
                  <w:r>
                    <w:rPr>
                      <w:rFonts w:hint="eastAsia" w:ascii="Times New Roman" w:hAnsi="Times New Roman" w:cs="Times New Roman"/>
                      <w:color w:val="auto"/>
                      <w:sz w:val="21"/>
                      <w:szCs w:val="21"/>
                      <w:lang w:val="en-US" w:eastAsia="zh-CN"/>
                    </w:rPr>
                    <w:t>最高允许排放浓度mg/m</w:t>
                  </w:r>
                  <w:r>
                    <w:rPr>
                      <w:rFonts w:hint="eastAsia" w:ascii="Times New Roman" w:hAnsi="Times New Roman" w:cs="Times New Roman"/>
                      <w:color w:val="auto"/>
                      <w:sz w:val="21"/>
                      <w:szCs w:val="21"/>
                      <w:vertAlign w:val="superscript"/>
                      <w:lang w:val="en-US" w:eastAsia="zh-CN"/>
                    </w:rPr>
                    <w:t>3</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397" w:hRule="atLeast"/>
                <w:jc w:val="center"/>
              </w:trPr>
              <w:tc>
                <w:tcPr>
                  <w:tcW w:w="22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rPr>
                  </w:pPr>
                </w:p>
              </w:tc>
              <w:tc>
                <w:tcPr>
                  <w:tcW w:w="12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rPr>
                  </w:pPr>
                </w:p>
              </w:tc>
              <w:tc>
                <w:tcPr>
                  <w:tcW w:w="9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rPr>
                  </w:pPr>
                </w:p>
              </w:tc>
              <w:tc>
                <w:tcPr>
                  <w:tcW w:w="2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eastAsia" w:cs="Times New Roman"/>
                      <w:color w:val="auto"/>
                      <w:sz w:val="21"/>
                      <w:szCs w:val="21"/>
                      <w:lang w:val="en-US" w:eastAsia="zh-CN"/>
                    </w:rPr>
                    <w:t>大</w:t>
                  </w:r>
                  <w:r>
                    <w:rPr>
                      <w:rFonts w:hint="eastAsia" w:ascii="Times New Roman" w:hAnsi="Times New Roman" w:cs="Times New Roman"/>
                      <w:color w:val="auto"/>
                      <w:sz w:val="21"/>
                      <w:szCs w:val="21"/>
                      <w:lang w:val="en-US" w:eastAsia="zh-CN"/>
                    </w:rPr>
                    <w:t>型净化设施最低去除率%</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5</w:t>
                  </w:r>
                </w:p>
              </w:tc>
            </w:tr>
          </w:tbl>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Chars="0" w:right="0" w:rightChars="0" w:firstLine="482" w:firstLineChars="20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rPr>
              <w:t>、</w:t>
            </w:r>
            <w:r>
              <w:rPr>
                <w:rFonts w:hint="default" w:ascii="Times New Roman" w:hAnsi="Times New Roman" w:cs="Times New Roman"/>
                <w:b/>
                <w:bCs/>
                <w:color w:val="auto"/>
                <w:sz w:val="24"/>
                <w:highlight w:val="none"/>
                <w:lang w:val="en-US" w:eastAsia="zh-CN"/>
              </w:rPr>
              <w:t>废水</w:t>
            </w:r>
          </w:p>
          <w:p>
            <w:pPr>
              <w:ind w:firstLine="480"/>
              <w:rPr>
                <w:rFonts w:hint="eastAsia"/>
                <w:color w:val="auto"/>
              </w:rPr>
            </w:pPr>
            <w:r>
              <w:rPr>
                <w:rFonts w:hint="eastAsia"/>
                <w:color w:val="auto"/>
                <w:sz w:val="24"/>
                <w:lang w:val="en-US" w:eastAsia="zh-CN"/>
              </w:rPr>
              <w:t>项目生产废水由污水罐收集后</w:t>
            </w:r>
            <w:r>
              <w:rPr>
                <w:rFonts w:hint="eastAsia"/>
                <w:color w:val="auto"/>
                <w:lang w:val="en-US" w:eastAsia="zh-CN"/>
              </w:rPr>
              <w:t>拉运至岐山大源污水处理厂</w:t>
            </w:r>
            <w:r>
              <w:rPr>
                <w:color w:val="auto"/>
                <w:kern w:val="0"/>
                <w:lang w:bidi="ar"/>
              </w:rPr>
              <w:t>。</w:t>
            </w:r>
            <w:r>
              <w:rPr>
                <w:rFonts w:hint="eastAsia"/>
                <w:color w:val="auto"/>
              </w:rPr>
              <w:t>执行《污水综合排放标准》</w:t>
            </w:r>
            <w:r>
              <w:rPr>
                <w:rFonts w:hint="eastAsia"/>
                <w:color w:val="auto"/>
                <w:lang w:eastAsia="zh-CN"/>
              </w:rPr>
              <w:t>（</w:t>
            </w:r>
            <w:r>
              <w:rPr>
                <w:color w:val="auto"/>
              </w:rPr>
              <w:t>GB8978-1996</w:t>
            </w:r>
            <w:r>
              <w:rPr>
                <w:rFonts w:hint="eastAsia"/>
                <w:color w:val="auto"/>
                <w:lang w:eastAsia="zh-CN"/>
              </w:rPr>
              <w:t>）</w:t>
            </w:r>
            <w:r>
              <w:rPr>
                <w:rFonts w:hint="eastAsia"/>
                <w:color w:val="auto"/>
              </w:rPr>
              <w:t>表4中三级标准及《污水排入城镇下水道水质标准》（</w:t>
            </w:r>
            <w:r>
              <w:rPr>
                <w:color w:val="auto"/>
              </w:rPr>
              <w:t>GB/T 31962-2015</w:t>
            </w:r>
            <w:r>
              <w:rPr>
                <w:rFonts w:hint="eastAsia"/>
                <w:color w:val="auto"/>
              </w:rPr>
              <w:t>）</w:t>
            </w:r>
            <w:r>
              <w:rPr>
                <w:color w:val="auto"/>
              </w:rPr>
              <w:t>B</w:t>
            </w:r>
            <w:r>
              <w:rPr>
                <w:rFonts w:hint="eastAsia"/>
                <w:color w:val="auto"/>
              </w:rPr>
              <w:t>级标准，具体标准详见</w:t>
            </w:r>
            <w:r>
              <w:rPr>
                <w:rFonts w:hint="eastAsia"/>
                <w:color w:val="auto"/>
                <w:lang w:val="en-US" w:eastAsia="zh-CN"/>
              </w:rPr>
              <w:t>下</w:t>
            </w:r>
            <w:r>
              <w:rPr>
                <w:rFonts w:hint="eastAsia"/>
                <w:color w:val="auto"/>
              </w:rPr>
              <w:t>表。</w:t>
            </w:r>
          </w:p>
          <w:p>
            <w:pPr>
              <w:pStyle w:val="81"/>
              <w:rPr>
                <w:rFonts w:hint="default" w:eastAsia="宋体"/>
                <w:color w:val="auto"/>
                <w:lang w:val="en-US" w:eastAsia="zh-CN"/>
              </w:rPr>
            </w:pPr>
            <w:r>
              <w:rPr>
                <w:rFonts w:hint="eastAsia"/>
                <w:color w:val="auto"/>
              </w:rPr>
              <w:t>表</w:t>
            </w:r>
            <w:r>
              <w:rPr>
                <w:color w:val="auto"/>
              </w:rPr>
              <w:t>3-</w:t>
            </w:r>
            <w:r>
              <w:rPr>
                <w:rFonts w:hint="eastAsia"/>
                <w:color w:val="auto"/>
                <w:lang w:val="en-US" w:eastAsia="zh-CN"/>
              </w:rPr>
              <w:t>8</w:t>
            </w:r>
            <w:r>
              <w:rPr>
                <w:rFonts w:hint="eastAsia"/>
                <w:color w:val="auto"/>
              </w:rPr>
              <w:t xml:space="preserve">  </w:t>
            </w:r>
            <w:r>
              <w:rPr>
                <w:color w:val="auto"/>
              </w:rPr>
              <w:t xml:space="preserve"> </w:t>
            </w:r>
            <w:r>
              <w:rPr>
                <w:rFonts w:hint="eastAsia"/>
                <w:color w:val="auto"/>
              </w:rPr>
              <w:t>运营期废水执行标准</w:t>
            </w:r>
            <w:r>
              <w:rPr>
                <w:rFonts w:hint="eastAsia"/>
                <w:color w:val="auto"/>
                <w:lang w:val="en-US" w:eastAsia="zh-CN"/>
              </w:rPr>
              <w:t xml:space="preserve">  单位：mg/L</w:t>
            </w:r>
          </w:p>
          <w:tbl>
            <w:tblPr>
              <w:tblStyle w:val="30"/>
              <w:tblW w:w="831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76"/>
              <w:gridCol w:w="697"/>
              <w:gridCol w:w="718"/>
              <w:gridCol w:w="766"/>
              <w:gridCol w:w="684"/>
              <w:gridCol w:w="703"/>
              <w:gridCol w:w="792"/>
              <w:gridCol w:w="6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76" w:type="dxa"/>
                  <w:vAlign w:val="center"/>
                </w:tcPr>
                <w:p>
                  <w:pPr>
                    <w:pStyle w:val="32"/>
                    <w:rPr>
                      <w:rFonts w:hint="eastAsia"/>
                      <w:b w:val="0"/>
                      <w:bCs w:val="0"/>
                      <w:color w:val="auto"/>
                    </w:rPr>
                  </w:pPr>
                  <w:r>
                    <w:rPr>
                      <w:rFonts w:hint="eastAsia"/>
                      <w:b w:val="0"/>
                      <w:bCs w:val="0"/>
                      <w:color w:val="auto"/>
                    </w:rPr>
                    <w:t>污染物</w:t>
                  </w:r>
                </w:p>
              </w:tc>
              <w:tc>
                <w:tcPr>
                  <w:tcW w:w="697" w:type="dxa"/>
                  <w:vAlign w:val="center"/>
                </w:tcPr>
                <w:p>
                  <w:pPr>
                    <w:pStyle w:val="32"/>
                    <w:rPr>
                      <w:b w:val="0"/>
                      <w:bCs w:val="0"/>
                      <w:color w:val="auto"/>
                    </w:rPr>
                  </w:pPr>
                  <w:r>
                    <w:rPr>
                      <w:b w:val="0"/>
                      <w:bCs w:val="0"/>
                      <w:color w:val="auto"/>
                    </w:rPr>
                    <w:t>pH</w:t>
                  </w:r>
                  <w:r>
                    <w:rPr>
                      <w:rFonts w:hint="eastAsia"/>
                      <w:b w:val="0"/>
                      <w:bCs w:val="0"/>
                      <w:color w:val="auto"/>
                    </w:rPr>
                    <w:t>值</w:t>
                  </w:r>
                </w:p>
              </w:tc>
              <w:tc>
                <w:tcPr>
                  <w:tcW w:w="718" w:type="dxa"/>
                  <w:vAlign w:val="center"/>
                </w:tcPr>
                <w:p>
                  <w:pPr>
                    <w:pStyle w:val="32"/>
                    <w:rPr>
                      <w:b w:val="0"/>
                      <w:bCs w:val="0"/>
                      <w:color w:val="auto"/>
                    </w:rPr>
                  </w:pPr>
                  <w:r>
                    <w:rPr>
                      <w:b w:val="0"/>
                      <w:bCs w:val="0"/>
                      <w:color w:val="auto"/>
                    </w:rPr>
                    <w:t>COD</w:t>
                  </w:r>
                </w:p>
              </w:tc>
              <w:tc>
                <w:tcPr>
                  <w:tcW w:w="766" w:type="dxa"/>
                  <w:shd w:val="clear" w:color="auto" w:fill="auto"/>
                  <w:vAlign w:val="center"/>
                </w:tcPr>
                <w:p>
                  <w:pPr>
                    <w:pStyle w:val="32"/>
                    <w:ind w:firstLine="0" w:firstLineChars="0"/>
                    <w:rPr>
                      <w:rFonts w:ascii="Times New Roman" w:hAnsi="Times New Roman" w:eastAsia="宋体" w:cs="Times New Roman"/>
                      <w:b w:val="0"/>
                      <w:bCs w:val="0"/>
                      <w:color w:val="auto"/>
                      <w:kern w:val="0"/>
                      <w:sz w:val="21"/>
                      <w:szCs w:val="21"/>
                      <w:lang w:val="en-US" w:eastAsia="zh-CN" w:bidi="ar-SA"/>
                    </w:rPr>
                  </w:pPr>
                  <w:r>
                    <w:rPr>
                      <w:b w:val="0"/>
                      <w:bCs w:val="0"/>
                      <w:color w:val="auto"/>
                    </w:rPr>
                    <w:t>BOD</w:t>
                  </w:r>
                  <w:r>
                    <w:rPr>
                      <w:b w:val="0"/>
                      <w:bCs w:val="0"/>
                      <w:color w:val="auto"/>
                      <w:vertAlign w:val="subscript"/>
                    </w:rPr>
                    <w:t>5</w:t>
                  </w:r>
                </w:p>
              </w:tc>
              <w:tc>
                <w:tcPr>
                  <w:tcW w:w="684" w:type="dxa"/>
                  <w:shd w:val="clear" w:color="auto" w:fill="auto"/>
                  <w:vAlign w:val="center"/>
                </w:tcPr>
                <w:p>
                  <w:pPr>
                    <w:pStyle w:val="32"/>
                    <w:ind w:firstLine="0" w:firstLineChars="0"/>
                    <w:rPr>
                      <w:rFonts w:ascii="Times New Roman" w:hAnsi="Times New Roman" w:eastAsia="宋体" w:cs="Times New Roman"/>
                      <w:b w:val="0"/>
                      <w:bCs w:val="0"/>
                      <w:color w:val="auto"/>
                      <w:kern w:val="0"/>
                      <w:sz w:val="21"/>
                      <w:szCs w:val="21"/>
                      <w:lang w:val="en-US" w:eastAsia="zh-CN" w:bidi="ar-SA"/>
                    </w:rPr>
                  </w:pPr>
                  <w:r>
                    <w:rPr>
                      <w:b w:val="0"/>
                      <w:bCs w:val="0"/>
                      <w:color w:val="auto"/>
                    </w:rPr>
                    <w:t>SS</w:t>
                  </w:r>
                </w:p>
              </w:tc>
              <w:tc>
                <w:tcPr>
                  <w:tcW w:w="703" w:type="dxa"/>
                  <w:shd w:val="clear" w:color="auto" w:fill="auto"/>
                  <w:vAlign w:val="center"/>
                </w:tcPr>
                <w:p>
                  <w:pPr>
                    <w:pStyle w:val="32"/>
                    <w:ind w:firstLine="0" w:firstLineChars="0"/>
                    <w:rPr>
                      <w:rFonts w:ascii="Times New Roman" w:hAnsi="Times New Roman" w:eastAsia="宋体" w:cs="Times New Roman"/>
                      <w:b w:val="0"/>
                      <w:bCs w:val="0"/>
                      <w:color w:val="auto"/>
                      <w:kern w:val="0"/>
                      <w:sz w:val="21"/>
                      <w:szCs w:val="21"/>
                      <w:lang w:val="en-US" w:eastAsia="zh-CN" w:bidi="ar-SA"/>
                    </w:rPr>
                  </w:pPr>
                  <w:r>
                    <w:rPr>
                      <w:b w:val="0"/>
                      <w:bCs w:val="0"/>
                      <w:color w:val="auto"/>
                    </w:rPr>
                    <w:t>NH</w:t>
                  </w:r>
                  <w:r>
                    <w:rPr>
                      <w:b w:val="0"/>
                      <w:bCs w:val="0"/>
                      <w:color w:val="auto"/>
                      <w:vertAlign w:val="subscript"/>
                    </w:rPr>
                    <w:t>3</w:t>
                  </w:r>
                  <w:r>
                    <w:rPr>
                      <w:b w:val="0"/>
                      <w:bCs w:val="0"/>
                      <w:color w:val="auto"/>
                    </w:rPr>
                    <w:t>-N</w:t>
                  </w:r>
                </w:p>
              </w:tc>
              <w:tc>
                <w:tcPr>
                  <w:tcW w:w="792" w:type="dxa"/>
                  <w:vAlign w:val="center"/>
                </w:tcPr>
                <w:p>
                  <w:pPr>
                    <w:pStyle w:val="32"/>
                    <w:rPr>
                      <w:rFonts w:hint="eastAsia" w:eastAsia="宋体"/>
                      <w:b w:val="0"/>
                      <w:bCs w:val="0"/>
                      <w:color w:val="auto"/>
                      <w:lang w:val="en-US" w:eastAsia="zh-CN"/>
                    </w:rPr>
                  </w:pPr>
                  <w:r>
                    <w:rPr>
                      <w:rFonts w:hint="eastAsia"/>
                      <w:b w:val="0"/>
                      <w:bCs w:val="0"/>
                      <w:color w:val="auto"/>
                      <w:lang w:val="en-US" w:eastAsia="zh-CN"/>
                    </w:rPr>
                    <w:t>动植物油</w:t>
                  </w:r>
                </w:p>
              </w:tc>
              <w:tc>
                <w:tcPr>
                  <w:tcW w:w="681" w:type="dxa"/>
                  <w:vAlign w:val="center"/>
                </w:tcPr>
                <w:p>
                  <w:pPr>
                    <w:pStyle w:val="32"/>
                    <w:rPr>
                      <w:b w:val="0"/>
                      <w:bCs w:val="0"/>
                      <w:color w:val="auto"/>
                    </w:rPr>
                  </w:pPr>
                  <w:r>
                    <w:rPr>
                      <w:rFonts w:hint="eastAsia"/>
                      <w:b w:val="0"/>
                      <w:bCs w:val="0"/>
                      <w:color w:val="auto"/>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76" w:type="dxa"/>
                  <w:vAlign w:val="center"/>
                </w:tcPr>
                <w:p>
                  <w:pPr>
                    <w:pStyle w:val="32"/>
                    <w:rPr>
                      <w:color w:val="auto"/>
                    </w:rPr>
                  </w:pPr>
                  <w:r>
                    <w:rPr>
                      <w:rFonts w:hint="eastAsia"/>
                      <w:color w:val="auto"/>
                    </w:rPr>
                    <w:t>《污水综合排放标准》</w:t>
                  </w:r>
                  <w:r>
                    <w:rPr>
                      <w:rFonts w:hint="eastAsia"/>
                      <w:color w:val="auto"/>
                      <w:lang w:eastAsia="zh-CN"/>
                    </w:rPr>
                    <w:t>（</w:t>
                  </w:r>
                  <w:r>
                    <w:rPr>
                      <w:color w:val="auto"/>
                    </w:rPr>
                    <w:t>GB8978-1996</w:t>
                  </w:r>
                  <w:r>
                    <w:rPr>
                      <w:rFonts w:hint="eastAsia"/>
                      <w:color w:val="auto"/>
                      <w:lang w:eastAsia="zh-CN"/>
                    </w:rPr>
                    <w:t>）</w:t>
                  </w:r>
                  <w:r>
                    <w:rPr>
                      <w:rFonts w:hint="eastAsia"/>
                      <w:color w:val="auto"/>
                    </w:rPr>
                    <w:t>三级标准</w:t>
                  </w:r>
                </w:p>
              </w:tc>
              <w:tc>
                <w:tcPr>
                  <w:tcW w:w="697" w:type="dxa"/>
                  <w:vAlign w:val="center"/>
                </w:tcPr>
                <w:p>
                  <w:pPr>
                    <w:pStyle w:val="32"/>
                    <w:rPr>
                      <w:color w:val="auto"/>
                    </w:rPr>
                  </w:pPr>
                  <w:r>
                    <w:rPr>
                      <w:rFonts w:hint="eastAsia"/>
                      <w:color w:val="auto"/>
                    </w:rPr>
                    <w:t>6-9</w:t>
                  </w:r>
                </w:p>
              </w:tc>
              <w:tc>
                <w:tcPr>
                  <w:tcW w:w="718" w:type="dxa"/>
                  <w:vAlign w:val="center"/>
                </w:tcPr>
                <w:p>
                  <w:pPr>
                    <w:pStyle w:val="32"/>
                    <w:rPr>
                      <w:color w:val="auto"/>
                    </w:rPr>
                  </w:pPr>
                  <w:r>
                    <w:rPr>
                      <w:rFonts w:hint="eastAsia"/>
                      <w:color w:val="auto"/>
                    </w:rPr>
                    <w:t>500</w:t>
                  </w:r>
                </w:p>
              </w:tc>
              <w:tc>
                <w:tcPr>
                  <w:tcW w:w="766" w:type="dxa"/>
                  <w:shd w:val="clear" w:color="auto" w:fill="auto"/>
                  <w:vAlign w:val="center"/>
                </w:tcPr>
                <w:p>
                  <w:pPr>
                    <w:pStyle w:val="32"/>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300</w:t>
                  </w:r>
                </w:p>
              </w:tc>
              <w:tc>
                <w:tcPr>
                  <w:tcW w:w="684" w:type="dxa"/>
                  <w:shd w:val="clear" w:color="auto" w:fill="auto"/>
                  <w:vAlign w:val="center"/>
                </w:tcPr>
                <w:p>
                  <w:pPr>
                    <w:pStyle w:val="32"/>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400</w:t>
                  </w:r>
                </w:p>
              </w:tc>
              <w:tc>
                <w:tcPr>
                  <w:tcW w:w="703" w:type="dxa"/>
                  <w:shd w:val="clear" w:color="auto" w:fill="auto"/>
                  <w:vAlign w:val="center"/>
                </w:tcPr>
                <w:p>
                  <w:pPr>
                    <w:pStyle w:val="32"/>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w:t>
                  </w:r>
                </w:p>
              </w:tc>
              <w:tc>
                <w:tcPr>
                  <w:tcW w:w="792" w:type="dxa"/>
                  <w:vAlign w:val="center"/>
                </w:tcPr>
                <w:p>
                  <w:pPr>
                    <w:pStyle w:val="32"/>
                    <w:rPr>
                      <w:rFonts w:hint="default" w:eastAsia="宋体"/>
                      <w:color w:val="auto"/>
                      <w:lang w:val="en-US" w:eastAsia="zh-CN"/>
                    </w:rPr>
                  </w:pPr>
                  <w:r>
                    <w:rPr>
                      <w:rFonts w:hint="eastAsia"/>
                      <w:color w:val="auto"/>
                      <w:lang w:val="en-US" w:eastAsia="zh-CN"/>
                    </w:rPr>
                    <w:t>100</w:t>
                  </w:r>
                </w:p>
              </w:tc>
              <w:tc>
                <w:tcPr>
                  <w:tcW w:w="681" w:type="dxa"/>
                  <w:vAlign w:val="center"/>
                </w:tcPr>
                <w:p>
                  <w:pPr>
                    <w:pStyle w:val="32"/>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76" w:type="dxa"/>
                  <w:vAlign w:val="center"/>
                </w:tcPr>
                <w:p>
                  <w:pPr>
                    <w:pStyle w:val="32"/>
                    <w:rPr>
                      <w:color w:val="auto"/>
                    </w:rPr>
                  </w:pPr>
                  <w:r>
                    <w:rPr>
                      <w:rFonts w:hint="eastAsia"/>
                      <w:color w:val="auto"/>
                    </w:rPr>
                    <w:t>《污水排入城镇下水道水质标准》（</w:t>
                  </w:r>
                  <w:r>
                    <w:rPr>
                      <w:color w:val="auto"/>
                    </w:rPr>
                    <w:t>GB/T31962-2015</w:t>
                  </w:r>
                  <w:r>
                    <w:rPr>
                      <w:rFonts w:hint="eastAsia"/>
                      <w:color w:val="auto"/>
                    </w:rPr>
                    <w:t>）</w:t>
                  </w:r>
                  <w:r>
                    <w:rPr>
                      <w:color w:val="auto"/>
                    </w:rPr>
                    <w:t>B</w:t>
                  </w:r>
                  <w:r>
                    <w:rPr>
                      <w:rFonts w:hint="eastAsia"/>
                      <w:color w:val="auto"/>
                    </w:rPr>
                    <w:t>级标准</w:t>
                  </w:r>
                </w:p>
              </w:tc>
              <w:tc>
                <w:tcPr>
                  <w:tcW w:w="697" w:type="dxa"/>
                  <w:vAlign w:val="center"/>
                </w:tcPr>
                <w:p>
                  <w:pPr>
                    <w:pStyle w:val="32"/>
                    <w:rPr>
                      <w:rFonts w:hint="eastAsia"/>
                      <w:color w:val="auto"/>
                    </w:rPr>
                  </w:pPr>
                  <w:r>
                    <w:rPr>
                      <w:rFonts w:hint="eastAsia"/>
                      <w:color w:val="auto"/>
                    </w:rPr>
                    <w:t>/</w:t>
                  </w:r>
                </w:p>
              </w:tc>
              <w:tc>
                <w:tcPr>
                  <w:tcW w:w="718" w:type="dxa"/>
                  <w:vAlign w:val="center"/>
                </w:tcPr>
                <w:p>
                  <w:pPr>
                    <w:pStyle w:val="32"/>
                    <w:rPr>
                      <w:rFonts w:hint="eastAsia"/>
                      <w:color w:val="auto"/>
                    </w:rPr>
                  </w:pPr>
                  <w:r>
                    <w:rPr>
                      <w:rFonts w:hint="eastAsia"/>
                      <w:color w:val="auto"/>
                    </w:rPr>
                    <w:t>/</w:t>
                  </w:r>
                </w:p>
              </w:tc>
              <w:tc>
                <w:tcPr>
                  <w:tcW w:w="766" w:type="dxa"/>
                  <w:shd w:val="clear" w:color="auto" w:fill="auto"/>
                  <w:vAlign w:val="center"/>
                </w:tcPr>
                <w:p>
                  <w:pPr>
                    <w:pStyle w:val="32"/>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w:t>
                  </w:r>
                </w:p>
              </w:tc>
              <w:tc>
                <w:tcPr>
                  <w:tcW w:w="684" w:type="dxa"/>
                  <w:shd w:val="clear" w:color="auto" w:fill="auto"/>
                  <w:vAlign w:val="center"/>
                </w:tcPr>
                <w:p>
                  <w:pPr>
                    <w:pStyle w:val="32"/>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w:t>
                  </w:r>
                </w:p>
              </w:tc>
              <w:tc>
                <w:tcPr>
                  <w:tcW w:w="703" w:type="dxa"/>
                  <w:shd w:val="clear" w:color="auto" w:fill="auto"/>
                  <w:vAlign w:val="center"/>
                </w:tcPr>
                <w:p>
                  <w:pPr>
                    <w:pStyle w:val="32"/>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45</w:t>
                  </w:r>
                </w:p>
              </w:tc>
              <w:tc>
                <w:tcPr>
                  <w:tcW w:w="792" w:type="dxa"/>
                  <w:vAlign w:val="center"/>
                </w:tcPr>
                <w:p>
                  <w:pPr>
                    <w:pStyle w:val="32"/>
                    <w:rPr>
                      <w:rFonts w:hint="eastAsia" w:eastAsia="宋体"/>
                      <w:color w:val="auto"/>
                      <w:lang w:val="en-US" w:eastAsia="zh-CN"/>
                    </w:rPr>
                  </w:pPr>
                  <w:r>
                    <w:rPr>
                      <w:rFonts w:hint="eastAsia"/>
                      <w:color w:val="auto"/>
                      <w:lang w:val="en-US" w:eastAsia="zh-CN"/>
                    </w:rPr>
                    <w:t>/</w:t>
                  </w:r>
                </w:p>
              </w:tc>
              <w:tc>
                <w:tcPr>
                  <w:tcW w:w="681" w:type="dxa"/>
                  <w:vAlign w:val="center"/>
                </w:tcPr>
                <w:p>
                  <w:pPr>
                    <w:pStyle w:val="32"/>
                    <w:rPr>
                      <w:color w:val="auto"/>
                    </w:rPr>
                  </w:pPr>
                  <w:r>
                    <w:rPr>
                      <w:rFonts w:hint="eastAsia"/>
                      <w:color w:val="auto"/>
                    </w:rPr>
                    <w:t>8</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highlight w:val="none"/>
                <w:lang w:val="en-US" w:eastAsia="zh-CN"/>
              </w:rPr>
              <w:t>三、</w:t>
            </w:r>
            <w:r>
              <w:rPr>
                <w:rFonts w:hint="default" w:ascii="Times New Roman" w:hAnsi="Times New Roman" w:eastAsia="宋体" w:cs="Times New Roman"/>
                <w:b/>
                <w:bCs/>
                <w:color w:val="auto"/>
                <w:sz w:val="24"/>
                <w:szCs w:val="24"/>
                <w:lang w:val="en-US" w:eastAsia="zh-CN"/>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rPr>
            </w:pPr>
            <w:r>
              <w:rPr>
                <w:rFonts w:hint="default" w:ascii="Times New Roman" w:hAnsi="Times New Roman" w:eastAsia="宋体" w:cs="Times New Roman"/>
                <w:color w:val="auto"/>
                <w:spacing w:val="0"/>
                <w:sz w:val="24"/>
              </w:rPr>
              <w:t>施工噪声执行《建筑施工场界环境噪声排放标准》（GB12523-2011）中的相关规定；</w:t>
            </w:r>
            <w:r>
              <w:rPr>
                <w:rFonts w:hint="eastAsia" w:cs="Times New Roman"/>
                <w:color w:val="auto"/>
                <w:spacing w:val="0"/>
                <w:sz w:val="24"/>
                <w:lang w:val="en-US" w:eastAsia="zh-CN"/>
              </w:rPr>
              <w:t>运营期</w:t>
            </w:r>
            <w:r>
              <w:rPr>
                <w:rFonts w:hint="default" w:ascii="Times New Roman" w:hAnsi="Times New Roman" w:eastAsia="宋体" w:cs="Times New Roman"/>
                <w:color w:val="auto"/>
                <w:spacing w:val="0"/>
                <w:sz w:val="24"/>
              </w:rPr>
              <w:t>厂界噪声执行《工业企业厂界环境噪声排放标准》（GB12348-2008）中的</w:t>
            </w:r>
            <w:r>
              <w:rPr>
                <w:rFonts w:hint="eastAsia" w:ascii="Times New Roman" w:hAnsi="Times New Roman" w:eastAsia="宋体" w:cs="Times New Roman"/>
                <w:color w:val="auto"/>
                <w:spacing w:val="0"/>
                <w:sz w:val="24"/>
                <w:lang w:val="en-US" w:eastAsia="zh-CN"/>
              </w:rPr>
              <w:t>2</w:t>
            </w:r>
            <w:r>
              <w:rPr>
                <w:rFonts w:hint="default" w:ascii="Times New Roman" w:hAnsi="Times New Roman" w:eastAsia="宋体" w:cs="Times New Roman"/>
                <w:color w:val="auto"/>
                <w:spacing w:val="0"/>
                <w:sz w:val="24"/>
              </w:rPr>
              <w:t>类标准。</w:t>
            </w:r>
          </w:p>
          <w:p>
            <w:pPr>
              <w:pStyle w:val="76"/>
              <w:bidi w:val="0"/>
              <w:rPr>
                <w:rFonts w:hint="default"/>
                <w:color w:val="auto"/>
              </w:rPr>
            </w:pPr>
            <w:r>
              <w:rPr>
                <w:rFonts w:hint="default"/>
                <w:color w:val="auto"/>
              </w:rPr>
              <w:t>表</w:t>
            </w:r>
            <w:r>
              <w:rPr>
                <w:rFonts w:hint="eastAsia"/>
                <w:color w:val="auto"/>
                <w:lang w:val="en-US" w:eastAsia="zh-CN"/>
              </w:rPr>
              <w:t>3-9</w:t>
            </w:r>
            <w:r>
              <w:rPr>
                <w:rFonts w:hint="default"/>
                <w:color w:val="auto"/>
                <w:lang w:val="en-US" w:eastAsia="zh-CN"/>
              </w:rPr>
              <w:t xml:space="preserve">   </w:t>
            </w:r>
            <w:r>
              <w:rPr>
                <w:rFonts w:hint="default"/>
                <w:color w:val="auto"/>
              </w:rPr>
              <w:t>《工业企业厂界环境噪声排放标准》</w:t>
            </w:r>
          </w:p>
          <w:tbl>
            <w:tblPr>
              <w:tblStyle w:val="30"/>
              <w:tblW w:w="8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2816"/>
              <w:gridCol w:w="977"/>
              <w:gridCol w:w="644"/>
              <w:gridCol w:w="1000"/>
              <w:gridCol w:w="1594"/>
              <w:gridCol w:w="1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816" w:type="dxa"/>
                  <w:vAlign w:val="center"/>
                </w:tcPr>
                <w:p>
                  <w:pPr>
                    <w:pStyle w:val="35"/>
                    <w:bidi w:val="0"/>
                    <w:rPr>
                      <w:rFonts w:hint="default"/>
                      <w:color w:val="auto"/>
                    </w:rPr>
                  </w:pPr>
                  <w:r>
                    <w:rPr>
                      <w:rFonts w:hint="default"/>
                      <w:color w:val="auto"/>
                    </w:rPr>
                    <w:t>标准名称及级（类）别</w:t>
                  </w:r>
                </w:p>
              </w:tc>
              <w:tc>
                <w:tcPr>
                  <w:tcW w:w="977" w:type="dxa"/>
                  <w:vAlign w:val="center"/>
                </w:tcPr>
                <w:p>
                  <w:pPr>
                    <w:pStyle w:val="35"/>
                    <w:bidi w:val="0"/>
                    <w:rPr>
                      <w:rFonts w:hint="default"/>
                      <w:color w:val="auto"/>
                    </w:rPr>
                  </w:pPr>
                  <w:r>
                    <w:rPr>
                      <w:rFonts w:hint="default"/>
                      <w:color w:val="auto"/>
                    </w:rPr>
                    <w:t>项目</w:t>
                  </w:r>
                </w:p>
              </w:tc>
              <w:tc>
                <w:tcPr>
                  <w:tcW w:w="644" w:type="dxa"/>
                  <w:vAlign w:val="center"/>
                </w:tcPr>
                <w:p>
                  <w:pPr>
                    <w:pStyle w:val="35"/>
                    <w:bidi w:val="0"/>
                    <w:rPr>
                      <w:rFonts w:hint="eastAsia" w:eastAsia="宋体"/>
                      <w:color w:val="auto"/>
                      <w:lang w:val="en-US" w:eastAsia="zh-CN"/>
                    </w:rPr>
                  </w:pPr>
                  <w:r>
                    <w:rPr>
                      <w:rFonts w:hint="eastAsia"/>
                      <w:color w:val="auto"/>
                      <w:lang w:val="en-US" w:eastAsia="zh-CN"/>
                    </w:rPr>
                    <w:t>类别</w:t>
                  </w:r>
                </w:p>
              </w:tc>
              <w:tc>
                <w:tcPr>
                  <w:tcW w:w="1000" w:type="dxa"/>
                  <w:vAlign w:val="center"/>
                </w:tcPr>
                <w:p>
                  <w:pPr>
                    <w:pStyle w:val="35"/>
                    <w:bidi w:val="0"/>
                    <w:rPr>
                      <w:rFonts w:hint="default"/>
                      <w:color w:val="auto"/>
                    </w:rPr>
                  </w:pPr>
                  <w:r>
                    <w:rPr>
                      <w:rFonts w:hint="default"/>
                      <w:color w:val="auto"/>
                    </w:rPr>
                    <w:t>单位</w:t>
                  </w:r>
                </w:p>
              </w:tc>
              <w:tc>
                <w:tcPr>
                  <w:tcW w:w="2727" w:type="dxa"/>
                  <w:gridSpan w:val="2"/>
                  <w:vAlign w:val="center"/>
                </w:tcPr>
                <w:p>
                  <w:pPr>
                    <w:pStyle w:val="35"/>
                    <w:bidi w:val="0"/>
                    <w:rPr>
                      <w:rFonts w:hint="default"/>
                      <w:color w:val="auto"/>
                    </w:rPr>
                  </w:pPr>
                  <w:r>
                    <w:rPr>
                      <w:rFonts w:hint="default"/>
                      <w:color w:val="auto"/>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816" w:type="dxa"/>
                  <w:vMerge w:val="restart"/>
                  <w:vAlign w:val="center"/>
                </w:tcPr>
                <w:p>
                  <w:pPr>
                    <w:pStyle w:val="35"/>
                    <w:bidi w:val="0"/>
                    <w:rPr>
                      <w:rFonts w:hint="default"/>
                      <w:color w:val="auto"/>
                    </w:rPr>
                  </w:pPr>
                  <w:r>
                    <w:rPr>
                      <w:rFonts w:hint="default"/>
                      <w:color w:val="auto"/>
                    </w:rPr>
                    <w:t>《建筑施工场界环境噪声排放标准》（GB12523-2011）</w:t>
                  </w:r>
                </w:p>
              </w:tc>
              <w:tc>
                <w:tcPr>
                  <w:tcW w:w="977" w:type="dxa"/>
                  <w:vMerge w:val="restart"/>
                  <w:vAlign w:val="center"/>
                </w:tcPr>
                <w:p>
                  <w:pPr>
                    <w:pStyle w:val="35"/>
                    <w:bidi w:val="0"/>
                    <w:rPr>
                      <w:rFonts w:hint="default"/>
                      <w:color w:val="auto"/>
                    </w:rPr>
                  </w:pPr>
                  <w:r>
                    <w:rPr>
                      <w:rFonts w:hint="default"/>
                      <w:color w:val="auto"/>
                    </w:rPr>
                    <w:t>等效声级Laeq</w:t>
                  </w:r>
                </w:p>
              </w:tc>
              <w:tc>
                <w:tcPr>
                  <w:tcW w:w="644" w:type="dxa"/>
                  <w:vMerge w:val="restart"/>
                  <w:vAlign w:val="center"/>
                </w:tcPr>
                <w:p>
                  <w:pPr>
                    <w:pStyle w:val="35"/>
                    <w:bidi w:val="0"/>
                    <w:rPr>
                      <w:rFonts w:hint="eastAsia" w:eastAsia="宋体"/>
                      <w:color w:val="auto"/>
                      <w:lang w:val="en-US" w:eastAsia="zh-CN"/>
                    </w:rPr>
                  </w:pPr>
                  <w:r>
                    <w:rPr>
                      <w:rFonts w:hint="eastAsia"/>
                      <w:color w:val="auto"/>
                      <w:lang w:val="en-US" w:eastAsia="zh-CN"/>
                    </w:rPr>
                    <w:t>/</w:t>
                  </w:r>
                </w:p>
              </w:tc>
              <w:tc>
                <w:tcPr>
                  <w:tcW w:w="1000" w:type="dxa"/>
                  <w:vMerge w:val="restart"/>
                  <w:vAlign w:val="center"/>
                </w:tcPr>
                <w:p>
                  <w:pPr>
                    <w:pStyle w:val="35"/>
                    <w:bidi w:val="0"/>
                    <w:rPr>
                      <w:rFonts w:hint="default"/>
                      <w:color w:val="auto"/>
                    </w:rPr>
                  </w:pPr>
                  <w:r>
                    <w:rPr>
                      <w:rFonts w:hint="eastAsia"/>
                      <w:color w:val="auto"/>
                      <w:lang w:val="en-US" w:eastAsia="zh-CN"/>
                    </w:rPr>
                    <w:t>dB(</w:t>
                  </w:r>
                  <w:r>
                    <w:rPr>
                      <w:rFonts w:hint="default"/>
                      <w:color w:val="auto"/>
                    </w:rPr>
                    <w:t>A</w:t>
                  </w:r>
                  <w:r>
                    <w:rPr>
                      <w:rFonts w:hint="eastAsia"/>
                      <w:color w:val="auto"/>
                      <w:lang w:eastAsia="zh-CN"/>
                    </w:rPr>
                    <w:t>)</w:t>
                  </w:r>
                </w:p>
              </w:tc>
              <w:tc>
                <w:tcPr>
                  <w:tcW w:w="1594" w:type="dxa"/>
                  <w:vAlign w:val="center"/>
                </w:tcPr>
                <w:p>
                  <w:pPr>
                    <w:pStyle w:val="35"/>
                    <w:bidi w:val="0"/>
                    <w:rPr>
                      <w:rFonts w:hint="default"/>
                      <w:color w:val="auto"/>
                    </w:rPr>
                  </w:pPr>
                  <w:r>
                    <w:rPr>
                      <w:rFonts w:hint="default"/>
                      <w:color w:val="auto"/>
                    </w:rPr>
                    <w:t>昼</w:t>
                  </w:r>
                </w:p>
              </w:tc>
              <w:tc>
                <w:tcPr>
                  <w:tcW w:w="1133" w:type="dxa"/>
                  <w:vAlign w:val="center"/>
                </w:tcPr>
                <w:p>
                  <w:pPr>
                    <w:pStyle w:val="35"/>
                    <w:bidi w:val="0"/>
                    <w:rPr>
                      <w:rFonts w:hint="default"/>
                      <w:color w:val="auto"/>
                    </w:rPr>
                  </w:pPr>
                  <w:r>
                    <w:rPr>
                      <w:rFonts w:hint="default"/>
                      <w:color w:val="auto"/>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816" w:type="dxa"/>
                  <w:vMerge w:val="continue"/>
                  <w:vAlign w:val="center"/>
                </w:tcPr>
                <w:p>
                  <w:pPr>
                    <w:pStyle w:val="35"/>
                    <w:bidi w:val="0"/>
                    <w:rPr>
                      <w:rFonts w:hint="default"/>
                      <w:color w:val="auto"/>
                    </w:rPr>
                  </w:pPr>
                </w:p>
              </w:tc>
              <w:tc>
                <w:tcPr>
                  <w:tcW w:w="977" w:type="dxa"/>
                  <w:vMerge w:val="continue"/>
                  <w:vAlign w:val="center"/>
                </w:tcPr>
                <w:p>
                  <w:pPr>
                    <w:pStyle w:val="35"/>
                    <w:bidi w:val="0"/>
                    <w:rPr>
                      <w:rFonts w:hint="default"/>
                      <w:color w:val="auto"/>
                    </w:rPr>
                  </w:pPr>
                </w:p>
              </w:tc>
              <w:tc>
                <w:tcPr>
                  <w:tcW w:w="644" w:type="dxa"/>
                  <w:vMerge w:val="continue"/>
                  <w:vAlign w:val="center"/>
                </w:tcPr>
                <w:p>
                  <w:pPr>
                    <w:pStyle w:val="35"/>
                    <w:bidi w:val="0"/>
                    <w:rPr>
                      <w:rFonts w:hint="default"/>
                      <w:color w:val="auto"/>
                    </w:rPr>
                  </w:pPr>
                </w:p>
              </w:tc>
              <w:tc>
                <w:tcPr>
                  <w:tcW w:w="1000" w:type="dxa"/>
                  <w:vMerge w:val="continue"/>
                  <w:vAlign w:val="center"/>
                </w:tcPr>
                <w:p>
                  <w:pPr>
                    <w:pStyle w:val="35"/>
                    <w:bidi w:val="0"/>
                    <w:rPr>
                      <w:rFonts w:hint="default"/>
                      <w:color w:val="auto"/>
                    </w:rPr>
                  </w:pPr>
                </w:p>
              </w:tc>
              <w:tc>
                <w:tcPr>
                  <w:tcW w:w="1594" w:type="dxa"/>
                  <w:vAlign w:val="center"/>
                </w:tcPr>
                <w:p>
                  <w:pPr>
                    <w:pStyle w:val="35"/>
                    <w:bidi w:val="0"/>
                    <w:rPr>
                      <w:rFonts w:hint="default"/>
                      <w:color w:val="auto"/>
                    </w:rPr>
                  </w:pPr>
                  <w:r>
                    <w:rPr>
                      <w:rFonts w:hint="default"/>
                      <w:color w:val="auto"/>
                    </w:rPr>
                    <w:t>夜</w:t>
                  </w:r>
                </w:p>
              </w:tc>
              <w:tc>
                <w:tcPr>
                  <w:tcW w:w="1133" w:type="dxa"/>
                  <w:vAlign w:val="center"/>
                </w:tcPr>
                <w:p>
                  <w:pPr>
                    <w:pStyle w:val="35"/>
                    <w:bidi w:val="0"/>
                    <w:rPr>
                      <w:rFonts w:hint="default"/>
                      <w:color w:val="auto"/>
                    </w:rPr>
                  </w:pPr>
                  <w:r>
                    <w:rPr>
                      <w:rFonts w:hint="default"/>
                      <w:color w:val="auto"/>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816" w:type="dxa"/>
                  <w:vMerge w:val="restart"/>
                  <w:vAlign w:val="center"/>
                </w:tcPr>
                <w:p>
                  <w:pPr>
                    <w:pStyle w:val="35"/>
                    <w:bidi w:val="0"/>
                    <w:rPr>
                      <w:rFonts w:hint="default"/>
                      <w:color w:val="auto"/>
                    </w:rPr>
                  </w:pPr>
                  <w:bookmarkStart w:id="9" w:name="_Toc380931724"/>
                  <w:bookmarkStart w:id="10" w:name="_Toc380931858"/>
                  <w:bookmarkStart w:id="11" w:name="_Toc416875892"/>
                  <w:bookmarkStart w:id="12" w:name="_Toc387316182"/>
                  <w:bookmarkStart w:id="13" w:name="_Toc417399820"/>
                  <w:bookmarkStart w:id="14" w:name="_Toc381950856"/>
                  <w:bookmarkStart w:id="15" w:name="_Toc387316270"/>
                  <w:bookmarkStart w:id="16" w:name="_Toc380930510"/>
                  <w:bookmarkStart w:id="17" w:name="_Toc387316357"/>
                  <w:bookmarkStart w:id="18" w:name="_Toc383070978"/>
                  <w:bookmarkStart w:id="19" w:name="_Toc380930222"/>
                  <w:bookmarkStart w:id="20" w:name="_Toc392054365"/>
                  <w:bookmarkStart w:id="21" w:name="_Toc380932575"/>
                  <w:r>
                    <w:rPr>
                      <w:rFonts w:hint="default"/>
                      <w:color w:val="auto"/>
                    </w:rPr>
                    <w:t>《工业企业厂界环境噪声排放标准》（GB12348-2008）</w:t>
                  </w:r>
                  <w:bookmarkEnd w:id="9"/>
                  <w:bookmarkEnd w:id="10"/>
                  <w:bookmarkEnd w:id="11"/>
                  <w:bookmarkEnd w:id="12"/>
                  <w:bookmarkEnd w:id="13"/>
                  <w:bookmarkEnd w:id="14"/>
                  <w:bookmarkEnd w:id="15"/>
                  <w:bookmarkEnd w:id="16"/>
                  <w:bookmarkEnd w:id="17"/>
                  <w:bookmarkEnd w:id="18"/>
                  <w:bookmarkEnd w:id="19"/>
                  <w:bookmarkEnd w:id="20"/>
                  <w:bookmarkEnd w:id="21"/>
                </w:p>
              </w:tc>
              <w:tc>
                <w:tcPr>
                  <w:tcW w:w="977" w:type="dxa"/>
                  <w:vMerge w:val="restart"/>
                  <w:vAlign w:val="center"/>
                </w:tcPr>
                <w:p>
                  <w:pPr>
                    <w:pStyle w:val="35"/>
                    <w:bidi w:val="0"/>
                    <w:rPr>
                      <w:rFonts w:hint="default"/>
                      <w:color w:val="auto"/>
                    </w:rPr>
                  </w:pPr>
                  <w:r>
                    <w:rPr>
                      <w:rFonts w:hint="default"/>
                      <w:color w:val="auto"/>
                    </w:rPr>
                    <w:t>等效声级Laeq</w:t>
                  </w:r>
                </w:p>
              </w:tc>
              <w:tc>
                <w:tcPr>
                  <w:tcW w:w="644" w:type="dxa"/>
                  <w:vMerge w:val="restart"/>
                  <w:vAlign w:val="center"/>
                </w:tcPr>
                <w:p>
                  <w:pPr>
                    <w:pStyle w:val="35"/>
                    <w:bidi w:val="0"/>
                    <w:rPr>
                      <w:rFonts w:hint="default"/>
                      <w:color w:val="auto"/>
                    </w:rPr>
                  </w:pPr>
                  <w:r>
                    <w:rPr>
                      <w:rFonts w:hint="eastAsia"/>
                      <w:color w:val="auto"/>
                      <w:lang w:val="en-US" w:eastAsia="zh-CN"/>
                    </w:rPr>
                    <w:t>2</w:t>
                  </w:r>
                  <w:r>
                    <w:rPr>
                      <w:rFonts w:hint="default"/>
                      <w:color w:val="auto"/>
                    </w:rPr>
                    <w:t>类</w:t>
                  </w:r>
                </w:p>
              </w:tc>
              <w:tc>
                <w:tcPr>
                  <w:tcW w:w="1000" w:type="dxa"/>
                  <w:vMerge w:val="restart"/>
                  <w:vAlign w:val="center"/>
                </w:tcPr>
                <w:p>
                  <w:pPr>
                    <w:pStyle w:val="35"/>
                    <w:bidi w:val="0"/>
                    <w:rPr>
                      <w:rFonts w:hint="default"/>
                      <w:color w:val="auto"/>
                    </w:rPr>
                  </w:pPr>
                  <w:r>
                    <w:rPr>
                      <w:rFonts w:hint="eastAsia"/>
                      <w:color w:val="auto"/>
                      <w:lang w:val="en-US" w:eastAsia="zh-CN"/>
                    </w:rPr>
                    <w:t>dB(</w:t>
                  </w:r>
                  <w:r>
                    <w:rPr>
                      <w:rFonts w:hint="default"/>
                      <w:color w:val="auto"/>
                    </w:rPr>
                    <w:t>A</w:t>
                  </w:r>
                  <w:r>
                    <w:rPr>
                      <w:rFonts w:hint="eastAsia"/>
                      <w:color w:val="auto"/>
                      <w:lang w:eastAsia="zh-CN"/>
                    </w:rPr>
                    <w:t>)</w:t>
                  </w:r>
                </w:p>
              </w:tc>
              <w:tc>
                <w:tcPr>
                  <w:tcW w:w="1594" w:type="dxa"/>
                  <w:vAlign w:val="center"/>
                </w:tcPr>
                <w:p>
                  <w:pPr>
                    <w:pStyle w:val="35"/>
                    <w:bidi w:val="0"/>
                    <w:rPr>
                      <w:rFonts w:hint="default"/>
                      <w:color w:val="auto"/>
                    </w:rPr>
                  </w:pPr>
                  <w:r>
                    <w:rPr>
                      <w:rFonts w:hint="default"/>
                      <w:color w:val="auto"/>
                    </w:rPr>
                    <w:t>昼</w:t>
                  </w:r>
                </w:p>
              </w:tc>
              <w:tc>
                <w:tcPr>
                  <w:tcW w:w="1133" w:type="dxa"/>
                  <w:vAlign w:val="center"/>
                </w:tcPr>
                <w:p>
                  <w:pPr>
                    <w:pStyle w:val="35"/>
                    <w:bidi w:val="0"/>
                    <w:rPr>
                      <w:rFonts w:hint="eastAsia" w:eastAsia="宋体"/>
                      <w:color w:val="auto"/>
                      <w:lang w:eastAsia="zh-CN"/>
                    </w:rPr>
                  </w:pPr>
                  <w:r>
                    <w:rPr>
                      <w:rFonts w:hint="default"/>
                      <w:color w:val="auto"/>
                    </w:rPr>
                    <w:t>≤6</w:t>
                  </w:r>
                  <w:r>
                    <w:rPr>
                      <w:rFonts w:hint="eastAsia"/>
                      <w:color w:val="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816" w:type="dxa"/>
                  <w:vMerge w:val="continue"/>
                  <w:vAlign w:val="center"/>
                </w:tcPr>
                <w:p>
                  <w:pPr>
                    <w:pStyle w:val="35"/>
                    <w:bidi w:val="0"/>
                    <w:rPr>
                      <w:rFonts w:hint="default"/>
                      <w:color w:val="auto"/>
                    </w:rPr>
                  </w:pPr>
                </w:p>
              </w:tc>
              <w:tc>
                <w:tcPr>
                  <w:tcW w:w="977" w:type="dxa"/>
                  <w:vMerge w:val="continue"/>
                  <w:vAlign w:val="center"/>
                </w:tcPr>
                <w:p>
                  <w:pPr>
                    <w:pStyle w:val="35"/>
                    <w:bidi w:val="0"/>
                    <w:rPr>
                      <w:rFonts w:hint="default"/>
                      <w:color w:val="auto"/>
                    </w:rPr>
                  </w:pPr>
                </w:p>
              </w:tc>
              <w:tc>
                <w:tcPr>
                  <w:tcW w:w="644" w:type="dxa"/>
                  <w:vMerge w:val="continue"/>
                  <w:vAlign w:val="center"/>
                </w:tcPr>
                <w:p>
                  <w:pPr>
                    <w:pStyle w:val="35"/>
                    <w:bidi w:val="0"/>
                    <w:rPr>
                      <w:rFonts w:hint="default"/>
                      <w:color w:val="auto"/>
                    </w:rPr>
                  </w:pPr>
                </w:p>
              </w:tc>
              <w:tc>
                <w:tcPr>
                  <w:tcW w:w="1000" w:type="dxa"/>
                  <w:vMerge w:val="continue"/>
                  <w:vAlign w:val="center"/>
                </w:tcPr>
                <w:p>
                  <w:pPr>
                    <w:pStyle w:val="35"/>
                    <w:bidi w:val="0"/>
                    <w:rPr>
                      <w:rFonts w:hint="default"/>
                      <w:color w:val="auto"/>
                    </w:rPr>
                  </w:pPr>
                </w:p>
              </w:tc>
              <w:tc>
                <w:tcPr>
                  <w:tcW w:w="1594" w:type="dxa"/>
                  <w:vAlign w:val="center"/>
                </w:tcPr>
                <w:p>
                  <w:pPr>
                    <w:pStyle w:val="35"/>
                    <w:bidi w:val="0"/>
                    <w:rPr>
                      <w:rFonts w:hint="default"/>
                      <w:color w:val="auto"/>
                    </w:rPr>
                  </w:pPr>
                  <w:r>
                    <w:rPr>
                      <w:rFonts w:hint="default"/>
                      <w:color w:val="auto"/>
                    </w:rPr>
                    <w:t>夜</w:t>
                  </w:r>
                </w:p>
              </w:tc>
              <w:tc>
                <w:tcPr>
                  <w:tcW w:w="1133" w:type="dxa"/>
                  <w:vAlign w:val="center"/>
                </w:tcPr>
                <w:p>
                  <w:pPr>
                    <w:pStyle w:val="35"/>
                    <w:bidi w:val="0"/>
                    <w:rPr>
                      <w:rFonts w:hint="eastAsia" w:eastAsia="宋体"/>
                      <w:color w:val="auto"/>
                      <w:lang w:eastAsia="zh-CN"/>
                    </w:rPr>
                  </w:pPr>
                  <w:r>
                    <w:rPr>
                      <w:rFonts w:hint="default"/>
                      <w:color w:val="auto"/>
                    </w:rPr>
                    <w:t>≤5</w:t>
                  </w:r>
                  <w:r>
                    <w:rPr>
                      <w:rFonts w:hint="eastAsia"/>
                      <w:color w:val="auto"/>
                      <w:lang w:val="en-US" w:eastAsia="zh-CN"/>
                    </w:rPr>
                    <w:t>0</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四、固体废物</w:t>
            </w:r>
          </w:p>
          <w:p>
            <w:pPr>
              <w:bidi w:val="0"/>
              <w:rPr>
                <w:rFonts w:hint="default" w:ascii="Times New Roman" w:hAnsi="Times New Roman" w:eastAsia="宋体" w:cs="Times New Roman"/>
                <w:color w:val="auto"/>
                <w:kern w:val="0"/>
                <w:sz w:val="24"/>
                <w:szCs w:val="24"/>
                <w:highlight w:val="none"/>
              </w:rPr>
            </w:pPr>
            <w:r>
              <w:rPr>
                <w:rFonts w:hint="eastAsia"/>
                <w:color w:val="auto"/>
                <w:lang w:val="en-US" w:eastAsia="zh-CN"/>
              </w:rPr>
              <w:t>本项目固体废物的处理、处置均应满足《中华人民共和国固体废物污染环境防治法》中的有关规定要求，一般工业固体废物贮存过程的污染控制应满足防渗漏、防雨淋、防扬尘等环境保护要求。危险废物执行《危险废物贮存污染控制标准》（</w:t>
            </w:r>
            <w:r>
              <w:rPr>
                <w:rFonts w:hint="default"/>
                <w:color w:val="auto"/>
                <w:lang w:val="en-US" w:eastAsia="zh-CN"/>
              </w:rPr>
              <w:t>GB18597</w:t>
            </w:r>
            <w:r>
              <w:rPr>
                <w:rFonts w:hint="eastAsia"/>
                <w:color w:val="auto"/>
                <w:lang w:val="en-US" w:eastAsia="zh-CN"/>
              </w:rPr>
              <w:t>—</w:t>
            </w:r>
            <w:r>
              <w:rPr>
                <w:rFonts w:hint="default"/>
                <w:color w:val="auto"/>
                <w:lang w:val="en-US" w:eastAsia="zh-CN"/>
              </w:rPr>
              <w:t>2023</w:t>
            </w:r>
            <w:r>
              <w:rPr>
                <w:rFonts w:hint="eastAsia"/>
                <w:color w:val="auto"/>
                <w:lang w:val="en-US" w:eastAsia="zh-CN"/>
              </w:rPr>
              <w:t>）及《危险废物识别标志设置技术规范》（</w:t>
            </w:r>
            <w:r>
              <w:rPr>
                <w:rFonts w:hint="default"/>
                <w:color w:val="auto"/>
                <w:lang w:val="en-US" w:eastAsia="zh-CN"/>
              </w:rPr>
              <w:t>HJ1276</w:t>
            </w:r>
            <w:r>
              <w:rPr>
                <w:rFonts w:hint="eastAsia"/>
                <w:color w:val="auto"/>
                <w:lang w:val="en-US" w:eastAsia="zh-CN"/>
              </w:rPr>
              <w:t>—</w:t>
            </w:r>
            <w:r>
              <w:rPr>
                <w:rFonts w:hint="default"/>
                <w:color w:val="auto"/>
                <w:lang w:val="en-US" w:eastAsia="zh-CN"/>
              </w:rPr>
              <w:t>2022</w:t>
            </w:r>
            <w:r>
              <w:rPr>
                <w:rFonts w:hint="eastAsia"/>
                <w:color w:val="auto"/>
                <w:lang w:val="en-US" w:eastAsia="zh-CN"/>
              </w:rPr>
              <w:t>）的标准要求。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418" w:hRule="atLeast"/>
          <w:jc w:val="center"/>
        </w:trPr>
        <w:tc>
          <w:tcPr>
            <w:tcW w:w="82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总量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控制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指标</w:t>
            </w:r>
          </w:p>
        </w:tc>
        <w:tc>
          <w:tcPr>
            <w:tcW w:w="8462" w:type="dxa"/>
            <w:vAlign w:val="center"/>
          </w:tcPr>
          <w:p>
            <w:pPr>
              <w:spacing w:before="120" w:beforeLines="50"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本次评价仅对废气中</w:t>
            </w:r>
            <w:r>
              <w:rPr>
                <w:rFonts w:hint="eastAsia" w:ascii="Times New Roman" w:hAnsi="Times New Roman" w:eastAsia="宋体" w:cs="Times New Roman"/>
                <w:color w:val="auto"/>
                <w:sz w:val="24"/>
                <w:highlight w:val="none"/>
                <w:lang w:val="en-US" w:eastAsia="zh-CN"/>
              </w:rPr>
              <w:t>NOx</w:t>
            </w:r>
            <w:r>
              <w:rPr>
                <w:rFonts w:hint="default" w:ascii="Times New Roman" w:hAnsi="Times New Roman" w:cs="Times New Roman"/>
                <w:color w:val="auto"/>
                <w:sz w:val="24"/>
                <w:highlight w:val="none"/>
                <w:lang w:eastAsia="zh-CN"/>
              </w:rPr>
              <w:t>进行总量控制。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0"/>
                <w:lang w:val="en-US" w:eastAsia="zh-CN"/>
              </w:rPr>
            </w:pPr>
            <w:r>
              <w:rPr>
                <w:rFonts w:hint="default" w:ascii="Times New Roman" w:hAnsi="Times New Roman" w:eastAsia="宋体" w:cs="Times New Roman"/>
                <w:color w:val="auto"/>
                <w:kern w:val="2"/>
                <w:sz w:val="24"/>
                <w:szCs w:val="32"/>
                <w:highlight w:val="none"/>
                <w:lang w:val="en-US" w:eastAsia="zh-CN" w:bidi="ar-SA"/>
              </w:rPr>
              <w:t>根据环评核算，</w:t>
            </w:r>
            <w:r>
              <w:rPr>
                <w:rFonts w:hint="eastAsia" w:ascii="Times New Roman" w:hAnsi="Times New Roman" w:eastAsia="宋体" w:cs="Times New Roman"/>
                <w:color w:val="auto"/>
                <w:kern w:val="2"/>
                <w:sz w:val="24"/>
                <w:szCs w:val="32"/>
                <w:highlight w:val="none"/>
                <w:lang w:val="en-US" w:eastAsia="zh-CN" w:bidi="ar-SA"/>
              </w:rPr>
              <w:t>现有项目全厂</w:t>
            </w:r>
            <w:r>
              <w:rPr>
                <w:rFonts w:hint="eastAsia" w:ascii="Times New Roman" w:hAnsi="Times New Roman" w:eastAsia="宋体" w:cs="Times New Roman"/>
                <w:color w:val="auto"/>
                <w:sz w:val="24"/>
                <w:highlight w:val="none"/>
                <w:lang w:val="en-US" w:eastAsia="zh-CN"/>
              </w:rPr>
              <w:t>NOx</w:t>
            </w:r>
            <w:r>
              <w:rPr>
                <w:rFonts w:hint="default" w:ascii="Times New Roman" w:hAnsi="Times New Roman" w:eastAsia="宋体" w:cs="Times New Roman"/>
                <w:color w:val="auto"/>
                <w:kern w:val="2"/>
                <w:sz w:val="24"/>
                <w:szCs w:val="32"/>
                <w:highlight w:val="none"/>
                <w:lang w:val="en-US" w:eastAsia="zh-CN" w:bidi="ar-SA"/>
              </w:rPr>
              <w:t>排放量</w:t>
            </w:r>
            <w:r>
              <w:rPr>
                <w:rFonts w:hint="eastAsia" w:ascii="Times New Roman" w:hAnsi="Times New Roman" w:eastAsia="宋体" w:cs="Times New Roman"/>
                <w:color w:val="auto"/>
                <w:kern w:val="2"/>
                <w:sz w:val="24"/>
                <w:szCs w:val="32"/>
                <w:highlight w:val="none"/>
                <w:lang w:val="en-US" w:eastAsia="zh-CN" w:bidi="ar-SA"/>
              </w:rPr>
              <w:t>为</w:t>
            </w:r>
            <w:r>
              <w:rPr>
                <w:rFonts w:hint="eastAsia" w:cs="Times New Roman"/>
                <w:color w:val="auto"/>
                <w:kern w:val="2"/>
                <w:sz w:val="24"/>
                <w:szCs w:val="32"/>
                <w:highlight w:val="none"/>
                <w:lang w:val="en-US" w:eastAsia="zh-CN" w:bidi="ar-SA"/>
              </w:rPr>
              <w:t>0.041</w:t>
            </w:r>
            <w:r>
              <w:rPr>
                <w:rFonts w:hint="eastAsia" w:ascii="Times New Roman" w:hAnsi="Times New Roman" w:eastAsia="宋体" w:cs="Times New Roman"/>
                <w:color w:val="auto"/>
                <w:kern w:val="2"/>
                <w:sz w:val="24"/>
                <w:szCs w:val="32"/>
                <w:highlight w:val="none"/>
                <w:lang w:val="en-US" w:eastAsia="zh-CN" w:bidi="ar-SA"/>
              </w:rPr>
              <w:t>t/a，本次扩建项目</w:t>
            </w:r>
            <w:r>
              <w:rPr>
                <w:rFonts w:hint="eastAsia" w:ascii="Times New Roman" w:hAnsi="Times New Roman" w:eastAsia="宋体" w:cs="Times New Roman"/>
                <w:color w:val="auto"/>
                <w:sz w:val="24"/>
                <w:highlight w:val="none"/>
                <w:lang w:val="en-US" w:eastAsia="zh-CN"/>
              </w:rPr>
              <w:t>NOx</w:t>
            </w:r>
            <w:r>
              <w:rPr>
                <w:rFonts w:hint="eastAsia" w:ascii="Times New Roman" w:hAnsi="Times New Roman" w:eastAsia="宋体" w:cs="Times New Roman"/>
                <w:color w:val="auto"/>
                <w:kern w:val="2"/>
                <w:sz w:val="24"/>
                <w:szCs w:val="32"/>
                <w:highlight w:val="none"/>
                <w:lang w:val="en-US" w:eastAsia="zh-CN" w:bidi="ar-SA"/>
              </w:rPr>
              <w:t>排放量为</w:t>
            </w:r>
            <w:r>
              <w:rPr>
                <w:rFonts w:hint="eastAsia" w:cs="Times New Roman"/>
                <w:color w:val="auto"/>
                <w:kern w:val="2"/>
                <w:sz w:val="24"/>
                <w:szCs w:val="32"/>
                <w:highlight w:val="none"/>
                <w:lang w:val="en-US" w:eastAsia="zh-CN" w:bidi="ar-SA"/>
              </w:rPr>
              <w:t>0.091</w:t>
            </w:r>
            <w:r>
              <w:rPr>
                <w:rFonts w:hint="default" w:ascii="Times New Roman" w:hAnsi="Times New Roman" w:eastAsia="宋体" w:cs="Times New Roman"/>
                <w:color w:val="auto"/>
                <w:kern w:val="2"/>
                <w:sz w:val="24"/>
                <w:szCs w:val="32"/>
                <w:highlight w:val="none"/>
                <w:lang w:val="en-US" w:eastAsia="zh-CN" w:bidi="ar-SA"/>
              </w:rPr>
              <w:t>t/a</w:t>
            </w:r>
            <w:r>
              <w:rPr>
                <w:rFonts w:hint="eastAsia" w:ascii="Times New Roman" w:hAnsi="Times New Roman" w:eastAsia="宋体" w:cs="Times New Roman"/>
                <w:color w:val="auto"/>
                <w:kern w:val="2"/>
                <w:sz w:val="24"/>
                <w:szCs w:val="32"/>
                <w:highlight w:val="none"/>
                <w:lang w:val="en-US" w:eastAsia="zh-CN" w:bidi="ar-SA"/>
              </w:rPr>
              <w:t>，扩建</w:t>
            </w:r>
            <w:r>
              <w:rPr>
                <w:rFonts w:hint="default" w:ascii="Times New Roman" w:hAnsi="Times New Roman" w:eastAsia="宋体" w:cs="Times New Roman"/>
                <w:color w:val="auto"/>
                <w:kern w:val="2"/>
                <w:sz w:val="24"/>
                <w:szCs w:val="32"/>
                <w:highlight w:val="none"/>
                <w:lang w:val="en-US" w:eastAsia="zh-CN" w:bidi="ar-SA"/>
              </w:rPr>
              <w:t>后建设单位</w:t>
            </w:r>
            <w:r>
              <w:rPr>
                <w:rFonts w:hint="eastAsia" w:ascii="Times New Roman" w:hAnsi="Times New Roman" w:eastAsia="宋体" w:cs="Times New Roman"/>
                <w:color w:val="auto"/>
                <w:kern w:val="2"/>
                <w:sz w:val="24"/>
                <w:szCs w:val="32"/>
                <w:highlight w:val="none"/>
                <w:lang w:val="en-US" w:eastAsia="zh-CN" w:bidi="ar-SA"/>
              </w:rPr>
              <w:t>全厂</w:t>
            </w:r>
            <w:r>
              <w:rPr>
                <w:rFonts w:hint="eastAsia" w:ascii="Times New Roman" w:hAnsi="Times New Roman" w:eastAsia="宋体" w:cs="Times New Roman"/>
                <w:color w:val="auto"/>
                <w:sz w:val="24"/>
                <w:highlight w:val="none"/>
                <w:lang w:val="en-US" w:eastAsia="zh-CN"/>
              </w:rPr>
              <w:t>NOx</w:t>
            </w:r>
            <w:r>
              <w:rPr>
                <w:rFonts w:hint="default" w:ascii="Times New Roman" w:hAnsi="Times New Roman" w:eastAsia="宋体" w:cs="Times New Roman"/>
                <w:color w:val="auto"/>
                <w:kern w:val="2"/>
                <w:sz w:val="24"/>
                <w:szCs w:val="32"/>
                <w:highlight w:val="none"/>
                <w:lang w:val="en-US" w:eastAsia="zh-CN" w:bidi="ar-SA"/>
              </w:rPr>
              <w:t>年排放量为</w:t>
            </w:r>
            <w:r>
              <w:rPr>
                <w:rFonts w:hint="eastAsia" w:cs="Times New Roman"/>
                <w:color w:val="auto"/>
                <w:kern w:val="2"/>
                <w:sz w:val="24"/>
                <w:szCs w:val="32"/>
                <w:highlight w:val="none"/>
                <w:lang w:val="en-US" w:eastAsia="zh-CN" w:bidi="ar-SA"/>
              </w:rPr>
              <w:t>0.132</w:t>
            </w:r>
            <w:r>
              <w:rPr>
                <w:rFonts w:hint="default" w:ascii="Times New Roman" w:hAnsi="Times New Roman" w:eastAsia="宋体" w:cs="Times New Roman"/>
                <w:color w:val="auto"/>
                <w:kern w:val="2"/>
                <w:sz w:val="24"/>
                <w:szCs w:val="32"/>
                <w:highlight w:val="none"/>
                <w:lang w:val="en-US" w:eastAsia="zh-CN" w:bidi="ar-SA"/>
              </w:rPr>
              <w:t>t/a</w:t>
            </w:r>
            <w:r>
              <w:rPr>
                <w:rFonts w:hint="eastAsia" w:ascii="Times New Roman" w:hAnsi="Times New Roman" w:cs="Times New Roman"/>
                <w:color w:val="auto"/>
                <w:kern w:val="2"/>
                <w:sz w:val="24"/>
                <w:szCs w:val="32"/>
                <w:highlight w:val="none"/>
                <w:lang w:val="en-US" w:eastAsia="zh-CN" w:bidi="ar-SA"/>
              </w:rPr>
              <w:t>。</w:t>
            </w:r>
            <w:r>
              <w:rPr>
                <w:rFonts w:hint="default" w:ascii="Times New Roman" w:hAnsi="Times New Roman" w:eastAsia="宋体" w:cs="Times New Roman"/>
                <w:color w:val="auto"/>
                <w:kern w:val="2"/>
                <w:sz w:val="24"/>
                <w:szCs w:val="32"/>
                <w:highlight w:val="none"/>
                <w:lang w:val="en-US" w:eastAsia="zh-CN" w:bidi="ar-SA"/>
              </w:rPr>
              <w:t>故环评建议的总量控制指标为</w:t>
            </w:r>
            <w:r>
              <w:rPr>
                <w:rFonts w:hint="eastAsia" w:ascii="Times New Roman" w:hAnsi="Times New Roman" w:eastAsia="宋体" w:cs="Times New Roman"/>
                <w:color w:val="auto"/>
                <w:sz w:val="24"/>
                <w:highlight w:val="none"/>
                <w:lang w:val="en-US" w:eastAsia="zh-CN"/>
              </w:rPr>
              <w:t>NOx</w:t>
            </w:r>
            <w:r>
              <w:rPr>
                <w:rFonts w:hint="default" w:ascii="Times New Roman" w:hAnsi="Times New Roman" w:eastAsia="宋体" w:cs="Times New Roman"/>
                <w:color w:val="auto"/>
                <w:kern w:val="2"/>
                <w:sz w:val="24"/>
                <w:szCs w:val="32"/>
                <w:highlight w:val="none"/>
                <w:lang w:val="en-US" w:eastAsia="zh-CN" w:bidi="ar-SA"/>
              </w:rPr>
              <w:t>：</w:t>
            </w:r>
            <w:r>
              <w:rPr>
                <w:rFonts w:hint="eastAsia" w:cs="Times New Roman"/>
                <w:color w:val="auto"/>
                <w:kern w:val="2"/>
                <w:sz w:val="24"/>
                <w:szCs w:val="32"/>
                <w:highlight w:val="none"/>
                <w:lang w:val="en-US" w:eastAsia="zh-CN" w:bidi="ar-SA"/>
              </w:rPr>
              <w:t>0.132</w:t>
            </w:r>
            <w:r>
              <w:rPr>
                <w:rFonts w:hint="default" w:ascii="Times New Roman" w:hAnsi="Times New Roman" w:eastAsia="宋体" w:cs="Times New Roman"/>
                <w:color w:val="auto"/>
                <w:kern w:val="2"/>
                <w:sz w:val="24"/>
                <w:szCs w:val="32"/>
                <w:highlight w:val="none"/>
                <w:lang w:val="en-US" w:eastAsia="zh-CN" w:bidi="ar-SA"/>
              </w:rPr>
              <w:t>t/a</w:t>
            </w:r>
            <w:r>
              <w:rPr>
                <w:rFonts w:hint="eastAsia" w:ascii="Times New Roman" w:hAnsi="Times New Roman" w:cs="Times New Roman"/>
                <w:color w:val="auto"/>
                <w:kern w:val="2"/>
                <w:sz w:val="24"/>
                <w:szCs w:val="32"/>
                <w:highlight w:val="none"/>
                <w:lang w:val="en-US" w:eastAsia="zh-CN" w:bidi="ar-SA"/>
              </w:rPr>
              <w:t>，</w:t>
            </w:r>
            <w:r>
              <w:rPr>
                <w:rFonts w:ascii="宋体" w:hAnsi="宋体" w:eastAsia="宋体" w:cs="宋体"/>
                <w:color w:val="auto"/>
                <w:sz w:val="24"/>
                <w:szCs w:val="24"/>
                <w:highlight w:val="none"/>
              </w:rPr>
              <w:t>具体总量控制以对本项目环评报告表具有审批权限的环境保护主管部门下达的总量控制指标为准</w:t>
            </w:r>
            <w:r>
              <w:rPr>
                <w:color w:val="auto"/>
                <w:szCs w:val="32"/>
                <w:highlight w:val="none"/>
              </w:rPr>
              <w:t>。</w:t>
            </w:r>
          </w:p>
          <w:p>
            <w:pPr>
              <w:bidi w:val="0"/>
              <w:rPr>
                <w:rFonts w:hint="default" w:ascii="Times New Roman" w:hAnsi="Times New Roman" w:eastAsia="宋体" w:cs="Times New Roman"/>
                <w:color w:val="auto"/>
              </w:rPr>
            </w:pPr>
          </w:p>
        </w:tc>
      </w:tr>
    </w:tbl>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ind w:left="0" w:leftChars="0" w:firstLine="0" w:firstLineChars="0"/>
        <w:jc w:val="center"/>
        <w:textAlignment w:val="auto"/>
        <w:outlineLvl w:val="0"/>
        <w:rPr>
          <w:rFonts w:hint="default" w:ascii="Times New Roman" w:hAnsi="Times New Roman" w:eastAsia="宋体" w:cs="Times New Roman"/>
          <w:b/>
          <w:bCs/>
          <w:snapToGrid w:val="0"/>
          <w:color w:val="auto"/>
          <w:sz w:val="30"/>
          <w:szCs w:val="30"/>
          <w:highlight w:val="none"/>
        </w:rPr>
      </w:pPr>
      <w:bookmarkStart w:id="22" w:name="_Toc22880"/>
      <w:bookmarkStart w:id="23" w:name="_Hlk54167917"/>
      <w:bookmarkStart w:id="24" w:name="_Toc15583"/>
      <w:bookmarkStart w:id="25" w:name="_Toc14236"/>
      <w:r>
        <w:rPr>
          <w:rFonts w:hint="default" w:ascii="Times New Roman" w:hAnsi="Times New Roman" w:eastAsia="宋体" w:cs="Times New Roman"/>
          <w:snapToGrid w:val="0"/>
          <w:color w:val="auto"/>
          <w:sz w:val="36"/>
          <w:szCs w:val="36"/>
          <w:highlight w:val="none"/>
        </w:rPr>
        <w:br w:type="page"/>
      </w:r>
      <w:bookmarkStart w:id="26" w:name="_Toc27698"/>
      <w:bookmarkStart w:id="27" w:name="_Toc29003"/>
      <w:bookmarkStart w:id="28" w:name="_Toc3199"/>
      <w:r>
        <w:rPr>
          <w:rFonts w:hint="default" w:ascii="Times New Roman" w:hAnsi="Times New Roman" w:eastAsia="黑体" w:cs="Times New Roman"/>
          <w:snapToGrid w:val="0"/>
          <w:color w:val="auto"/>
          <w:sz w:val="30"/>
          <w:szCs w:val="30"/>
          <w:highlight w:val="none"/>
        </w:rPr>
        <w:t>四、主要环境影响和保护措施</w:t>
      </w:r>
      <w:bookmarkEnd w:id="26"/>
      <w:bookmarkEnd w:id="27"/>
      <w:bookmarkEnd w:id="28"/>
    </w:p>
    <w:tbl>
      <w:tblPr>
        <w:tblStyle w:val="30"/>
        <w:tblW w:w="91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3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828" w:type="dxa"/>
            <w:tcMar>
              <w:left w:w="28" w:type="dxa"/>
              <w:right w:w="28" w:type="dxa"/>
            </w:tcMar>
            <w:vAlign w:val="center"/>
          </w:tcPr>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施工</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期环</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境保</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护措</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
                <w:bCs/>
                <w:color w:val="auto"/>
                <w:kern w:val="2"/>
                <w:sz w:val="24"/>
                <w:szCs w:val="24"/>
                <w:highlight w:val="none"/>
              </w:rPr>
              <w:t>施</w:t>
            </w:r>
          </w:p>
        </w:tc>
        <w:tc>
          <w:tcPr>
            <w:tcW w:w="8362"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施工期环境影响分析与环保措施分析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kern w:val="0"/>
                <w:sz w:val="24"/>
                <w:szCs w:val="24"/>
                <w:highlight w:val="none"/>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主要为设备安装</w:t>
            </w:r>
            <w:r>
              <w:rPr>
                <w:rFonts w:hint="default" w:ascii="Times New Roman" w:hAnsi="Times New Roman" w:eastAsia="宋体" w:cs="Times New Roman"/>
                <w:color w:val="auto"/>
                <w:sz w:val="24"/>
                <w:szCs w:val="24"/>
                <w:highlight w:val="none"/>
              </w:rPr>
              <w:t>。施工过程主要为车辆运输产生的噪声、扬尘、施工生活污水和生活垃圾，建筑垃圾等。</w:t>
            </w:r>
          </w:p>
          <w:p>
            <w:pPr>
              <w:pStyle w:val="59"/>
              <w:keepNext w:val="0"/>
              <w:keepLines w:val="0"/>
              <w:pageBreakBefore w:val="0"/>
              <w:widowControl w:val="0"/>
              <w:kinsoku/>
              <w:wordWrap/>
              <w:overflowPunct/>
              <w:topLinePunct w:val="0"/>
              <w:autoSpaceDE w:val="0"/>
              <w:autoSpaceDN w:val="0"/>
              <w:bidi w:val="0"/>
              <w:adjustRightInd/>
              <w:snapToGrid/>
              <w:spacing w:line="480" w:lineRule="exact"/>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zh-CN" w:eastAsia="zh-CN" w:bidi="ar-SA"/>
              </w:rPr>
              <w:t>表</w:t>
            </w:r>
            <w:r>
              <w:rPr>
                <w:rFonts w:hint="default" w:ascii="Times New Roman" w:hAnsi="Times New Roman" w:eastAsia="宋体" w:cs="Times New Roman"/>
                <w:b/>
                <w:color w:val="auto"/>
                <w:kern w:val="2"/>
                <w:sz w:val="24"/>
                <w:szCs w:val="24"/>
                <w:highlight w:val="none"/>
                <w:lang w:val="en-US" w:eastAsia="zh-CN" w:bidi="ar-SA"/>
              </w:rPr>
              <w:t>4-1</w:t>
            </w:r>
            <w:r>
              <w:rPr>
                <w:rFonts w:hint="default" w:ascii="Times New Roman" w:hAnsi="Times New Roman" w:eastAsia="宋体" w:cs="Times New Roman"/>
                <w:b/>
                <w:color w:val="auto"/>
                <w:kern w:val="2"/>
                <w:sz w:val="24"/>
                <w:szCs w:val="24"/>
                <w:highlight w:val="none"/>
                <w:lang w:val="zh-CN" w:eastAsia="zh-CN" w:bidi="ar-SA"/>
              </w:rPr>
              <w:t xml:space="preserve">   </w:t>
            </w:r>
            <w:r>
              <w:rPr>
                <w:rFonts w:hint="default" w:ascii="Times New Roman" w:hAnsi="Times New Roman" w:eastAsia="宋体" w:cs="Times New Roman"/>
                <w:b/>
                <w:color w:val="auto"/>
                <w:kern w:val="2"/>
                <w:sz w:val="24"/>
                <w:szCs w:val="24"/>
                <w:highlight w:val="none"/>
                <w:lang w:val="en-US" w:eastAsia="zh-CN" w:bidi="ar-SA"/>
              </w:rPr>
              <w:t>施工期环保措施</w:t>
            </w:r>
          </w:p>
          <w:tbl>
            <w:tblPr>
              <w:tblStyle w:val="30"/>
              <w:tblW w:w="817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624"/>
              <w:gridCol w:w="1627"/>
              <w:gridCol w:w="4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624" w:type="dxa"/>
                  <w:vAlign w:val="center"/>
                </w:tcPr>
                <w:p>
                  <w:pPr>
                    <w:pStyle w:val="32"/>
                    <w:bidi w:val="0"/>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627" w:type="dxa"/>
                  <w:vAlign w:val="center"/>
                </w:tcPr>
                <w:p>
                  <w:pPr>
                    <w:pStyle w:val="32"/>
                    <w:bidi w:val="0"/>
                    <w:rPr>
                      <w:rFonts w:hint="default" w:ascii="Times New Roman" w:hAnsi="Times New Roman" w:cs="Times New Roman"/>
                      <w:b/>
                      <w:bCs/>
                      <w:color w:val="auto"/>
                      <w:lang w:eastAsia="zh-CN"/>
                    </w:rPr>
                  </w:pPr>
                  <w:r>
                    <w:rPr>
                      <w:rFonts w:hint="default" w:ascii="Times New Roman" w:hAnsi="Times New Roman" w:cs="Times New Roman"/>
                      <w:b/>
                      <w:bCs/>
                      <w:color w:val="auto"/>
                      <w:lang w:val="en-US" w:eastAsia="zh-CN"/>
                    </w:rPr>
                    <w:t>污染物</w:t>
                  </w:r>
                </w:p>
              </w:tc>
              <w:tc>
                <w:tcPr>
                  <w:tcW w:w="4926" w:type="dxa"/>
                  <w:vAlign w:val="center"/>
                </w:tcPr>
                <w:p>
                  <w:pPr>
                    <w:pStyle w:val="32"/>
                    <w:bidi w:val="0"/>
                    <w:rPr>
                      <w:rFonts w:hint="default" w:ascii="Times New Roman" w:hAnsi="Times New Roman" w:cs="Times New Roman"/>
                      <w:b/>
                      <w:bCs/>
                      <w:color w:val="auto"/>
                      <w:lang w:eastAsia="zh-CN"/>
                    </w:rPr>
                  </w:pPr>
                  <w:r>
                    <w:rPr>
                      <w:rFonts w:hint="default" w:ascii="Times New Roman" w:hAnsi="Times New Roman" w:cs="Times New Roman"/>
                      <w:b/>
                      <w:bCs/>
                      <w:color w:val="auto"/>
                    </w:rPr>
                    <w:t>环保</w:t>
                  </w:r>
                  <w:r>
                    <w:rPr>
                      <w:rFonts w:hint="default" w:ascii="Times New Roman" w:hAnsi="Times New Roman" w:cs="Times New Roman"/>
                      <w:b/>
                      <w:bCs/>
                      <w:color w:val="auto"/>
                      <w:lang w:val="en-US" w:eastAsia="zh-CN"/>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624"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rPr>
                  </w:pPr>
                  <w:r>
                    <w:rPr>
                      <w:rFonts w:hint="default" w:ascii="Times New Roman" w:hAnsi="Times New Roman" w:cs="Times New Roman"/>
                      <w:color w:val="auto"/>
                    </w:rPr>
                    <w:t>废气</w:t>
                  </w:r>
                </w:p>
              </w:tc>
              <w:tc>
                <w:tcPr>
                  <w:tcW w:w="1627"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施工扬尘</w:t>
                  </w:r>
                </w:p>
              </w:tc>
              <w:tc>
                <w:tcPr>
                  <w:tcW w:w="4926"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项目</w:t>
                  </w:r>
                  <w:r>
                    <w:rPr>
                      <w:rFonts w:hint="eastAsia" w:cs="Times New Roman"/>
                      <w:color w:val="auto"/>
                      <w:lang w:val="en-US" w:eastAsia="zh-CN"/>
                    </w:rPr>
                    <w:t>施工期</w:t>
                  </w:r>
                  <w:r>
                    <w:rPr>
                      <w:rFonts w:hint="default" w:ascii="Times New Roman" w:hAnsi="Times New Roman" w:cs="Times New Roman"/>
                      <w:color w:val="auto"/>
                      <w:lang w:val="en-US" w:eastAsia="zh-CN"/>
                    </w:rPr>
                    <w:t>仅涉及设备安装；</w:t>
                  </w:r>
                  <w:r>
                    <w:rPr>
                      <w:rFonts w:hint="eastAsia" w:cs="Times New Roman"/>
                      <w:color w:val="auto"/>
                      <w:lang w:val="en-US" w:eastAsia="zh-CN"/>
                    </w:rPr>
                    <w:t>厂区</w:t>
                  </w:r>
                  <w:r>
                    <w:rPr>
                      <w:rFonts w:hint="default" w:ascii="Times New Roman" w:hAnsi="Times New Roman" w:cs="Times New Roman"/>
                      <w:color w:val="auto"/>
                      <w:lang w:val="en-US" w:eastAsia="zh-CN"/>
                    </w:rPr>
                    <w:t>道路已硬化，垃圾及时清运，道路洒水，减少扬尘产生。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624" w:type="dxa"/>
                  <w:vMerge w:val="restart"/>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w:t>
                  </w:r>
                </w:p>
              </w:tc>
              <w:tc>
                <w:tcPr>
                  <w:tcW w:w="1627"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生活污水</w:t>
                  </w:r>
                </w:p>
              </w:tc>
              <w:tc>
                <w:tcPr>
                  <w:tcW w:w="4926"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依托现有生活设施，生活污水</w:t>
                  </w:r>
                  <w:r>
                    <w:rPr>
                      <w:rFonts w:hint="default" w:ascii="Times New Roman" w:hAnsi="Times New Roman" w:cs="Times New Roman"/>
                      <w:color w:val="auto"/>
                      <w:lang w:val="en-US" w:eastAsia="zh-CN"/>
                    </w:rPr>
                    <w:t>依托</w:t>
                  </w:r>
                  <w:r>
                    <w:rPr>
                      <w:rFonts w:hint="eastAsia" w:cs="Times New Roman"/>
                      <w:color w:val="auto"/>
                      <w:lang w:val="en-US" w:eastAsia="zh-CN"/>
                    </w:rPr>
                    <w:t>现有化粪池处理后定期清掏拉运堆肥。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624" w:type="dxa"/>
                  <w:vMerge w:val="continue"/>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val="en-US" w:eastAsia="zh-CN"/>
                    </w:rPr>
                  </w:pPr>
                </w:p>
              </w:tc>
              <w:tc>
                <w:tcPr>
                  <w:tcW w:w="1627"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施工废水</w:t>
                  </w:r>
                </w:p>
              </w:tc>
              <w:tc>
                <w:tcPr>
                  <w:tcW w:w="4926"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eastAsia="zh-CN"/>
                    </w:rPr>
                  </w:pPr>
                  <w:r>
                    <w:rPr>
                      <w:rFonts w:hint="default" w:ascii="Times New Roman" w:hAnsi="Times New Roman" w:cs="Times New Roman"/>
                      <w:color w:val="auto"/>
                      <w:lang w:eastAsia="zh-CN"/>
                    </w:rPr>
                    <w:t>项目无施工废水产生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624"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rPr>
                  </w:pPr>
                  <w:r>
                    <w:rPr>
                      <w:rFonts w:hint="default" w:ascii="Times New Roman" w:hAnsi="Times New Roman" w:cs="Times New Roman"/>
                      <w:color w:val="auto"/>
                    </w:rPr>
                    <w:t>噪声</w:t>
                  </w:r>
                </w:p>
              </w:tc>
              <w:tc>
                <w:tcPr>
                  <w:tcW w:w="1627"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rPr>
                  </w:pPr>
                  <w:r>
                    <w:rPr>
                      <w:rFonts w:hint="default" w:ascii="Times New Roman" w:hAnsi="Times New Roman" w:cs="Times New Roman"/>
                      <w:color w:val="auto"/>
                    </w:rPr>
                    <w:t>噪声</w:t>
                  </w:r>
                </w:p>
              </w:tc>
              <w:tc>
                <w:tcPr>
                  <w:tcW w:w="4926"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r>
                    <w:rPr>
                      <w:rFonts w:hint="eastAsia" w:cs="Times New Roman"/>
                      <w:color w:val="auto"/>
                      <w:lang w:val="en-US" w:eastAsia="zh-CN"/>
                    </w:rPr>
                    <w:t>施工，加强施工过程管理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624" w:type="dxa"/>
                  <w:vMerge w:val="restart"/>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rPr>
                  </w:pPr>
                  <w:r>
                    <w:rPr>
                      <w:rFonts w:hint="default" w:ascii="Times New Roman" w:hAnsi="Times New Roman" w:cs="Times New Roman"/>
                      <w:color w:val="auto"/>
                    </w:rPr>
                    <w:t>固废</w:t>
                  </w:r>
                </w:p>
              </w:tc>
              <w:tc>
                <w:tcPr>
                  <w:tcW w:w="1627"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生活垃圾</w:t>
                  </w:r>
                </w:p>
              </w:tc>
              <w:tc>
                <w:tcPr>
                  <w:tcW w:w="4926"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统一收集，</w:t>
                  </w:r>
                  <w:r>
                    <w:rPr>
                      <w:rFonts w:hint="eastAsia" w:cs="Times New Roman"/>
                      <w:color w:val="auto"/>
                      <w:lang w:val="en-US" w:eastAsia="zh-CN"/>
                    </w:rPr>
                    <w:t>交环卫部门处置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624" w:type="dxa"/>
                  <w:vMerge w:val="continue"/>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rPr>
                  </w:pPr>
                </w:p>
              </w:tc>
              <w:tc>
                <w:tcPr>
                  <w:tcW w:w="1627"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建筑垃圾</w:t>
                  </w:r>
                </w:p>
              </w:tc>
              <w:tc>
                <w:tcPr>
                  <w:tcW w:w="4926" w:type="dxa"/>
                  <w:vAlign w:val="center"/>
                </w:tcPr>
                <w:p>
                  <w:pPr>
                    <w:pStyle w:val="32"/>
                    <w:keepNext w:val="0"/>
                    <w:keepLines w:val="0"/>
                    <w:pageBreakBefore w:val="0"/>
                    <w:widowControl w:val="0"/>
                    <w:kinsoku/>
                    <w:wordWrap/>
                    <w:overflowPunct/>
                    <w:topLinePunct w:val="0"/>
                    <w:autoSpaceDE/>
                    <w:autoSpaceDN/>
                    <w:bidi w:val="0"/>
                    <w:adjustRightInd w:val="0"/>
                    <w:snapToGrid w:val="0"/>
                    <w:ind w:left="0" w:leftChars="0" w:right="0" w:rightChars="0"/>
                    <w:textAlignment w:val="baseline"/>
                    <w:rPr>
                      <w:rFonts w:hint="default" w:ascii="Times New Roman" w:hAnsi="Times New Roman" w:cs="Times New Roman"/>
                      <w:color w:val="auto"/>
                    </w:rPr>
                  </w:pPr>
                  <w:r>
                    <w:rPr>
                      <w:rFonts w:hint="default" w:ascii="Times New Roman" w:hAnsi="Times New Roman" w:cs="Times New Roman"/>
                      <w:color w:val="auto"/>
                    </w:rPr>
                    <w:t>按照当地管理部门要求清运</w:t>
                  </w:r>
                </w:p>
              </w:tc>
            </w:tr>
          </w:tbl>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bCs/>
                <w:color w:val="auto"/>
                <w:spacing w:val="-1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8" w:type="dxa"/>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运营</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期环</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境影</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响和</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保护</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措施</w:t>
            </w:r>
          </w:p>
        </w:tc>
        <w:tc>
          <w:tcPr>
            <w:tcW w:w="8362"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rPr>
              <w:t>、废气</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2" w:firstLineChars="200"/>
              <w:textAlignment w:val="auto"/>
              <w:rPr>
                <w:rFonts w:hint="eastAsia"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1、废气产排情况</w:t>
            </w:r>
          </w:p>
          <w:p>
            <w:pPr>
              <w:pStyle w:val="76"/>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表4-2   </w:t>
            </w:r>
            <w:r>
              <w:rPr>
                <w:rFonts w:hint="default" w:ascii="Times New Roman" w:hAnsi="Times New Roman" w:cs="Times New Roman"/>
                <w:color w:val="auto"/>
                <w:lang w:eastAsia="zh-CN"/>
              </w:rPr>
              <w:t>有组织</w:t>
            </w:r>
            <w:r>
              <w:rPr>
                <w:rFonts w:hint="default" w:ascii="Times New Roman" w:hAnsi="Times New Roman" w:cs="Times New Roman"/>
                <w:color w:val="auto"/>
              </w:rPr>
              <w:t>废气产生和排放源强一览表</w:t>
            </w:r>
          </w:p>
          <w:tbl>
            <w:tblPr>
              <w:tblStyle w:val="30"/>
              <w:tblW w:w="813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683"/>
              <w:gridCol w:w="1830"/>
              <w:gridCol w:w="945"/>
              <w:gridCol w:w="20"/>
              <w:gridCol w:w="940"/>
              <w:gridCol w:w="25"/>
              <w:gridCol w:w="965"/>
              <w:gridCol w:w="1362"/>
              <w:gridCol w:w="1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2895" w:type="dxa"/>
                  <w:gridSpan w:val="5"/>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天然气锅炉</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1#及2#热油锅</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3#及4#热油锅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污染物名称</w:t>
                  </w:r>
                </w:p>
              </w:tc>
              <w:tc>
                <w:tcPr>
                  <w:tcW w:w="945"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颗粒物</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二氧化硫</w:t>
                  </w:r>
                </w:p>
              </w:tc>
              <w:tc>
                <w:tcPr>
                  <w:tcW w:w="99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氮氧化物</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油烟</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cs="Times New Roman"/>
                      <w:b/>
                      <w:bCs w:val="0"/>
                      <w:color w:val="auto"/>
                      <w:sz w:val="21"/>
                      <w:szCs w:val="21"/>
                    </w:rPr>
                    <w:t>污染物产生量（t/a）</w:t>
                  </w:r>
                </w:p>
              </w:tc>
              <w:tc>
                <w:tcPr>
                  <w:tcW w:w="945" w:type="dxa"/>
                  <w:tcBorders>
                    <w:tl2br w:val="nil"/>
                    <w:tr2bl w:val="nil"/>
                  </w:tcBorders>
                  <w:shd w:val="clear" w:color="auto" w:fill="auto"/>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sz w:val="21"/>
                      <w:szCs w:val="21"/>
                      <w:lang w:val="en-US" w:eastAsia="zh-CN"/>
                    </w:rPr>
                    <w:t>0.021</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0.008</w:t>
                  </w:r>
                </w:p>
              </w:tc>
              <w:tc>
                <w:tcPr>
                  <w:tcW w:w="990" w:type="dxa"/>
                  <w:gridSpan w:val="2"/>
                  <w:tcBorders>
                    <w:tl2br w:val="nil"/>
                    <w:tr2bl w:val="nil"/>
                  </w:tcBorders>
                  <w:shd w:val="clear" w:color="auto" w:fill="auto"/>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sz w:val="21"/>
                      <w:szCs w:val="21"/>
                      <w:lang w:val="en-US" w:eastAsia="zh-CN"/>
                    </w:rPr>
                    <w:t>0.097</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0.227</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cs="Times New Roman"/>
                      <w:b/>
                      <w:bCs w:val="0"/>
                      <w:color w:val="auto"/>
                      <w:kern w:val="0"/>
                      <w:sz w:val="21"/>
                      <w:szCs w:val="21"/>
                      <w:lang w:val="en-US" w:eastAsia="zh-CN" w:bidi="ar-SA"/>
                    </w:rPr>
                    <w:t>污染物产生速率（kg/h）</w:t>
                  </w:r>
                </w:p>
              </w:tc>
              <w:tc>
                <w:tcPr>
                  <w:tcW w:w="945" w:type="dxa"/>
                  <w:tcBorders>
                    <w:tl2br w:val="nil"/>
                    <w:tr2bl w:val="nil"/>
                  </w:tcBorders>
                  <w:shd w:val="clear" w:color="auto" w:fill="auto"/>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sz w:val="21"/>
                      <w:szCs w:val="21"/>
                      <w:lang w:val="en-US" w:eastAsia="zh-CN"/>
                    </w:rPr>
                    <w:t>0.010</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0.004</w:t>
                  </w:r>
                </w:p>
              </w:tc>
              <w:tc>
                <w:tcPr>
                  <w:tcW w:w="990" w:type="dxa"/>
                  <w:gridSpan w:val="2"/>
                  <w:tcBorders>
                    <w:tl2br w:val="nil"/>
                    <w:tr2bl w:val="nil"/>
                  </w:tcBorders>
                  <w:shd w:val="clear" w:color="auto" w:fill="auto"/>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sz w:val="21"/>
                      <w:szCs w:val="21"/>
                      <w:lang w:val="en-US" w:eastAsia="zh-CN"/>
                    </w:rPr>
                    <w:t>0.046</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0.107</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rPr>
                    <w:t>污染物产生浓度（mg/m</w:t>
                  </w:r>
                  <w:r>
                    <w:rPr>
                      <w:rFonts w:hint="default" w:ascii="Times New Roman" w:hAnsi="Times New Roman" w:cs="Times New Roman"/>
                      <w:b/>
                      <w:bCs w:val="0"/>
                      <w:color w:val="auto"/>
                      <w:sz w:val="21"/>
                      <w:szCs w:val="21"/>
                      <w:vertAlign w:val="superscript"/>
                    </w:rPr>
                    <w:t>3</w:t>
                  </w:r>
                  <w:r>
                    <w:rPr>
                      <w:rFonts w:hint="default" w:ascii="Times New Roman" w:hAnsi="Times New Roman" w:cs="Times New Roman"/>
                      <w:b/>
                      <w:bCs w:val="0"/>
                      <w:color w:val="auto"/>
                      <w:sz w:val="21"/>
                      <w:szCs w:val="21"/>
                    </w:rPr>
                    <w:t>）</w:t>
                  </w:r>
                </w:p>
              </w:tc>
              <w:tc>
                <w:tcPr>
                  <w:tcW w:w="945" w:type="dxa"/>
                  <w:tcBorders>
                    <w:tl2br w:val="nil"/>
                    <w:tr2bl w:val="nil"/>
                  </w:tcBorders>
                  <w:shd w:val="clear" w:color="auto" w:fill="auto"/>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sz w:val="21"/>
                      <w:szCs w:val="21"/>
                      <w:lang w:val="en-US" w:eastAsia="zh-CN"/>
                    </w:rPr>
                    <w:t>9.7</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c>
                <w:tcPr>
                  <w:tcW w:w="990" w:type="dxa"/>
                  <w:gridSpan w:val="2"/>
                  <w:tcBorders>
                    <w:tl2br w:val="nil"/>
                    <w:tr2bl w:val="nil"/>
                  </w:tcBorders>
                  <w:shd w:val="clear" w:color="auto" w:fill="auto"/>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sz w:val="21"/>
                      <w:szCs w:val="21"/>
                      <w:lang w:val="en-US" w:eastAsia="zh-CN"/>
                    </w:rPr>
                    <w:t>46</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rPr>
                    <w:t>收集效率（%）</w:t>
                  </w:r>
                </w:p>
              </w:tc>
              <w:tc>
                <w:tcPr>
                  <w:tcW w:w="945"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99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采取处理措施</w:t>
                  </w:r>
                </w:p>
              </w:tc>
              <w:tc>
                <w:tcPr>
                  <w:tcW w:w="945"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低氮燃烧</w:t>
                  </w:r>
                </w:p>
              </w:tc>
              <w:tc>
                <w:tcPr>
                  <w:tcW w:w="99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油烟净化器</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油烟净化器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处理能力</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/h）</w:t>
                  </w:r>
                </w:p>
              </w:tc>
              <w:tc>
                <w:tcPr>
                  <w:tcW w:w="945"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99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10000</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rPr>
                    <w:t>治理工艺去除效率（%）</w:t>
                  </w:r>
                </w:p>
              </w:tc>
              <w:tc>
                <w:tcPr>
                  <w:tcW w:w="945"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c>
                <w:tcPr>
                  <w:tcW w:w="99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85</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是否为可行技术</w:t>
                  </w:r>
                </w:p>
              </w:tc>
              <w:tc>
                <w:tcPr>
                  <w:tcW w:w="945"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是</w:t>
                  </w:r>
                </w:p>
              </w:tc>
              <w:tc>
                <w:tcPr>
                  <w:tcW w:w="99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是</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rPr>
                    <w:t>污染物排放量（t/a）</w:t>
                  </w:r>
                </w:p>
              </w:tc>
              <w:tc>
                <w:tcPr>
                  <w:tcW w:w="945"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0.021</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0.004</w:t>
                  </w:r>
                </w:p>
              </w:tc>
              <w:tc>
                <w:tcPr>
                  <w:tcW w:w="99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0.097</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0.034</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2"/>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rPr>
                    <w:t>污染物排放速率（kg/h）</w:t>
                  </w:r>
                </w:p>
              </w:tc>
              <w:tc>
                <w:tcPr>
                  <w:tcW w:w="945"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0.010</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0.002</w:t>
                  </w:r>
                </w:p>
              </w:tc>
              <w:tc>
                <w:tcPr>
                  <w:tcW w:w="99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0.046</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0.016</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sz w:val="21"/>
                      <w:szCs w:val="21"/>
                    </w:rPr>
                    <w:t>污染物排放浓度（mg/m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945"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9.7</w:t>
                  </w:r>
                </w:p>
              </w:tc>
              <w:tc>
                <w:tcPr>
                  <w:tcW w:w="96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w:t>
                  </w:r>
                </w:p>
              </w:tc>
              <w:tc>
                <w:tcPr>
                  <w:tcW w:w="990" w:type="dxa"/>
                  <w:gridSpan w:val="2"/>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46</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83" w:type="dxa"/>
                  <w:vMerge w:val="restart"/>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rPr>
                    <w:t>排放口基本信息</w:t>
                  </w:r>
                </w:p>
              </w:tc>
              <w:tc>
                <w:tcPr>
                  <w:tcW w:w="1830"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cs="Times New Roman"/>
                      <w:b/>
                      <w:bCs w:val="0"/>
                      <w:color w:val="auto"/>
                      <w:sz w:val="21"/>
                      <w:szCs w:val="21"/>
                    </w:rPr>
                    <w:t>高度（m）</w:t>
                  </w:r>
                </w:p>
              </w:tc>
              <w:tc>
                <w:tcPr>
                  <w:tcW w:w="2895" w:type="dxa"/>
                  <w:gridSpan w:val="5"/>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83" w:type="dxa"/>
                  <w:vMerge w:val="continue"/>
                  <w:tcBorders>
                    <w:tl2br w:val="nil"/>
                    <w:tr2bl w:val="nil"/>
                  </w:tcBorders>
                  <w:vAlign w:val="center"/>
                </w:tcPr>
                <w:p>
                  <w:pPr>
                    <w:pStyle w:val="32"/>
                    <w:bidi w:val="0"/>
                    <w:jc w:val="center"/>
                    <w:rPr>
                      <w:rFonts w:hint="default" w:ascii="Times New Roman" w:hAnsi="Times New Roman" w:cs="Times New Roman"/>
                      <w:b/>
                      <w:bCs w:val="0"/>
                      <w:color w:val="auto"/>
                      <w:sz w:val="21"/>
                      <w:szCs w:val="21"/>
                      <w:highlight w:val="none"/>
                      <w:lang w:val="en-US" w:eastAsia="zh-CN"/>
                    </w:rPr>
                  </w:pPr>
                </w:p>
              </w:tc>
              <w:tc>
                <w:tcPr>
                  <w:tcW w:w="1830"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cs="Times New Roman"/>
                      <w:b/>
                      <w:bCs w:val="0"/>
                      <w:color w:val="auto"/>
                      <w:sz w:val="21"/>
                      <w:szCs w:val="21"/>
                    </w:rPr>
                    <w:t>排气筒内径（m）</w:t>
                  </w:r>
                </w:p>
              </w:tc>
              <w:tc>
                <w:tcPr>
                  <w:tcW w:w="2895" w:type="dxa"/>
                  <w:gridSpan w:val="5"/>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4</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83" w:type="dxa"/>
                  <w:vMerge w:val="continue"/>
                  <w:tcBorders>
                    <w:tl2br w:val="nil"/>
                    <w:tr2bl w:val="nil"/>
                  </w:tcBorders>
                  <w:vAlign w:val="center"/>
                </w:tcPr>
                <w:p>
                  <w:pPr>
                    <w:pStyle w:val="32"/>
                    <w:bidi w:val="0"/>
                    <w:jc w:val="center"/>
                    <w:rPr>
                      <w:rFonts w:hint="default" w:ascii="Times New Roman" w:hAnsi="Times New Roman" w:cs="Times New Roman"/>
                      <w:b/>
                      <w:bCs w:val="0"/>
                      <w:color w:val="auto"/>
                      <w:sz w:val="21"/>
                      <w:szCs w:val="21"/>
                      <w:highlight w:val="none"/>
                      <w:lang w:val="en-US" w:eastAsia="zh-CN"/>
                    </w:rPr>
                  </w:pPr>
                </w:p>
              </w:tc>
              <w:tc>
                <w:tcPr>
                  <w:tcW w:w="1830"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流速（m/s）</w:t>
                  </w:r>
                </w:p>
              </w:tc>
              <w:tc>
                <w:tcPr>
                  <w:tcW w:w="2895" w:type="dxa"/>
                  <w:gridSpan w:val="5"/>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4.1</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13.0</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83" w:type="dxa"/>
                  <w:vMerge w:val="continue"/>
                  <w:tcBorders>
                    <w:tl2br w:val="nil"/>
                    <w:tr2bl w:val="nil"/>
                  </w:tcBorders>
                  <w:vAlign w:val="center"/>
                </w:tcPr>
                <w:p>
                  <w:pPr>
                    <w:pStyle w:val="32"/>
                    <w:bidi w:val="0"/>
                    <w:jc w:val="center"/>
                    <w:rPr>
                      <w:rFonts w:hint="default" w:ascii="Times New Roman" w:hAnsi="Times New Roman" w:cs="Times New Roman"/>
                      <w:b/>
                      <w:bCs w:val="0"/>
                      <w:color w:val="auto"/>
                      <w:sz w:val="21"/>
                      <w:szCs w:val="21"/>
                      <w:highlight w:val="none"/>
                      <w:lang w:val="en-US" w:eastAsia="zh-CN"/>
                    </w:rPr>
                  </w:pPr>
                </w:p>
              </w:tc>
              <w:tc>
                <w:tcPr>
                  <w:tcW w:w="1830"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cs="Times New Roman"/>
                      <w:b/>
                      <w:bCs w:val="0"/>
                      <w:color w:val="auto"/>
                      <w:sz w:val="21"/>
                      <w:szCs w:val="21"/>
                    </w:rPr>
                    <w:t>温度（℃）</w:t>
                  </w:r>
                </w:p>
              </w:tc>
              <w:tc>
                <w:tcPr>
                  <w:tcW w:w="2895" w:type="dxa"/>
                  <w:gridSpan w:val="5"/>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105</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48.7</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83" w:type="dxa"/>
                  <w:vMerge w:val="continue"/>
                  <w:tcBorders>
                    <w:tl2br w:val="nil"/>
                    <w:tr2bl w:val="nil"/>
                  </w:tcBorders>
                  <w:vAlign w:val="center"/>
                </w:tcPr>
                <w:p>
                  <w:pPr>
                    <w:pStyle w:val="32"/>
                    <w:bidi w:val="0"/>
                    <w:jc w:val="center"/>
                    <w:rPr>
                      <w:rFonts w:hint="default" w:ascii="Times New Roman" w:hAnsi="Times New Roman" w:cs="Times New Roman"/>
                      <w:b/>
                      <w:bCs w:val="0"/>
                      <w:color w:val="auto"/>
                      <w:sz w:val="21"/>
                      <w:szCs w:val="21"/>
                      <w:highlight w:val="none"/>
                      <w:lang w:val="en-US" w:eastAsia="zh-CN"/>
                    </w:rPr>
                  </w:pPr>
                </w:p>
              </w:tc>
              <w:tc>
                <w:tcPr>
                  <w:tcW w:w="1830"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cs="Times New Roman"/>
                      <w:b/>
                      <w:bCs w:val="0"/>
                      <w:color w:val="auto"/>
                      <w:sz w:val="21"/>
                      <w:szCs w:val="21"/>
                    </w:rPr>
                    <w:t>编号及名称</w:t>
                  </w:r>
                </w:p>
              </w:tc>
              <w:tc>
                <w:tcPr>
                  <w:tcW w:w="2895" w:type="dxa"/>
                  <w:gridSpan w:val="5"/>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DA001</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DA002</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DA003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83" w:type="dxa"/>
                  <w:vMerge w:val="continue"/>
                  <w:tcBorders>
                    <w:tl2br w:val="nil"/>
                    <w:tr2bl w:val="nil"/>
                  </w:tcBorders>
                  <w:vAlign w:val="center"/>
                </w:tcPr>
                <w:p>
                  <w:pPr>
                    <w:pStyle w:val="32"/>
                    <w:bidi w:val="0"/>
                    <w:jc w:val="center"/>
                    <w:rPr>
                      <w:rFonts w:hint="default" w:ascii="Times New Roman" w:hAnsi="Times New Roman" w:cs="Times New Roman"/>
                      <w:b/>
                      <w:bCs w:val="0"/>
                      <w:color w:val="auto"/>
                      <w:sz w:val="21"/>
                      <w:szCs w:val="21"/>
                      <w:highlight w:val="none"/>
                      <w:lang w:val="en-US" w:eastAsia="zh-CN"/>
                    </w:rPr>
                  </w:pPr>
                </w:p>
              </w:tc>
              <w:tc>
                <w:tcPr>
                  <w:tcW w:w="1830"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cs="Times New Roman"/>
                      <w:b/>
                      <w:bCs w:val="0"/>
                      <w:color w:val="auto"/>
                      <w:sz w:val="21"/>
                      <w:szCs w:val="21"/>
                    </w:rPr>
                    <w:t>类型</w:t>
                  </w:r>
                </w:p>
              </w:tc>
              <w:tc>
                <w:tcPr>
                  <w:tcW w:w="2895" w:type="dxa"/>
                  <w:gridSpan w:val="5"/>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一般排放口</w:t>
                  </w:r>
                </w:p>
              </w:tc>
              <w:tc>
                <w:tcPr>
                  <w:tcW w:w="1362"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一般排放口</w:t>
                  </w:r>
                </w:p>
              </w:tc>
              <w:tc>
                <w:tcPr>
                  <w:tcW w:w="1363" w:type="dxa"/>
                  <w:tcBorders>
                    <w:tl2br w:val="nil"/>
                    <w:tr2bl w:val="nil"/>
                  </w:tcBorders>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83" w:type="dxa"/>
                  <w:vMerge w:val="continue"/>
                  <w:vAlign w:val="center"/>
                </w:tcPr>
                <w:p>
                  <w:pPr>
                    <w:pStyle w:val="32"/>
                    <w:bidi w:val="0"/>
                    <w:jc w:val="center"/>
                    <w:rPr>
                      <w:rFonts w:hint="default" w:ascii="Times New Roman" w:hAnsi="Times New Roman" w:cs="Times New Roman"/>
                      <w:b/>
                      <w:bCs w:val="0"/>
                      <w:color w:val="auto"/>
                      <w:sz w:val="21"/>
                      <w:szCs w:val="21"/>
                      <w:highlight w:val="none"/>
                      <w:lang w:val="en-US" w:eastAsia="zh-CN"/>
                    </w:rPr>
                  </w:pPr>
                </w:p>
              </w:tc>
              <w:tc>
                <w:tcPr>
                  <w:tcW w:w="1830" w:type="dxa"/>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cs="Times New Roman"/>
                      <w:b/>
                      <w:bCs w:val="0"/>
                      <w:color w:val="auto"/>
                      <w:sz w:val="21"/>
                      <w:szCs w:val="21"/>
                      <w:highlight w:val="none"/>
                    </w:rPr>
                    <w:t>地理坐标（°）</w:t>
                  </w:r>
                </w:p>
              </w:tc>
              <w:tc>
                <w:tcPr>
                  <w:tcW w:w="2895" w:type="dxa"/>
                  <w:gridSpan w:val="5"/>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E:</w:t>
                  </w:r>
                  <w:r>
                    <w:rPr>
                      <w:rFonts w:hint="default" w:ascii="Times New Roman" w:hAnsi="Times New Roman" w:eastAsia="宋体" w:cs="Times New Roman"/>
                      <w:b w:val="0"/>
                      <w:bCs w:val="0"/>
                      <w:color w:val="auto"/>
                      <w:sz w:val="21"/>
                      <w:szCs w:val="21"/>
                      <w:highlight w:val="none"/>
                      <w:lang w:val="en-US" w:eastAsia="zh-CN"/>
                    </w:rPr>
                    <w:t>107.569435</w:t>
                  </w:r>
                  <w:r>
                    <w:rPr>
                      <w:rFonts w:hint="default" w:ascii="Times New Roman" w:hAnsi="Times New Roman" w:cs="Times New Roman"/>
                      <w:b w:val="0"/>
                      <w:bCs w:val="0"/>
                      <w:color w:val="auto"/>
                      <w:sz w:val="21"/>
                      <w:szCs w:val="21"/>
                      <w:highlight w:val="none"/>
                      <w:lang w:val="en-US" w:eastAsia="zh-CN"/>
                    </w:rPr>
                    <w:t>°</w:t>
                  </w:r>
                </w:p>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lang w:val="en-US" w:eastAsia="zh-CN"/>
                    </w:rPr>
                    <w:t>34.311054</w:t>
                  </w:r>
                  <w:r>
                    <w:rPr>
                      <w:rFonts w:hint="default" w:ascii="Times New Roman" w:hAnsi="Times New Roman" w:cs="Times New Roman"/>
                      <w:b w:val="0"/>
                      <w:bCs w:val="0"/>
                      <w:color w:val="auto"/>
                      <w:sz w:val="21"/>
                      <w:szCs w:val="21"/>
                      <w:highlight w:val="none"/>
                      <w:lang w:val="en-US" w:eastAsia="zh-CN"/>
                    </w:rPr>
                    <w:t>°</w:t>
                  </w:r>
                </w:p>
              </w:tc>
              <w:tc>
                <w:tcPr>
                  <w:tcW w:w="1362" w:type="dxa"/>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E:</w:t>
                  </w:r>
                  <w:r>
                    <w:rPr>
                      <w:rFonts w:hint="default" w:ascii="Times New Roman" w:hAnsi="Times New Roman" w:eastAsia="宋体" w:cs="Times New Roman"/>
                      <w:b w:val="0"/>
                      <w:bCs w:val="0"/>
                      <w:color w:val="auto"/>
                      <w:sz w:val="21"/>
                      <w:szCs w:val="21"/>
                      <w:highlight w:val="none"/>
                      <w:lang w:val="en-US" w:eastAsia="zh-CN"/>
                    </w:rPr>
                    <w:t>107.570003</w:t>
                  </w:r>
                  <w:r>
                    <w:rPr>
                      <w:rFonts w:hint="default" w:ascii="Times New Roman" w:hAnsi="Times New Roman" w:cs="Times New Roman"/>
                      <w:b w:val="0"/>
                      <w:bCs w:val="0"/>
                      <w:color w:val="auto"/>
                      <w:sz w:val="21"/>
                      <w:szCs w:val="21"/>
                      <w:highlight w:val="none"/>
                      <w:lang w:val="en-US" w:eastAsia="zh-CN"/>
                    </w:rPr>
                    <w:t>°</w:t>
                  </w:r>
                </w:p>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lang w:val="en-US" w:eastAsia="zh-CN"/>
                    </w:rPr>
                    <w:t>34.311453</w:t>
                  </w:r>
                  <w:r>
                    <w:rPr>
                      <w:rFonts w:hint="default" w:ascii="Times New Roman" w:hAnsi="Times New Roman" w:cs="Times New Roman"/>
                      <w:b w:val="0"/>
                      <w:bCs w:val="0"/>
                      <w:color w:val="auto"/>
                      <w:sz w:val="21"/>
                      <w:szCs w:val="21"/>
                      <w:highlight w:val="none"/>
                      <w:lang w:val="en-US" w:eastAsia="zh-CN"/>
                    </w:rPr>
                    <w:t>°</w:t>
                  </w:r>
                </w:p>
              </w:tc>
              <w:tc>
                <w:tcPr>
                  <w:tcW w:w="1363" w:type="dxa"/>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E:</w:t>
                  </w:r>
                  <w:r>
                    <w:rPr>
                      <w:rFonts w:hint="default" w:ascii="Times New Roman" w:hAnsi="Times New Roman" w:eastAsia="宋体" w:cs="Times New Roman"/>
                      <w:b w:val="0"/>
                      <w:bCs w:val="0"/>
                      <w:color w:val="auto"/>
                      <w:sz w:val="21"/>
                      <w:szCs w:val="21"/>
                      <w:highlight w:val="none"/>
                      <w:lang w:val="en-US" w:eastAsia="zh-CN"/>
                    </w:rPr>
                    <w:t>107.570005</w:t>
                  </w:r>
                  <w:r>
                    <w:rPr>
                      <w:rFonts w:hint="default" w:ascii="Times New Roman" w:hAnsi="Times New Roman" w:cs="Times New Roman"/>
                      <w:b w:val="0"/>
                      <w:bCs w:val="0"/>
                      <w:color w:val="auto"/>
                      <w:sz w:val="21"/>
                      <w:szCs w:val="21"/>
                      <w:highlight w:val="none"/>
                      <w:lang w:val="en-US" w:eastAsia="zh-CN"/>
                    </w:rPr>
                    <w:t>°</w:t>
                  </w:r>
                </w:p>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lang w:val="en-US" w:eastAsia="zh-CN"/>
                    </w:rPr>
                    <w:t>34.311454</w:t>
                  </w: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年排放小时数（h）</w:t>
                  </w:r>
                </w:p>
              </w:tc>
              <w:tc>
                <w:tcPr>
                  <w:tcW w:w="2895" w:type="dxa"/>
                  <w:gridSpan w:val="5"/>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2100</w:t>
                  </w:r>
                </w:p>
              </w:tc>
              <w:tc>
                <w:tcPr>
                  <w:tcW w:w="1362" w:type="dxa"/>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21</w:t>
                  </w:r>
                  <w:r>
                    <w:rPr>
                      <w:rFonts w:hint="eastAsia" w:ascii="Times New Roman" w:hAnsi="Times New Roman" w:eastAsia="宋体" w:cs="Times New Roman"/>
                      <w:b w:val="0"/>
                      <w:bCs w:val="0"/>
                      <w:color w:val="auto"/>
                      <w:sz w:val="21"/>
                      <w:szCs w:val="21"/>
                      <w:lang w:val="en-US" w:eastAsia="zh-CN"/>
                    </w:rPr>
                    <w:t>00</w:t>
                  </w:r>
                </w:p>
              </w:tc>
              <w:tc>
                <w:tcPr>
                  <w:tcW w:w="1363" w:type="dxa"/>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排放标准</w:t>
                  </w:r>
                </w:p>
              </w:tc>
              <w:tc>
                <w:tcPr>
                  <w:tcW w:w="2895" w:type="dxa"/>
                  <w:gridSpan w:val="5"/>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《锅炉大气污染物排放标准》（DB60/1226-2018）</w:t>
                  </w:r>
                </w:p>
              </w:tc>
              <w:tc>
                <w:tcPr>
                  <w:tcW w:w="2725" w:type="dxa"/>
                  <w:gridSpan w:val="2"/>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《饮食业油烟排放标准》（GB18483-2001）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513" w:type="dxa"/>
                  <w:gridSpan w:val="2"/>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标准限值</w:t>
                  </w:r>
                  <w:r>
                    <w:rPr>
                      <w:rFonts w:hint="default" w:ascii="Times New Roman" w:hAnsi="Times New Roman" w:cs="Times New Roman"/>
                      <w:b/>
                      <w:bCs/>
                      <w:color w:val="auto"/>
                      <w:sz w:val="21"/>
                      <w:szCs w:val="21"/>
                      <w:highlight w:val="none"/>
                      <w:lang w:val="en-US" w:eastAsia="zh-CN"/>
                    </w:rPr>
                    <w:t>（mg/m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lang w:val="en-US" w:eastAsia="zh-CN"/>
                    </w:rPr>
                    <w:t>）</w:t>
                  </w:r>
                </w:p>
              </w:tc>
              <w:tc>
                <w:tcPr>
                  <w:tcW w:w="965" w:type="dxa"/>
                  <w:gridSpan w:val="2"/>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965" w:type="dxa"/>
                  <w:gridSpan w:val="2"/>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965" w:type="dxa"/>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2725" w:type="dxa"/>
                  <w:gridSpan w:val="2"/>
                  <w:vAlign w:val="center"/>
                </w:tcPr>
                <w:p>
                  <w:pPr>
                    <w:pStyle w:val="35"/>
                    <w:keepNext w:val="0"/>
                    <w:keepLines w:val="0"/>
                    <w:pageBreakBefore w:val="0"/>
                    <w:widowControl w:val="0"/>
                    <w:kinsoku/>
                    <w:wordWrap/>
                    <w:overflowPunct/>
                    <w:topLinePunct w:val="0"/>
                    <w:bidi w:val="0"/>
                    <w:adjustRightInd w:val="0"/>
                    <w:snapToGrid/>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w:t>
                  </w:r>
                </w:p>
              </w:tc>
            </w:tr>
          </w:tbl>
          <w:p>
            <w:pPr>
              <w:pStyle w:val="81"/>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4-3   </w:t>
            </w:r>
            <w:r>
              <w:rPr>
                <w:rFonts w:hint="default" w:ascii="Times New Roman" w:hAnsi="Times New Roman" w:eastAsia="宋体" w:cs="Times New Roman"/>
                <w:b/>
                <w:color w:val="auto"/>
                <w:spacing w:val="0"/>
                <w:sz w:val="24"/>
                <w:szCs w:val="24"/>
                <w:vertAlign w:val="baseline"/>
                <w:lang w:val="en-US" w:eastAsia="zh-CN"/>
              </w:rPr>
              <w:t>项目</w:t>
            </w:r>
            <w:r>
              <w:rPr>
                <w:rFonts w:hint="default" w:ascii="Times New Roman" w:hAnsi="Times New Roman" w:eastAsia="宋体" w:cs="Times New Roman"/>
                <w:b/>
                <w:color w:val="auto"/>
                <w:spacing w:val="0"/>
                <w:sz w:val="24"/>
                <w:szCs w:val="24"/>
                <w:lang w:eastAsia="zh-CN"/>
              </w:rPr>
              <w:t>无组织</w:t>
            </w:r>
            <w:r>
              <w:rPr>
                <w:rFonts w:hint="default" w:ascii="Times New Roman" w:hAnsi="Times New Roman" w:eastAsia="宋体" w:cs="Times New Roman"/>
                <w:b/>
                <w:color w:val="auto"/>
                <w:spacing w:val="0"/>
                <w:sz w:val="24"/>
                <w:szCs w:val="24"/>
              </w:rPr>
              <w:t>废气产生和排放</w:t>
            </w:r>
            <w:r>
              <w:rPr>
                <w:rFonts w:hint="default" w:ascii="Times New Roman" w:hAnsi="Times New Roman" w:eastAsia="宋体" w:cs="Times New Roman"/>
                <w:b/>
                <w:color w:val="auto"/>
                <w:spacing w:val="0"/>
                <w:sz w:val="24"/>
                <w:szCs w:val="24"/>
                <w:lang w:val="en-US" w:eastAsia="zh-CN"/>
              </w:rPr>
              <w:t>情况</w:t>
            </w:r>
            <w:r>
              <w:rPr>
                <w:rFonts w:hint="default" w:ascii="Times New Roman" w:hAnsi="Times New Roman" w:eastAsia="宋体" w:cs="Times New Roman"/>
                <w:b/>
                <w:color w:val="auto"/>
                <w:spacing w:val="0"/>
                <w:sz w:val="24"/>
                <w:szCs w:val="24"/>
              </w:rPr>
              <w:t>一览表</w:t>
            </w:r>
          </w:p>
          <w:tbl>
            <w:tblPr>
              <w:tblStyle w:val="30"/>
              <w:tblW w:w="811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611"/>
              <w:gridCol w:w="810"/>
              <w:gridCol w:w="750"/>
              <w:gridCol w:w="720"/>
              <w:gridCol w:w="810"/>
              <w:gridCol w:w="1491"/>
              <w:gridCol w:w="630"/>
              <w:gridCol w:w="615"/>
              <w:gridCol w:w="643"/>
              <w:gridCol w:w="522"/>
              <w:gridCol w:w="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11"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污染源</w:t>
                  </w:r>
                </w:p>
              </w:tc>
              <w:tc>
                <w:tcPr>
                  <w:tcW w:w="81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污染物名称</w:t>
                  </w:r>
                </w:p>
              </w:tc>
              <w:tc>
                <w:tcPr>
                  <w:tcW w:w="75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采取处理措施</w:t>
                  </w:r>
                </w:p>
              </w:tc>
              <w:tc>
                <w:tcPr>
                  <w:tcW w:w="7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排放量（t/a）</w:t>
                  </w:r>
                </w:p>
              </w:tc>
              <w:tc>
                <w:tcPr>
                  <w:tcW w:w="81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速率（kg/h）</w:t>
                  </w:r>
                </w:p>
              </w:tc>
              <w:tc>
                <w:tcPr>
                  <w:tcW w:w="1491"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面源起点坐标</w:t>
                  </w:r>
                </w:p>
              </w:tc>
              <w:tc>
                <w:tcPr>
                  <w:tcW w:w="63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面源长度（m）</w:t>
                  </w:r>
                </w:p>
              </w:tc>
              <w:tc>
                <w:tcPr>
                  <w:tcW w:w="61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面源宽度（m）</w:t>
                  </w:r>
                </w:p>
              </w:tc>
              <w:tc>
                <w:tcPr>
                  <w:tcW w:w="64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highlight w:val="none"/>
                    </w:rPr>
                    <w:t>年</w:t>
                  </w:r>
                  <w:r>
                    <w:rPr>
                      <w:rFonts w:hint="default" w:ascii="Times New Roman" w:hAnsi="Times New Roman" w:cs="Times New Roman"/>
                      <w:b/>
                      <w:bCs/>
                      <w:color w:val="auto"/>
                      <w:highlight w:val="none"/>
                      <w:lang w:val="en-US" w:eastAsia="zh-CN"/>
                    </w:rPr>
                    <w:t>排放小时数</w:t>
                  </w:r>
                  <w:r>
                    <w:rPr>
                      <w:rFonts w:hint="default" w:ascii="Times New Roman" w:hAnsi="Times New Roman" w:cs="Times New Roman"/>
                      <w:b/>
                      <w:bCs/>
                      <w:color w:val="auto"/>
                      <w:highlight w:val="none"/>
                    </w:rPr>
                    <w:t>（h）</w:t>
                  </w:r>
                </w:p>
              </w:tc>
              <w:tc>
                <w:tcPr>
                  <w:tcW w:w="52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排放工况</w:t>
                  </w:r>
                </w:p>
              </w:tc>
              <w:tc>
                <w:tcPr>
                  <w:tcW w:w="51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11"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default"/>
                      <w:color w:val="auto"/>
                      <w:lang w:val="en-US" w:eastAsia="zh-CN"/>
                    </w:rPr>
                  </w:pPr>
                  <w:r>
                    <w:rPr>
                      <w:rFonts w:hint="eastAsia"/>
                      <w:lang w:val="en-US" w:eastAsia="zh-CN"/>
                    </w:rPr>
                    <w:t>天然气灶</w:t>
                  </w:r>
                </w:p>
              </w:tc>
              <w:tc>
                <w:tcPr>
                  <w:tcW w:w="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颗粒物</w:t>
                  </w:r>
                </w:p>
              </w:tc>
              <w:tc>
                <w:tcPr>
                  <w:tcW w:w="7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无组织排放</w:t>
                  </w:r>
                </w:p>
              </w:tc>
              <w:tc>
                <w:tcPr>
                  <w:tcW w:w="72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0.012</w:t>
                  </w:r>
                </w:p>
              </w:tc>
              <w:tc>
                <w:tcPr>
                  <w:tcW w:w="81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0.013</w:t>
                  </w:r>
                </w:p>
              </w:tc>
              <w:tc>
                <w:tcPr>
                  <w:tcW w:w="14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E:</w:t>
                  </w:r>
                  <w:r>
                    <w:rPr>
                      <w:rFonts w:hint="default" w:ascii="Times New Roman" w:hAnsi="Times New Roman" w:cs="Times New Roman"/>
                      <w:b w:val="0"/>
                      <w:bCs w:val="0"/>
                      <w:color w:val="auto"/>
                      <w:sz w:val="21"/>
                      <w:szCs w:val="21"/>
                      <w:lang w:val="en-US" w:eastAsia="zh-CN"/>
                    </w:rPr>
                    <w:t>107.569637°</w:t>
                  </w:r>
                  <w:r>
                    <w:rPr>
                      <w:rFonts w:hint="eastAsia"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N:</w:t>
                  </w:r>
                  <w:r>
                    <w:rPr>
                      <w:rFonts w:hint="default" w:ascii="Times New Roman" w:hAnsi="Times New Roman" w:cs="Times New Roman"/>
                      <w:b w:val="0"/>
                      <w:bCs w:val="0"/>
                      <w:color w:val="auto"/>
                      <w:sz w:val="21"/>
                      <w:szCs w:val="21"/>
                      <w:lang w:val="en-US" w:eastAsia="zh-CN"/>
                    </w:rPr>
                    <w:t>34.311032°</w:t>
                  </w:r>
                </w:p>
              </w:tc>
              <w:tc>
                <w:tcPr>
                  <w:tcW w:w="6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85</w:t>
                  </w:r>
                </w:p>
              </w:tc>
              <w:tc>
                <w:tcPr>
                  <w:tcW w:w="61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30</w:t>
                  </w:r>
                </w:p>
              </w:tc>
              <w:tc>
                <w:tcPr>
                  <w:tcW w:w="6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900</w:t>
                  </w:r>
                </w:p>
              </w:tc>
              <w:tc>
                <w:tcPr>
                  <w:tcW w:w="5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正常</w:t>
                  </w:r>
                </w:p>
              </w:tc>
              <w:tc>
                <w:tcPr>
                  <w:tcW w:w="5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1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eastAsia"/>
                      <w:lang w:val="en-US" w:eastAsia="zh-CN"/>
                    </w:rPr>
                  </w:pPr>
                </w:p>
              </w:tc>
              <w:tc>
                <w:tcPr>
                  <w:tcW w:w="81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SO</w:t>
                  </w:r>
                  <w:r>
                    <w:rPr>
                      <w:rFonts w:hint="eastAsia" w:cs="Times New Roman"/>
                      <w:b w:val="0"/>
                      <w:bCs w:val="0"/>
                      <w:color w:val="auto"/>
                      <w:highlight w:val="none"/>
                      <w:vertAlign w:val="subscript"/>
                      <w:lang w:val="en-US" w:eastAsia="zh-CN"/>
                    </w:rPr>
                    <w:t>2</w:t>
                  </w: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p>
              </w:tc>
              <w:tc>
                <w:tcPr>
                  <w:tcW w:w="72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0.008</w:t>
                  </w:r>
                </w:p>
              </w:tc>
              <w:tc>
                <w:tcPr>
                  <w:tcW w:w="81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0.009</w:t>
                  </w:r>
                </w:p>
              </w:tc>
              <w:tc>
                <w:tcPr>
                  <w:tcW w:w="14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eastAsia" w:ascii="Times New Roman" w:hAnsi="Times New Roman" w:cs="Times New Roman"/>
                      <w:b w:val="0"/>
                      <w:bCs w:val="0"/>
                      <w:color w:val="auto"/>
                      <w:sz w:val="21"/>
                      <w:szCs w:val="21"/>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eastAsia" w:eastAsia="宋体" w:cs="Times New Roman"/>
                      <w:b w:val="0"/>
                      <w:bCs w:val="0"/>
                      <w:color w:val="auto"/>
                      <w:kern w:val="2"/>
                      <w:sz w:val="21"/>
                      <w:szCs w:val="21"/>
                      <w:lang w:val="en-US" w:eastAsia="zh-CN" w:bidi="ar-SA"/>
                    </w:rPr>
                  </w:pPr>
                </w:p>
              </w:tc>
              <w:tc>
                <w:tcPr>
                  <w:tcW w:w="6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eastAsia" w:eastAsia="宋体" w:cs="Times New Roman"/>
                      <w:b w:val="0"/>
                      <w:bCs w:val="0"/>
                      <w:color w:val="auto"/>
                      <w:kern w:val="2"/>
                      <w:sz w:val="21"/>
                      <w:szCs w:val="21"/>
                      <w:lang w:val="en-US" w:eastAsia="zh-CN" w:bidi="ar-SA"/>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p>
              </w:tc>
              <w:tc>
                <w:tcPr>
                  <w:tcW w:w="5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正常</w:t>
                  </w:r>
                </w:p>
              </w:tc>
              <w:tc>
                <w:tcPr>
                  <w:tcW w:w="51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61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ind w:left="-24" w:leftChars="-10" w:right="-24" w:rightChars="-10"/>
                    <w:rPr>
                      <w:rFonts w:hint="eastAsia" w:ascii="Times New Roman" w:hAnsi="Times New Roman" w:cs="Times New Roman"/>
                      <w:b w:val="0"/>
                      <w:bCs w:val="0"/>
                      <w:color w:val="auto"/>
                      <w:kern w:val="2"/>
                      <w:sz w:val="21"/>
                      <w:szCs w:val="21"/>
                      <w:lang w:val="en-US" w:eastAsia="zh-CN" w:bidi="ar-SA"/>
                    </w:rPr>
                  </w:pPr>
                </w:p>
              </w:tc>
              <w:tc>
                <w:tcPr>
                  <w:tcW w:w="810"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NO</w:t>
                  </w:r>
                  <w:r>
                    <w:rPr>
                      <w:rFonts w:hint="eastAsia" w:cs="Times New Roman"/>
                      <w:b w:val="0"/>
                      <w:bCs w:val="0"/>
                      <w:color w:val="auto"/>
                      <w:highlight w:val="none"/>
                      <w:vertAlign w:val="subscript"/>
                      <w:lang w:val="en-US" w:eastAsia="zh-CN"/>
                    </w:rPr>
                    <w:t>X</w:t>
                  </w:r>
                </w:p>
              </w:tc>
              <w:tc>
                <w:tcPr>
                  <w:tcW w:w="7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left="-24" w:leftChars="-10" w:right="-24" w:rightChars="-1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72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0.038</w:t>
                  </w:r>
                </w:p>
              </w:tc>
              <w:tc>
                <w:tcPr>
                  <w:tcW w:w="81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0.042</w:t>
                  </w:r>
                </w:p>
              </w:tc>
              <w:tc>
                <w:tcPr>
                  <w:tcW w:w="14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cs="Times New Roman"/>
                      <w:b w:val="0"/>
                      <w:bCs w:val="0"/>
                      <w:color w:val="auto"/>
                      <w:sz w:val="21"/>
                      <w:szCs w:val="21"/>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eastAsia" w:eastAsia="宋体" w:cs="Times New Roman"/>
                      <w:b w:val="0"/>
                      <w:bCs w:val="0"/>
                      <w:color w:val="auto"/>
                      <w:kern w:val="2"/>
                      <w:sz w:val="21"/>
                      <w:szCs w:val="21"/>
                      <w:lang w:val="en-US" w:eastAsia="zh-CN" w:bidi="ar-SA"/>
                    </w:rPr>
                  </w:pPr>
                </w:p>
              </w:tc>
              <w:tc>
                <w:tcPr>
                  <w:tcW w:w="6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eastAsia" w:eastAsia="宋体" w:cs="Times New Roman"/>
                      <w:b w:val="0"/>
                      <w:bCs w:val="0"/>
                      <w:color w:val="auto"/>
                      <w:kern w:val="2"/>
                      <w:sz w:val="21"/>
                      <w:szCs w:val="21"/>
                      <w:lang w:val="en-US" w:eastAsia="zh-CN" w:bidi="ar-SA"/>
                    </w:rPr>
                  </w:pPr>
                </w:p>
              </w:tc>
              <w:tc>
                <w:tcPr>
                  <w:tcW w:w="6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cs="Times New Roman"/>
                      <w:b w:val="0"/>
                      <w:bCs w:val="0"/>
                      <w:color w:val="auto"/>
                      <w:sz w:val="21"/>
                      <w:szCs w:val="21"/>
                      <w:lang w:val="en-US" w:eastAsia="zh-CN"/>
                    </w:rPr>
                  </w:pPr>
                </w:p>
              </w:tc>
              <w:tc>
                <w:tcPr>
                  <w:tcW w:w="5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正常</w:t>
                  </w:r>
                </w:p>
              </w:tc>
              <w:tc>
                <w:tcPr>
                  <w:tcW w:w="5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24" w:leftChars="-10" w:right="-24" w:rightChars="-1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达标</w:t>
                  </w:r>
                </w:p>
              </w:tc>
            </w:tr>
          </w:tbl>
          <w:p>
            <w:pPr>
              <w:pStyle w:val="81"/>
              <w:bidi w:val="0"/>
              <w:rPr>
                <w:rFonts w:hint="default" w:ascii="Times New Roman" w:hAnsi="Times New Roman" w:eastAsia="宋体" w:cs="Times New Roman"/>
                <w:b/>
                <w:bCs/>
                <w:color w:val="auto"/>
                <w:sz w:val="24"/>
                <w:szCs w:val="24"/>
              </w:rPr>
            </w:pPr>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4-4 </w:t>
            </w:r>
            <w:r>
              <w:rPr>
                <w:rFonts w:hint="default" w:ascii="Times New Roman" w:hAnsi="Times New Roman" w:cs="Times New Roman"/>
                <w:color w:val="auto"/>
              </w:rPr>
              <w:t xml:space="preserve">  </w:t>
            </w:r>
            <w:r>
              <w:rPr>
                <w:rFonts w:hint="default" w:ascii="Times New Roman" w:hAnsi="Times New Roman" w:eastAsia="宋体" w:cs="Times New Roman"/>
                <w:b/>
                <w:bCs/>
                <w:color w:val="auto"/>
                <w:sz w:val="24"/>
                <w:szCs w:val="24"/>
              </w:rPr>
              <w:t>大气污染物排放量核算表</w:t>
            </w:r>
          </w:p>
          <w:tbl>
            <w:tblPr>
              <w:tblStyle w:val="30"/>
              <w:tblW w:w="81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3902"/>
              <w:gridCol w:w="4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3902"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污染物</w:t>
                  </w:r>
                </w:p>
              </w:tc>
              <w:tc>
                <w:tcPr>
                  <w:tcW w:w="4241"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3902"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4241"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3902"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p>
              </w:tc>
              <w:tc>
                <w:tcPr>
                  <w:tcW w:w="4241"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3902"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NOx</w:t>
                  </w:r>
                </w:p>
              </w:tc>
              <w:tc>
                <w:tcPr>
                  <w:tcW w:w="4241"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0.132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3902"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油烟</w:t>
                  </w:r>
                </w:p>
              </w:tc>
              <w:tc>
                <w:tcPr>
                  <w:tcW w:w="4241" w:type="dxa"/>
                  <w:tcBorders>
                    <w:tl2br w:val="nil"/>
                    <w:tr2bl w:val="nil"/>
                  </w:tcBorders>
                  <w:shd w:val="clear" w:color="auto" w:fill="auto"/>
                  <w:vAlign w:val="center"/>
                </w:tcPr>
                <w:p>
                  <w:pPr>
                    <w:pStyle w:val="32"/>
                    <w:bidi w:val="0"/>
                    <w:ind w:left="-48" w:leftChars="-20" w:right="-48" w:rightChars="-20" w:firstLine="0" w:firstLineChars="0"/>
                    <w:rPr>
                      <w:rFonts w:hint="eastAsia" w:cs="Times New Roman"/>
                      <w:color w:val="auto"/>
                      <w:highlight w:val="none"/>
                      <w:lang w:val="en-US" w:eastAsia="zh-CN"/>
                    </w:rPr>
                  </w:pPr>
                  <w:r>
                    <w:rPr>
                      <w:rFonts w:hint="eastAsia" w:cs="Times New Roman"/>
                      <w:color w:val="auto"/>
                      <w:highlight w:val="none"/>
                      <w:lang w:val="en-US" w:eastAsia="zh-CN"/>
                    </w:rPr>
                    <w:t>0.044</w:t>
                  </w:r>
                </w:p>
              </w:tc>
            </w:tr>
          </w:tbl>
          <w:p>
            <w:pPr>
              <w:bidi w:val="0"/>
              <w:rPr>
                <w:rFonts w:hint="default"/>
                <w:color w:val="auto"/>
                <w:lang w:val="en-US" w:eastAsia="zh-CN"/>
              </w:rPr>
            </w:pPr>
            <w:r>
              <w:rPr>
                <w:rFonts w:hint="eastAsia"/>
                <w:color w:val="auto"/>
                <w:lang w:val="en-US" w:eastAsia="zh-CN"/>
              </w:rPr>
              <w:t>2、源强核算</w:t>
            </w:r>
          </w:p>
          <w:p>
            <w:pPr>
              <w:adjustRightInd w:val="0"/>
              <w:snapToGrid w:val="0"/>
              <w:spacing w:line="360" w:lineRule="auto"/>
              <w:ind w:firstLine="488" w:firstLineChars="200"/>
              <w:rPr>
                <w:rFonts w:hint="default"/>
                <w:color w:val="auto"/>
                <w:spacing w:val="2"/>
                <w:sz w:val="24"/>
                <w:lang w:val="en-US" w:eastAsia="zh-CN"/>
              </w:rPr>
            </w:pPr>
            <w:r>
              <w:rPr>
                <w:rFonts w:hint="eastAsia"/>
                <w:color w:val="auto"/>
                <w:spacing w:val="2"/>
                <w:sz w:val="24"/>
                <w:lang w:eastAsia="zh-CN"/>
              </w:rPr>
              <w:t>（</w:t>
            </w:r>
            <w:r>
              <w:rPr>
                <w:rFonts w:hint="eastAsia"/>
                <w:color w:val="auto"/>
                <w:spacing w:val="2"/>
                <w:sz w:val="24"/>
                <w:lang w:val="en-US" w:eastAsia="zh-CN"/>
              </w:rPr>
              <w:t>1</w:t>
            </w:r>
            <w:r>
              <w:rPr>
                <w:rFonts w:hint="eastAsia"/>
                <w:color w:val="auto"/>
                <w:spacing w:val="2"/>
                <w:sz w:val="24"/>
                <w:lang w:eastAsia="zh-CN"/>
              </w:rPr>
              <w:t>）</w:t>
            </w:r>
            <w:r>
              <w:rPr>
                <w:rFonts w:hint="eastAsia"/>
                <w:color w:val="auto"/>
                <w:spacing w:val="2"/>
                <w:sz w:val="24"/>
                <w:lang w:val="en-US" w:eastAsia="zh-CN"/>
              </w:rPr>
              <w:t>锅炉废气</w:t>
            </w:r>
          </w:p>
          <w:p>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sz w:val="24"/>
                <w:lang w:val="en-US" w:eastAsia="zh-CN"/>
              </w:rPr>
            </w:pPr>
            <w:r>
              <w:rPr>
                <w:rFonts w:hint="eastAsia" w:cs="Times New Roman"/>
                <w:color w:val="auto"/>
                <w:sz w:val="24"/>
                <w:lang w:val="en-US" w:eastAsia="zh-CN"/>
              </w:rPr>
              <w:t>本次扩建项目依托现</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台</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t/h</w:t>
            </w:r>
            <w:r>
              <w:rPr>
                <w:rFonts w:hint="default" w:ascii="Times New Roman" w:hAnsi="Times New Roman" w:eastAsia="宋体" w:cs="Times New Roman"/>
                <w:color w:val="auto"/>
                <w:sz w:val="24"/>
              </w:rPr>
              <w:t>天然气</w:t>
            </w:r>
            <w:r>
              <w:rPr>
                <w:rFonts w:hint="eastAsia" w:cs="Times New Roman"/>
                <w:color w:val="auto"/>
                <w:sz w:val="24"/>
                <w:lang w:val="en-US" w:eastAsia="zh-CN"/>
              </w:rPr>
              <w:t>蒸汽</w:t>
            </w:r>
            <w:r>
              <w:rPr>
                <w:rFonts w:hint="default" w:ascii="Times New Roman" w:hAnsi="Times New Roman" w:eastAsia="宋体" w:cs="Times New Roman"/>
                <w:color w:val="auto"/>
                <w:sz w:val="24"/>
              </w:rPr>
              <w:t>锅炉</w:t>
            </w:r>
            <w:r>
              <w:rPr>
                <w:rFonts w:hint="eastAsia" w:cs="Times New Roman"/>
                <w:color w:val="auto"/>
                <w:sz w:val="24"/>
                <w:lang w:eastAsia="zh-CN"/>
              </w:rPr>
              <w:t>。</w:t>
            </w:r>
            <w:r>
              <w:rPr>
                <w:rFonts w:hint="eastAsia" w:cs="Times New Roman"/>
                <w:color w:val="auto"/>
                <w:sz w:val="24"/>
                <w:lang w:val="en-US" w:eastAsia="zh-CN"/>
              </w:rPr>
              <w:t>根据建设单位提供资料，原天然</w:t>
            </w:r>
            <w:r>
              <w:rPr>
                <w:rFonts w:hint="eastAsia" w:ascii="Times New Roman" w:hAnsi="Times New Roman" w:eastAsia="宋体" w:cs="Times New Roman"/>
                <w:color w:val="000000"/>
                <w:sz w:val="24"/>
                <w:lang w:val="en-US" w:eastAsia="zh-CN"/>
              </w:rPr>
              <w:t>气蒸汽锅炉平均每天生产约3h，本次扩建后，天然气蒸汽锅炉平均每天生产7h。</w:t>
            </w:r>
            <w:r>
              <w:rPr>
                <w:rFonts w:hint="default" w:ascii="Times New Roman" w:hAnsi="Times New Roman" w:eastAsia="宋体" w:cs="Times New Roman"/>
                <w:color w:val="000000"/>
                <w:sz w:val="24"/>
                <w:lang w:val="en-US" w:eastAsia="zh-CN"/>
              </w:rPr>
              <w:t>锅炉烟气经一根</w:t>
            </w:r>
            <w:r>
              <w:rPr>
                <w:rFonts w:hint="eastAsia" w:ascii="Times New Roman" w:hAnsi="Times New Roman" w:eastAsia="宋体" w:cs="Times New Roman"/>
                <w:color w:val="000000"/>
                <w:sz w:val="24"/>
                <w:lang w:val="en-US" w:eastAsia="zh-CN"/>
              </w:rPr>
              <w:t>15</w:t>
            </w:r>
            <w:r>
              <w:rPr>
                <w:rFonts w:hint="default" w:ascii="Times New Roman" w:hAnsi="Times New Roman" w:eastAsia="宋体" w:cs="Times New Roman"/>
                <w:color w:val="000000"/>
                <w:sz w:val="24"/>
                <w:lang w:val="en-US" w:eastAsia="zh-CN"/>
              </w:rPr>
              <w:t>m高排气筒排放。</w:t>
            </w:r>
            <w:r>
              <w:rPr>
                <w:rFonts w:hint="eastAsia" w:cs="Times New Roman"/>
                <w:color w:val="000000"/>
                <w:sz w:val="24"/>
                <w:lang w:val="en-US" w:eastAsia="zh-CN"/>
              </w:rPr>
              <w:t>本次环评锅炉废气核算根据陕西恒正飞翔环保科技有限公司2025年8月19日出具的监测报告确定，天然气锅炉废气排放情况详见下表。</w:t>
            </w:r>
          </w:p>
          <w:p>
            <w:pPr>
              <w:pStyle w:val="81"/>
              <w:bidi w:val="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4-</w:t>
            </w:r>
            <w:r>
              <w:rPr>
                <w:rFonts w:hint="eastAsia" w:cs="Times New Roman"/>
                <w:color w:val="auto"/>
                <w:lang w:val="en-US" w:eastAsia="zh-CN"/>
              </w:rPr>
              <w:t>5</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 xml:space="preserve">  </w:t>
            </w:r>
            <w:r>
              <w:rPr>
                <w:rFonts w:hint="eastAsia" w:cs="Times New Roman"/>
                <w:b/>
                <w:bCs/>
                <w:color w:val="auto"/>
                <w:sz w:val="24"/>
                <w:szCs w:val="24"/>
                <w:lang w:val="en-US" w:eastAsia="zh-CN"/>
              </w:rPr>
              <w:t>天然气锅炉废气排放情况一览表</w:t>
            </w:r>
          </w:p>
          <w:tbl>
            <w:tblPr>
              <w:tblStyle w:val="30"/>
              <w:tblW w:w="81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2035"/>
              <w:gridCol w:w="2035"/>
              <w:gridCol w:w="2035"/>
              <w:gridCol w:w="2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035"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污染物</w:t>
                  </w:r>
                </w:p>
              </w:tc>
              <w:tc>
                <w:tcPr>
                  <w:tcW w:w="2035"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排放浓度（mg/m</w:t>
                  </w:r>
                  <w:r>
                    <w:rPr>
                      <w:rFonts w:hint="eastAsia" w:cs="Times New Roman"/>
                      <w:b/>
                      <w:bCs/>
                      <w:color w:val="auto"/>
                      <w:highlight w:val="none"/>
                      <w:vertAlign w:val="superscript"/>
                      <w:lang w:val="en-US" w:eastAsia="zh-CN"/>
                    </w:rPr>
                    <w:t>3</w:t>
                  </w:r>
                  <w:r>
                    <w:rPr>
                      <w:rFonts w:hint="eastAsia" w:cs="Times New Roman"/>
                      <w:b/>
                      <w:bCs/>
                      <w:color w:val="auto"/>
                      <w:highlight w:val="none"/>
                      <w:lang w:val="en-US" w:eastAsia="zh-CN"/>
                    </w:rPr>
                    <w:t>）</w:t>
                  </w:r>
                </w:p>
              </w:tc>
              <w:tc>
                <w:tcPr>
                  <w:tcW w:w="2035"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排放速率（kg/h）</w:t>
                  </w:r>
                </w:p>
              </w:tc>
              <w:tc>
                <w:tcPr>
                  <w:tcW w:w="2038"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035"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2035"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9.7</w:t>
                  </w:r>
                </w:p>
              </w:tc>
              <w:tc>
                <w:tcPr>
                  <w:tcW w:w="2035"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0.010</w:t>
                  </w:r>
                </w:p>
              </w:tc>
              <w:tc>
                <w:tcPr>
                  <w:tcW w:w="2038"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0.021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035"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p>
              </w:tc>
              <w:tc>
                <w:tcPr>
                  <w:tcW w:w="2035"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1.5</w:t>
                  </w:r>
                </w:p>
              </w:tc>
              <w:tc>
                <w:tcPr>
                  <w:tcW w:w="2035"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0.002</w:t>
                  </w:r>
                </w:p>
              </w:tc>
              <w:tc>
                <w:tcPr>
                  <w:tcW w:w="2038"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2035"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NOx</w:t>
                  </w:r>
                </w:p>
              </w:tc>
              <w:tc>
                <w:tcPr>
                  <w:tcW w:w="2035"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46</w:t>
                  </w:r>
                </w:p>
              </w:tc>
              <w:tc>
                <w:tcPr>
                  <w:tcW w:w="2035"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0.046</w:t>
                  </w:r>
                </w:p>
              </w:tc>
              <w:tc>
                <w:tcPr>
                  <w:tcW w:w="2038"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0.097</w:t>
                  </w:r>
                </w:p>
              </w:tc>
            </w:tr>
          </w:tbl>
          <w:p>
            <w:pPr>
              <w:ind w:firstLine="480" w:firstLineChars="200"/>
              <w:rPr>
                <w:rFonts w:hint="default" w:ascii="Times New Roman" w:hAnsi="Times New Roman" w:eastAsia="宋体" w:cs="Times New Roman"/>
                <w:b w:val="0"/>
                <w:bCs w:val="0"/>
                <w:color w:val="000000"/>
                <w:sz w:val="24"/>
                <w:szCs w:val="24"/>
                <w:highlight w:val="none"/>
                <w:lang w:val="en-US" w:eastAsia="zh-CN"/>
              </w:rPr>
            </w:pPr>
            <w:r>
              <w:rPr>
                <w:rFonts w:hint="eastAsia" w:cs="Times New Roman"/>
                <w:b w:val="0"/>
                <w:bCs w:val="0"/>
                <w:color w:val="000000"/>
                <w:sz w:val="24"/>
                <w:szCs w:val="24"/>
                <w:highlight w:val="none"/>
                <w:lang w:val="en-US" w:eastAsia="zh-CN"/>
              </w:rPr>
              <w:t>根据以上核算</w:t>
            </w:r>
            <w:r>
              <w:rPr>
                <w:rFonts w:hint="default" w:ascii="Times New Roman" w:hAnsi="Times New Roman" w:eastAsia="宋体" w:cs="Times New Roman"/>
                <w:b w:val="0"/>
                <w:bCs w:val="0"/>
                <w:color w:val="000000"/>
                <w:sz w:val="24"/>
                <w:szCs w:val="24"/>
                <w:highlight w:val="none"/>
                <w:lang w:val="en-US" w:eastAsia="zh-CN"/>
              </w:rPr>
              <w:t>，本项目</w:t>
            </w:r>
            <w:r>
              <w:rPr>
                <w:rFonts w:hint="eastAsia" w:cs="Times New Roman"/>
                <w:b w:val="0"/>
                <w:bCs w:val="0"/>
                <w:color w:val="000000"/>
                <w:sz w:val="24"/>
                <w:szCs w:val="24"/>
                <w:highlight w:val="none"/>
                <w:lang w:val="en-US" w:eastAsia="zh-CN"/>
              </w:rPr>
              <w:t>1</w:t>
            </w:r>
            <w:r>
              <w:rPr>
                <w:rFonts w:hint="default" w:ascii="Times New Roman" w:hAnsi="Times New Roman" w:eastAsia="宋体" w:cs="Times New Roman"/>
                <w:b w:val="0"/>
                <w:bCs w:val="0"/>
                <w:color w:val="000000"/>
                <w:sz w:val="24"/>
                <w:szCs w:val="24"/>
                <w:highlight w:val="none"/>
                <w:lang w:val="en-US" w:eastAsia="zh-CN"/>
              </w:rPr>
              <w:t>台</w:t>
            </w:r>
            <w:r>
              <w:rPr>
                <w:rFonts w:hint="eastAsia" w:cs="Times New Roman"/>
                <w:b w:val="0"/>
                <w:bCs w:val="0"/>
                <w:color w:val="000000"/>
                <w:sz w:val="24"/>
                <w:szCs w:val="24"/>
                <w:highlight w:val="none"/>
                <w:lang w:val="en-US" w:eastAsia="zh-CN"/>
              </w:rPr>
              <w:t>1t/h</w:t>
            </w:r>
            <w:r>
              <w:rPr>
                <w:rFonts w:hint="default" w:ascii="Times New Roman" w:hAnsi="Times New Roman" w:eastAsia="宋体" w:cs="Times New Roman"/>
                <w:b w:val="0"/>
                <w:bCs w:val="0"/>
                <w:color w:val="000000"/>
                <w:sz w:val="24"/>
                <w:szCs w:val="24"/>
                <w:highlight w:val="none"/>
                <w:lang w:val="en-US" w:eastAsia="zh-CN"/>
              </w:rPr>
              <w:t>燃气锅炉燃烧废气中的</w:t>
            </w:r>
            <w:r>
              <w:rPr>
                <w:rFonts w:hint="eastAsia" w:eastAsia="宋体" w:cs="Times New Roman"/>
                <w:b w:val="0"/>
                <w:bCs w:val="0"/>
                <w:color w:val="000000"/>
                <w:sz w:val="24"/>
                <w:szCs w:val="24"/>
                <w:highlight w:val="none"/>
                <w:lang w:val="en-US" w:eastAsia="zh-CN"/>
              </w:rPr>
              <w:t>颗粒物</w:t>
            </w:r>
            <w:r>
              <w:rPr>
                <w:rFonts w:hint="default" w:ascii="Times New Roman" w:hAnsi="Times New Roman" w:eastAsia="宋体" w:cs="Times New Roman"/>
                <w:b w:val="0"/>
                <w:bCs w:val="0"/>
                <w:color w:val="000000"/>
                <w:sz w:val="24"/>
                <w:szCs w:val="24"/>
                <w:highlight w:val="none"/>
                <w:lang w:val="en-US" w:eastAsia="zh-CN"/>
              </w:rPr>
              <w:t>、二氧化硫</w:t>
            </w:r>
            <w:r>
              <w:rPr>
                <w:rFonts w:hint="eastAsia"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氮氧化物排放浓度均可满足《锅炉大气污染物排放标准》（DB60/1226-2018）中天然气锅炉相关排放限值。</w:t>
            </w:r>
          </w:p>
          <w:p>
            <w:pPr>
              <w:adjustRightInd w:val="0"/>
              <w:snapToGrid w:val="0"/>
              <w:spacing w:line="360" w:lineRule="auto"/>
              <w:ind w:firstLine="488" w:firstLineChars="200"/>
              <w:rPr>
                <w:rFonts w:hint="default"/>
                <w:color w:val="auto"/>
                <w:spacing w:val="2"/>
                <w:sz w:val="24"/>
                <w:lang w:val="en-US" w:eastAsia="zh-CN"/>
              </w:rPr>
            </w:pPr>
            <w:r>
              <w:rPr>
                <w:rFonts w:hint="eastAsia"/>
                <w:color w:val="auto"/>
                <w:spacing w:val="2"/>
                <w:sz w:val="24"/>
                <w:lang w:eastAsia="zh-CN"/>
              </w:rPr>
              <w:t>（</w:t>
            </w:r>
            <w:r>
              <w:rPr>
                <w:rFonts w:hint="eastAsia"/>
                <w:color w:val="auto"/>
                <w:spacing w:val="2"/>
                <w:sz w:val="24"/>
                <w:lang w:val="en-US" w:eastAsia="zh-CN"/>
              </w:rPr>
              <w:t>2</w:t>
            </w:r>
            <w:r>
              <w:rPr>
                <w:rFonts w:hint="eastAsia"/>
                <w:color w:val="auto"/>
                <w:spacing w:val="2"/>
                <w:sz w:val="24"/>
                <w:lang w:eastAsia="zh-CN"/>
              </w:rPr>
              <w:t>）</w:t>
            </w:r>
            <w:r>
              <w:rPr>
                <w:rFonts w:hint="eastAsia"/>
                <w:color w:val="auto"/>
                <w:spacing w:val="2"/>
                <w:sz w:val="24"/>
                <w:lang w:val="en-US" w:eastAsia="zh-CN"/>
              </w:rPr>
              <w:t>油烟废气</w:t>
            </w:r>
          </w:p>
          <w:p>
            <w:pPr>
              <w:adjustRightInd w:val="0"/>
              <w:snapToGrid w:val="0"/>
              <w:spacing w:line="360" w:lineRule="auto"/>
              <w:ind w:firstLine="488" w:firstLineChars="200"/>
              <w:rPr>
                <w:rFonts w:hint="default"/>
                <w:color w:val="auto"/>
                <w:spacing w:val="2"/>
                <w:sz w:val="24"/>
                <w:lang w:val="en-US" w:eastAsia="zh-CN"/>
              </w:rPr>
            </w:pPr>
            <w:r>
              <w:rPr>
                <w:rFonts w:hint="eastAsia"/>
                <w:color w:val="auto"/>
                <w:spacing w:val="2"/>
                <w:sz w:val="24"/>
                <w:lang w:val="en-US" w:eastAsia="zh-CN"/>
              </w:rPr>
              <w:t>本项目扩建后生产车间内食用油加热区域设4个灶台，灶影面积为7.2m</w:t>
            </w:r>
            <w:r>
              <w:rPr>
                <w:rFonts w:hint="eastAsia"/>
                <w:color w:val="auto"/>
                <w:spacing w:val="2"/>
                <w:sz w:val="24"/>
                <w:vertAlign w:val="superscript"/>
                <w:lang w:val="en-US" w:eastAsia="zh-CN"/>
              </w:rPr>
              <w:t>2</w:t>
            </w:r>
            <w:r>
              <w:rPr>
                <w:rFonts w:hint="eastAsia"/>
                <w:color w:val="auto"/>
                <w:spacing w:val="2"/>
                <w:sz w:val="24"/>
                <w:lang w:val="en-US" w:eastAsia="zh-CN"/>
              </w:rPr>
              <w:t>，总基准灶头为6.5个。本项目每2个灶台设1个集气罩并对应一套油烟净化器处理设施及相应的排放口，项目区集气罩油烟净化器及排放口均为2套。本次环评油烟废气核算根据</w:t>
            </w:r>
            <w:r>
              <w:rPr>
                <w:rFonts w:hint="eastAsia" w:cs="Times New Roman"/>
                <w:color w:val="000000"/>
                <w:sz w:val="24"/>
                <w:lang w:val="en-US" w:eastAsia="zh-CN"/>
              </w:rPr>
              <w:t>陕西恒正飞翔环保科技有限公司2025年8月19日出具的监测报告确定，油烟废气排放情况详见下表。</w:t>
            </w:r>
          </w:p>
          <w:p>
            <w:pPr>
              <w:pStyle w:val="81"/>
              <w:bidi w:val="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4-</w:t>
            </w:r>
            <w:r>
              <w:rPr>
                <w:rFonts w:hint="eastAsia" w:cs="Times New Roman"/>
                <w:color w:val="auto"/>
                <w:lang w:val="en-US" w:eastAsia="zh-CN"/>
              </w:rPr>
              <w:t>6</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 xml:space="preserve">  </w:t>
            </w:r>
            <w:r>
              <w:rPr>
                <w:rFonts w:hint="eastAsia" w:cs="Times New Roman"/>
                <w:b/>
                <w:bCs/>
                <w:color w:val="auto"/>
                <w:sz w:val="24"/>
                <w:szCs w:val="24"/>
                <w:lang w:val="en-US" w:eastAsia="zh-CN"/>
              </w:rPr>
              <w:t>油烟废气排放情况一览表</w:t>
            </w:r>
          </w:p>
          <w:tbl>
            <w:tblPr>
              <w:tblStyle w:val="30"/>
              <w:tblW w:w="81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017"/>
              <w:gridCol w:w="1996"/>
              <w:gridCol w:w="1950"/>
              <w:gridCol w:w="1710"/>
              <w:gridCol w:w="1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017"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污染物</w:t>
                  </w:r>
                </w:p>
              </w:tc>
              <w:tc>
                <w:tcPr>
                  <w:tcW w:w="1996"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排放口</w:t>
                  </w:r>
                </w:p>
              </w:tc>
              <w:tc>
                <w:tcPr>
                  <w:tcW w:w="1950"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排放浓度（mg/m</w:t>
                  </w:r>
                  <w:r>
                    <w:rPr>
                      <w:rFonts w:hint="eastAsia" w:cs="Times New Roman"/>
                      <w:b/>
                      <w:bCs/>
                      <w:color w:val="auto"/>
                      <w:highlight w:val="none"/>
                      <w:vertAlign w:val="superscript"/>
                      <w:lang w:val="en-US" w:eastAsia="zh-CN"/>
                    </w:rPr>
                    <w:t>3</w:t>
                  </w:r>
                  <w:r>
                    <w:rPr>
                      <w:rFonts w:hint="eastAsia" w:cs="Times New Roman"/>
                      <w:b/>
                      <w:bCs/>
                      <w:color w:val="auto"/>
                      <w:highlight w:val="none"/>
                      <w:lang w:val="en-US" w:eastAsia="zh-CN"/>
                    </w:rPr>
                    <w:t>）</w:t>
                  </w:r>
                </w:p>
              </w:tc>
              <w:tc>
                <w:tcPr>
                  <w:tcW w:w="1710"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排放速率（kg/h）</w:t>
                  </w:r>
                </w:p>
              </w:tc>
              <w:tc>
                <w:tcPr>
                  <w:tcW w:w="1470"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017" w:type="dxa"/>
                  <w:vMerge w:val="restart"/>
                  <w:tcBorders>
                    <w:tl2br w:val="nil"/>
                    <w:tr2bl w:val="nil"/>
                  </w:tcBorders>
                  <w:vAlign w:val="center"/>
                </w:tcPr>
                <w:p>
                  <w:pPr>
                    <w:pStyle w:val="32"/>
                    <w:bidi w:val="0"/>
                    <w:rPr>
                      <w:rFonts w:hint="eastAsia" w:cs="Times New Roman"/>
                      <w:color w:val="auto"/>
                      <w:highlight w:val="none"/>
                      <w:lang w:val="en-US" w:eastAsia="zh-CN"/>
                    </w:rPr>
                  </w:pPr>
                  <w:r>
                    <w:rPr>
                      <w:rFonts w:hint="eastAsia" w:cs="Times New Roman"/>
                      <w:color w:val="auto"/>
                      <w:highlight w:val="none"/>
                      <w:lang w:val="en-US" w:eastAsia="zh-CN"/>
                    </w:rPr>
                    <w:t>饮食业</w:t>
                  </w:r>
                </w:p>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油烟</w:t>
                  </w:r>
                </w:p>
              </w:tc>
              <w:tc>
                <w:tcPr>
                  <w:tcW w:w="1996"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1#油烟净化器排放口</w:t>
                  </w:r>
                </w:p>
              </w:tc>
              <w:tc>
                <w:tcPr>
                  <w:tcW w:w="1950"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1.8</w:t>
                  </w:r>
                </w:p>
              </w:tc>
              <w:tc>
                <w:tcPr>
                  <w:tcW w:w="1710"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0.016</w:t>
                  </w:r>
                </w:p>
              </w:tc>
              <w:tc>
                <w:tcPr>
                  <w:tcW w:w="1470"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eastAsia" w:cs="Times New Roman"/>
                      <w:color w:val="auto"/>
                      <w:lang w:val="en-US" w:eastAsia="zh-CN"/>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017" w:type="dxa"/>
                  <w:vMerge w:val="continue"/>
                  <w:tcBorders>
                    <w:tl2br w:val="nil"/>
                    <w:tr2bl w:val="nil"/>
                  </w:tcBorders>
                  <w:vAlign w:val="center"/>
                </w:tcPr>
                <w:p>
                  <w:pPr>
                    <w:pStyle w:val="32"/>
                    <w:bidi w:val="0"/>
                    <w:rPr>
                      <w:rFonts w:hint="default" w:ascii="Times New Roman" w:hAnsi="Times New Roman" w:cs="Times New Roman"/>
                      <w:color w:val="auto"/>
                      <w:highlight w:val="none"/>
                      <w:lang w:val="en-US" w:eastAsia="zh-CN"/>
                    </w:rPr>
                  </w:pPr>
                </w:p>
              </w:tc>
              <w:tc>
                <w:tcPr>
                  <w:tcW w:w="1996" w:type="dxa"/>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2#油烟净化器排放口</w:t>
                  </w:r>
                </w:p>
              </w:tc>
              <w:tc>
                <w:tcPr>
                  <w:tcW w:w="1950"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0.5</w:t>
                  </w:r>
                </w:p>
              </w:tc>
              <w:tc>
                <w:tcPr>
                  <w:tcW w:w="1710"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0.005</w:t>
                  </w:r>
                </w:p>
              </w:tc>
              <w:tc>
                <w:tcPr>
                  <w:tcW w:w="1470"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0.010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3013" w:type="dxa"/>
                  <w:gridSpan w:val="2"/>
                  <w:tcBorders>
                    <w:tl2br w:val="nil"/>
                    <w:tr2bl w:val="nil"/>
                  </w:tcBorders>
                  <w:vAlign w:val="center"/>
                </w:tcPr>
                <w:p>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合计</w:t>
                  </w:r>
                </w:p>
              </w:tc>
              <w:tc>
                <w:tcPr>
                  <w:tcW w:w="1950"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w:t>
                  </w:r>
                </w:p>
              </w:tc>
              <w:tc>
                <w:tcPr>
                  <w:tcW w:w="1710"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0.021</w:t>
                  </w:r>
                </w:p>
              </w:tc>
              <w:tc>
                <w:tcPr>
                  <w:tcW w:w="1470" w:type="dxa"/>
                  <w:tcBorders>
                    <w:tl2br w:val="nil"/>
                    <w:tr2bl w:val="nil"/>
                  </w:tcBorders>
                  <w:vAlign w:val="center"/>
                </w:tcPr>
                <w:p>
                  <w:pPr>
                    <w:pStyle w:val="32"/>
                    <w:bidi w:val="0"/>
                    <w:rPr>
                      <w:rFonts w:hint="default" w:cs="Times New Roman"/>
                      <w:color w:val="auto"/>
                      <w:highlight w:val="none"/>
                      <w:lang w:val="en-US" w:eastAsia="zh-CN"/>
                    </w:rPr>
                  </w:pPr>
                  <w:r>
                    <w:rPr>
                      <w:rFonts w:hint="eastAsia" w:cs="Times New Roman"/>
                      <w:color w:val="auto"/>
                      <w:highlight w:val="none"/>
                      <w:lang w:val="en-US" w:eastAsia="zh-CN"/>
                    </w:rPr>
                    <w:t>0.044</w:t>
                  </w:r>
                </w:p>
              </w:tc>
            </w:tr>
          </w:tbl>
          <w:p>
            <w:pPr>
              <w:ind w:firstLine="480" w:firstLineChars="200"/>
              <w:rPr>
                <w:rFonts w:hint="eastAsia" w:cs="Times New Roman"/>
                <w:color w:val="auto"/>
                <w:sz w:val="24"/>
                <w:lang w:eastAsia="zh-CN"/>
              </w:rPr>
            </w:pPr>
            <w:r>
              <w:rPr>
                <w:rFonts w:hint="eastAsia" w:cs="Times New Roman"/>
                <w:b w:val="0"/>
                <w:bCs w:val="0"/>
                <w:color w:val="000000"/>
                <w:sz w:val="24"/>
                <w:szCs w:val="24"/>
                <w:highlight w:val="none"/>
                <w:lang w:val="en-US" w:eastAsia="zh-CN"/>
              </w:rPr>
              <w:t>根据以上核算</w:t>
            </w:r>
            <w:r>
              <w:rPr>
                <w:rFonts w:hint="default" w:ascii="Times New Roman" w:hAnsi="Times New Roman" w:eastAsia="宋体" w:cs="Times New Roman"/>
                <w:b w:val="0"/>
                <w:bCs w:val="0"/>
                <w:color w:val="000000"/>
                <w:sz w:val="24"/>
                <w:szCs w:val="24"/>
                <w:highlight w:val="none"/>
                <w:lang w:val="en-US" w:eastAsia="zh-CN"/>
              </w:rPr>
              <w:t>，本项目</w:t>
            </w:r>
            <w:r>
              <w:rPr>
                <w:rFonts w:hint="eastAsia" w:cs="Times New Roman"/>
                <w:b w:val="0"/>
                <w:bCs w:val="0"/>
                <w:color w:val="000000"/>
                <w:sz w:val="24"/>
                <w:szCs w:val="24"/>
                <w:highlight w:val="none"/>
                <w:lang w:val="en-US" w:eastAsia="zh-CN"/>
              </w:rPr>
              <w:t>2套油烟净化器处理设施处理后油烟排放浓度均满足</w:t>
            </w:r>
            <w:r>
              <w:rPr>
                <w:rFonts w:hint="default" w:ascii="Times New Roman" w:hAnsi="Times New Roman" w:eastAsia="宋体" w:cs="Times New Roman"/>
                <w:color w:val="auto"/>
                <w:sz w:val="24"/>
              </w:rPr>
              <w:t>《饮食业油烟排放标准》（GB18483-2001）中“</w:t>
            </w:r>
            <w:r>
              <w:rPr>
                <w:rFonts w:hint="eastAsia" w:cs="Times New Roman"/>
                <w:color w:val="auto"/>
                <w:sz w:val="24"/>
                <w:lang w:val="en-US" w:eastAsia="zh-CN"/>
              </w:rPr>
              <w:t>大</w:t>
            </w:r>
            <w:r>
              <w:rPr>
                <w:rFonts w:hint="default" w:ascii="Times New Roman" w:hAnsi="Times New Roman" w:eastAsia="宋体" w:cs="Times New Roman"/>
                <w:color w:val="auto"/>
                <w:sz w:val="24"/>
              </w:rPr>
              <w:t>型”规模油烟最高允许排放浓度2.0mg/m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的排放标准</w:t>
            </w:r>
            <w:r>
              <w:rPr>
                <w:rFonts w:hint="eastAsia" w:cs="Times New Roman"/>
                <w:color w:val="auto"/>
                <w:sz w:val="24"/>
                <w:lang w:eastAsia="zh-CN"/>
              </w:rPr>
              <w:t>。</w:t>
            </w:r>
          </w:p>
          <w:p>
            <w:pPr>
              <w:bidi w:val="0"/>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热油锅天然气燃烧废气</w:t>
            </w:r>
          </w:p>
          <w:p>
            <w:pPr>
              <w:bidi w:val="0"/>
              <w:rPr>
                <w:rFonts w:hint="default"/>
                <w:lang w:val="en-US" w:eastAsia="zh-CN"/>
              </w:rPr>
            </w:pPr>
            <w:r>
              <w:rPr>
                <w:rFonts w:hint="eastAsia"/>
                <w:lang w:val="en-US" w:eastAsia="zh-CN"/>
              </w:rPr>
              <w:t>项目油泼辣子生产线热油过程热源为天然气，天然气灶燃烧过程燃料废气无法收集，因此天然气燃烧废气无组织排放。根据建设单位提供资料，热油过程天然气使用量为150Nm</w:t>
            </w:r>
            <w:r>
              <w:rPr>
                <w:rFonts w:hint="eastAsia"/>
                <w:vertAlign w:val="superscript"/>
                <w:lang w:val="en-US" w:eastAsia="zh-CN"/>
              </w:rPr>
              <w:t>3</w:t>
            </w:r>
            <w:r>
              <w:rPr>
                <w:rFonts w:hint="eastAsia"/>
                <w:lang w:val="en-US" w:eastAsia="zh-CN"/>
              </w:rPr>
              <w:t>/a，年天然气使用量为45000Nm</w:t>
            </w:r>
            <w:r>
              <w:rPr>
                <w:rFonts w:hint="eastAsia"/>
                <w:vertAlign w:val="superscript"/>
                <w:lang w:val="en-US" w:eastAsia="zh-CN"/>
              </w:rPr>
              <w:t>3/</w:t>
            </w:r>
            <w:r>
              <w:rPr>
                <w:rFonts w:hint="eastAsia"/>
                <w:lang w:val="en-US" w:eastAsia="zh-CN"/>
              </w:rPr>
              <w:t>a。年使用时间约为900h。</w:t>
            </w:r>
          </w:p>
          <w:p>
            <w:pPr>
              <w:pStyle w:val="81"/>
              <w:bidi w:val="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4-</w:t>
            </w:r>
            <w:r>
              <w:rPr>
                <w:rFonts w:hint="eastAsia" w:cs="Times New Roman"/>
                <w:color w:val="auto"/>
                <w:lang w:val="en-US" w:eastAsia="zh-CN"/>
              </w:rPr>
              <w:t>7</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 xml:space="preserve">  </w:t>
            </w:r>
            <w:r>
              <w:rPr>
                <w:rFonts w:hint="eastAsia" w:cs="Times New Roman"/>
                <w:b/>
                <w:bCs/>
                <w:color w:val="auto"/>
                <w:sz w:val="24"/>
                <w:szCs w:val="24"/>
                <w:lang w:val="en-US" w:eastAsia="zh-CN"/>
              </w:rPr>
              <w:t>天然气灶燃烧废气排放情况一览表</w:t>
            </w:r>
          </w:p>
          <w:tbl>
            <w:tblPr>
              <w:tblStyle w:val="30"/>
              <w:tblW w:w="81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017"/>
              <w:gridCol w:w="1996"/>
              <w:gridCol w:w="1399"/>
              <w:gridCol w:w="1965"/>
              <w:gridCol w:w="1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017"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污染物</w:t>
                  </w:r>
                </w:p>
              </w:tc>
              <w:tc>
                <w:tcPr>
                  <w:tcW w:w="1996"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排放口</w:t>
                  </w:r>
                </w:p>
              </w:tc>
              <w:tc>
                <w:tcPr>
                  <w:tcW w:w="1399"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产污系数</w:t>
                  </w:r>
                </w:p>
              </w:tc>
              <w:tc>
                <w:tcPr>
                  <w:tcW w:w="1965" w:type="dxa"/>
                  <w:tcBorders>
                    <w:tl2br w:val="nil"/>
                    <w:tr2bl w:val="nil"/>
                  </w:tcBorders>
                  <w:vAlign w:val="center"/>
                </w:tcPr>
                <w:p>
                  <w:pPr>
                    <w:pStyle w:val="32"/>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排放速率（kg/h）</w:t>
                  </w:r>
                </w:p>
              </w:tc>
              <w:tc>
                <w:tcPr>
                  <w:tcW w:w="1766"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017" w:type="dxa"/>
                  <w:tcBorders>
                    <w:tl2br w:val="nil"/>
                    <w:tr2bl w:val="nil"/>
                  </w:tcBorders>
                  <w:vAlign w:val="center"/>
                </w:tcPr>
                <w:p>
                  <w:pPr>
                    <w:pStyle w:val="32"/>
                    <w:bidi w:val="0"/>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颗粒物</w:t>
                  </w:r>
                </w:p>
              </w:tc>
              <w:tc>
                <w:tcPr>
                  <w:tcW w:w="1996" w:type="dxa"/>
                  <w:tcBorders>
                    <w:tl2br w:val="nil"/>
                    <w:tr2bl w:val="nil"/>
                  </w:tcBorders>
                  <w:vAlign w:val="center"/>
                </w:tcPr>
                <w:p>
                  <w:pPr>
                    <w:pStyle w:val="32"/>
                    <w:bidi w:val="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kg/万Nm</w:t>
                  </w:r>
                  <w:r>
                    <w:rPr>
                      <w:rFonts w:hint="eastAsia" w:cs="Times New Roman"/>
                      <w:b w:val="0"/>
                      <w:bCs w:val="0"/>
                      <w:color w:val="auto"/>
                      <w:highlight w:val="none"/>
                      <w:vertAlign w:val="superscript"/>
                      <w:lang w:val="en-US" w:eastAsia="zh-CN"/>
                    </w:rPr>
                    <w:t>3</w:t>
                  </w:r>
                  <w:r>
                    <w:rPr>
                      <w:rFonts w:hint="eastAsia" w:cs="Times New Roman"/>
                      <w:b w:val="0"/>
                      <w:bCs w:val="0"/>
                      <w:color w:val="auto"/>
                      <w:highlight w:val="none"/>
                      <w:lang w:val="en-US" w:eastAsia="zh-CN"/>
                    </w:rPr>
                    <w:t>-原料</w:t>
                  </w:r>
                </w:p>
              </w:tc>
              <w:tc>
                <w:tcPr>
                  <w:tcW w:w="1399" w:type="dxa"/>
                  <w:tcBorders>
                    <w:tl2br w:val="nil"/>
                    <w:tr2bl w:val="nil"/>
                  </w:tcBorders>
                  <w:vAlign w:val="center"/>
                </w:tcPr>
                <w:p>
                  <w:pPr>
                    <w:pStyle w:val="32"/>
                    <w:bidi w:val="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2.86</w:t>
                  </w:r>
                </w:p>
              </w:tc>
              <w:tc>
                <w:tcPr>
                  <w:tcW w:w="1965" w:type="dxa"/>
                  <w:tcBorders>
                    <w:tl2br w:val="nil"/>
                    <w:tr2bl w:val="nil"/>
                  </w:tcBorders>
                  <w:vAlign w:val="center"/>
                </w:tcPr>
                <w:p>
                  <w:pPr>
                    <w:pStyle w:val="32"/>
                    <w:bidi w:val="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0.013</w:t>
                  </w:r>
                </w:p>
              </w:tc>
              <w:tc>
                <w:tcPr>
                  <w:tcW w:w="1766" w:type="dxa"/>
                  <w:tcBorders>
                    <w:tl2br w:val="nil"/>
                    <w:tr2bl w:val="nil"/>
                  </w:tcBorders>
                  <w:vAlign w:val="center"/>
                </w:tcPr>
                <w:p>
                  <w:pPr>
                    <w:pStyle w:val="32"/>
                    <w:bidi w:val="0"/>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017" w:type="dxa"/>
                  <w:tcBorders>
                    <w:tl2br w:val="nil"/>
                    <w:tr2bl w:val="nil"/>
                  </w:tcBorders>
                  <w:vAlign w:val="center"/>
                </w:tcPr>
                <w:p>
                  <w:pPr>
                    <w:pStyle w:val="32"/>
                    <w:bidi w:val="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SO</w:t>
                  </w:r>
                  <w:r>
                    <w:rPr>
                      <w:rFonts w:hint="eastAsia" w:cs="Times New Roman"/>
                      <w:b w:val="0"/>
                      <w:bCs w:val="0"/>
                      <w:color w:val="auto"/>
                      <w:highlight w:val="none"/>
                      <w:vertAlign w:val="subscript"/>
                      <w:lang w:val="en-US" w:eastAsia="zh-CN"/>
                    </w:rPr>
                    <w:t>2</w:t>
                  </w:r>
                </w:p>
              </w:tc>
              <w:tc>
                <w:tcPr>
                  <w:tcW w:w="1996" w:type="dxa"/>
                  <w:tcBorders>
                    <w:tl2br w:val="nil"/>
                    <w:tr2bl w:val="nil"/>
                  </w:tcBorders>
                  <w:vAlign w:val="center"/>
                </w:tcPr>
                <w:p>
                  <w:pPr>
                    <w:pStyle w:val="32"/>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kg/万Nm</w:t>
                  </w:r>
                  <w:r>
                    <w:rPr>
                      <w:rFonts w:hint="eastAsia" w:cs="Times New Roman"/>
                      <w:b w:val="0"/>
                      <w:bCs w:val="0"/>
                      <w:color w:val="auto"/>
                      <w:highlight w:val="none"/>
                      <w:vertAlign w:val="superscript"/>
                      <w:lang w:val="en-US" w:eastAsia="zh-CN"/>
                    </w:rPr>
                    <w:t>3</w:t>
                  </w:r>
                  <w:r>
                    <w:rPr>
                      <w:rFonts w:hint="eastAsia" w:cs="Times New Roman"/>
                      <w:b w:val="0"/>
                      <w:bCs w:val="0"/>
                      <w:color w:val="auto"/>
                      <w:highlight w:val="none"/>
                      <w:lang w:val="en-US" w:eastAsia="zh-CN"/>
                    </w:rPr>
                    <w:t>-原料</w:t>
                  </w:r>
                </w:p>
              </w:tc>
              <w:tc>
                <w:tcPr>
                  <w:tcW w:w="1399" w:type="dxa"/>
                  <w:tcBorders>
                    <w:tl2br w:val="nil"/>
                    <w:tr2bl w:val="nil"/>
                  </w:tcBorders>
                  <w:vAlign w:val="center"/>
                </w:tcPr>
                <w:p>
                  <w:pPr>
                    <w:pStyle w:val="32"/>
                    <w:bidi w:val="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2</w:t>
                  </w:r>
                </w:p>
              </w:tc>
              <w:tc>
                <w:tcPr>
                  <w:tcW w:w="1965" w:type="dxa"/>
                  <w:tcBorders>
                    <w:tl2br w:val="nil"/>
                    <w:tr2bl w:val="nil"/>
                  </w:tcBorders>
                  <w:vAlign w:val="center"/>
                </w:tcPr>
                <w:p>
                  <w:pPr>
                    <w:pStyle w:val="32"/>
                    <w:bidi w:val="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0.009</w:t>
                  </w:r>
                </w:p>
              </w:tc>
              <w:tc>
                <w:tcPr>
                  <w:tcW w:w="1766" w:type="dxa"/>
                  <w:tcBorders>
                    <w:tl2br w:val="nil"/>
                    <w:tr2bl w:val="nil"/>
                  </w:tcBorders>
                  <w:vAlign w:val="center"/>
                </w:tcPr>
                <w:p>
                  <w:pPr>
                    <w:pStyle w:val="32"/>
                    <w:bidi w:val="0"/>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017" w:type="dxa"/>
                  <w:tcBorders>
                    <w:tl2br w:val="nil"/>
                    <w:tr2bl w:val="nil"/>
                  </w:tcBorders>
                  <w:vAlign w:val="center"/>
                </w:tcPr>
                <w:p>
                  <w:pPr>
                    <w:pStyle w:val="32"/>
                    <w:bidi w:val="0"/>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NO</w:t>
                  </w:r>
                  <w:r>
                    <w:rPr>
                      <w:rFonts w:hint="eastAsia" w:cs="Times New Roman"/>
                      <w:b w:val="0"/>
                      <w:bCs w:val="0"/>
                      <w:color w:val="auto"/>
                      <w:highlight w:val="none"/>
                      <w:vertAlign w:val="subscript"/>
                      <w:lang w:val="en-US" w:eastAsia="zh-CN"/>
                    </w:rPr>
                    <w:t>X</w:t>
                  </w:r>
                </w:p>
              </w:tc>
              <w:tc>
                <w:tcPr>
                  <w:tcW w:w="1996" w:type="dxa"/>
                  <w:tcBorders>
                    <w:tl2br w:val="nil"/>
                    <w:tr2bl w:val="nil"/>
                  </w:tcBorders>
                  <w:vAlign w:val="center"/>
                </w:tcPr>
                <w:p>
                  <w:pPr>
                    <w:pStyle w:val="32"/>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kg/万Nm</w:t>
                  </w:r>
                  <w:r>
                    <w:rPr>
                      <w:rFonts w:hint="eastAsia" w:cs="Times New Roman"/>
                      <w:b w:val="0"/>
                      <w:bCs w:val="0"/>
                      <w:color w:val="auto"/>
                      <w:highlight w:val="none"/>
                      <w:vertAlign w:val="superscript"/>
                      <w:lang w:val="en-US" w:eastAsia="zh-CN"/>
                    </w:rPr>
                    <w:t>3</w:t>
                  </w:r>
                  <w:r>
                    <w:rPr>
                      <w:rFonts w:hint="eastAsia" w:cs="Times New Roman"/>
                      <w:b w:val="0"/>
                      <w:bCs w:val="0"/>
                      <w:color w:val="auto"/>
                      <w:highlight w:val="none"/>
                      <w:lang w:val="en-US" w:eastAsia="zh-CN"/>
                    </w:rPr>
                    <w:t>-原料</w:t>
                  </w:r>
                </w:p>
              </w:tc>
              <w:tc>
                <w:tcPr>
                  <w:tcW w:w="1399" w:type="dxa"/>
                  <w:tcBorders>
                    <w:tl2br w:val="nil"/>
                    <w:tr2bl w:val="nil"/>
                  </w:tcBorders>
                  <w:vAlign w:val="center"/>
                </w:tcPr>
                <w:p>
                  <w:pPr>
                    <w:pStyle w:val="32"/>
                    <w:bidi w:val="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9.35</w:t>
                  </w:r>
                </w:p>
              </w:tc>
              <w:tc>
                <w:tcPr>
                  <w:tcW w:w="1965" w:type="dxa"/>
                  <w:tcBorders>
                    <w:tl2br w:val="nil"/>
                    <w:tr2bl w:val="nil"/>
                  </w:tcBorders>
                  <w:vAlign w:val="center"/>
                </w:tcPr>
                <w:p>
                  <w:pPr>
                    <w:pStyle w:val="32"/>
                    <w:bidi w:val="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0.042</w:t>
                  </w:r>
                </w:p>
              </w:tc>
              <w:tc>
                <w:tcPr>
                  <w:tcW w:w="1766" w:type="dxa"/>
                  <w:tcBorders>
                    <w:tl2br w:val="nil"/>
                    <w:tr2bl w:val="nil"/>
                  </w:tcBorders>
                  <w:vAlign w:val="center"/>
                </w:tcPr>
                <w:p>
                  <w:pPr>
                    <w:pStyle w:val="32"/>
                    <w:bidi w:val="0"/>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0.038</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sz w:val="21"/>
                <w:szCs w:val="21"/>
                <w:lang w:val="en-US" w:eastAsia="zh-CN"/>
              </w:rPr>
            </w:pPr>
            <w:r>
              <w:rPr>
                <w:rFonts w:hint="eastAsia"/>
                <w:b/>
                <w:bCs/>
                <w:sz w:val="21"/>
                <w:szCs w:val="21"/>
                <w:lang w:val="en-US" w:eastAsia="zh-CN"/>
              </w:rPr>
              <w:t>注：①产排污系数表中二氧化硫的产排污系数是以含硫量(S)的形式表示的，其中含硫量（S）是指燃气收到基疏分含量，单位为毫克/应立方米。例如燃料中含硫量（S）为200毫克/立方米，则S=200。根据《天然气标准》(GB17820-2018)，含硫量</w:t>
            </w:r>
            <w:r>
              <w:rPr>
                <w:rFonts w:hint="default" w:ascii="Times New Roman" w:hAnsi="Times New Roman" w:cs="Times New Roman"/>
                <w:b/>
                <w:bCs/>
                <w:sz w:val="21"/>
                <w:szCs w:val="21"/>
                <w:lang w:val="en-US" w:eastAsia="zh-CN"/>
              </w:rPr>
              <w:t>≤20</w:t>
            </w:r>
            <w:r>
              <w:rPr>
                <w:rFonts w:hint="eastAsia"/>
                <w:b/>
                <w:bCs/>
                <w:sz w:val="21"/>
                <w:szCs w:val="21"/>
                <w:lang w:val="en-US" w:eastAsia="zh-CN"/>
              </w:rPr>
              <w:t>mg/m</w:t>
            </w:r>
            <w:r>
              <w:rPr>
                <w:rFonts w:hint="eastAsia"/>
                <w:b/>
                <w:bCs/>
                <w:sz w:val="21"/>
                <w:szCs w:val="21"/>
                <w:vertAlign w:val="superscript"/>
                <w:lang w:val="en-US" w:eastAsia="zh-CN"/>
              </w:rPr>
              <w:t>3</w:t>
            </w:r>
            <w:r>
              <w:rPr>
                <w:rFonts w:hint="eastAsia"/>
                <w:b/>
                <w:bCs/>
                <w:sz w:val="21"/>
                <w:szCs w:val="21"/>
                <w:lang w:val="en-US" w:eastAsia="zh-CN"/>
              </w:rPr>
              <w:t>，根据天然气组分报告（附件），H</w:t>
            </w:r>
            <w:r>
              <w:rPr>
                <w:rFonts w:hint="eastAsia"/>
                <w:b/>
                <w:bCs/>
                <w:sz w:val="21"/>
                <w:szCs w:val="21"/>
                <w:vertAlign w:val="subscript"/>
                <w:lang w:val="en-US" w:eastAsia="zh-CN"/>
              </w:rPr>
              <w:t>2</w:t>
            </w:r>
            <w:r>
              <w:rPr>
                <w:rFonts w:hint="eastAsia"/>
                <w:b/>
                <w:bCs/>
                <w:sz w:val="21"/>
                <w:szCs w:val="21"/>
                <w:lang w:val="en-US" w:eastAsia="zh-CN"/>
              </w:rPr>
              <w:t>S含量为2.04mg/m</w:t>
            </w:r>
            <w:r>
              <w:rPr>
                <w:rFonts w:hint="eastAsia"/>
                <w:b/>
                <w:bCs/>
                <w:sz w:val="21"/>
                <w:szCs w:val="21"/>
                <w:vertAlign w:val="superscript"/>
                <w:lang w:val="en-US" w:eastAsia="zh-CN"/>
              </w:rPr>
              <w:t>3</w:t>
            </w:r>
            <w:r>
              <w:rPr>
                <w:rFonts w:hint="eastAsia"/>
                <w:b/>
                <w:bCs/>
                <w:sz w:val="21"/>
                <w:szCs w:val="21"/>
                <w:lang w:val="en-US" w:eastAsia="zh-CN"/>
              </w:rPr>
              <w:t>，无总硫含量，故本次环评取100mg/m</w:t>
            </w:r>
            <w:r>
              <w:rPr>
                <w:rFonts w:hint="eastAsia"/>
                <w:b/>
                <w:bCs/>
                <w:sz w:val="21"/>
                <w:szCs w:val="21"/>
                <w:vertAlign w:val="superscript"/>
                <w:lang w:val="en-US" w:eastAsia="zh-CN"/>
              </w:rPr>
              <w:t>3</w:t>
            </w:r>
            <w:r>
              <w:rPr>
                <w:rFonts w:hint="eastAsia"/>
                <w:b/>
                <w:bCs/>
                <w:sz w:val="21"/>
                <w:szCs w:val="21"/>
                <w:lang w:val="en-US" w:eastAsia="zh-CN"/>
              </w:rPr>
              <w:t>，则S=100。</w:t>
            </w:r>
          </w:p>
          <w:p>
            <w:pPr>
              <w:pStyle w:val="81"/>
              <w:bidi w:val="0"/>
              <w:rPr>
                <w:rFonts w:hint="eastAsia" w:ascii="Times New Roman" w:hAnsi="Times New Roman" w:cs="Times New Roman"/>
                <w:b w:val="0"/>
                <w:bCs w:val="0"/>
                <w:color w:val="auto"/>
                <w:sz w:val="24"/>
                <w:szCs w:val="24"/>
                <w:highlight w:val="none"/>
                <w:lang w:val="en-US" w:eastAsia="zh-CN"/>
              </w:rPr>
            </w:pPr>
            <w:r>
              <w:rPr>
                <w:rFonts w:hint="eastAsia"/>
                <w:color w:val="auto"/>
              </w:rPr>
              <w:object>
                <v:shape id="_x0000_i1030" o:spt="75" type="#_x0000_t75" style="height:254.35pt;width:394.55pt;" o:ole="t" filled="f" o:preferrelative="t" stroked="f" coordsize="21600,21600">
                  <v:path/>
                  <v:fill on="f" focussize="0,0"/>
                  <v:stroke on="f"/>
                  <v:imagedata r:id="rId27" o:title=""/>
                  <o:lock v:ext="edit" aspectratio="t"/>
                  <w10:wrap type="none"/>
                  <w10:anchorlock/>
                </v:shape>
                <o:OLEObject Type="Embed" ProgID="Visio.Drawing.11" ShapeID="_x0000_i1030" DrawAspect="Content" ObjectID="_1468075730" r:id="rId26">
                  <o:LockedField>false</o:LockedField>
                </o:OLEObject>
              </w:object>
            </w:r>
          </w:p>
          <w:p>
            <w:pPr>
              <w:pStyle w:val="81"/>
              <w:bidi w:val="0"/>
              <w:rPr>
                <w:rFonts w:hint="eastAsia" w:ascii="Times New Roman" w:hAnsi="Times New Roman" w:eastAsia="宋体" w:cs="Times New Roman"/>
                <w:color w:val="auto"/>
                <w:spacing w:val="0"/>
                <w:kern w:val="2"/>
                <w:position w:val="0"/>
                <w:sz w:val="24"/>
                <w:szCs w:val="24"/>
                <w:highlight w:val="none"/>
                <w:lang w:val="en-US" w:eastAsia="zh-CN" w:bidi="ar-SA"/>
              </w:rPr>
            </w:pPr>
            <w:r>
              <w:rPr>
                <w:rFonts w:hint="eastAsia"/>
                <w:color w:val="auto"/>
                <w:lang w:val="en-US" w:eastAsia="zh-CN"/>
              </w:rPr>
              <w:t>图4-1   运营期项目污染物治理情况</w:t>
            </w:r>
          </w:p>
          <w:p>
            <w:pPr>
              <w:bidi w:val="0"/>
              <w:rPr>
                <w:rFonts w:hint="default"/>
                <w:b/>
                <w:bCs/>
                <w:color w:val="auto"/>
              </w:rPr>
            </w:pPr>
            <w:r>
              <w:rPr>
                <w:rFonts w:hint="eastAsia"/>
                <w:b/>
                <w:bCs/>
                <w:color w:val="auto"/>
                <w:lang w:val="en-US" w:eastAsia="zh-CN"/>
              </w:rPr>
              <w:t>3</w:t>
            </w:r>
            <w:r>
              <w:rPr>
                <w:rFonts w:hint="default"/>
                <w:b/>
                <w:bCs/>
                <w:color w:val="auto"/>
              </w:rPr>
              <w:t>、废气监测计划</w:t>
            </w:r>
          </w:p>
          <w:p>
            <w:pPr>
              <w:bidi w:val="0"/>
              <w:rPr>
                <w:rFonts w:hint="default"/>
                <w:color w:val="auto"/>
                <w:lang w:val="en-US" w:eastAsia="zh-CN"/>
              </w:rPr>
            </w:pPr>
            <w:r>
              <w:rPr>
                <w:rFonts w:hint="default"/>
                <w:color w:val="auto"/>
                <w:lang w:val="en-US" w:eastAsia="zh-CN"/>
              </w:rPr>
              <w:t>根据《排污单位自行监</w:t>
            </w:r>
            <w:r>
              <w:rPr>
                <w:rFonts w:hint="default"/>
                <w:color w:val="auto"/>
                <w:highlight w:val="none"/>
                <w:lang w:val="en-US" w:eastAsia="zh-CN"/>
              </w:rPr>
              <w:t>测技术指南 总则》（HJ 819-2017）</w:t>
            </w:r>
            <w:r>
              <w:rPr>
                <w:rFonts w:hint="eastAsia"/>
                <w:color w:val="auto"/>
                <w:highlight w:val="none"/>
                <w:lang w:val="en-US" w:eastAsia="zh-CN"/>
              </w:rPr>
              <w:t>、《</w:t>
            </w:r>
            <w:r>
              <w:rPr>
                <w:rFonts w:hint="eastAsia" w:cs="Times New Roman"/>
                <w:color w:val="auto"/>
                <w:sz w:val="24"/>
                <w:szCs w:val="24"/>
                <w:highlight w:val="none"/>
                <w:lang w:val="en-US" w:eastAsia="zh-CN"/>
              </w:rPr>
              <w:t>排污单位自行监测技术指南 火力发电及锅炉</w:t>
            </w:r>
            <w:r>
              <w:rPr>
                <w:rFonts w:hint="eastAsia"/>
                <w:color w:val="auto"/>
                <w:highlight w:val="none"/>
                <w:lang w:val="en-US" w:eastAsia="zh-CN"/>
              </w:rPr>
              <w:t>》（HJ820-2017）及</w:t>
            </w:r>
            <w:r>
              <w:rPr>
                <w:rFonts w:hint="eastAsia" w:cs="Times New Roman"/>
                <w:color w:val="auto"/>
                <w:sz w:val="24"/>
                <w:szCs w:val="24"/>
                <w:highlight w:val="none"/>
                <w:lang w:val="en-US" w:eastAsia="zh-CN"/>
              </w:rPr>
              <w:t>《排污单位自行监测技术指南 食品制造》（HJ1084-2020）</w:t>
            </w:r>
            <w:r>
              <w:rPr>
                <w:rFonts w:hint="default"/>
                <w:color w:val="auto"/>
                <w:highlight w:val="none"/>
                <w:lang w:val="en-US" w:eastAsia="zh-CN"/>
              </w:rPr>
              <w:t>等</w:t>
            </w:r>
            <w:r>
              <w:rPr>
                <w:rFonts w:hint="default"/>
                <w:color w:val="auto"/>
                <w:lang w:val="en-US" w:eastAsia="zh-CN"/>
              </w:rPr>
              <w:t>相关环保标准、规范要求，提出项目具体污染源监测计划见下表。</w:t>
            </w:r>
          </w:p>
          <w:p>
            <w:pPr>
              <w:pStyle w:val="81"/>
              <w:bidi w:val="0"/>
              <w:rPr>
                <w:rFonts w:hint="default"/>
                <w:color w:val="auto"/>
              </w:rPr>
            </w:pPr>
            <w:r>
              <w:rPr>
                <w:rFonts w:hint="default"/>
                <w:color w:val="auto"/>
              </w:rPr>
              <w:t>表</w:t>
            </w:r>
            <w:r>
              <w:rPr>
                <w:rFonts w:hint="eastAsia"/>
                <w:color w:val="auto"/>
                <w:lang w:val="en-US" w:eastAsia="zh-CN"/>
              </w:rPr>
              <w:t>4-8</w:t>
            </w:r>
            <w:r>
              <w:rPr>
                <w:rFonts w:hint="default"/>
                <w:color w:val="auto"/>
                <w:lang w:val="en-US"/>
              </w:rPr>
              <w:t xml:space="preserve">   </w:t>
            </w:r>
            <w:r>
              <w:rPr>
                <w:rFonts w:hint="default"/>
                <w:color w:val="auto"/>
              </w:rPr>
              <w:t>污染源监测计划表</w:t>
            </w:r>
          </w:p>
          <w:tbl>
            <w:tblPr>
              <w:tblStyle w:val="30"/>
              <w:tblW w:w="8138"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1311"/>
              <w:gridCol w:w="2370"/>
              <w:gridCol w:w="3300"/>
              <w:gridCol w:w="11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311" w:type="dxa"/>
                  <w:vAlign w:val="center"/>
                </w:tcPr>
                <w:p>
                  <w:pPr>
                    <w:pStyle w:val="32"/>
                    <w:bidi w:val="0"/>
                    <w:rPr>
                      <w:rFonts w:hint="eastAsia" w:eastAsia="宋体"/>
                      <w:b/>
                      <w:bCs/>
                      <w:color w:val="auto"/>
                      <w:lang w:eastAsia="zh-CN"/>
                    </w:rPr>
                  </w:pPr>
                  <w:r>
                    <w:rPr>
                      <w:rFonts w:hint="eastAsia"/>
                      <w:b/>
                      <w:bCs/>
                      <w:color w:val="auto"/>
                      <w:lang w:val="en-US" w:eastAsia="zh-CN"/>
                    </w:rPr>
                    <w:t>污染源</w:t>
                  </w:r>
                </w:p>
              </w:tc>
              <w:tc>
                <w:tcPr>
                  <w:tcW w:w="2370" w:type="dxa"/>
                  <w:vAlign w:val="center"/>
                </w:tcPr>
                <w:p>
                  <w:pPr>
                    <w:pStyle w:val="32"/>
                    <w:bidi w:val="0"/>
                    <w:rPr>
                      <w:rFonts w:hint="default"/>
                      <w:b/>
                      <w:bCs/>
                      <w:color w:val="auto"/>
                    </w:rPr>
                  </w:pPr>
                  <w:r>
                    <w:rPr>
                      <w:rFonts w:hint="default"/>
                      <w:b/>
                      <w:bCs/>
                      <w:color w:val="auto"/>
                    </w:rPr>
                    <w:t>监测项目</w:t>
                  </w:r>
                </w:p>
              </w:tc>
              <w:tc>
                <w:tcPr>
                  <w:tcW w:w="3300" w:type="dxa"/>
                  <w:vAlign w:val="center"/>
                </w:tcPr>
                <w:p>
                  <w:pPr>
                    <w:pStyle w:val="32"/>
                    <w:bidi w:val="0"/>
                    <w:rPr>
                      <w:rFonts w:hint="default"/>
                      <w:b/>
                      <w:bCs/>
                      <w:color w:val="auto"/>
                    </w:rPr>
                  </w:pPr>
                  <w:r>
                    <w:rPr>
                      <w:rFonts w:hint="default"/>
                      <w:b/>
                      <w:bCs/>
                      <w:color w:val="auto"/>
                    </w:rPr>
                    <w:t>监测点位</w:t>
                  </w:r>
                </w:p>
              </w:tc>
              <w:tc>
                <w:tcPr>
                  <w:tcW w:w="1157" w:type="dxa"/>
                  <w:vAlign w:val="center"/>
                </w:tcPr>
                <w:p>
                  <w:pPr>
                    <w:pStyle w:val="32"/>
                    <w:bidi w:val="0"/>
                    <w:rPr>
                      <w:rFonts w:hint="default" w:eastAsia="宋体"/>
                      <w:b/>
                      <w:bCs/>
                      <w:color w:val="auto"/>
                      <w:lang w:val="en-US" w:eastAsia="zh-CN"/>
                    </w:rPr>
                  </w:pPr>
                  <w:r>
                    <w:rPr>
                      <w:rFonts w:hint="eastAsia"/>
                      <w:b/>
                      <w:bCs/>
                      <w:color w:val="auto"/>
                      <w:lang w:val="en-US" w:eastAsia="zh-CN"/>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311" w:type="dxa"/>
                  <w:vMerge w:val="restart"/>
                  <w:vAlign w:val="center"/>
                </w:tcPr>
                <w:p>
                  <w:pPr>
                    <w:pStyle w:val="3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天然气锅炉</w:t>
                  </w:r>
                </w:p>
              </w:tc>
              <w:tc>
                <w:tcPr>
                  <w:tcW w:w="2370" w:type="dxa"/>
                  <w:vAlign w:val="center"/>
                </w:tcPr>
                <w:p>
                  <w:pPr>
                    <w:pStyle w:val="3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氮氧化物</w:t>
                  </w:r>
                </w:p>
              </w:tc>
              <w:tc>
                <w:tcPr>
                  <w:tcW w:w="3300" w:type="dxa"/>
                  <w:vMerge w:val="restart"/>
                  <w:vAlign w:val="center"/>
                </w:tcPr>
                <w:p>
                  <w:pPr>
                    <w:pStyle w:val="32"/>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锅炉排气筒DA001出口</w:t>
                  </w:r>
                </w:p>
              </w:tc>
              <w:tc>
                <w:tcPr>
                  <w:tcW w:w="1157" w:type="dxa"/>
                  <w:vAlign w:val="center"/>
                </w:tcPr>
                <w:p>
                  <w:pPr>
                    <w:pStyle w:val="32"/>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lang w:val="en-US" w:eastAsia="zh-CN"/>
                    </w:rPr>
                    <w:t>1次/</w:t>
                  </w:r>
                  <w:r>
                    <w:rPr>
                      <w:rFonts w:hint="eastAsia" w:cs="Times New Roman"/>
                      <w:color w:val="auto"/>
                      <w:lang w:val="en-US" w:eastAsia="zh-CN"/>
                    </w:rPr>
                    <w:t>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311" w:type="dxa"/>
                  <w:vMerge w:val="continue"/>
                  <w:vAlign w:val="center"/>
                </w:tcPr>
                <w:p>
                  <w:pPr>
                    <w:pStyle w:val="32"/>
                    <w:bidi w:val="0"/>
                    <w:ind w:firstLine="0" w:firstLineChars="0"/>
                    <w:rPr>
                      <w:rFonts w:hint="eastAsia" w:cs="Times New Roman"/>
                      <w:color w:val="auto"/>
                      <w:kern w:val="0"/>
                      <w:sz w:val="21"/>
                      <w:szCs w:val="21"/>
                      <w:lang w:val="en-US" w:eastAsia="zh-CN" w:bidi="ar-SA"/>
                    </w:rPr>
                  </w:pPr>
                </w:p>
              </w:tc>
              <w:tc>
                <w:tcPr>
                  <w:tcW w:w="2370" w:type="dxa"/>
                  <w:vAlign w:val="center"/>
                </w:tcPr>
                <w:p>
                  <w:pPr>
                    <w:pStyle w:val="32"/>
                    <w:bidi w:val="0"/>
                    <w:ind w:firstLine="0" w:firstLineChars="0"/>
                    <w:rPr>
                      <w:rFonts w:hint="eastAsia" w:cs="Times New Roman"/>
                      <w:color w:val="auto"/>
                      <w:lang w:val="en-US" w:eastAsia="zh-CN"/>
                    </w:rPr>
                  </w:pPr>
                  <w:r>
                    <w:rPr>
                      <w:rFonts w:hint="eastAsia" w:ascii="Times New Roman" w:hAnsi="Times New Roman" w:eastAsia="宋体" w:cs="Times New Roman"/>
                      <w:color w:val="auto"/>
                      <w:lang w:val="en-US" w:eastAsia="zh-CN"/>
                    </w:rPr>
                    <w:t>颗粒物</w:t>
                  </w:r>
                  <w:r>
                    <w:rPr>
                      <w:rFonts w:hint="eastAsia" w:cs="Times New Roman"/>
                      <w:color w:val="auto"/>
                      <w:lang w:val="en-US" w:eastAsia="zh-CN"/>
                    </w:rPr>
                    <w:t>、二氧化硫、林格</w:t>
                  </w:r>
                </w:p>
                <w:p>
                  <w:pPr>
                    <w:pStyle w:val="32"/>
                    <w:bidi w:val="0"/>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曼黑度</w:t>
                  </w:r>
                </w:p>
              </w:tc>
              <w:tc>
                <w:tcPr>
                  <w:tcW w:w="3300" w:type="dxa"/>
                  <w:vMerge w:val="continue"/>
                  <w:vAlign w:val="center"/>
                </w:tcPr>
                <w:p>
                  <w:pPr>
                    <w:pStyle w:val="32"/>
                    <w:bidi w:val="0"/>
                    <w:ind w:firstLine="0" w:firstLineChars="0"/>
                    <w:rPr>
                      <w:rFonts w:hint="eastAsia" w:ascii="Times New Roman" w:hAnsi="Times New Roman" w:eastAsia="宋体" w:cs="Times New Roman"/>
                      <w:color w:val="auto"/>
                      <w:lang w:val="en-US" w:eastAsia="zh-CN"/>
                    </w:rPr>
                  </w:pPr>
                </w:p>
              </w:tc>
              <w:tc>
                <w:tcPr>
                  <w:tcW w:w="1157"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1次/年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311"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热油锅</w:t>
                  </w:r>
                </w:p>
              </w:tc>
              <w:tc>
                <w:tcPr>
                  <w:tcW w:w="2370"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油烟</w:t>
                  </w:r>
                </w:p>
              </w:tc>
              <w:tc>
                <w:tcPr>
                  <w:tcW w:w="3300"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油烟排气筒DA002及DA003出口</w:t>
                  </w:r>
                </w:p>
              </w:tc>
              <w:tc>
                <w:tcPr>
                  <w:tcW w:w="1157"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default"/>
                      <w:color w:val="auto"/>
                    </w:rPr>
                    <w:t>1次/</w:t>
                  </w:r>
                  <w:r>
                    <w:rPr>
                      <w:rFonts w:hint="eastAsia"/>
                      <w:color w:val="auto"/>
                      <w:lang w:val="en-US" w:eastAsia="zh-CN"/>
                    </w:rPr>
                    <w:t>半</w:t>
                  </w:r>
                  <w:r>
                    <w:rPr>
                      <w:rFonts w:hint="default"/>
                      <w:color w:val="auto"/>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311"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厂界无组织</w:t>
                  </w:r>
                </w:p>
              </w:tc>
              <w:tc>
                <w:tcPr>
                  <w:tcW w:w="2370" w:type="dxa"/>
                  <w:vAlign w:val="center"/>
                </w:tcPr>
                <w:p>
                  <w:pPr>
                    <w:pStyle w:val="32"/>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颗粒物、氮氧化物、二氧化硫</w:t>
                  </w:r>
                </w:p>
              </w:tc>
              <w:tc>
                <w:tcPr>
                  <w:tcW w:w="3300" w:type="dxa"/>
                  <w:vAlign w:val="center"/>
                </w:tcPr>
                <w:p>
                  <w:pPr>
                    <w:pStyle w:val="32"/>
                    <w:bidi w:val="0"/>
                    <w:ind w:firstLine="0" w:firstLineChars="0"/>
                    <w:rPr>
                      <w:rFonts w:hint="default" w:cs="Times New Roman"/>
                      <w:color w:val="auto"/>
                      <w:lang w:val="en-US" w:eastAsia="zh-CN"/>
                    </w:rPr>
                  </w:pPr>
                  <w:r>
                    <w:rPr>
                      <w:rFonts w:hint="eastAsia" w:cs="Times New Roman"/>
                      <w:color w:val="auto"/>
                      <w:lang w:val="en-US" w:eastAsia="zh-CN"/>
                    </w:rPr>
                    <w:t>厂界上下风向</w:t>
                  </w:r>
                </w:p>
              </w:tc>
              <w:tc>
                <w:tcPr>
                  <w:tcW w:w="1157" w:type="dxa"/>
                  <w:vAlign w:val="center"/>
                </w:tcPr>
                <w:p>
                  <w:pPr>
                    <w:pStyle w:val="32"/>
                    <w:bidi w:val="0"/>
                    <w:ind w:firstLine="0" w:firstLineChars="0"/>
                    <w:rPr>
                      <w:rFonts w:hint="default"/>
                      <w:color w:val="auto"/>
                    </w:rPr>
                  </w:pPr>
                  <w:r>
                    <w:rPr>
                      <w:rFonts w:hint="default" w:ascii="Times New Roman" w:hAnsi="Times New Roman" w:eastAsia="宋体" w:cs="Times New Roman"/>
                      <w:color w:val="auto"/>
                      <w:lang w:val="en-US" w:eastAsia="zh-CN"/>
                    </w:rPr>
                    <w:t>1次/年</w:t>
                  </w:r>
                </w:p>
              </w:tc>
            </w:tr>
          </w:tbl>
          <w:p>
            <w:pPr>
              <w:bidi w:val="0"/>
              <w:rPr>
                <w:rFonts w:hint="eastAsia"/>
                <w:color w:val="auto"/>
                <w:lang w:val="en-US" w:eastAsia="zh-CN"/>
              </w:rPr>
            </w:pPr>
            <w:r>
              <w:rPr>
                <w:rFonts w:hint="eastAsia"/>
                <w:color w:val="auto"/>
                <w:lang w:val="en-US" w:eastAsia="zh-CN"/>
              </w:rPr>
              <w:t>4、达标排放情况</w:t>
            </w:r>
          </w:p>
          <w:p>
            <w:pPr>
              <w:bidi w:val="0"/>
              <w:rPr>
                <w:rFonts w:hint="default"/>
                <w:color w:val="auto"/>
                <w:lang w:val="en-US" w:eastAsia="zh-CN"/>
              </w:rPr>
            </w:pPr>
            <w:r>
              <w:rPr>
                <w:rFonts w:hint="eastAsia"/>
                <w:color w:val="auto"/>
                <w:lang w:val="en-US" w:eastAsia="zh-CN"/>
              </w:rPr>
              <w:t>根据以上监测结果，锅炉废气可满足</w:t>
            </w:r>
            <w:r>
              <w:rPr>
                <w:rFonts w:hint="default" w:ascii="Times New Roman" w:hAnsi="Times New Roman" w:eastAsia="宋体" w:cs="Times New Roman"/>
                <w:b w:val="0"/>
                <w:bCs w:val="0"/>
                <w:color w:val="000000"/>
                <w:sz w:val="24"/>
                <w:szCs w:val="24"/>
                <w:highlight w:val="none"/>
                <w:lang w:val="en-US" w:eastAsia="zh-CN"/>
              </w:rPr>
              <w:t>《锅炉大气污染物排放标准》（DB60/1226-2018）中天然气锅炉相关排放限值。</w:t>
            </w:r>
            <w:r>
              <w:rPr>
                <w:rFonts w:hint="eastAsia" w:cs="Times New Roman"/>
                <w:b w:val="0"/>
                <w:bCs w:val="0"/>
                <w:color w:val="000000"/>
                <w:sz w:val="24"/>
                <w:szCs w:val="24"/>
                <w:highlight w:val="none"/>
                <w:lang w:val="en-US" w:eastAsia="zh-CN"/>
              </w:rPr>
              <w:t>油烟废气均满足</w:t>
            </w:r>
            <w:r>
              <w:rPr>
                <w:rFonts w:hint="default" w:ascii="Times New Roman" w:hAnsi="Times New Roman" w:eastAsia="宋体" w:cs="Times New Roman"/>
                <w:color w:val="auto"/>
                <w:sz w:val="24"/>
              </w:rPr>
              <w:t>《饮食业油烟排放标准》（GB18483-2001）中“</w:t>
            </w:r>
            <w:r>
              <w:rPr>
                <w:rFonts w:hint="eastAsia" w:cs="Times New Roman"/>
                <w:color w:val="auto"/>
                <w:sz w:val="24"/>
                <w:lang w:val="en-US" w:eastAsia="zh-CN"/>
              </w:rPr>
              <w:t>大</w:t>
            </w:r>
            <w:r>
              <w:rPr>
                <w:rFonts w:hint="default" w:ascii="Times New Roman" w:hAnsi="Times New Roman" w:eastAsia="宋体" w:cs="Times New Roman"/>
                <w:color w:val="auto"/>
                <w:sz w:val="24"/>
              </w:rPr>
              <w:t>型”规模油烟最高允许排放浓度2.0mg/m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的排放标准</w:t>
            </w:r>
            <w:r>
              <w:rPr>
                <w:rFonts w:hint="eastAsia" w:cs="Times New Roman"/>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非正常排放</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pacing w:val="0"/>
                <w:position w:val="0"/>
                <w:sz w:val="24"/>
                <w:szCs w:val="24"/>
                <w:highlight w:val="none"/>
                <w:lang w:bidi="zh-CN"/>
              </w:rPr>
            </w:pPr>
            <w:r>
              <w:rPr>
                <w:rFonts w:hint="default" w:ascii="Times New Roman" w:hAnsi="Times New Roman" w:eastAsia="宋体" w:cs="Times New Roman"/>
                <w:snapToGrid w:val="0"/>
                <w:color w:val="auto"/>
                <w:kern w:val="0"/>
                <w:sz w:val="24"/>
                <w:szCs w:val="24"/>
                <w:highlight w:val="none"/>
                <w:shd w:val="clear" w:color="auto" w:fill="FFFFFF"/>
                <w:lang w:val="en-GB"/>
              </w:rPr>
              <w:t>项目非正常情况主要是停电或设备开停车、检修时，环保装置未提前开启，造成废气超标排放，以最不利情况下废气处理系统净化效率为零考虑，源强最大的时段废气排放</w:t>
            </w:r>
            <w:r>
              <w:rPr>
                <w:rFonts w:hint="eastAsia" w:ascii="Times New Roman" w:hAnsi="Times New Roman" w:eastAsia="宋体" w:cs="Times New Roman"/>
                <w:snapToGrid w:val="0"/>
                <w:color w:val="auto"/>
                <w:kern w:val="0"/>
                <w:sz w:val="24"/>
                <w:szCs w:val="24"/>
                <w:highlight w:val="none"/>
                <w:shd w:val="clear" w:color="auto" w:fill="FFFFFF"/>
                <w:lang w:val="en-US" w:eastAsia="zh-CN"/>
              </w:rPr>
              <w:t>0.</w:t>
            </w:r>
            <w:r>
              <w:rPr>
                <w:rFonts w:hint="default" w:ascii="Times New Roman" w:hAnsi="Times New Roman" w:eastAsia="宋体" w:cs="Times New Roman"/>
                <w:snapToGrid w:val="0"/>
                <w:color w:val="auto"/>
                <w:kern w:val="0"/>
                <w:sz w:val="24"/>
                <w:szCs w:val="24"/>
                <w:highlight w:val="none"/>
                <w:shd w:val="clear" w:color="auto" w:fill="FFFFFF"/>
                <w:lang w:val="en-GB"/>
              </w:rPr>
              <w:t>1h对周围环境的影响</w:t>
            </w:r>
            <w:r>
              <w:rPr>
                <w:rFonts w:hint="default" w:ascii="Times New Roman" w:hAnsi="Times New Roman" w:eastAsia="宋体" w:cs="Times New Roman"/>
                <w:color w:val="auto"/>
                <w:spacing w:val="0"/>
                <w:position w:val="0"/>
                <w:sz w:val="24"/>
                <w:szCs w:val="24"/>
                <w:highlight w:val="none"/>
                <w:lang w:bidi="zh-CN"/>
              </w:rPr>
              <w:t>；项目非正常排放的情况</w:t>
            </w:r>
            <w:r>
              <w:rPr>
                <w:rFonts w:hint="eastAsia" w:ascii="Times New Roman" w:hAnsi="Times New Roman" w:eastAsia="宋体" w:cs="Times New Roman"/>
                <w:color w:val="auto"/>
                <w:spacing w:val="0"/>
                <w:position w:val="0"/>
                <w:sz w:val="24"/>
                <w:szCs w:val="24"/>
                <w:highlight w:val="none"/>
                <w:lang w:val="en-US" w:bidi="zh-CN"/>
              </w:rPr>
              <w:t>下表</w:t>
            </w:r>
            <w:r>
              <w:rPr>
                <w:rFonts w:hint="default" w:ascii="Times New Roman" w:hAnsi="Times New Roman" w:eastAsia="宋体" w:cs="Times New Roman"/>
                <w:color w:val="auto"/>
                <w:spacing w:val="0"/>
                <w:position w:val="0"/>
                <w:sz w:val="24"/>
                <w:szCs w:val="24"/>
                <w:highlight w:val="none"/>
                <w:lang w:bidi="zh-CN"/>
              </w:rPr>
              <w:t>所示。</w:t>
            </w:r>
          </w:p>
          <w:p>
            <w:pPr>
              <w:pStyle w:val="81"/>
              <w:bidi w:val="0"/>
              <w:rPr>
                <w:rFonts w:hint="default"/>
                <w:color w:val="auto"/>
                <w:highlight w:val="none"/>
                <w:lang w:val="zh-CN"/>
              </w:rPr>
            </w:pPr>
            <w:r>
              <w:rPr>
                <w:rFonts w:hint="default"/>
                <w:color w:val="auto"/>
                <w:highlight w:val="none"/>
                <w:lang w:val="zh-CN"/>
              </w:rPr>
              <w:t>表</w:t>
            </w:r>
            <w:r>
              <w:rPr>
                <w:rFonts w:hint="eastAsia"/>
                <w:color w:val="auto"/>
                <w:highlight w:val="none"/>
                <w:lang w:val="en-US" w:eastAsia="zh-CN"/>
              </w:rPr>
              <w:t>4-9</w:t>
            </w:r>
            <w:r>
              <w:rPr>
                <w:rFonts w:hint="eastAsia"/>
                <w:color w:val="auto"/>
                <w:highlight w:val="none"/>
                <w:lang w:val="en-US"/>
              </w:rPr>
              <w:t xml:space="preserve">   </w:t>
            </w:r>
            <w:r>
              <w:rPr>
                <w:rFonts w:hint="default"/>
                <w:color w:val="auto"/>
                <w:highlight w:val="none"/>
                <w:lang w:val="zh-CN"/>
              </w:rPr>
              <w:t>非正常工况污染物排放源强</w:t>
            </w:r>
          </w:p>
          <w:tbl>
            <w:tblPr>
              <w:tblStyle w:val="30"/>
              <w:tblW w:w="805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350"/>
              <w:gridCol w:w="1095"/>
              <w:gridCol w:w="1710"/>
              <w:gridCol w:w="1741"/>
              <w:gridCol w:w="1050"/>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23" w:hRule="atLeast"/>
                <w:jc w:val="center"/>
              </w:trPr>
              <w:tc>
                <w:tcPr>
                  <w:tcW w:w="1350" w:type="dxa"/>
                  <w:vMerge w:val="restart"/>
                  <w:tcBorders>
                    <w:tl2br w:val="nil"/>
                    <w:tr2bl w:val="nil"/>
                  </w:tcBorders>
                  <w:vAlign w:val="center"/>
                </w:tcPr>
                <w:p>
                  <w:pPr>
                    <w:pStyle w:val="32"/>
                    <w:bidi w:val="0"/>
                    <w:rPr>
                      <w:rFonts w:hint="default"/>
                      <w:b/>
                      <w:bCs/>
                      <w:color w:val="auto"/>
                      <w:highlight w:val="none"/>
                    </w:rPr>
                  </w:pPr>
                  <w:r>
                    <w:rPr>
                      <w:rFonts w:hint="default"/>
                      <w:b/>
                      <w:bCs/>
                      <w:color w:val="auto"/>
                      <w:highlight w:val="none"/>
                    </w:rPr>
                    <w:t>污染源</w:t>
                  </w:r>
                </w:p>
              </w:tc>
              <w:tc>
                <w:tcPr>
                  <w:tcW w:w="1095" w:type="dxa"/>
                  <w:vMerge w:val="restart"/>
                  <w:tcBorders>
                    <w:tl2br w:val="nil"/>
                    <w:tr2bl w:val="nil"/>
                  </w:tcBorders>
                  <w:vAlign w:val="center"/>
                </w:tcPr>
                <w:p>
                  <w:pPr>
                    <w:pStyle w:val="32"/>
                    <w:bidi w:val="0"/>
                    <w:rPr>
                      <w:rFonts w:hint="default"/>
                      <w:b/>
                      <w:bCs/>
                      <w:color w:val="auto"/>
                      <w:highlight w:val="none"/>
                    </w:rPr>
                  </w:pPr>
                  <w:r>
                    <w:rPr>
                      <w:rFonts w:hint="default"/>
                      <w:b/>
                      <w:bCs/>
                      <w:color w:val="auto"/>
                      <w:highlight w:val="none"/>
                    </w:rPr>
                    <w:t>污染物名称</w:t>
                  </w:r>
                </w:p>
              </w:tc>
              <w:tc>
                <w:tcPr>
                  <w:tcW w:w="3451" w:type="dxa"/>
                  <w:gridSpan w:val="2"/>
                  <w:tcBorders>
                    <w:tl2br w:val="nil"/>
                    <w:tr2bl w:val="nil"/>
                  </w:tcBorders>
                  <w:vAlign w:val="center"/>
                </w:tcPr>
                <w:p>
                  <w:pPr>
                    <w:pStyle w:val="32"/>
                    <w:bidi w:val="0"/>
                    <w:rPr>
                      <w:rFonts w:hint="default"/>
                      <w:b/>
                      <w:bCs/>
                      <w:color w:val="auto"/>
                      <w:highlight w:val="none"/>
                    </w:rPr>
                  </w:pPr>
                  <w:r>
                    <w:rPr>
                      <w:rFonts w:hint="eastAsia"/>
                      <w:b/>
                      <w:bCs/>
                      <w:color w:val="auto"/>
                      <w:highlight w:val="none"/>
                      <w:lang w:val="en-US" w:eastAsia="zh-CN"/>
                    </w:rPr>
                    <w:t>非正常</w:t>
                  </w:r>
                  <w:r>
                    <w:rPr>
                      <w:rFonts w:hint="default"/>
                      <w:b/>
                      <w:bCs/>
                      <w:color w:val="auto"/>
                      <w:highlight w:val="none"/>
                    </w:rPr>
                    <w:t>排放情况</w:t>
                  </w:r>
                </w:p>
              </w:tc>
              <w:tc>
                <w:tcPr>
                  <w:tcW w:w="1050" w:type="dxa"/>
                  <w:vMerge w:val="restart"/>
                  <w:tcBorders>
                    <w:tl2br w:val="nil"/>
                    <w:tr2bl w:val="nil"/>
                  </w:tcBorders>
                  <w:vAlign w:val="center"/>
                </w:tcPr>
                <w:p>
                  <w:pPr>
                    <w:pStyle w:val="32"/>
                    <w:bidi w:val="0"/>
                    <w:rPr>
                      <w:rFonts w:hint="default"/>
                      <w:color w:val="auto"/>
                      <w:highlight w:val="none"/>
                    </w:rPr>
                  </w:pPr>
                  <w:r>
                    <w:rPr>
                      <w:rFonts w:hint="default"/>
                      <w:b/>
                      <w:bCs/>
                      <w:color w:val="auto"/>
                      <w:highlight w:val="none"/>
                    </w:rPr>
                    <w:t>持续时间</w:t>
                  </w:r>
                </w:p>
              </w:tc>
              <w:tc>
                <w:tcPr>
                  <w:tcW w:w="1111" w:type="dxa"/>
                  <w:vMerge w:val="restart"/>
                  <w:tcBorders>
                    <w:tl2br w:val="nil"/>
                    <w:tr2bl w:val="nil"/>
                  </w:tcBorders>
                  <w:vAlign w:val="center"/>
                </w:tcPr>
                <w:p>
                  <w:pPr>
                    <w:pStyle w:val="32"/>
                    <w:bidi w:val="0"/>
                    <w:rPr>
                      <w:rFonts w:hint="default" w:eastAsia="宋体"/>
                      <w:b/>
                      <w:bCs/>
                      <w:color w:val="auto"/>
                      <w:highlight w:val="none"/>
                      <w:lang w:val="en-US" w:eastAsia="zh-CN"/>
                    </w:rPr>
                  </w:pPr>
                  <w:r>
                    <w:rPr>
                      <w:rFonts w:hint="eastAsia"/>
                      <w:b/>
                      <w:bCs/>
                      <w:color w:val="auto"/>
                      <w:highlight w:val="none"/>
                      <w:lang w:val="en-US" w:eastAsia="zh-CN"/>
                    </w:rPr>
                    <w:t>年发生频次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23" w:hRule="atLeast"/>
                <w:jc w:val="center"/>
              </w:trPr>
              <w:tc>
                <w:tcPr>
                  <w:tcW w:w="1350" w:type="dxa"/>
                  <w:vMerge w:val="continue"/>
                  <w:tcBorders>
                    <w:tl2br w:val="nil"/>
                    <w:tr2bl w:val="nil"/>
                  </w:tcBorders>
                  <w:vAlign w:val="center"/>
                </w:tcPr>
                <w:p>
                  <w:pPr>
                    <w:pStyle w:val="32"/>
                    <w:bidi w:val="0"/>
                    <w:rPr>
                      <w:rFonts w:hint="default"/>
                      <w:b/>
                      <w:bCs/>
                      <w:color w:val="auto"/>
                      <w:highlight w:val="none"/>
                    </w:rPr>
                  </w:pPr>
                </w:p>
              </w:tc>
              <w:tc>
                <w:tcPr>
                  <w:tcW w:w="1095" w:type="dxa"/>
                  <w:vMerge w:val="continue"/>
                  <w:tcBorders>
                    <w:tl2br w:val="nil"/>
                    <w:tr2bl w:val="nil"/>
                  </w:tcBorders>
                  <w:vAlign w:val="center"/>
                </w:tcPr>
                <w:p>
                  <w:pPr>
                    <w:pStyle w:val="32"/>
                    <w:bidi w:val="0"/>
                    <w:rPr>
                      <w:rFonts w:hint="default"/>
                      <w:b/>
                      <w:bCs/>
                      <w:color w:val="auto"/>
                      <w:highlight w:val="none"/>
                    </w:rPr>
                  </w:pPr>
                </w:p>
              </w:tc>
              <w:tc>
                <w:tcPr>
                  <w:tcW w:w="1710" w:type="dxa"/>
                  <w:tcBorders>
                    <w:tl2br w:val="nil"/>
                    <w:tr2bl w:val="nil"/>
                  </w:tcBorders>
                  <w:vAlign w:val="center"/>
                </w:tcPr>
                <w:p>
                  <w:pPr>
                    <w:pStyle w:val="32"/>
                    <w:bidi w:val="0"/>
                    <w:rPr>
                      <w:rFonts w:hint="default"/>
                      <w:b/>
                      <w:bCs/>
                      <w:color w:val="auto"/>
                      <w:highlight w:val="none"/>
                    </w:rPr>
                  </w:pPr>
                  <w:r>
                    <w:rPr>
                      <w:rFonts w:hint="default"/>
                      <w:b/>
                      <w:bCs/>
                      <w:color w:val="auto"/>
                      <w:highlight w:val="none"/>
                    </w:rPr>
                    <w:t>浓度（mg/m</w:t>
                  </w:r>
                  <w:r>
                    <w:rPr>
                      <w:rFonts w:hint="default"/>
                      <w:b/>
                      <w:bCs/>
                      <w:color w:val="auto"/>
                      <w:highlight w:val="none"/>
                      <w:vertAlign w:val="superscript"/>
                    </w:rPr>
                    <w:t>3</w:t>
                  </w:r>
                  <w:r>
                    <w:rPr>
                      <w:rFonts w:hint="default"/>
                      <w:b/>
                      <w:bCs/>
                      <w:color w:val="auto"/>
                      <w:highlight w:val="none"/>
                    </w:rPr>
                    <w:t>）</w:t>
                  </w:r>
                </w:p>
              </w:tc>
              <w:tc>
                <w:tcPr>
                  <w:tcW w:w="1741" w:type="dxa"/>
                  <w:tcBorders>
                    <w:tl2br w:val="nil"/>
                    <w:tr2bl w:val="nil"/>
                  </w:tcBorders>
                  <w:vAlign w:val="center"/>
                </w:tcPr>
                <w:p>
                  <w:pPr>
                    <w:pStyle w:val="32"/>
                    <w:bidi w:val="0"/>
                    <w:rPr>
                      <w:rFonts w:hint="default"/>
                      <w:b/>
                      <w:bCs/>
                      <w:color w:val="auto"/>
                      <w:highlight w:val="none"/>
                    </w:rPr>
                  </w:pPr>
                  <w:r>
                    <w:rPr>
                      <w:rFonts w:hint="default"/>
                      <w:b/>
                      <w:bCs/>
                      <w:color w:val="auto"/>
                      <w:highlight w:val="none"/>
                    </w:rPr>
                    <w:t>速率（kg/h）</w:t>
                  </w:r>
                </w:p>
              </w:tc>
              <w:tc>
                <w:tcPr>
                  <w:tcW w:w="1050" w:type="dxa"/>
                  <w:vMerge w:val="continue"/>
                  <w:tcBorders>
                    <w:tl2br w:val="nil"/>
                    <w:tr2bl w:val="nil"/>
                  </w:tcBorders>
                  <w:vAlign w:val="center"/>
                </w:tcPr>
                <w:p>
                  <w:pPr>
                    <w:pStyle w:val="32"/>
                    <w:bidi w:val="0"/>
                    <w:rPr>
                      <w:rFonts w:hint="default"/>
                      <w:color w:val="auto"/>
                      <w:highlight w:val="none"/>
                    </w:rPr>
                  </w:pPr>
                </w:p>
              </w:tc>
              <w:tc>
                <w:tcPr>
                  <w:tcW w:w="1111" w:type="dxa"/>
                  <w:vMerge w:val="continue"/>
                  <w:tcBorders>
                    <w:tl2br w:val="nil"/>
                    <w:tr2bl w:val="nil"/>
                  </w:tcBorders>
                  <w:vAlign w:val="center"/>
                </w:tcPr>
                <w:p>
                  <w:pPr>
                    <w:pStyle w:val="32"/>
                    <w:bidi w:val="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23" w:hRule="atLeast"/>
                <w:jc w:val="center"/>
              </w:trPr>
              <w:tc>
                <w:tcPr>
                  <w:tcW w:w="1350"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b w:val="0"/>
                      <w:bCs w:val="0"/>
                      <w:color w:val="auto"/>
                      <w:sz w:val="21"/>
                      <w:szCs w:val="21"/>
                      <w:highlight w:val="none"/>
                      <w:lang w:val="en-US" w:eastAsia="zh-CN"/>
                    </w:rPr>
                    <w:t>1#及2#热油锅</w:t>
                  </w:r>
                </w:p>
              </w:tc>
              <w:tc>
                <w:tcPr>
                  <w:tcW w:w="1095"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油烟</w:t>
                  </w:r>
                </w:p>
              </w:tc>
              <w:tc>
                <w:tcPr>
                  <w:tcW w:w="1710"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w:t>
                  </w:r>
                </w:p>
              </w:tc>
              <w:tc>
                <w:tcPr>
                  <w:tcW w:w="1741"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0.107</w:t>
                  </w:r>
                </w:p>
              </w:tc>
              <w:tc>
                <w:tcPr>
                  <w:tcW w:w="1050"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h</w:t>
                  </w:r>
                </w:p>
              </w:tc>
              <w:tc>
                <w:tcPr>
                  <w:tcW w:w="1111"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eastAsia="zh-CN"/>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23" w:hRule="atLeast"/>
                <w:jc w:val="center"/>
              </w:trPr>
              <w:tc>
                <w:tcPr>
                  <w:tcW w:w="1350" w:type="dxa"/>
                  <w:tcBorders>
                    <w:tl2br w:val="nil"/>
                    <w:tr2bl w:val="nil"/>
                  </w:tcBorders>
                  <w:vAlign w:val="center"/>
                </w:tcPr>
                <w:p>
                  <w:pPr>
                    <w:pStyle w:val="32"/>
                    <w:bidi w:val="0"/>
                    <w:rPr>
                      <w:rFonts w:hint="eastAsia" w:ascii="Times New Roman" w:hAnsi="Times New Roman" w:eastAsia="宋体" w:cs="Times New Roman"/>
                      <w:color w:val="auto"/>
                      <w:highlight w:val="none"/>
                      <w:lang w:val="en-US" w:eastAsia="zh-CN"/>
                    </w:rPr>
                  </w:pPr>
                  <w:r>
                    <w:rPr>
                      <w:rFonts w:hint="eastAsia" w:cs="Times New Roman"/>
                      <w:b w:val="0"/>
                      <w:bCs w:val="0"/>
                      <w:color w:val="auto"/>
                      <w:sz w:val="21"/>
                      <w:szCs w:val="21"/>
                      <w:highlight w:val="none"/>
                      <w:lang w:val="en-US" w:eastAsia="zh-CN"/>
                    </w:rPr>
                    <w:t>3#及4#热油锅</w:t>
                  </w:r>
                </w:p>
              </w:tc>
              <w:tc>
                <w:tcPr>
                  <w:tcW w:w="1095"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油烟</w:t>
                  </w:r>
                </w:p>
              </w:tc>
              <w:tc>
                <w:tcPr>
                  <w:tcW w:w="1710"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3.3</w:t>
                  </w:r>
                </w:p>
              </w:tc>
              <w:tc>
                <w:tcPr>
                  <w:tcW w:w="1741" w:type="dxa"/>
                  <w:tcBorders>
                    <w:tl2br w:val="nil"/>
                    <w:tr2bl w:val="nil"/>
                  </w:tcBorders>
                  <w:vAlign w:val="center"/>
                </w:tcPr>
                <w:p>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0.033</w:t>
                  </w:r>
                </w:p>
              </w:tc>
              <w:tc>
                <w:tcPr>
                  <w:tcW w:w="1050" w:type="dxa"/>
                  <w:tcBorders>
                    <w:tl2br w:val="nil"/>
                    <w:tr2bl w:val="nil"/>
                  </w:tcBorders>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h</w:t>
                  </w:r>
                </w:p>
              </w:tc>
              <w:tc>
                <w:tcPr>
                  <w:tcW w:w="1111" w:type="dxa"/>
                  <w:tcBorders>
                    <w:tl2br w:val="nil"/>
                    <w:tr2bl w:val="nil"/>
                  </w:tcBorders>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eastAsia="zh-CN"/>
                    </w:rPr>
                    <w:t>1次/年</w:t>
                  </w:r>
                </w:p>
              </w:tc>
            </w:tr>
          </w:tbl>
          <w:p>
            <w:pPr>
              <w:bidi w:val="0"/>
              <w:rPr>
                <w:rFonts w:hint="default"/>
                <w:color w:val="auto"/>
              </w:rPr>
            </w:pPr>
            <w:r>
              <w:rPr>
                <w:rFonts w:hint="default"/>
                <w:color w:val="auto"/>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bidi w:val="0"/>
              <w:rPr>
                <w:rFonts w:hint="default"/>
                <w:color w:val="auto"/>
              </w:rPr>
            </w:pPr>
            <w:r>
              <w:rPr>
                <w:rFonts w:hint="default"/>
                <w:color w:val="auto"/>
              </w:rPr>
              <w:t>①安排专人负责设备的日常维护和管理，</w:t>
            </w:r>
            <w:r>
              <w:rPr>
                <w:rFonts w:hint="eastAsia"/>
                <w:color w:val="auto"/>
                <w:lang w:val="en-US" w:eastAsia="zh-CN"/>
              </w:rPr>
              <w:t>每隔</w:t>
            </w:r>
            <w:r>
              <w:rPr>
                <w:rFonts w:hint="default"/>
                <w:color w:val="auto"/>
              </w:rPr>
              <w:t>固定时间检查、汇报情况，及时</w:t>
            </w:r>
            <w:r>
              <w:rPr>
                <w:rFonts w:hint="eastAsia"/>
                <w:color w:val="auto"/>
                <w:lang w:eastAsia="zh-CN"/>
              </w:rPr>
              <w:t>排查</w:t>
            </w:r>
            <w:r>
              <w:rPr>
                <w:rFonts w:hint="default"/>
                <w:color w:val="auto"/>
              </w:rPr>
              <w:t>设备的隐患，确保</w:t>
            </w:r>
            <w:r>
              <w:rPr>
                <w:rFonts w:hint="eastAsia"/>
                <w:color w:val="auto"/>
                <w:lang w:eastAsia="zh-CN"/>
              </w:rPr>
              <w:t>设备</w:t>
            </w:r>
            <w:r>
              <w:rPr>
                <w:rFonts w:hint="default"/>
                <w:color w:val="auto"/>
              </w:rPr>
              <w:t>正常运行；</w:t>
            </w:r>
          </w:p>
          <w:p>
            <w:pPr>
              <w:bidi w:val="0"/>
              <w:rPr>
                <w:rFonts w:hint="default"/>
                <w:color w:val="auto"/>
              </w:rPr>
            </w:pPr>
            <w:r>
              <w:rPr>
                <w:rFonts w:hint="default"/>
                <w:color w:val="auto"/>
              </w:rPr>
              <w:t>②建设单位运营期应加强管理，定期对</w:t>
            </w:r>
            <w:r>
              <w:rPr>
                <w:rFonts w:hint="eastAsia"/>
                <w:color w:val="auto"/>
                <w:lang w:eastAsia="zh-CN"/>
              </w:rPr>
              <w:t>设备</w:t>
            </w:r>
            <w:r>
              <w:rPr>
                <w:rFonts w:hint="default"/>
                <w:color w:val="auto"/>
              </w:rPr>
              <w:t>进行检修，发现隐患及时处理，杜绝设备带病工作，一旦发现系统故障，立即启动紧急停车等应急措施；企业应规范生产设备的启动、关闭过程的运行管理：应尽可能减少启动、关闭次数；</w:t>
            </w:r>
          </w:p>
          <w:p>
            <w:pPr>
              <w:bidi w:val="0"/>
              <w:rPr>
                <w:rFonts w:hint="default"/>
                <w:color w:val="auto"/>
              </w:rPr>
            </w:pPr>
            <w:r>
              <w:rPr>
                <w:rFonts w:hint="default"/>
                <w:color w:val="auto"/>
              </w:rPr>
              <w:t>③建立健全的环保管理机构，对管理人员和技术人员进行岗位培训，委托具有专业资质的环境检测单位对项目排放的各类污染物进行定期检测；</w:t>
            </w:r>
          </w:p>
          <w:p>
            <w:pPr>
              <w:bidi w:val="0"/>
              <w:rPr>
                <w:rFonts w:hint="default"/>
                <w:color w:val="auto"/>
              </w:rPr>
            </w:pPr>
            <w:r>
              <w:rPr>
                <w:rFonts w:hint="default"/>
                <w:color w:val="auto"/>
              </w:rPr>
              <w:t>④应定期维护、检修废气处理装置，以保持废气处理装置的处理能力和处理容量。</w:t>
            </w:r>
          </w:p>
          <w:p>
            <w:pPr>
              <w:bidi w:val="0"/>
              <w:rPr>
                <w:rFonts w:hint="default"/>
                <w:color w:val="auto"/>
              </w:rPr>
            </w:pPr>
            <w:r>
              <w:rPr>
                <w:rFonts w:hint="eastAsia"/>
                <w:color w:val="auto"/>
                <w:lang w:val="en-US" w:eastAsia="zh-CN"/>
              </w:rPr>
              <w:t>6、</w:t>
            </w:r>
            <w:r>
              <w:rPr>
                <w:rFonts w:hint="default"/>
                <w:color w:val="auto"/>
              </w:rPr>
              <w:t>项目废气污染物治理措施可行性分析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lang w:val="en-US" w:eastAsia="zh-CN"/>
              </w:rPr>
              <w:t>项目天然气锅炉采用低氮燃烧技术处理，油烟废气采用油烟净化器处理</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sz w:val="24"/>
                <w:szCs w:val="24"/>
                <w:lang w:val="en-US" w:eastAsia="zh-CN"/>
              </w:rPr>
              <w:t xml:space="preserve">根据《排污许可证申请与核发技术规范 </w:t>
            </w:r>
            <w:r>
              <w:rPr>
                <w:rFonts w:hint="eastAsia" w:cs="Times New Roman"/>
                <w:color w:val="auto"/>
                <w:sz w:val="24"/>
                <w:szCs w:val="24"/>
                <w:lang w:val="en-US" w:eastAsia="zh-CN"/>
              </w:rPr>
              <w:t>锅炉</w:t>
            </w:r>
            <w:r>
              <w:rPr>
                <w:rFonts w:hint="eastAsia" w:ascii="Times New Roman" w:hAnsi="Times New Roman" w:eastAsia="宋体" w:cs="Times New Roman"/>
                <w:color w:val="auto"/>
                <w:sz w:val="24"/>
                <w:szCs w:val="24"/>
                <w:lang w:val="en-US" w:eastAsia="zh-CN"/>
              </w:rPr>
              <w:t>》（HJ</w:t>
            </w:r>
            <w:r>
              <w:rPr>
                <w:rFonts w:hint="eastAsia" w:cs="Times New Roman"/>
                <w:color w:val="auto"/>
                <w:sz w:val="24"/>
                <w:szCs w:val="24"/>
                <w:lang w:val="en-US" w:eastAsia="zh-CN"/>
              </w:rPr>
              <w:t>953-2018</w:t>
            </w:r>
            <w:r>
              <w:rPr>
                <w:rFonts w:hint="eastAsia" w:ascii="Times New Roman" w:hAnsi="Times New Roman" w:eastAsia="宋体" w:cs="Times New Roman"/>
                <w:color w:val="auto"/>
                <w:sz w:val="24"/>
                <w:szCs w:val="24"/>
                <w:lang w:val="en-US" w:eastAsia="zh-CN"/>
              </w:rPr>
              <w:t>），</w:t>
            </w:r>
            <w:r>
              <w:rPr>
                <w:rFonts w:hint="eastAsia" w:cs="Times New Roman"/>
                <w:color w:val="auto"/>
                <w:lang w:val="en-US" w:eastAsia="zh-CN"/>
              </w:rPr>
              <w:t>低氮燃烧技术为燃气锅炉可行技术；</w:t>
            </w:r>
            <w:r>
              <w:rPr>
                <w:rFonts w:hint="eastAsia"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 xml:space="preserve">《排污许可证申请与核发技术规范 </w:t>
            </w:r>
            <w:r>
              <w:rPr>
                <w:rFonts w:hint="eastAsia" w:cs="Times New Roman"/>
                <w:color w:val="auto"/>
                <w:sz w:val="24"/>
                <w:szCs w:val="24"/>
                <w:lang w:val="en-US" w:eastAsia="zh-CN"/>
              </w:rPr>
              <w:t>食品制造工业-方便食品、食品及饲料添加剂制造工业</w:t>
            </w:r>
            <w:r>
              <w:rPr>
                <w:rFonts w:hint="eastAsia" w:ascii="Times New Roman" w:hAnsi="Times New Roman" w:eastAsia="宋体" w:cs="Times New Roman"/>
                <w:color w:val="auto"/>
                <w:sz w:val="24"/>
                <w:szCs w:val="24"/>
                <w:lang w:val="en-US" w:eastAsia="zh-CN"/>
              </w:rPr>
              <w:t>》（HJ</w:t>
            </w:r>
            <w:r>
              <w:rPr>
                <w:rFonts w:hint="eastAsia" w:cs="Times New Roman"/>
                <w:color w:val="auto"/>
                <w:sz w:val="24"/>
                <w:szCs w:val="24"/>
                <w:lang w:val="en-US" w:eastAsia="zh-CN"/>
              </w:rPr>
              <w:t>1030.3-2019</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，油烟净化器为防治油烟废气的可行技术。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eastAsia="宋体"/>
                <w:color w:val="auto"/>
                <w:lang w:val="en-US" w:eastAsia="zh-CN"/>
              </w:rPr>
            </w:pPr>
            <w:r>
              <w:rPr>
                <w:rFonts w:hint="eastAsia"/>
                <w:color w:val="auto"/>
                <w:lang w:val="en-US" w:eastAsia="zh-CN"/>
              </w:rPr>
              <w:t>本项目废气治理设施满足相关技术规范要求，</w:t>
            </w:r>
            <w:r>
              <w:rPr>
                <w:rFonts w:hint="default" w:ascii="Times New Roman" w:hAnsi="Times New Roman" w:eastAsia="宋体" w:cs="Times New Roman"/>
                <w:color w:val="auto"/>
                <w:sz w:val="24"/>
                <w:szCs w:val="24"/>
                <w:lang w:val="zh-CN" w:eastAsia="zh-CN"/>
              </w:rPr>
              <w:t>故本次评价提出的废气防治措施可行</w:t>
            </w:r>
            <w:r>
              <w:rPr>
                <w:rFonts w:hint="eastAsia" w:ascii="Times New Roman" w:hAnsi="Times New Roman" w:eastAsia="宋体" w:cs="Times New Roman"/>
                <w:color w:val="auto"/>
                <w:sz w:val="24"/>
                <w:szCs w:val="24"/>
                <w:lang w:val="zh-CN" w:eastAsia="zh-CN"/>
              </w:rPr>
              <w:t>、可靠。</w:t>
            </w:r>
          </w:p>
          <w:p>
            <w:pPr>
              <w:bidi w:val="0"/>
              <w:rPr>
                <w:rFonts w:hint="default"/>
                <w:color w:val="auto"/>
                <w:lang w:val="en-US" w:eastAsia="zh-CN"/>
              </w:rPr>
            </w:pPr>
            <w:r>
              <w:rPr>
                <w:rFonts w:hint="eastAsia"/>
                <w:color w:val="auto"/>
                <w:lang w:val="en-US" w:eastAsia="zh-CN"/>
              </w:rPr>
              <w:t>7、</w:t>
            </w:r>
            <w:r>
              <w:rPr>
                <w:rFonts w:hint="default"/>
                <w:color w:val="auto"/>
                <w:lang w:val="en-US" w:eastAsia="zh-CN"/>
              </w:rPr>
              <w:t>废气排放环境影响</w:t>
            </w:r>
            <w:r>
              <w:rPr>
                <w:rFonts w:hint="eastAsia"/>
                <w:color w:val="auto"/>
                <w:lang w:val="en-US" w:eastAsia="zh-CN"/>
              </w:rPr>
              <w:t>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天然气锅炉废气经低氮燃烧器后达标排放，油烟经油烟净化器处理后达标排放。</w:t>
            </w: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位</w:t>
            </w:r>
            <w:r>
              <w:rPr>
                <w:rFonts w:hint="default" w:ascii="Times New Roman" w:hAnsi="Times New Roman" w:eastAsia="宋体" w:cs="Times New Roman"/>
                <w:color w:val="auto"/>
                <w:sz w:val="24"/>
                <w:lang w:val="en-US" w:eastAsia="zh-CN"/>
              </w:rPr>
              <w:t>于环境空气二类区</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b w:val="0"/>
                <w:bCs w:val="0"/>
                <w:color w:val="auto"/>
                <w:sz w:val="24"/>
                <w:szCs w:val="24"/>
                <w:lang w:val="en-US" w:eastAsia="zh-CN"/>
              </w:rPr>
              <w:t>距离本项目最近居民区约</w:t>
            </w:r>
            <w:r>
              <w:rPr>
                <w:rFonts w:hint="eastAsia" w:cs="Times New Roman"/>
                <w:b w:val="0"/>
                <w:bCs w:val="0"/>
                <w:color w:val="auto"/>
                <w:sz w:val="24"/>
                <w:szCs w:val="24"/>
                <w:lang w:val="en-US" w:eastAsia="zh-CN"/>
              </w:rPr>
              <w:t>5</w:t>
            </w:r>
            <w:r>
              <w:rPr>
                <w:rFonts w:hint="eastAsia"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color w:val="auto"/>
                <w:sz w:val="24"/>
                <w:lang w:val="en-US" w:eastAsia="zh-CN"/>
              </w:rPr>
              <w:t>在</w:t>
            </w:r>
            <w:r>
              <w:rPr>
                <w:rFonts w:hint="eastAsia" w:ascii="Times New Roman" w:hAnsi="Times New Roman" w:eastAsia="宋体" w:cs="Times New Roman"/>
                <w:color w:val="auto"/>
                <w:sz w:val="24"/>
                <w:lang w:val="en-US" w:eastAsia="zh-CN"/>
              </w:rPr>
              <w:t>落实</w:t>
            </w:r>
            <w:r>
              <w:rPr>
                <w:rFonts w:hint="default" w:ascii="Times New Roman" w:hAnsi="Times New Roman" w:eastAsia="宋体" w:cs="Times New Roman"/>
                <w:color w:val="auto"/>
                <w:sz w:val="24"/>
                <w:lang w:val="en-US" w:eastAsia="zh-CN"/>
              </w:rPr>
              <w:t>环评提出的污染防治措施后</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废气排放对环境保护目标影响较小</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b w:val="0"/>
                <w:bCs w:val="0"/>
                <w:color w:val="auto"/>
                <w:sz w:val="24"/>
                <w:szCs w:val="24"/>
                <w:lang w:val="en-US" w:eastAsia="zh-CN"/>
              </w:rPr>
              <w:t>周边环境影响可接受。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val="en-US" w:eastAsia="zh-CN"/>
              </w:rPr>
              <w:t>、废水</w:t>
            </w:r>
          </w:p>
          <w:p>
            <w:pPr>
              <w:bidi w:val="0"/>
              <w:rPr>
                <w:color w:val="auto"/>
                <w:highlight w:val="none"/>
              </w:rPr>
            </w:pPr>
            <w:r>
              <w:rPr>
                <w:rFonts w:hint="eastAsia"/>
                <w:color w:val="auto"/>
                <w:highlight w:val="none"/>
                <w:lang w:val="en-US" w:eastAsia="zh-CN"/>
              </w:rPr>
              <w:t>1、</w:t>
            </w:r>
            <w:r>
              <w:rPr>
                <w:color w:val="auto"/>
                <w:highlight w:val="none"/>
              </w:rPr>
              <w:t>废水污染物排放源</w:t>
            </w:r>
          </w:p>
          <w:p>
            <w:pPr>
              <w:bidi w:val="0"/>
              <w:rPr>
                <w:rFonts w:hint="default"/>
                <w:lang w:val="en-US" w:eastAsia="zh-CN"/>
              </w:rPr>
            </w:pPr>
            <w:r>
              <w:rPr>
                <w:rFonts w:hint="eastAsia"/>
                <w:lang w:val="en-US" w:eastAsia="zh-CN"/>
              </w:rPr>
              <w:t>本次扩建项目不新增生活污水，生产废水主要为车间清洗废水、设备清洗废水、面筋蒸煮废水、灭菌废水等，生产废水经厂区管道统一收集进入专用污水储罐暂存后拉运至岐山县大源污水处理厂。现项目污水储罐已建成，已与岐山县大源污水处理厂签订污水拉运协议（详见附件）。</w:t>
            </w:r>
          </w:p>
          <w:p>
            <w:pPr>
              <w:bidi w:val="0"/>
              <w:rPr>
                <w:rFonts w:hint="default"/>
                <w:lang w:val="en-US" w:eastAsia="zh-CN"/>
              </w:rPr>
            </w:pPr>
            <w:r>
              <w:rPr>
                <w:rFonts w:hint="eastAsia"/>
                <w:lang w:val="en-US" w:eastAsia="zh-CN"/>
              </w:rPr>
              <w:t>为确定本项目生产废水是否满足与岐山县大源污水处理厂签订污水拉运协议浓度要求，建设单位特委托陕西特瑞智检测技术服务有限公司对项目污水罐中生产废水进行监测，监测结果详见下表。</w:t>
            </w:r>
          </w:p>
          <w:p>
            <w:pPr>
              <w:pStyle w:val="81"/>
              <w:rPr>
                <w:rFonts w:hint="default" w:ascii="Times New Roman" w:hAnsi="Times New Roman" w:cs="Times New Roman"/>
                <w:color w:val="auto"/>
                <w:highlight w:val="none"/>
                <w:lang w:val="zh-TW"/>
              </w:rPr>
            </w:pPr>
            <w:r>
              <w:rPr>
                <w:rFonts w:hint="eastAsia" w:ascii="Times New Roman" w:hAnsi="Times New Roman" w:cs="Times New Roman"/>
                <w:color w:val="auto"/>
                <w:highlight w:val="none"/>
                <w:lang w:val="en-US" w:eastAsia="zh-CN"/>
              </w:rPr>
              <w:t>表4-</w:t>
            </w:r>
            <w:r>
              <w:rPr>
                <w:rFonts w:hint="eastAsia" w:cs="Times New Roman"/>
                <w:color w:val="auto"/>
                <w:highlight w:val="none"/>
                <w:lang w:val="en-US" w:eastAsia="zh-CN"/>
              </w:rPr>
              <w:t>10</w:t>
            </w:r>
            <w:r>
              <w:rPr>
                <w:rFonts w:hint="eastAsia" w:ascii="Times New Roman" w:hAnsi="Times New Roman" w:cs="Times New Roman"/>
                <w:color w:val="auto"/>
                <w:highlight w:val="none"/>
                <w:lang w:val="en-US" w:eastAsia="zh-CN"/>
              </w:rPr>
              <w:t xml:space="preserve">   废水</w:t>
            </w:r>
            <w:r>
              <w:rPr>
                <w:rFonts w:hint="default" w:ascii="Times New Roman" w:hAnsi="Times New Roman" w:cs="Times New Roman"/>
                <w:color w:val="auto"/>
                <w:highlight w:val="none"/>
                <w:lang w:val="zh-TW"/>
              </w:rPr>
              <w:t>排放信息一览表</w:t>
            </w:r>
          </w:p>
          <w:tbl>
            <w:tblPr>
              <w:tblStyle w:val="30"/>
              <w:tblW w:w="801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1412"/>
              <w:gridCol w:w="1978"/>
              <w:gridCol w:w="2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54" w:type="dxa"/>
                  <w:tcBorders>
                    <w:tl2br w:val="nil"/>
                    <w:tr2bl w:val="nil"/>
                  </w:tcBorders>
                  <w:vAlign w:val="center"/>
                </w:tcPr>
                <w:p>
                  <w:pPr>
                    <w:pStyle w:val="82"/>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监测项目</w:t>
                  </w:r>
                </w:p>
              </w:tc>
              <w:tc>
                <w:tcPr>
                  <w:tcW w:w="1412" w:type="dxa"/>
                  <w:tcBorders>
                    <w:tl2br w:val="nil"/>
                    <w:tr2bl w:val="nil"/>
                  </w:tcBorders>
                  <w:vAlign w:val="center"/>
                </w:tcPr>
                <w:p>
                  <w:pPr>
                    <w:pStyle w:val="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单位</w:t>
                  </w:r>
                </w:p>
              </w:tc>
              <w:tc>
                <w:tcPr>
                  <w:tcW w:w="1978" w:type="dxa"/>
                  <w:tcBorders>
                    <w:tl2br w:val="nil"/>
                    <w:tr2bl w:val="nil"/>
                  </w:tcBorders>
                  <w:vAlign w:val="center"/>
                </w:tcPr>
                <w:p>
                  <w:pPr>
                    <w:pStyle w:val="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监测结果</w:t>
                  </w:r>
                </w:p>
              </w:tc>
              <w:tc>
                <w:tcPr>
                  <w:tcW w:w="2471" w:type="dxa"/>
                  <w:tcBorders>
                    <w:tl2br w:val="nil"/>
                    <w:tr2bl w:val="nil"/>
                  </w:tcBorders>
                  <w:vAlign w:val="center"/>
                </w:tcPr>
                <w:p>
                  <w:pPr>
                    <w:pStyle w:val="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协议限值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54" w:type="dxa"/>
                  <w:tcBorders>
                    <w:tl2br w:val="nil"/>
                    <w:tr2bl w:val="nil"/>
                  </w:tcBorders>
                  <w:vAlign w:val="center"/>
                </w:tcPr>
                <w:p>
                  <w:pPr>
                    <w:pStyle w:val="82"/>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pH值</w:t>
                  </w:r>
                </w:p>
              </w:tc>
              <w:tc>
                <w:tcPr>
                  <w:tcW w:w="1412"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color w:val="auto"/>
                      <w:highlight w:val="none"/>
                      <w:lang w:val="en-US" w:eastAsia="zh-CN"/>
                    </w:rPr>
                    <w:t>无量纲</w:t>
                  </w:r>
                </w:p>
              </w:tc>
              <w:tc>
                <w:tcPr>
                  <w:tcW w:w="1978"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7.08</w:t>
                  </w:r>
                </w:p>
              </w:tc>
              <w:tc>
                <w:tcPr>
                  <w:tcW w:w="2471"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54" w:type="dxa"/>
                  <w:tcBorders>
                    <w:tl2br w:val="nil"/>
                    <w:tr2bl w:val="nil"/>
                  </w:tcBorders>
                  <w:vAlign w:val="center"/>
                </w:tcPr>
                <w:p>
                  <w:pPr>
                    <w:pStyle w:val="82"/>
                    <w:rPr>
                      <w:rFonts w:hint="default" w:cs="Times New Roman"/>
                      <w:color w:val="auto"/>
                      <w:highlight w:val="none"/>
                      <w:lang w:val="en-US" w:eastAsia="zh-CN"/>
                    </w:rPr>
                  </w:pPr>
                  <w:r>
                    <w:rPr>
                      <w:rFonts w:hint="eastAsia" w:cs="Times New Roman"/>
                      <w:color w:val="auto"/>
                      <w:highlight w:val="none"/>
                      <w:lang w:val="en-US" w:eastAsia="zh-CN"/>
                    </w:rPr>
                    <w:t>悬浮物</w:t>
                  </w:r>
                </w:p>
              </w:tc>
              <w:tc>
                <w:tcPr>
                  <w:tcW w:w="1412" w:type="dxa"/>
                  <w:vMerge w:val="restart"/>
                  <w:tcBorders>
                    <w:tl2br w:val="nil"/>
                    <w:tr2bl w:val="nil"/>
                  </w:tcBorders>
                  <w:vAlign w:val="center"/>
                </w:tcPr>
                <w:p>
                  <w:pPr>
                    <w:pStyle w:val="82"/>
                    <w:ind w:firstLine="0" w:firstLineChars="0"/>
                    <w:rPr>
                      <w:rFonts w:hint="default" w:cs="Times New Roman"/>
                      <w:color w:val="auto"/>
                      <w:highlight w:val="none"/>
                      <w:lang w:val="en-US" w:eastAsia="zh-CN"/>
                    </w:rPr>
                  </w:pPr>
                  <w:r>
                    <w:rPr>
                      <w:rFonts w:hint="eastAsia" w:cs="Times New Roman"/>
                      <w:color w:val="auto"/>
                      <w:highlight w:val="none"/>
                      <w:lang w:val="en-US" w:eastAsia="zh-CN"/>
                    </w:rPr>
                    <w:t>mg/L</w:t>
                  </w:r>
                </w:p>
              </w:tc>
              <w:tc>
                <w:tcPr>
                  <w:tcW w:w="1978"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382</w:t>
                  </w:r>
                </w:p>
              </w:tc>
              <w:tc>
                <w:tcPr>
                  <w:tcW w:w="2471"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54" w:type="dxa"/>
                  <w:tcBorders>
                    <w:tl2br w:val="nil"/>
                    <w:tr2bl w:val="nil"/>
                  </w:tcBorders>
                  <w:vAlign w:val="center"/>
                </w:tcPr>
                <w:p>
                  <w:pPr>
                    <w:pStyle w:val="82"/>
                    <w:rPr>
                      <w:rFonts w:hint="default" w:cs="Times New Roman"/>
                      <w:color w:val="auto"/>
                      <w:highlight w:val="none"/>
                      <w:lang w:val="en-US" w:eastAsia="zh-CN"/>
                    </w:rPr>
                  </w:pPr>
                  <w:r>
                    <w:rPr>
                      <w:rFonts w:hint="eastAsia" w:cs="Times New Roman"/>
                      <w:color w:val="auto"/>
                      <w:highlight w:val="none"/>
                      <w:lang w:val="en-US" w:eastAsia="zh-CN"/>
                    </w:rPr>
                    <w:t>氨氮</w:t>
                  </w:r>
                </w:p>
              </w:tc>
              <w:tc>
                <w:tcPr>
                  <w:tcW w:w="1412" w:type="dxa"/>
                  <w:vMerge w:val="continue"/>
                  <w:tcBorders>
                    <w:tl2br w:val="nil"/>
                    <w:tr2bl w:val="nil"/>
                  </w:tcBorders>
                  <w:vAlign w:val="center"/>
                </w:tcPr>
                <w:p>
                  <w:pPr>
                    <w:pStyle w:val="82"/>
                    <w:ind w:firstLine="0" w:firstLineChars="0"/>
                    <w:rPr>
                      <w:rFonts w:hint="eastAsia" w:cs="Times New Roman"/>
                      <w:color w:val="auto"/>
                      <w:highlight w:val="none"/>
                      <w:lang w:val="en-US" w:eastAsia="zh-CN"/>
                    </w:rPr>
                  </w:pPr>
                </w:p>
              </w:tc>
              <w:tc>
                <w:tcPr>
                  <w:tcW w:w="1978"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38.3</w:t>
                  </w:r>
                </w:p>
              </w:tc>
              <w:tc>
                <w:tcPr>
                  <w:tcW w:w="2471"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54" w:type="dxa"/>
                  <w:tcBorders>
                    <w:tl2br w:val="nil"/>
                    <w:tr2bl w:val="nil"/>
                  </w:tcBorders>
                  <w:vAlign w:val="center"/>
                </w:tcPr>
                <w:p>
                  <w:pPr>
                    <w:pStyle w:val="82"/>
                    <w:rPr>
                      <w:rFonts w:hint="default" w:cs="Times New Roman"/>
                      <w:color w:val="auto"/>
                      <w:highlight w:val="none"/>
                      <w:lang w:val="en-US" w:eastAsia="zh-CN"/>
                    </w:rPr>
                  </w:pPr>
                  <w:r>
                    <w:rPr>
                      <w:rFonts w:hint="eastAsia" w:cs="Times New Roman"/>
                      <w:color w:val="auto"/>
                      <w:highlight w:val="none"/>
                      <w:lang w:val="en-US" w:eastAsia="zh-CN"/>
                    </w:rPr>
                    <w:t>化学需氧量</w:t>
                  </w:r>
                </w:p>
              </w:tc>
              <w:tc>
                <w:tcPr>
                  <w:tcW w:w="1412" w:type="dxa"/>
                  <w:vMerge w:val="continue"/>
                  <w:tcBorders>
                    <w:tl2br w:val="nil"/>
                    <w:tr2bl w:val="nil"/>
                  </w:tcBorders>
                  <w:vAlign w:val="center"/>
                </w:tcPr>
                <w:p>
                  <w:pPr>
                    <w:pStyle w:val="82"/>
                    <w:ind w:firstLine="0" w:firstLineChars="0"/>
                    <w:rPr>
                      <w:rFonts w:hint="eastAsia" w:cs="Times New Roman"/>
                      <w:color w:val="auto"/>
                      <w:highlight w:val="none"/>
                      <w:lang w:val="en-US" w:eastAsia="zh-CN"/>
                    </w:rPr>
                  </w:pPr>
                </w:p>
              </w:tc>
              <w:tc>
                <w:tcPr>
                  <w:tcW w:w="1978"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5322</w:t>
                  </w:r>
                </w:p>
              </w:tc>
              <w:tc>
                <w:tcPr>
                  <w:tcW w:w="2471"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≤13500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54" w:type="dxa"/>
                  <w:tcBorders>
                    <w:tl2br w:val="nil"/>
                    <w:tr2bl w:val="nil"/>
                  </w:tcBorders>
                  <w:vAlign w:val="center"/>
                </w:tcPr>
                <w:p>
                  <w:pPr>
                    <w:pStyle w:val="82"/>
                    <w:rPr>
                      <w:rFonts w:hint="default" w:cs="Times New Roman"/>
                      <w:color w:val="auto"/>
                      <w:highlight w:val="none"/>
                      <w:lang w:val="en-US" w:eastAsia="zh-CN"/>
                    </w:rPr>
                  </w:pPr>
                  <w:r>
                    <w:rPr>
                      <w:rFonts w:hint="eastAsia" w:cs="Times New Roman"/>
                      <w:color w:val="auto"/>
                      <w:highlight w:val="none"/>
                      <w:lang w:val="en-US" w:eastAsia="zh-CN"/>
                    </w:rPr>
                    <w:t>动植物油</w:t>
                  </w:r>
                </w:p>
              </w:tc>
              <w:tc>
                <w:tcPr>
                  <w:tcW w:w="1412" w:type="dxa"/>
                  <w:vMerge w:val="continue"/>
                  <w:tcBorders>
                    <w:tl2br w:val="nil"/>
                    <w:tr2bl w:val="nil"/>
                  </w:tcBorders>
                  <w:vAlign w:val="center"/>
                </w:tcPr>
                <w:p>
                  <w:pPr>
                    <w:pStyle w:val="82"/>
                    <w:ind w:firstLine="0" w:firstLineChars="0"/>
                    <w:rPr>
                      <w:rFonts w:hint="eastAsia" w:cs="Times New Roman"/>
                      <w:color w:val="auto"/>
                      <w:highlight w:val="none"/>
                      <w:lang w:val="en-US" w:eastAsia="zh-CN"/>
                    </w:rPr>
                  </w:pPr>
                </w:p>
              </w:tc>
              <w:tc>
                <w:tcPr>
                  <w:tcW w:w="1978"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21.6</w:t>
                  </w:r>
                </w:p>
              </w:tc>
              <w:tc>
                <w:tcPr>
                  <w:tcW w:w="2471"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54" w:type="dxa"/>
                  <w:tcBorders>
                    <w:tl2br w:val="nil"/>
                    <w:tr2bl w:val="nil"/>
                  </w:tcBorders>
                  <w:vAlign w:val="center"/>
                </w:tcPr>
                <w:p>
                  <w:pPr>
                    <w:pStyle w:val="82"/>
                    <w:rPr>
                      <w:rFonts w:hint="default" w:cs="Times New Roman"/>
                      <w:color w:val="auto"/>
                      <w:highlight w:val="none"/>
                      <w:lang w:val="en-US" w:eastAsia="zh-CN"/>
                    </w:rPr>
                  </w:pPr>
                  <w:r>
                    <w:rPr>
                      <w:rFonts w:hint="eastAsia" w:cs="Times New Roman"/>
                      <w:color w:val="auto"/>
                      <w:highlight w:val="none"/>
                      <w:lang w:val="en-US" w:eastAsia="zh-CN"/>
                    </w:rPr>
                    <w:t>总磷</w:t>
                  </w:r>
                </w:p>
              </w:tc>
              <w:tc>
                <w:tcPr>
                  <w:tcW w:w="1412" w:type="dxa"/>
                  <w:vMerge w:val="continue"/>
                  <w:tcBorders>
                    <w:tl2br w:val="nil"/>
                    <w:tr2bl w:val="nil"/>
                  </w:tcBorders>
                  <w:vAlign w:val="center"/>
                </w:tcPr>
                <w:p>
                  <w:pPr>
                    <w:pStyle w:val="82"/>
                    <w:ind w:firstLine="0" w:firstLineChars="0"/>
                    <w:rPr>
                      <w:rFonts w:hint="eastAsia" w:cs="Times New Roman"/>
                      <w:color w:val="auto"/>
                      <w:highlight w:val="none"/>
                      <w:lang w:val="en-US" w:eastAsia="zh-CN"/>
                    </w:rPr>
                  </w:pPr>
                </w:p>
              </w:tc>
              <w:tc>
                <w:tcPr>
                  <w:tcW w:w="1978"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5.19</w:t>
                  </w:r>
                </w:p>
              </w:tc>
              <w:tc>
                <w:tcPr>
                  <w:tcW w:w="2471"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54" w:type="dxa"/>
                  <w:tcBorders>
                    <w:tl2br w:val="nil"/>
                    <w:tr2bl w:val="nil"/>
                  </w:tcBorders>
                  <w:vAlign w:val="center"/>
                </w:tcPr>
                <w:p>
                  <w:pPr>
                    <w:pStyle w:val="82"/>
                    <w:rPr>
                      <w:rFonts w:hint="default" w:cs="Times New Roman"/>
                      <w:color w:val="auto"/>
                      <w:highlight w:val="none"/>
                      <w:lang w:val="en-US" w:eastAsia="zh-CN"/>
                    </w:rPr>
                  </w:pPr>
                  <w:r>
                    <w:rPr>
                      <w:rFonts w:hint="eastAsia" w:cs="Times New Roman"/>
                      <w:color w:val="auto"/>
                      <w:highlight w:val="none"/>
                      <w:lang w:val="en-US" w:eastAsia="zh-CN"/>
                    </w:rPr>
                    <w:t>总氮</w:t>
                  </w:r>
                </w:p>
              </w:tc>
              <w:tc>
                <w:tcPr>
                  <w:tcW w:w="1412" w:type="dxa"/>
                  <w:vMerge w:val="continue"/>
                  <w:tcBorders>
                    <w:tl2br w:val="nil"/>
                    <w:tr2bl w:val="nil"/>
                  </w:tcBorders>
                  <w:vAlign w:val="center"/>
                </w:tcPr>
                <w:p>
                  <w:pPr>
                    <w:pStyle w:val="82"/>
                    <w:ind w:firstLine="0" w:firstLineChars="0"/>
                    <w:rPr>
                      <w:rFonts w:hint="eastAsia" w:cs="Times New Roman"/>
                      <w:color w:val="auto"/>
                      <w:highlight w:val="none"/>
                      <w:lang w:val="en-US" w:eastAsia="zh-CN"/>
                    </w:rPr>
                  </w:pPr>
                </w:p>
              </w:tc>
              <w:tc>
                <w:tcPr>
                  <w:tcW w:w="1978"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45.4</w:t>
                  </w:r>
                </w:p>
              </w:tc>
              <w:tc>
                <w:tcPr>
                  <w:tcW w:w="2471"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54" w:type="dxa"/>
                  <w:tcBorders>
                    <w:tl2br w:val="nil"/>
                    <w:tr2bl w:val="nil"/>
                  </w:tcBorders>
                  <w:vAlign w:val="center"/>
                </w:tcPr>
                <w:p>
                  <w:pPr>
                    <w:pStyle w:val="82"/>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五日生化需氧量</w:t>
                  </w:r>
                </w:p>
              </w:tc>
              <w:tc>
                <w:tcPr>
                  <w:tcW w:w="1412" w:type="dxa"/>
                  <w:vMerge w:val="continue"/>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p>
              </w:tc>
              <w:tc>
                <w:tcPr>
                  <w:tcW w:w="1978"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1051</w:t>
                  </w:r>
                </w:p>
              </w:tc>
              <w:tc>
                <w:tcPr>
                  <w:tcW w:w="2471" w:type="dxa"/>
                  <w:tcBorders>
                    <w:tl2br w:val="nil"/>
                    <w:tr2bl w:val="nil"/>
                  </w:tcBorders>
                  <w:vAlign w:val="center"/>
                </w:tcPr>
                <w:p>
                  <w:pPr>
                    <w:pStyle w:val="82"/>
                    <w:ind w:firstLine="0" w:firstLineChars="0"/>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w:t>
                  </w:r>
                </w:p>
              </w:tc>
            </w:tr>
          </w:tbl>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根据监测结果，项目生产废水监测浓度可满足污水拉运协议浓度限值要求。</w:t>
            </w:r>
          </w:p>
          <w:p>
            <w:pPr>
              <w:bidi w:val="0"/>
              <w:rPr>
                <w:rFonts w:hint="eastAsia"/>
                <w:color w:val="auto"/>
              </w:rPr>
            </w:pPr>
            <w:r>
              <w:rPr>
                <w:rFonts w:hint="eastAsia"/>
                <w:color w:val="auto"/>
                <w:highlight w:val="none"/>
                <w:lang w:val="en-US" w:eastAsia="zh-CN"/>
              </w:rPr>
              <w:t>本项目生产废水排放情况一览表详见下表。</w:t>
            </w:r>
          </w:p>
          <w:p>
            <w:pPr>
              <w:pStyle w:val="81"/>
              <w:rPr>
                <w:color w:val="auto"/>
                <w:lang w:val="zh-TW"/>
              </w:rPr>
            </w:pPr>
            <w:r>
              <w:rPr>
                <w:rFonts w:hint="eastAsia"/>
                <w:color w:val="auto"/>
              </w:rPr>
              <w:t>表4-</w:t>
            </w:r>
            <w:r>
              <w:rPr>
                <w:rFonts w:hint="eastAsia"/>
                <w:color w:val="auto"/>
                <w:lang w:val="en-US" w:eastAsia="zh-CN"/>
              </w:rPr>
              <w:t>11</w:t>
            </w:r>
            <w:r>
              <w:rPr>
                <w:rFonts w:hint="eastAsia"/>
                <w:color w:val="auto"/>
              </w:rPr>
              <w:t xml:space="preserve">   废水</w:t>
            </w:r>
            <w:r>
              <w:rPr>
                <w:color w:val="auto"/>
                <w:lang w:val="zh-TW"/>
              </w:rPr>
              <w:t>排放信息一览表</w:t>
            </w:r>
          </w:p>
          <w:tbl>
            <w:tblPr>
              <w:tblStyle w:val="30"/>
              <w:tblW w:w="810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
              <w:gridCol w:w="1995"/>
              <w:gridCol w:w="1149"/>
              <w:gridCol w:w="1149"/>
              <w:gridCol w:w="1149"/>
              <w:gridCol w:w="1149"/>
              <w:gridCol w:w="11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363" w:type="dxa"/>
                  <w:gridSpan w:val="2"/>
                  <w:vAlign w:val="center"/>
                </w:tcPr>
                <w:p>
                  <w:pPr>
                    <w:pStyle w:val="82"/>
                    <w:rPr>
                      <w:b/>
                      <w:bCs/>
                      <w:color w:val="auto"/>
                    </w:rPr>
                  </w:pPr>
                  <w:r>
                    <w:rPr>
                      <w:b/>
                      <w:bCs/>
                      <w:color w:val="auto"/>
                    </w:rPr>
                    <w:t>产污环节</w:t>
                  </w:r>
                </w:p>
              </w:tc>
              <w:tc>
                <w:tcPr>
                  <w:tcW w:w="5746" w:type="dxa"/>
                  <w:gridSpan w:val="5"/>
                  <w:vAlign w:val="center"/>
                </w:tcPr>
                <w:p>
                  <w:pPr>
                    <w:pStyle w:val="82"/>
                    <w:rPr>
                      <w:b/>
                      <w:bCs/>
                      <w:color w:val="auto"/>
                    </w:rPr>
                  </w:pPr>
                  <w:r>
                    <w:rPr>
                      <w:rFonts w:hint="eastAsia"/>
                      <w:lang w:val="en-US" w:eastAsia="zh-CN"/>
                    </w:rPr>
                    <w:t>车间清洗、设备清洗、面筋蒸煮、灭菌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363" w:type="dxa"/>
                  <w:gridSpan w:val="2"/>
                  <w:vAlign w:val="center"/>
                </w:tcPr>
                <w:p>
                  <w:pPr>
                    <w:pStyle w:val="82"/>
                    <w:rPr>
                      <w:color w:val="auto"/>
                    </w:rPr>
                  </w:pPr>
                  <w:r>
                    <w:rPr>
                      <w:color w:val="auto"/>
                    </w:rPr>
                    <w:t>类别</w:t>
                  </w:r>
                </w:p>
              </w:tc>
              <w:tc>
                <w:tcPr>
                  <w:tcW w:w="5746" w:type="dxa"/>
                  <w:gridSpan w:val="5"/>
                  <w:vAlign w:val="center"/>
                </w:tcPr>
                <w:p>
                  <w:pPr>
                    <w:pStyle w:val="82"/>
                    <w:rPr>
                      <w:rFonts w:hint="default"/>
                      <w:color w:val="auto"/>
                      <w:lang w:val="en-US"/>
                    </w:rPr>
                  </w:pPr>
                  <w:r>
                    <w:rPr>
                      <w:rFonts w:hint="eastAsia"/>
                      <w:lang w:val="en-US" w:eastAsia="zh-CN"/>
                    </w:rPr>
                    <w:t>生产废水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363" w:type="dxa"/>
                  <w:gridSpan w:val="2"/>
                  <w:vAlign w:val="center"/>
                </w:tcPr>
                <w:p>
                  <w:pPr>
                    <w:pStyle w:val="82"/>
                    <w:rPr>
                      <w:color w:val="auto"/>
                    </w:rPr>
                  </w:pPr>
                  <w:r>
                    <w:rPr>
                      <w:color w:val="auto"/>
                    </w:rPr>
                    <w:t>废水排放量（m</w:t>
                  </w:r>
                  <w:r>
                    <w:rPr>
                      <w:color w:val="auto"/>
                      <w:vertAlign w:val="superscript"/>
                    </w:rPr>
                    <w:t>3</w:t>
                  </w:r>
                  <w:r>
                    <w:rPr>
                      <w:color w:val="auto"/>
                    </w:rPr>
                    <w:t>/a）</w:t>
                  </w:r>
                </w:p>
              </w:tc>
              <w:tc>
                <w:tcPr>
                  <w:tcW w:w="5746" w:type="dxa"/>
                  <w:gridSpan w:val="5"/>
                  <w:vAlign w:val="center"/>
                </w:tcPr>
                <w:p>
                  <w:pPr>
                    <w:pStyle w:val="82"/>
                    <w:rPr>
                      <w:rFonts w:hint="default"/>
                      <w:color w:val="auto"/>
                      <w:lang w:val="en-US"/>
                    </w:rPr>
                  </w:pPr>
                  <w:r>
                    <w:rPr>
                      <w:rFonts w:hint="eastAsia"/>
                      <w:color w:val="auto"/>
                      <w:lang w:val="en-US" w:eastAsia="zh-CN"/>
                    </w:rPr>
                    <w:t>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363" w:type="dxa"/>
                  <w:gridSpan w:val="2"/>
                  <w:vAlign w:val="center"/>
                </w:tcPr>
                <w:p>
                  <w:pPr>
                    <w:pStyle w:val="82"/>
                    <w:rPr>
                      <w:color w:val="auto"/>
                    </w:rPr>
                  </w:pPr>
                  <w:r>
                    <w:rPr>
                      <w:color w:val="auto"/>
                    </w:rPr>
                    <w:t>污染物种类</w:t>
                  </w:r>
                </w:p>
              </w:tc>
              <w:tc>
                <w:tcPr>
                  <w:tcW w:w="1149" w:type="dxa"/>
                  <w:vAlign w:val="center"/>
                </w:tcPr>
                <w:p>
                  <w:pPr>
                    <w:pStyle w:val="82"/>
                    <w:rPr>
                      <w:color w:val="auto"/>
                    </w:rPr>
                  </w:pPr>
                  <w:r>
                    <w:rPr>
                      <w:color w:val="auto"/>
                    </w:rPr>
                    <w:t>COD</w:t>
                  </w:r>
                </w:p>
              </w:tc>
              <w:tc>
                <w:tcPr>
                  <w:tcW w:w="1149" w:type="dxa"/>
                  <w:vAlign w:val="center"/>
                </w:tcPr>
                <w:p>
                  <w:pPr>
                    <w:pStyle w:val="82"/>
                    <w:rPr>
                      <w:color w:val="auto"/>
                    </w:rPr>
                  </w:pPr>
                  <w:r>
                    <w:rPr>
                      <w:color w:val="auto"/>
                    </w:rPr>
                    <w:t>氨氮</w:t>
                  </w:r>
                </w:p>
              </w:tc>
              <w:tc>
                <w:tcPr>
                  <w:tcW w:w="1149" w:type="dxa"/>
                  <w:shd w:val="clear" w:color="auto" w:fill="auto"/>
                  <w:vAlign w:val="center"/>
                </w:tcPr>
                <w:p>
                  <w:pPr>
                    <w:pStyle w:val="82"/>
                    <w:ind w:firstLine="0" w:firstLineChars="0"/>
                    <w:rPr>
                      <w:rFonts w:ascii="Times New Roman" w:hAnsi="Times New Roman" w:eastAsia="宋体" w:cs="Times New Roman"/>
                      <w:b w:val="0"/>
                      <w:color w:val="auto"/>
                      <w:kern w:val="2"/>
                      <w:sz w:val="21"/>
                      <w:szCs w:val="24"/>
                      <w:lang w:val="en-US" w:eastAsia="zh-CN" w:bidi="ar-SA"/>
                    </w:rPr>
                  </w:pPr>
                  <w:r>
                    <w:rPr>
                      <w:color w:val="auto"/>
                    </w:rPr>
                    <w:t>SS</w:t>
                  </w:r>
                </w:p>
              </w:tc>
              <w:tc>
                <w:tcPr>
                  <w:tcW w:w="1149" w:type="dxa"/>
                  <w:shd w:val="clear" w:color="auto" w:fill="auto"/>
                  <w:vAlign w:val="center"/>
                </w:tcPr>
                <w:p>
                  <w:pPr>
                    <w:pStyle w:val="82"/>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总磷</w:t>
                  </w:r>
                </w:p>
              </w:tc>
              <w:tc>
                <w:tcPr>
                  <w:tcW w:w="1150" w:type="dxa"/>
                  <w:shd w:val="clear" w:color="auto" w:fill="auto"/>
                  <w:vAlign w:val="center"/>
                </w:tcPr>
                <w:p>
                  <w:pPr>
                    <w:pStyle w:val="82"/>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eastAsia="宋体"/>
                      <w:color w:val="auto"/>
                      <w:lang w:val="en-US" w:eastAsia="zh-CN"/>
                    </w:rPr>
                    <w:t>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363" w:type="dxa"/>
                  <w:gridSpan w:val="2"/>
                  <w:vAlign w:val="center"/>
                </w:tcPr>
                <w:p>
                  <w:pPr>
                    <w:pStyle w:val="82"/>
                    <w:rPr>
                      <w:color w:val="auto"/>
                    </w:rPr>
                  </w:pPr>
                  <w:r>
                    <w:rPr>
                      <w:color w:val="auto"/>
                    </w:rPr>
                    <w:t>污染物产生浓度（mg/L）</w:t>
                  </w:r>
                </w:p>
              </w:tc>
              <w:tc>
                <w:tcPr>
                  <w:tcW w:w="1149" w:type="dxa"/>
                  <w:vAlign w:val="center"/>
                </w:tcPr>
                <w:p>
                  <w:pPr>
                    <w:pStyle w:val="82"/>
                    <w:rPr>
                      <w:rFonts w:hint="default" w:eastAsia="宋体"/>
                      <w:color w:val="auto"/>
                      <w:lang w:val="en-US" w:eastAsia="zh-CN"/>
                    </w:rPr>
                  </w:pPr>
                  <w:r>
                    <w:rPr>
                      <w:rFonts w:hint="eastAsia"/>
                      <w:color w:val="auto"/>
                      <w:lang w:val="en-US" w:eastAsia="zh-CN"/>
                    </w:rPr>
                    <w:t>5322</w:t>
                  </w:r>
                </w:p>
              </w:tc>
              <w:tc>
                <w:tcPr>
                  <w:tcW w:w="1149" w:type="dxa"/>
                  <w:vAlign w:val="center"/>
                </w:tcPr>
                <w:p>
                  <w:pPr>
                    <w:pStyle w:val="82"/>
                    <w:rPr>
                      <w:rFonts w:hint="default" w:eastAsia="宋体"/>
                      <w:color w:val="auto"/>
                      <w:lang w:val="en-US" w:eastAsia="zh-CN"/>
                    </w:rPr>
                  </w:pPr>
                  <w:r>
                    <w:rPr>
                      <w:rFonts w:hint="eastAsia"/>
                      <w:color w:val="auto"/>
                      <w:lang w:val="en-US" w:eastAsia="zh-CN"/>
                    </w:rPr>
                    <w:t>38.3</w:t>
                  </w:r>
                </w:p>
              </w:tc>
              <w:tc>
                <w:tcPr>
                  <w:tcW w:w="1149" w:type="dxa"/>
                  <w:vAlign w:val="center"/>
                </w:tcPr>
                <w:p>
                  <w:pPr>
                    <w:pStyle w:val="82"/>
                    <w:rPr>
                      <w:rFonts w:hint="default" w:eastAsia="宋体"/>
                      <w:color w:val="auto"/>
                      <w:lang w:val="en-US" w:eastAsia="zh-CN"/>
                    </w:rPr>
                  </w:pPr>
                  <w:r>
                    <w:rPr>
                      <w:rFonts w:hint="eastAsia"/>
                      <w:color w:val="auto"/>
                      <w:lang w:val="en-US" w:eastAsia="zh-CN"/>
                    </w:rPr>
                    <w:t>382</w:t>
                  </w:r>
                </w:p>
              </w:tc>
              <w:tc>
                <w:tcPr>
                  <w:tcW w:w="1149" w:type="dxa"/>
                  <w:vAlign w:val="center"/>
                </w:tcPr>
                <w:p>
                  <w:pPr>
                    <w:pStyle w:val="82"/>
                    <w:rPr>
                      <w:rFonts w:hint="default" w:eastAsia="宋体"/>
                      <w:color w:val="auto"/>
                      <w:lang w:val="en-US" w:eastAsia="zh-CN"/>
                    </w:rPr>
                  </w:pPr>
                  <w:r>
                    <w:rPr>
                      <w:rFonts w:hint="eastAsia"/>
                      <w:color w:val="auto"/>
                      <w:lang w:val="en-US" w:eastAsia="zh-CN"/>
                    </w:rPr>
                    <w:t>5.19</w:t>
                  </w:r>
                </w:p>
              </w:tc>
              <w:tc>
                <w:tcPr>
                  <w:tcW w:w="1150" w:type="dxa"/>
                  <w:vAlign w:val="center"/>
                </w:tcPr>
                <w:p>
                  <w:pPr>
                    <w:pStyle w:val="82"/>
                    <w:rPr>
                      <w:rFonts w:hint="default" w:eastAsia="宋体"/>
                      <w:color w:val="auto"/>
                      <w:lang w:val="en-US" w:eastAsia="zh-CN"/>
                    </w:rPr>
                  </w:pPr>
                  <w:r>
                    <w:rPr>
                      <w:rFonts w:hint="eastAsia" w:eastAsia="宋体"/>
                      <w:color w:val="auto"/>
                      <w:lang w:val="en-US" w:eastAsia="zh-CN"/>
                    </w:rPr>
                    <w:t>45.4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363" w:type="dxa"/>
                  <w:gridSpan w:val="2"/>
                  <w:vAlign w:val="center"/>
                </w:tcPr>
                <w:p>
                  <w:pPr>
                    <w:pStyle w:val="82"/>
                    <w:rPr>
                      <w:color w:val="auto"/>
                    </w:rPr>
                  </w:pPr>
                  <w:r>
                    <w:rPr>
                      <w:color w:val="auto"/>
                    </w:rPr>
                    <w:t>污染物产生量（t/a）</w:t>
                  </w:r>
                </w:p>
              </w:tc>
              <w:tc>
                <w:tcPr>
                  <w:tcW w:w="1149" w:type="dxa"/>
                  <w:vAlign w:val="center"/>
                </w:tcPr>
                <w:p>
                  <w:pPr>
                    <w:pStyle w:val="82"/>
                    <w:rPr>
                      <w:rFonts w:hint="default" w:eastAsia="宋体"/>
                      <w:color w:val="auto"/>
                      <w:lang w:val="en-US" w:eastAsia="zh-CN"/>
                    </w:rPr>
                  </w:pPr>
                  <w:r>
                    <w:rPr>
                      <w:rFonts w:hint="eastAsia" w:eastAsia="宋体"/>
                      <w:color w:val="auto"/>
                      <w:lang w:val="en-US" w:eastAsia="zh-CN"/>
                    </w:rPr>
                    <w:t>5.141</w:t>
                  </w:r>
                </w:p>
              </w:tc>
              <w:tc>
                <w:tcPr>
                  <w:tcW w:w="1149" w:type="dxa"/>
                  <w:vAlign w:val="center"/>
                </w:tcPr>
                <w:p>
                  <w:pPr>
                    <w:pStyle w:val="82"/>
                    <w:rPr>
                      <w:rFonts w:hint="default" w:eastAsia="宋体"/>
                      <w:color w:val="auto"/>
                      <w:lang w:val="en-US" w:eastAsia="zh-CN"/>
                    </w:rPr>
                  </w:pPr>
                  <w:r>
                    <w:rPr>
                      <w:rFonts w:hint="eastAsia" w:eastAsia="宋体"/>
                      <w:color w:val="auto"/>
                      <w:lang w:val="en-US" w:eastAsia="zh-CN"/>
                    </w:rPr>
                    <w:t>0.037</w:t>
                  </w:r>
                </w:p>
              </w:tc>
              <w:tc>
                <w:tcPr>
                  <w:tcW w:w="1149" w:type="dxa"/>
                  <w:vAlign w:val="center"/>
                </w:tcPr>
                <w:p>
                  <w:pPr>
                    <w:pStyle w:val="82"/>
                    <w:rPr>
                      <w:rFonts w:hint="default" w:eastAsia="宋体"/>
                      <w:color w:val="auto"/>
                      <w:lang w:val="en-US" w:eastAsia="zh-CN"/>
                    </w:rPr>
                  </w:pPr>
                  <w:r>
                    <w:rPr>
                      <w:rFonts w:hint="eastAsia" w:eastAsia="宋体"/>
                      <w:color w:val="auto"/>
                      <w:lang w:val="en-US" w:eastAsia="zh-CN"/>
                    </w:rPr>
                    <w:t>0.369</w:t>
                  </w:r>
                </w:p>
              </w:tc>
              <w:tc>
                <w:tcPr>
                  <w:tcW w:w="1149" w:type="dxa"/>
                  <w:vAlign w:val="center"/>
                </w:tcPr>
                <w:p>
                  <w:pPr>
                    <w:pStyle w:val="82"/>
                    <w:rPr>
                      <w:rFonts w:hint="default" w:eastAsia="宋体"/>
                      <w:color w:val="auto"/>
                      <w:lang w:val="en-US" w:eastAsia="zh-CN"/>
                    </w:rPr>
                  </w:pPr>
                  <w:r>
                    <w:rPr>
                      <w:rFonts w:hint="eastAsia" w:eastAsia="宋体"/>
                      <w:color w:val="auto"/>
                      <w:lang w:val="en-US" w:eastAsia="zh-CN"/>
                    </w:rPr>
                    <w:t>0.005</w:t>
                  </w:r>
                </w:p>
              </w:tc>
              <w:tc>
                <w:tcPr>
                  <w:tcW w:w="1150" w:type="dxa"/>
                  <w:vAlign w:val="center"/>
                </w:tcPr>
                <w:p>
                  <w:pPr>
                    <w:pStyle w:val="82"/>
                    <w:rPr>
                      <w:rFonts w:hint="default"/>
                      <w:color w:val="auto"/>
                      <w:lang w:val="en-US" w:eastAsia="zh-CN"/>
                    </w:rPr>
                  </w:pPr>
                  <w:r>
                    <w:rPr>
                      <w:rFonts w:hint="eastAsia"/>
                      <w:color w:val="auto"/>
                      <w:lang w:val="en-US" w:eastAsia="zh-CN"/>
                    </w:rPr>
                    <w:t>0.044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363" w:type="dxa"/>
                  <w:gridSpan w:val="2"/>
                  <w:vAlign w:val="center"/>
                </w:tcPr>
                <w:p>
                  <w:pPr>
                    <w:pStyle w:val="82"/>
                    <w:rPr>
                      <w:color w:val="auto"/>
                    </w:rPr>
                  </w:pPr>
                  <w:r>
                    <w:rPr>
                      <w:color w:val="auto"/>
                    </w:rPr>
                    <w:t>排放方式</w:t>
                  </w:r>
                </w:p>
              </w:tc>
              <w:tc>
                <w:tcPr>
                  <w:tcW w:w="5746" w:type="dxa"/>
                  <w:gridSpan w:val="5"/>
                  <w:vAlign w:val="center"/>
                </w:tcPr>
                <w:p>
                  <w:pPr>
                    <w:pStyle w:val="82"/>
                    <w:rPr>
                      <w:color w:val="auto"/>
                    </w:rPr>
                  </w:pPr>
                  <w:r>
                    <w:rPr>
                      <w:rFonts w:hint="eastAsia"/>
                      <w:color w:val="auto"/>
                    </w:rPr>
                    <w:t>间接排放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363" w:type="dxa"/>
                  <w:gridSpan w:val="2"/>
                  <w:vAlign w:val="center"/>
                </w:tcPr>
                <w:p>
                  <w:pPr>
                    <w:pStyle w:val="82"/>
                    <w:rPr>
                      <w:color w:val="auto"/>
                    </w:rPr>
                  </w:pPr>
                  <w:r>
                    <w:rPr>
                      <w:color w:val="auto"/>
                    </w:rPr>
                    <w:t>排放去向</w:t>
                  </w:r>
                </w:p>
              </w:tc>
              <w:tc>
                <w:tcPr>
                  <w:tcW w:w="5746" w:type="dxa"/>
                  <w:gridSpan w:val="5"/>
                  <w:vAlign w:val="center"/>
                </w:tcPr>
                <w:p>
                  <w:pPr>
                    <w:pStyle w:val="82"/>
                    <w:rPr>
                      <w:rFonts w:hint="default" w:eastAsia="宋体"/>
                      <w:color w:val="auto"/>
                      <w:lang w:val="en-US" w:eastAsia="zh-CN"/>
                    </w:rPr>
                  </w:pPr>
                  <w:r>
                    <w:rPr>
                      <w:rFonts w:hint="eastAsia"/>
                      <w:color w:val="auto"/>
                      <w:lang w:val="en-US" w:eastAsia="zh-CN"/>
                    </w:rPr>
                    <w:t>拉运至岐山县大源污水处理厂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363" w:type="dxa"/>
                  <w:gridSpan w:val="2"/>
                  <w:vAlign w:val="center"/>
                </w:tcPr>
                <w:p>
                  <w:pPr>
                    <w:pStyle w:val="82"/>
                    <w:rPr>
                      <w:color w:val="auto"/>
                    </w:rPr>
                  </w:pPr>
                  <w:r>
                    <w:rPr>
                      <w:color w:val="auto"/>
                    </w:rPr>
                    <w:t>排放规律</w:t>
                  </w:r>
                </w:p>
              </w:tc>
              <w:tc>
                <w:tcPr>
                  <w:tcW w:w="5746" w:type="dxa"/>
                  <w:gridSpan w:val="5"/>
                  <w:vAlign w:val="center"/>
                </w:tcPr>
                <w:p>
                  <w:pPr>
                    <w:pStyle w:val="82"/>
                    <w:rPr>
                      <w:color w:val="auto"/>
                    </w:rPr>
                  </w:pPr>
                  <w:r>
                    <w:rPr>
                      <w:rFonts w:hint="eastAsia"/>
                      <w:color w:val="auto"/>
                    </w:rPr>
                    <w:t>间断排放，排放期间流量不稳定且无规律，但不属于冲击型排放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368" w:type="dxa"/>
                  <w:vMerge w:val="restart"/>
                  <w:vAlign w:val="center"/>
                </w:tcPr>
                <w:p>
                  <w:pPr>
                    <w:pStyle w:val="82"/>
                    <w:rPr>
                      <w:color w:val="auto"/>
                    </w:rPr>
                  </w:pPr>
                  <w:r>
                    <w:rPr>
                      <w:color w:val="auto"/>
                    </w:rPr>
                    <w:t>排放标准</w:t>
                  </w:r>
                </w:p>
              </w:tc>
              <w:tc>
                <w:tcPr>
                  <w:tcW w:w="1995" w:type="dxa"/>
                  <w:vAlign w:val="center"/>
                </w:tcPr>
                <w:p>
                  <w:pPr>
                    <w:pStyle w:val="82"/>
                    <w:rPr>
                      <w:color w:val="auto"/>
                    </w:rPr>
                  </w:pPr>
                  <w:r>
                    <w:rPr>
                      <w:color w:val="auto"/>
                    </w:rPr>
                    <w:t>名称</w:t>
                  </w:r>
                </w:p>
              </w:tc>
              <w:tc>
                <w:tcPr>
                  <w:tcW w:w="5746" w:type="dxa"/>
                  <w:gridSpan w:val="5"/>
                  <w:vAlign w:val="center"/>
                </w:tcPr>
                <w:p>
                  <w:pPr>
                    <w:pStyle w:val="35"/>
                    <w:rPr>
                      <w:rFonts w:hint="default" w:eastAsia="宋体"/>
                      <w:color w:val="auto"/>
                      <w:lang w:val="en-US" w:eastAsia="zh-CN"/>
                    </w:rPr>
                  </w:pPr>
                  <w:r>
                    <w:rPr>
                      <w:rFonts w:hint="eastAsia"/>
                      <w:color w:val="auto"/>
                      <w:lang w:val="en-US" w:eastAsia="zh-CN"/>
                    </w:rPr>
                    <w:t>拉运协议限值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368" w:type="dxa"/>
                  <w:vMerge w:val="continue"/>
                  <w:vAlign w:val="center"/>
                </w:tcPr>
                <w:p>
                  <w:pPr>
                    <w:pStyle w:val="82"/>
                    <w:rPr>
                      <w:color w:val="auto"/>
                    </w:rPr>
                  </w:pPr>
                </w:p>
              </w:tc>
              <w:tc>
                <w:tcPr>
                  <w:tcW w:w="1995" w:type="dxa"/>
                  <w:vAlign w:val="center"/>
                </w:tcPr>
                <w:p>
                  <w:pPr>
                    <w:pStyle w:val="82"/>
                    <w:rPr>
                      <w:color w:val="auto"/>
                    </w:rPr>
                  </w:pPr>
                  <w:r>
                    <w:rPr>
                      <w:color w:val="auto"/>
                    </w:rPr>
                    <w:t>污染物种类</w:t>
                  </w:r>
                </w:p>
              </w:tc>
              <w:tc>
                <w:tcPr>
                  <w:tcW w:w="1149" w:type="dxa"/>
                  <w:vAlign w:val="center"/>
                </w:tcPr>
                <w:p>
                  <w:pPr>
                    <w:pStyle w:val="82"/>
                    <w:rPr>
                      <w:color w:val="auto"/>
                    </w:rPr>
                  </w:pPr>
                  <w:r>
                    <w:rPr>
                      <w:color w:val="auto"/>
                    </w:rPr>
                    <w:t>COD</w:t>
                  </w:r>
                </w:p>
              </w:tc>
              <w:tc>
                <w:tcPr>
                  <w:tcW w:w="1149" w:type="dxa"/>
                  <w:vAlign w:val="center"/>
                </w:tcPr>
                <w:p>
                  <w:pPr>
                    <w:pStyle w:val="82"/>
                    <w:rPr>
                      <w:color w:val="auto"/>
                    </w:rPr>
                  </w:pPr>
                  <w:r>
                    <w:rPr>
                      <w:color w:val="auto"/>
                    </w:rPr>
                    <w:t>氨氮</w:t>
                  </w:r>
                </w:p>
              </w:tc>
              <w:tc>
                <w:tcPr>
                  <w:tcW w:w="1149" w:type="dxa"/>
                  <w:vAlign w:val="center"/>
                </w:tcPr>
                <w:p>
                  <w:pPr>
                    <w:pStyle w:val="82"/>
                    <w:rPr>
                      <w:color w:val="auto"/>
                    </w:rPr>
                  </w:pPr>
                  <w:r>
                    <w:rPr>
                      <w:color w:val="auto"/>
                    </w:rPr>
                    <w:t>SS</w:t>
                  </w:r>
                </w:p>
              </w:tc>
              <w:tc>
                <w:tcPr>
                  <w:tcW w:w="1149" w:type="dxa"/>
                  <w:vAlign w:val="center"/>
                </w:tcPr>
                <w:p>
                  <w:pPr>
                    <w:pStyle w:val="82"/>
                    <w:rPr>
                      <w:rFonts w:hint="eastAsia" w:eastAsia="宋体"/>
                      <w:color w:val="auto"/>
                      <w:lang w:val="en-US" w:eastAsia="zh-CN"/>
                    </w:rPr>
                  </w:pPr>
                  <w:r>
                    <w:rPr>
                      <w:rFonts w:hint="eastAsia"/>
                      <w:color w:val="auto"/>
                      <w:lang w:val="en-US" w:eastAsia="zh-CN"/>
                    </w:rPr>
                    <w:t>总磷</w:t>
                  </w:r>
                </w:p>
              </w:tc>
              <w:tc>
                <w:tcPr>
                  <w:tcW w:w="1150" w:type="dxa"/>
                  <w:vAlign w:val="center"/>
                </w:tcPr>
                <w:p>
                  <w:pPr>
                    <w:pStyle w:val="82"/>
                    <w:rPr>
                      <w:rFonts w:hint="default" w:eastAsia="宋体"/>
                      <w:color w:val="auto"/>
                      <w:lang w:val="en-US" w:eastAsia="zh-CN"/>
                    </w:rPr>
                  </w:pPr>
                  <w:r>
                    <w:rPr>
                      <w:rFonts w:hint="eastAsia" w:eastAsia="宋体"/>
                      <w:color w:val="auto"/>
                      <w:lang w:val="en-US" w:eastAsia="zh-CN"/>
                    </w:rPr>
                    <w:t>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368" w:type="dxa"/>
                  <w:vMerge w:val="continue"/>
                  <w:vAlign w:val="center"/>
                </w:tcPr>
                <w:p>
                  <w:pPr>
                    <w:pStyle w:val="82"/>
                    <w:rPr>
                      <w:color w:val="auto"/>
                    </w:rPr>
                  </w:pPr>
                </w:p>
              </w:tc>
              <w:tc>
                <w:tcPr>
                  <w:tcW w:w="1995" w:type="dxa"/>
                  <w:vAlign w:val="center"/>
                </w:tcPr>
                <w:p>
                  <w:pPr>
                    <w:pStyle w:val="82"/>
                    <w:rPr>
                      <w:color w:val="auto"/>
                    </w:rPr>
                  </w:pPr>
                  <w:r>
                    <w:rPr>
                      <w:color w:val="auto"/>
                    </w:rPr>
                    <w:t>浓度限值（mg/L）</w:t>
                  </w:r>
                </w:p>
              </w:tc>
              <w:tc>
                <w:tcPr>
                  <w:tcW w:w="1149" w:type="dxa"/>
                  <w:vAlign w:val="center"/>
                </w:tcPr>
                <w:p>
                  <w:pPr>
                    <w:pStyle w:val="82"/>
                    <w:rPr>
                      <w:rFonts w:hint="default" w:eastAsia="宋体"/>
                      <w:color w:val="auto"/>
                      <w:lang w:val="en-US" w:eastAsia="zh-CN"/>
                    </w:rPr>
                  </w:pPr>
                  <w:r>
                    <w:rPr>
                      <w:rFonts w:hint="eastAsia"/>
                      <w:color w:val="auto"/>
                      <w:lang w:val="en-US" w:eastAsia="zh-CN"/>
                    </w:rPr>
                    <w:t>13500</w:t>
                  </w:r>
                </w:p>
              </w:tc>
              <w:tc>
                <w:tcPr>
                  <w:tcW w:w="1149" w:type="dxa"/>
                  <w:vAlign w:val="center"/>
                </w:tcPr>
                <w:p>
                  <w:pPr>
                    <w:pStyle w:val="82"/>
                    <w:rPr>
                      <w:rFonts w:hint="default" w:eastAsia="宋体"/>
                      <w:color w:val="auto"/>
                      <w:lang w:val="en-US" w:eastAsia="zh-CN"/>
                    </w:rPr>
                  </w:pPr>
                  <w:r>
                    <w:rPr>
                      <w:rFonts w:hint="eastAsia"/>
                      <w:color w:val="auto"/>
                      <w:lang w:val="en-US" w:eastAsia="zh-CN"/>
                    </w:rPr>
                    <w:t>60</w:t>
                  </w:r>
                </w:p>
              </w:tc>
              <w:tc>
                <w:tcPr>
                  <w:tcW w:w="1149" w:type="dxa"/>
                  <w:vAlign w:val="center"/>
                </w:tcPr>
                <w:p>
                  <w:pPr>
                    <w:pStyle w:val="82"/>
                    <w:rPr>
                      <w:color w:val="auto"/>
                    </w:rPr>
                  </w:pPr>
                  <w:r>
                    <w:rPr>
                      <w:rFonts w:hint="eastAsia"/>
                      <w:color w:val="auto"/>
                      <w:lang w:val="en-US" w:eastAsia="zh-CN"/>
                    </w:rPr>
                    <w:t>5</w:t>
                  </w:r>
                  <w:r>
                    <w:rPr>
                      <w:rFonts w:hint="eastAsia"/>
                      <w:color w:val="auto"/>
                    </w:rPr>
                    <w:t>00</w:t>
                  </w:r>
                </w:p>
              </w:tc>
              <w:tc>
                <w:tcPr>
                  <w:tcW w:w="1149" w:type="dxa"/>
                  <w:vAlign w:val="center"/>
                </w:tcPr>
                <w:p>
                  <w:pPr>
                    <w:pStyle w:val="82"/>
                    <w:rPr>
                      <w:rFonts w:hint="default" w:eastAsia="宋体"/>
                      <w:color w:val="auto"/>
                      <w:lang w:val="en-US" w:eastAsia="zh-CN"/>
                    </w:rPr>
                  </w:pPr>
                  <w:r>
                    <w:rPr>
                      <w:rFonts w:hint="eastAsia"/>
                      <w:color w:val="auto"/>
                      <w:lang w:val="en-US" w:eastAsia="zh-CN"/>
                    </w:rPr>
                    <w:t>20</w:t>
                  </w:r>
                </w:p>
              </w:tc>
              <w:tc>
                <w:tcPr>
                  <w:tcW w:w="1150" w:type="dxa"/>
                  <w:vAlign w:val="center"/>
                </w:tcPr>
                <w:p>
                  <w:pPr>
                    <w:pStyle w:val="82"/>
                    <w:rPr>
                      <w:rFonts w:hint="default" w:eastAsia="宋体"/>
                      <w:color w:val="auto"/>
                      <w:lang w:val="en-US" w:eastAsia="zh-CN"/>
                    </w:rPr>
                  </w:pPr>
                  <w:r>
                    <w:rPr>
                      <w:rFonts w:hint="eastAsia" w:eastAsia="宋体"/>
                      <w:color w:val="auto"/>
                      <w:lang w:val="en-US" w:eastAsia="zh-CN"/>
                    </w:rPr>
                    <w:t>60</w:t>
                  </w:r>
                </w:p>
              </w:tc>
            </w:tr>
          </w:tbl>
          <w:p>
            <w:pPr>
              <w:bidi w:val="0"/>
              <w:rPr>
                <w:rFonts w:hint="default"/>
              </w:rPr>
            </w:pPr>
            <w:r>
              <w:rPr>
                <w:rFonts w:hint="eastAsia"/>
                <w:lang w:val="en-US" w:eastAsia="zh-CN"/>
              </w:rPr>
              <w:t>2、</w:t>
            </w:r>
            <w:r>
              <w:rPr>
                <w:rFonts w:hint="default"/>
              </w:rPr>
              <w:t>项目废水处理设施</w:t>
            </w:r>
            <w:r>
              <w:rPr>
                <w:rFonts w:hint="eastAsia"/>
                <w:lang w:val="en-US" w:eastAsia="zh-CN"/>
              </w:rPr>
              <w:t>可行性</w:t>
            </w:r>
            <w:r>
              <w:rPr>
                <w:rFonts w:hint="default"/>
              </w:rPr>
              <w:t>分析</w:t>
            </w:r>
          </w:p>
          <w:p>
            <w:pPr>
              <w:bidi w:val="0"/>
              <w:rPr>
                <w:rFonts w:hint="default" w:ascii="Times New Roman" w:hAnsi="Times New Roman" w:eastAsia="宋体" w:cs="Times New Roman"/>
                <w:color w:val="0000FF"/>
                <w:szCs w:val="24"/>
                <w:highlight w:val="none"/>
                <w:lang w:val="en-US" w:eastAsia="zh-CN"/>
              </w:rPr>
            </w:pPr>
            <w:r>
              <w:rPr>
                <w:rFonts w:hint="eastAsia"/>
                <w:lang w:val="en-US" w:eastAsia="zh-CN"/>
              </w:rPr>
              <w:t>根据《排污许可证申请与核发技术规范 食品制造工业-方便食品、食品及饲料添加剂制造工业》（HJ1030.3-2019）生产废水可行技术为预处理+生化处理+除磷除氮。本项目</w:t>
            </w:r>
            <w:r>
              <w:rPr>
                <w:rFonts w:hint="eastAsia" w:ascii="Times New Roman" w:hAnsi="Times New Roman" w:eastAsia="宋体" w:cs="Times New Roman"/>
                <w:color w:val="auto"/>
                <w:szCs w:val="24"/>
                <w:highlight w:val="none"/>
                <w:lang w:val="en-US" w:eastAsia="zh-CN"/>
              </w:rPr>
              <w:t>生产废水在厂区专用污水储罐暂存后直接拉运至岐山县大源污水处理厂处理达标后排入渭河，岐山县大源污水处理厂处理工艺为“</w:t>
            </w:r>
            <w:r>
              <w:rPr>
                <w:rFonts w:hint="default" w:ascii="Times New Roman" w:hAnsi="Times New Roman" w:cs="Times New Roman"/>
                <w:color w:val="auto"/>
                <w:spacing w:val="3"/>
              </w:rPr>
              <w:t>细格栅及沉砂池</w:t>
            </w:r>
            <w:r>
              <w:rPr>
                <w:rFonts w:hint="default" w:ascii="Times New Roman" w:hAnsi="Times New Roman" w:eastAsia="Times New Roman" w:cs="Times New Roman"/>
                <w:color w:val="auto"/>
                <w:spacing w:val="3"/>
              </w:rPr>
              <w:t>→</w:t>
            </w:r>
            <w:r>
              <w:rPr>
                <w:rFonts w:hint="default" w:ascii="Times New Roman" w:hAnsi="Times New Roman" w:cs="Times New Roman"/>
                <w:color w:val="auto"/>
                <w:spacing w:val="-4"/>
              </w:rPr>
              <w:t>初沉池</w:t>
            </w:r>
            <w:r>
              <w:rPr>
                <w:rFonts w:hint="default" w:ascii="Times New Roman" w:hAnsi="Times New Roman" w:eastAsia="Times New Roman" w:cs="Times New Roman"/>
                <w:color w:val="auto"/>
                <w:spacing w:val="-4"/>
              </w:rPr>
              <w:t>→CAST</w:t>
            </w:r>
            <w:r>
              <w:rPr>
                <w:rFonts w:hint="default" w:ascii="Times New Roman" w:hAnsi="Times New Roman" w:cs="Times New Roman"/>
                <w:color w:val="auto"/>
                <w:spacing w:val="-4"/>
              </w:rPr>
              <w:t>反应池</w:t>
            </w:r>
            <w:r>
              <w:rPr>
                <w:rFonts w:hint="default" w:ascii="Times New Roman" w:hAnsi="Times New Roman" w:eastAsia="Times New Roman" w:cs="Times New Roman"/>
                <w:color w:val="auto"/>
                <w:spacing w:val="-4"/>
              </w:rPr>
              <w:t>→</w:t>
            </w:r>
            <w:r>
              <w:rPr>
                <w:rFonts w:hint="default" w:ascii="Times New Roman" w:hAnsi="Times New Roman" w:cs="Times New Roman"/>
                <w:color w:val="auto"/>
                <w:spacing w:val="-4"/>
              </w:rPr>
              <w:t>磁混凝沉淀池</w:t>
            </w:r>
            <w:r>
              <w:rPr>
                <w:rFonts w:hint="default" w:ascii="Times New Roman" w:hAnsi="Times New Roman" w:eastAsia="Times New Roman" w:cs="Times New Roman"/>
                <w:color w:val="auto"/>
                <w:spacing w:val="3"/>
              </w:rPr>
              <w:t>→</w:t>
            </w:r>
            <w:r>
              <w:rPr>
                <w:rFonts w:hint="default" w:ascii="Times New Roman" w:hAnsi="Times New Roman" w:cs="Times New Roman"/>
                <w:color w:val="auto"/>
                <w:spacing w:val="3"/>
              </w:rPr>
              <w:t>纤维转盘滤池</w:t>
            </w:r>
            <w:r>
              <w:rPr>
                <w:rFonts w:hint="default" w:ascii="Times New Roman" w:hAnsi="Times New Roman" w:eastAsia="Times New Roman" w:cs="Times New Roman"/>
                <w:color w:val="auto"/>
                <w:spacing w:val="3"/>
              </w:rPr>
              <w:t>→</w:t>
            </w:r>
            <w:r>
              <w:rPr>
                <w:rFonts w:hint="default" w:ascii="Times New Roman" w:hAnsi="Times New Roman" w:cs="Times New Roman"/>
                <w:color w:val="auto"/>
                <w:spacing w:val="3"/>
              </w:rPr>
              <w:t>臭氧氧化池</w:t>
            </w:r>
            <w:r>
              <w:rPr>
                <w:rFonts w:hint="default" w:ascii="Times New Roman" w:hAnsi="Times New Roman" w:eastAsia="Times New Roman" w:cs="Times New Roman"/>
                <w:color w:val="auto"/>
                <w:spacing w:val="3"/>
              </w:rPr>
              <w:t>→</w:t>
            </w:r>
            <w:r>
              <w:rPr>
                <w:rFonts w:hint="default" w:ascii="Times New Roman" w:hAnsi="Times New Roman" w:cs="Times New Roman"/>
                <w:color w:val="auto"/>
                <w:spacing w:val="3"/>
              </w:rPr>
              <w:t>接</w:t>
            </w:r>
            <w:r>
              <w:rPr>
                <w:rFonts w:hint="default" w:ascii="Times New Roman" w:hAnsi="Times New Roman" w:cs="Times New Roman"/>
                <w:color w:val="auto"/>
              </w:rPr>
              <w:t>触池</w:t>
            </w:r>
            <w:r>
              <w:rPr>
                <w:color w:val="auto"/>
              </w:rPr>
              <w:t>处理工艺</w:t>
            </w:r>
            <w:r>
              <w:rPr>
                <w:rFonts w:hint="eastAsia" w:ascii="Times New Roman" w:hAnsi="Times New Roman" w:eastAsia="宋体" w:cs="Times New Roman"/>
                <w:color w:val="auto"/>
                <w:szCs w:val="24"/>
                <w:highlight w:val="none"/>
                <w:lang w:val="en-US" w:eastAsia="zh-CN"/>
              </w:rPr>
              <w:t>”，属于生化处理工艺，满足可行技术要求。</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default" w:ascii="Times New Roman" w:hAnsi="Times New Roman" w:eastAsia="宋体" w:cs="Times New Roman"/>
                <w:b w:val="0"/>
                <w:bCs w:val="0"/>
                <w:color w:val="auto"/>
                <w:sz w:val="24"/>
                <w:szCs w:val="28"/>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b w:val="0"/>
                <w:bCs w:val="0"/>
                <w:color w:val="auto"/>
                <w:sz w:val="24"/>
                <w:szCs w:val="28"/>
                <w:highlight w:val="none"/>
                <w:lang w:val="en-US" w:eastAsia="zh-CN"/>
              </w:rPr>
              <w:t>、</w:t>
            </w:r>
            <w:r>
              <w:rPr>
                <w:rFonts w:hint="default" w:ascii="Times New Roman" w:hAnsi="Times New Roman" w:eastAsia="宋体" w:cs="Times New Roman"/>
                <w:b w:val="0"/>
                <w:bCs w:val="0"/>
                <w:color w:val="auto"/>
                <w:sz w:val="24"/>
                <w:szCs w:val="28"/>
                <w:highlight w:val="none"/>
                <w:lang w:val="en-US" w:eastAsia="zh-CN"/>
              </w:rPr>
              <w:t>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根据</w:t>
            </w:r>
            <w:r>
              <w:rPr>
                <w:rFonts w:hint="eastAsia" w:cs="Times New Roman"/>
                <w:color w:val="auto"/>
                <w:sz w:val="24"/>
                <w:szCs w:val="24"/>
                <w:highlight w:val="none"/>
                <w:lang w:val="en-US" w:eastAsia="zh-CN"/>
              </w:rPr>
              <w:t>《排污单位自行监测技术指南 食品制造》（HJ1084-2020）提出本项目废水监测计划，详见下表。</w:t>
            </w:r>
          </w:p>
          <w:p>
            <w:pPr>
              <w:pStyle w:val="81"/>
              <w:bidi w:val="0"/>
              <w:rPr>
                <w:rFonts w:hint="default"/>
                <w:color w:val="auto"/>
              </w:rPr>
            </w:pPr>
            <w:r>
              <w:rPr>
                <w:rFonts w:hint="default"/>
                <w:color w:val="auto"/>
              </w:rPr>
              <w:t>表</w:t>
            </w:r>
            <w:r>
              <w:rPr>
                <w:rFonts w:hint="eastAsia"/>
                <w:color w:val="auto"/>
                <w:lang w:val="en-US" w:eastAsia="zh-CN"/>
              </w:rPr>
              <w:t>4-12</w:t>
            </w:r>
            <w:r>
              <w:rPr>
                <w:rFonts w:hint="default"/>
                <w:color w:val="auto"/>
                <w:lang w:val="en-US"/>
              </w:rPr>
              <w:t xml:space="preserve">   </w:t>
            </w:r>
            <w:r>
              <w:rPr>
                <w:rFonts w:hint="default"/>
                <w:color w:val="auto"/>
              </w:rPr>
              <w:t>污染源监测计划表</w:t>
            </w:r>
          </w:p>
          <w:tbl>
            <w:tblPr>
              <w:tblStyle w:val="30"/>
              <w:tblW w:w="8138"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846"/>
              <w:gridCol w:w="4294"/>
              <w:gridCol w:w="1650"/>
              <w:gridCol w:w="13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846" w:type="dxa"/>
                  <w:vAlign w:val="center"/>
                </w:tcPr>
                <w:p>
                  <w:pPr>
                    <w:pStyle w:val="32"/>
                    <w:bidi w:val="0"/>
                    <w:rPr>
                      <w:rFonts w:hint="eastAsia" w:eastAsia="宋体"/>
                      <w:b/>
                      <w:bCs/>
                      <w:color w:val="auto"/>
                      <w:lang w:eastAsia="zh-CN"/>
                    </w:rPr>
                  </w:pPr>
                  <w:r>
                    <w:rPr>
                      <w:rFonts w:hint="eastAsia"/>
                      <w:b/>
                      <w:bCs/>
                      <w:color w:val="auto"/>
                      <w:lang w:val="en-US" w:eastAsia="zh-CN"/>
                    </w:rPr>
                    <w:t>污染源</w:t>
                  </w:r>
                </w:p>
              </w:tc>
              <w:tc>
                <w:tcPr>
                  <w:tcW w:w="4294" w:type="dxa"/>
                  <w:vAlign w:val="center"/>
                </w:tcPr>
                <w:p>
                  <w:pPr>
                    <w:pStyle w:val="32"/>
                    <w:bidi w:val="0"/>
                    <w:rPr>
                      <w:rFonts w:hint="default"/>
                      <w:b/>
                      <w:bCs/>
                      <w:color w:val="auto"/>
                    </w:rPr>
                  </w:pPr>
                  <w:r>
                    <w:rPr>
                      <w:rFonts w:hint="default"/>
                      <w:b/>
                      <w:bCs/>
                      <w:color w:val="auto"/>
                    </w:rPr>
                    <w:t>监测项目</w:t>
                  </w:r>
                </w:p>
              </w:tc>
              <w:tc>
                <w:tcPr>
                  <w:tcW w:w="1650" w:type="dxa"/>
                  <w:vAlign w:val="center"/>
                </w:tcPr>
                <w:p>
                  <w:pPr>
                    <w:pStyle w:val="32"/>
                    <w:bidi w:val="0"/>
                    <w:rPr>
                      <w:rFonts w:hint="default"/>
                      <w:b/>
                      <w:bCs/>
                      <w:color w:val="auto"/>
                    </w:rPr>
                  </w:pPr>
                  <w:r>
                    <w:rPr>
                      <w:rFonts w:hint="default"/>
                      <w:b/>
                      <w:bCs/>
                      <w:color w:val="auto"/>
                    </w:rPr>
                    <w:t>监测点位</w:t>
                  </w:r>
                </w:p>
              </w:tc>
              <w:tc>
                <w:tcPr>
                  <w:tcW w:w="1348" w:type="dxa"/>
                  <w:vAlign w:val="center"/>
                </w:tcPr>
                <w:p>
                  <w:pPr>
                    <w:pStyle w:val="32"/>
                    <w:bidi w:val="0"/>
                    <w:rPr>
                      <w:rFonts w:hint="default" w:eastAsia="宋体"/>
                      <w:b/>
                      <w:bCs/>
                      <w:color w:val="auto"/>
                      <w:lang w:val="en-US" w:eastAsia="zh-CN"/>
                    </w:rPr>
                  </w:pPr>
                  <w:r>
                    <w:rPr>
                      <w:rFonts w:hint="eastAsia"/>
                      <w:b/>
                      <w:bCs/>
                      <w:color w:val="auto"/>
                      <w:lang w:val="en-US" w:eastAsia="zh-CN"/>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846"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生产废水</w:t>
                  </w:r>
                </w:p>
              </w:tc>
              <w:tc>
                <w:tcPr>
                  <w:tcW w:w="4294"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eastAsia" w:cs="Times New Roman"/>
                      <w:color w:val="auto"/>
                      <w:highlight w:val="none"/>
                      <w:lang w:val="en-US" w:eastAsia="zh-CN"/>
                    </w:rPr>
                    <w:t>pH值、悬浮物、五日生化需氧量、化学需氧量、氨氮、总磷、总氮、色度、动植物油</w:t>
                  </w:r>
                </w:p>
              </w:tc>
              <w:tc>
                <w:tcPr>
                  <w:tcW w:w="1650"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污水罐监测口</w:t>
                  </w:r>
                </w:p>
              </w:tc>
              <w:tc>
                <w:tcPr>
                  <w:tcW w:w="1348" w:type="dxa"/>
                  <w:vAlign w:val="center"/>
                </w:tcPr>
                <w:p>
                  <w:pPr>
                    <w:pStyle w:val="32"/>
                    <w:bidi w:val="0"/>
                    <w:ind w:firstLine="0" w:firstLineChars="0"/>
                    <w:rPr>
                      <w:rFonts w:hint="default" w:ascii="Times New Roman" w:hAnsi="Times New Roman" w:eastAsia="宋体" w:cs="Times New Roman"/>
                      <w:color w:val="auto"/>
                      <w:lang w:val="en-US" w:eastAsia="zh-CN"/>
                    </w:rPr>
                  </w:pPr>
                  <w:r>
                    <w:rPr>
                      <w:rFonts w:hint="default"/>
                      <w:color w:val="auto"/>
                    </w:rPr>
                    <w:t>1次/</w:t>
                  </w:r>
                  <w:r>
                    <w:rPr>
                      <w:rFonts w:hint="eastAsia"/>
                      <w:color w:val="auto"/>
                      <w:lang w:val="en-US" w:eastAsia="zh-CN"/>
                    </w:rPr>
                    <w:t>半</w:t>
                  </w:r>
                  <w:r>
                    <w:rPr>
                      <w:rFonts w:hint="default"/>
                      <w:color w:val="auto"/>
                    </w:rPr>
                    <w:t>年</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三</w:t>
            </w:r>
            <w:r>
              <w:rPr>
                <w:rFonts w:hint="default" w:ascii="Times New Roman" w:hAnsi="Times New Roman" w:eastAsia="宋体" w:cs="Times New Roman"/>
                <w:b/>
                <w:bCs/>
                <w:color w:val="auto"/>
                <w:sz w:val="24"/>
                <w:szCs w:val="24"/>
                <w:highlight w:val="none"/>
                <w:lang w:val="en-US" w:eastAsia="zh-CN"/>
              </w:rPr>
              <w:t>、噪声</w:t>
            </w:r>
          </w:p>
          <w:p>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噪声源强</w:t>
            </w:r>
          </w:p>
          <w:p>
            <w:pPr>
              <w:bidi w:val="0"/>
              <w:rPr>
                <w:rFonts w:hint="eastAsia"/>
                <w:lang w:val="en-US" w:eastAsia="zh-CN"/>
              </w:rPr>
            </w:pPr>
            <w:r>
              <w:rPr>
                <w:rFonts w:hint="eastAsia"/>
                <w:lang w:val="en-US" w:eastAsia="zh-CN"/>
              </w:rPr>
              <w:t>本项目目前生产设备均已安装完成，无需新增其他生产设备及环保设备，本次现状监测数据为已建成后全厂所有设施运行过程监测结果。</w:t>
            </w:r>
          </w:p>
          <w:p>
            <w:pPr>
              <w:bidi w:val="0"/>
              <w:rPr>
                <w:rFonts w:hint="default"/>
                <w:lang w:val="en-US" w:eastAsia="zh-CN"/>
              </w:rPr>
            </w:pPr>
            <w:r>
              <w:rPr>
                <w:rFonts w:hint="eastAsia"/>
                <w:lang w:val="en-US" w:eastAsia="zh-CN"/>
              </w:rPr>
              <w:t>因此，本项目不进行噪声预测分析。</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2、降噪措施</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目前本项目已采取以下降噪措施：</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①车间设备布局将较大噪声设备设置在车间中部；</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设备选型上采用低噪声设备，并在连接处采用挠性连接，减少振动；</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③项目环保设备</w:t>
            </w:r>
            <w:r>
              <w:rPr>
                <w:rFonts w:hint="eastAsia" w:cs="Times New Roman"/>
                <w:color w:val="auto"/>
                <w:sz w:val="24"/>
                <w:szCs w:val="24"/>
                <w:highlight w:val="none"/>
                <w:lang w:val="en-US" w:eastAsia="zh-CN"/>
              </w:rPr>
              <w:t>油烟净化器</w:t>
            </w:r>
            <w:r>
              <w:rPr>
                <w:rFonts w:hint="eastAsia" w:ascii="Times New Roman" w:hAnsi="Times New Roman" w:eastAsia="宋体" w:cs="Times New Roman"/>
                <w:color w:val="auto"/>
                <w:sz w:val="24"/>
                <w:szCs w:val="24"/>
                <w:highlight w:val="none"/>
                <w:lang w:val="en-US" w:eastAsia="zh-CN"/>
              </w:rPr>
              <w:t>设置隔声箱，内壁设置隔音棉，基础减振，挠性连接</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fldChar w:fldCharType="begin"/>
            </w:r>
            <w:r>
              <w:rPr>
                <w:rFonts w:hint="default" w:ascii="Times New Roman" w:hAnsi="Times New Roman" w:eastAsia="宋体" w:cs="Times New Roman"/>
                <w:color w:val="auto"/>
                <w:kern w:val="0"/>
                <w:sz w:val="24"/>
                <w:szCs w:val="24"/>
                <w:highlight w:val="none"/>
                <w:lang w:val="en-US" w:eastAsia="zh-CN"/>
              </w:rPr>
              <w:instrText xml:space="preserve"> = 4 \* GB3 \* MERGEFORMAT </w:instrText>
            </w:r>
            <w:r>
              <w:rPr>
                <w:rFonts w:hint="default" w:ascii="Times New Roman" w:hAnsi="Times New Roman" w:eastAsia="宋体" w:cs="Times New Roman"/>
                <w:color w:val="auto"/>
                <w:kern w:val="0"/>
                <w:sz w:val="24"/>
                <w:szCs w:val="24"/>
                <w:highlight w:val="none"/>
                <w:lang w:val="en-US" w:eastAsia="zh-CN"/>
              </w:rPr>
              <w:fldChar w:fldCharType="separate"/>
            </w:r>
            <w:r>
              <w:rPr>
                <w:color w:val="auto"/>
              </w:rPr>
              <w:t>④</w:t>
            </w:r>
            <w:r>
              <w:rPr>
                <w:rFonts w:hint="default" w:ascii="Times New Roman" w:hAnsi="Times New Roman" w:eastAsia="宋体" w:cs="Times New Roman"/>
                <w:color w:val="auto"/>
                <w:kern w:val="0"/>
                <w:sz w:val="24"/>
                <w:szCs w:val="24"/>
                <w:highlight w:val="none"/>
                <w:lang w:val="en-US" w:eastAsia="zh-CN"/>
              </w:rPr>
              <w:fldChar w:fldCharType="end"/>
            </w:r>
            <w:r>
              <w:rPr>
                <w:rFonts w:hint="default" w:ascii="Times New Roman" w:hAnsi="Times New Roman" w:eastAsia="宋体" w:cs="Times New Roman"/>
                <w:color w:val="auto"/>
                <w:kern w:val="0"/>
                <w:sz w:val="24"/>
                <w:szCs w:val="24"/>
                <w:highlight w:val="none"/>
                <w:lang w:val="en-US" w:eastAsia="zh-CN"/>
              </w:rPr>
              <w:t>加强对各设备的维修、保养，定期维护设备，确保设备处于良好</w:t>
            </w:r>
            <w:r>
              <w:rPr>
                <w:rFonts w:hint="eastAsia" w:ascii="Times New Roman" w:hAnsi="Times New Roman" w:eastAsia="宋体" w:cs="Times New Roman"/>
                <w:color w:val="auto"/>
                <w:kern w:val="0"/>
                <w:sz w:val="24"/>
                <w:szCs w:val="24"/>
                <w:highlight w:val="none"/>
                <w:lang w:val="en-US" w:eastAsia="zh-CN"/>
              </w:rPr>
              <w:t>的</w:t>
            </w:r>
            <w:r>
              <w:rPr>
                <w:rFonts w:hint="default" w:ascii="Times New Roman" w:hAnsi="Times New Roman" w:eastAsia="宋体" w:cs="Times New Roman"/>
                <w:color w:val="auto"/>
                <w:kern w:val="0"/>
                <w:sz w:val="24"/>
                <w:szCs w:val="24"/>
                <w:highlight w:val="none"/>
                <w:lang w:val="en-US" w:eastAsia="zh-CN"/>
              </w:rPr>
              <w:t>运转状态，杜绝因设备不正常运转而产生的高噪声现象</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噪声</w:t>
            </w:r>
            <w:r>
              <w:rPr>
                <w:rFonts w:hint="eastAsia" w:cs="Times New Roman"/>
                <w:b/>
                <w:bCs/>
                <w:color w:val="auto"/>
                <w:sz w:val="24"/>
                <w:szCs w:val="24"/>
                <w:highlight w:val="none"/>
                <w:lang w:val="en-US" w:eastAsia="zh-CN"/>
              </w:rPr>
              <w:t>监测</w:t>
            </w:r>
            <w:r>
              <w:rPr>
                <w:rFonts w:hint="default" w:ascii="Times New Roman" w:hAnsi="Times New Roman" w:eastAsia="宋体" w:cs="Times New Roman"/>
                <w:b/>
                <w:bCs/>
                <w:color w:val="auto"/>
                <w:sz w:val="24"/>
                <w:szCs w:val="24"/>
                <w:highlight w:val="none"/>
              </w:rPr>
              <w:t>结果</w:t>
            </w:r>
          </w:p>
          <w:p>
            <w:pPr>
              <w:keepNext w:val="0"/>
              <w:keepLines w:val="0"/>
              <w:pageBreakBefore w:val="0"/>
              <w:widowControl w:val="0"/>
              <w:kinsoku/>
              <w:wordWrap/>
              <w:overflowPunct/>
              <w:topLinePunct w:val="0"/>
              <w:bidi w:val="0"/>
              <w:adjustRightInd/>
              <w:snapToGrid/>
              <w:spacing w:line="360" w:lineRule="auto"/>
              <w:ind w:left="0" w:leftChars="0" w:firstLine="488" w:firstLineChars="200"/>
              <w:jc w:val="both"/>
              <w:textAlignment w:val="auto"/>
              <w:rPr>
                <w:rFonts w:hint="default" w:ascii="Times New Roman" w:hAnsi="Times New Roman" w:eastAsia="宋体" w:cs="Times New Roman"/>
                <w:color w:val="auto"/>
                <w:sz w:val="24"/>
                <w:szCs w:val="24"/>
                <w:highlight w:val="none"/>
              </w:rPr>
            </w:pPr>
            <w:r>
              <w:rPr>
                <w:rFonts w:hint="eastAsia"/>
                <w:color w:val="auto"/>
                <w:spacing w:val="2"/>
                <w:sz w:val="24"/>
                <w:lang w:val="en-US" w:eastAsia="zh-CN"/>
              </w:rPr>
              <w:t>根据</w:t>
            </w:r>
            <w:r>
              <w:rPr>
                <w:rFonts w:hint="eastAsia" w:cs="Times New Roman"/>
                <w:color w:val="000000"/>
                <w:sz w:val="24"/>
                <w:lang w:val="en-US" w:eastAsia="zh-CN"/>
              </w:rPr>
              <w:t>陕西恒正飞翔环保科技有限公司2025年8月19日出具的监测报告</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本项目噪声监测结果详见下表</w:t>
            </w:r>
            <w:r>
              <w:rPr>
                <w:rFonts w:hint="default" w:ascii="Times New Roman" w:hAnsi="Times New Roman" w:eastAsia="宋体" w:cs="Times New Roman"/>
                <w:color w:val="auto"/>
                <w:sz w:val="24"/>
                <w:szCs w:val="24"/>
                <w:highlight w:val="none"/>
              </w:rPr>
              <w:t>。</w:t>
            </w:r>
          </w:p>
          <w:p>
            <w:pPr>
              <w:pStyle w:val="76"/>
              <w:bidi w:val="0"/>
              <w:rPr>
                <w:rFonts w:hint="default"/>
                <w:color w:val="auto"/>
                <w:highlight w:val="none"/>
              </w:rPr>
            </w:pPr>
            <w:r>
              <w:rPr>
                <w:rFonts w:hint="default"/>
                <w:color w:val="auto"/>
                <w:highlight w:val="none"/>
              </w:rPr>
              <w:t>表</w:t>
            </w:r>
            <w:r>
              <w:rPr>
                <w:rFonts w:hint="eastAsia"/>
                <w:color w:val="auto"/>
                <w:highlight w:val="none"/>
                <w:lang w:val="en-US" w:eastAsia="zh-CN"/>
              </w:rPr>
              <w:t>4-13</w:t>
            </w:r>
            <w:r>
              <w:rPr>
                <w:rFonts w:hint="default"/>
                <w:color w:val="auto"/>
                <w:highlight w:val="none"/>
              </w:rPr>
              <w:t xml:space="preserve">   噪声</w:t>
            </w:r>
            <w:r>
              <w:rPr>
                <w:rFonts w:hint="eastAsia"/>
                <w:color w:val="auto"/>
                <w:highlight w:val="none"/>
                <w:lang w:val="en-US" w:eastAsia="zh-CN"/>
              </w:rPr>
              <w:t>监测</w:t>
            </w:r>
            <w:r>
              <w:rPr>
                <w:rFonts w:hint="default"/>
                <w:color w:val="auto"/>
                <w:highlight w:val="none"/>
              </w:rPr>
              <w:t>结果统计表  单位dB(A)</w:t>
            </w:r>
          </w:p>
          <w:tbl>
            <w:tblPr>
              <w:tblStyle w:val="30"/>
              <w:tblW w:w="811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3656"/>
              <w:gridCol w:w="44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3656" w:type="dxa"/>
                  <w:vMerge w:val="restart"/>
                  <w:tcBorders>
                    <w:tl2br w:val="nil"/>
                    <w:tr2bl w:val="nil"/>
                  </w:tcBorders>
                  <w:vAlign w:val="center"/>
                </w:tcPr>
                <w:p>
                  <w:pPr>
                    <w:pStyle w:val="32"/>
                    <w:bidi w:val="0"/>
                    <w:rPr>
                      <w:rFonts w:hint="default"/>
                      <w:b/>
                      <w:bCs/>
                      <w:color w:val="auto"/>
                      <w:highlight w:val="none"/>
                    </w:rPr>
                  </w:pPr>
                  <w:r>
                    <w:rPr>
                      <w:rFonts w:hint="default"/>
                      <w:b/>
                      <w:bCs/>
                      <w:color w:val="auto"/>
                      <w:highlight w:val="none"/>
                    </w:rPr>
                    <w:t>评价点位置</w:t>
                  </w:r>
                </w:p>
              </w:tc>
              <w:tc>
                <w:tcPr>
                  <w:tcW w:w="4461" w:type="dxa"/>
                  <w:tcBorders>
                    <w:tl2br w:val="nil"/>
                    <w:tr2bl w:val="nil"/>
                  </w:tcBorders>
                  <w:vAlign w:val="center"/>
                </w:tcPr>
                <w:p>
                  <w:pPr>
                    <w:pStyle w:val="32"/>
                    <w:bidi w:val="0"/>
                    <w:rPr>
                      <w:rFonts w:hint="default"/>
                      <w:b/>
                      <w:bCs/>
                      <w:color w:val="auto"/>
                      <w:highlight w:val="none"/>
                    </w:rPr>
                  </w:pPr>
                  <w:r>
                    <w:rPr>
                      <w:rFonts w:hint="default"/>
                      <w:b/>
                      <w:bCs/>
                      <w:color w:val="auto"/>
                      <w:highlight w:val="none"/>
                    </w:rPr>
                    <w:t>噪声贡献值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3656" w:type="dxa"/>
                  <w:vMerge w:val="continue"/>
                  <w:tcBorders>
                    <w:tl2br w:val="nil"/>
                    <w:tr2bl w:val="nil"/>
                  </w:tcBorders>
                  <w:vAlign w:val="center"/>
                </w:tcPr>
                <w:p>
                  <w:pPr>
                    <w:pStyle w:val="32"/>
                    <w:bidi w:val="0"/>
                    <w:rPr>
                      <w:rFonts w:hint="default"/>
                      <w:b/>
                      <w:bCs/>
                      <w:color w:val="auto"/>
                      <w:highlight w:val="none"/>
                    </w:rPr>
                  </w:pPr>
                </w:p>
              </w:tc>
              <w:tc>
                <w:tcPr>
                  <w:tcW w:w="4461" w:type="dxa"/>
                  <w:tcBorders>
                    <w:tl2br w:val="nil"/>
                    <w:tr2bl w:val="nil"/>
                  </w:tcBorders>
                  <w:vAlign w:val="center"/>
                </w:tcPr>
                <w:p>
                  <w:pPr>
                    <w:pStyle w:val="32"/>
                    <w:bidi w:val="0"/>
                    <w:rPr>
                      <w:rFonts w:hint="default"/>
                      <w:b/>
                      <w:bCs/>
                      <w:color w:val="auto"/>
                      <w:highlight w:val="none"/>
                    </w:rPr>
                  </w:pPr>
                  <w:r>
                    <w:rPr>
                      <w:rFonts w:hint="default"/>
                      <w:b/>
                      <w:bCs/>
                      <w:color w:val="auto"/>
                      <w:highlight w:val="none"/>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3656" w:type="dxa"/>
                  <w:tcBorders>
                    <w:tl2br w:val="nil"/>
                    <w:tr2bl w:val="nil"/>
                  </w:tcBorders>
                  <w:vAlign w:val="center"/>
                </w:tcPr>
                <w:p>
                  <w:pPr>
                    <w:pStyle w:val="32"/>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厂界东侧</w:t>
                  </w:r>
                </w:p>
              </w:tc>
              <w:tc>
                <w:tcPr>
                  <w:tcW w:w="4461" w:type="dxa"/>
                  <w:tcBorders>
                    <w:tl2br w:val="nil"/>
                    <w:tr2bl w:val="nil"/>
                  </w:tcBorders>
                  <w:vAlign w:val="center"/>
                </w:tcPr>
                <w:p>
                  <w:pPr>
                    <w:pStyle w:val="32"/>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3656" w:type="dxa"/>
                  <w:tcBorders>
                    <w:tl2br w:val="nil"/>
                    <w:tr2bl w:val="nil"/>
                  </w:tcBorders>
                  <w:vAlign w:val="center"/>
                </w:tcPr>
                <w:p>
                  <w:pPr>
                    <w:pStyle w:val="32"/>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厂界南侧</w:t>
                  </w:r>
                </w:p>
              </w:tc>
              <w:tc>
                <w:tcPr>
                  <w:tcW w:w="4461" w:type="dxa"/>
                  <w:tcBorders>
                    <w:tl2br w:val="nil"/>
                    <w:tr2bl w:val="nil"/>
                  </w:tcBorders>
                  <w:vAlign w:val="center"/>
                </w:tcPr>
                <w:p>
                  <w:pPr>
                    <w:pStyle w:val="32"/>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3656" w:type="dxa"/>
                  <w:tcBorders>
                    <w:tl2br w:val="nil"/>
                    <w:tr2bl w:val="nil"/>
                  </w:tcBorders>
                  <w:vAlign w:val="center"/>
                </w:tcPr>
                <w:p>
                  <w:pPr>
                    <w:pStyle w:val="32"/>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厂界西侧</w:t>
                  </w:r>
                </w:p>
              </w:tc>
              <w:tc>
                <w:tcPr>
                  <w:tcW w:w="4461" w:type="dxa"/>
                  <w:tcBorders>
                    <w:tl2br w:val="nil"/>
                    <w:tr2bl w:val="nil"/>
                  </w:tcBorders>
                  <w:vAlign w:val="center"/>
                </w:tcPr>
                <w:p>
                  <w:pPr>
                    <w:pStyle w:val="32"/>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3656" w:type="dxa"/>
                  <w:tcBorders>
                    <w:tl2br w:val="nil"/>
                    <w:tr2bl w:val="nil"/>
                  </w:tcBorders>
                  <w:vAlign w:val="center"/>
                </w:tcPr>
                <w:p>
                  <w:pPr>
                    <w:pStyle w:val="32"/>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厂界北侧</w:t>
                  </w:r>
                </w:p>
              </w:tc>
              <w:tc>
                <w:tcPr>
                  <w:tcW w:w="4461" w:type="dxa"/>
                  <w:tcBorders>
                    <w:tl2br w:val="nil"/>
                    <w:tr2bl w:val="nil"/>
                  </w:tcBorders>
                  <w:vAlign w:val="center"/>
                </w:tcPr>
                <w:p>
                  <w:pPr>
                    <w:pStyle w:val="32"/>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53</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spacing w:val="0"/>
                <w:position w:val="0"/>
                <w:sz w:val="24"/>
                <w:lang w:val="en-US" w:eastAsia="zh-CN"/>
              </w:rPr>
              <w:t>根据</w:t>
            </w:r>
            <w:r>
              <w:rPr>
                <w:rFonts w:hint="eastAsia" w:cs="Times New Roman"/>
                <w:color w:val="auto"/>
                <w:spacing w:val="0"/>
                <w:position w:val="0"/>
                <w:sz w:val="24"/>
                <w:lang w:val="en-US" w:eastAsia="zh-CN"/>
              </w:rPr>
              <w:t>监测结果</w:t>
            </w:r>
            <w:r>
              <w:rPr>
                <w:rFonts w:hint="eastAsia" w:ascii="Times New Roman" w:hAnsi="Times New Roman" w:eastAsia="宋体" w:cs="Times New Roman"/>
                <w:color w:val="auto"/>
                <w:spacing w:val="0"/>
                <w:position w:val="0"/>
                <w:sz w:val="24"/>
                <w:lang w:val="en-US" w:eastAsia="zh-CN"/>
              </w:rPr>
              <w:t>，项目</w:t>
            </w:r>
            <w:r>
              <w:rPr>
                <w:rFonts w:hint="eastAsia" w:cs="Times New Roman"/>
                <w:color w:val="auto"/>
                <w:spacing w:val="0"/>
                <w:position w:val="0"/>
                <w:sz w:val="24"/>
                <w:lang w:val="en-US" w:eastAsia="zh-CN"/>
              </w:rPr>
              <w:t>厂界四周</w:t>
            </w:r>
            <w:r>
              <w:rPr>
                <w:rFonts w:hint="eastAsia" w:ascii="Times New Roman" w:hAnsi="Times New Roman" w:eastAsia="宋体" w:cs="Times New Roman"/>
                <w:color w:val="auto"/>
                <w:spacing w:val="0"/>
                <w:position w:val="0"/>
                <w:sz w:val="24"/>
                <w:lang w:val="en-US" w:eastAsia="zh-CN"/>
              </w:rPr>
              <w:t>噪声贡献值可满足</w:t>
            </w:r>
            <w:r>
              <w:rPr>
                <w:rFonts w:hint="default" w:ascii="Times New Roman" w:hAnsi="Times New Roman" w:eastAsia="宋体" w:cs="Times New Roman"/>
                <w:color w:val="auto"/>
                <w:spacing w:val="0"/>
                <w:position w:val="0"/>
                <w:sz w:val="24"/>
              </w:rPr>
              <w:t>《工业企业厂界环境噪声排放标准》（GB12348-2008）</w:t>
            </w:r>
            <w:r>
              <w:rPr>
                <w:rFonts w:hint="eastAsia" w:cs="Times New Roman"/>
                <w:color w:val="auto"/>
                <w:spacing w:val="0"/>
                <w:position w:val="0"/>
                <w:sz w:val="24"/>
                <w:lang w:val="en-US" w:eastAsia="zh-CN"/>
              </w:rPr>
              <w:t>2</w:t>
            </w:r>
            <w:r>
              <w:rPr>
                <w:rFonts w:hint="default" w:ascii="Times New Roman" w:hAnsi="Times New Roman" w:eastAsia="宋体" w:cs="Times New Roman"/>
                <w:color w:val="auto"/>
                <w:spacing w:val="0"/>
                <w:position w:val="0"/>
                <w:sz w:val="24"/>
              </w:rPr>
              <w:t>类区标准</w:t>
            </w:r>
            <w:r>
              <w:rPr>
                <w:rFonts w:hint="eastAsia" w:ascii="Times New Roman" w:hAnsi="Times New Roman" w:eastAsia="宋体" w:cs="Times New Roman"/>
                <w:color w:val="auto"/>
                <w:spacing w:val="0"/>
                <w:position w:val="0"/>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根据《排污单位自行监测技术指南 总则》（HJ819-2017）</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《排污许可证申请与核发技术规范 工业噪声》（HJ1301-2023）</w:t>
            </w:r>
            <w:r>
              <w:rPr>
                <w:rFonts w:hint="default" w:ascii="Times New Roman" w:hAnsi="Times New Roman" w:eastAsia="宋体" w:cs="Times New Roman"/>
                <w:color w:val="auto"/>
                <w:sz w:val="24"/>
                <w:szCs w:val="24"/>
                <w:highlight w:val="none"/>
              </w:rPr>
              <w:t>，制定本项目噪声监测计划如下：</w:t>
            </w:r>
          </w:p>
          <w:p>
            <w:pPr>
              <w:pStyle w:val="76"/>
              <w:bidi w:val="0"/>
              <w:rPr>
                <w:rFonts w:hint="default"/>
                <w:b/>
                <w:bCs/>
                <w:color w:val="auto"/>
                <w:highlight w:val="none"/>
              </w:rPr>
            </w:pPr>
            <w:r>
              <w:rPr>
                <w:rFonts w:hint="default"/>
                <w:color w:val="auto"/>
                <w:highlight w:val="none"/>
              </w:rPr>
              <w:t>表</w:t>
            </w:r>
            <w:r>
              <w:rPr>
                <w:rFonts w:hint="eastAsia"/>
                <w:color w:val="auto"/>
                <w:highlight w:val="none"/>
                <w:lang w:val="en-US" w:eastAsia="zh-CN"/>
              </w:rPr>
              <w:t xml:space="preserve">4-14   </w:t>
            </w:r>
            <w:r>
              <w:rPr>
                <w:rFonts w:hint="default"/>
                <w:color w:val="auto"/>
                <w:highlight w:val="none"/>
              </w:rPr>
              <w:t>项目噪声监测计划表</w:t>
            </w:r>
          </w:p>
          <w:tbl>
            <w:tblPr>
              <w:tblStyle w:val="31"/>
              <w:tblW w:w="815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16"/>
              <w:gridCol w:w="1708"/>
              <w:gridCol w:w="2325"/>
              <w:gridCol w:w="21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016" w:type="dxa"/>
                  <w:tcBorders>
                    <w:tl2br w:val="nil"/>
                    <w:tr2bl w:val="nil"/>
                  </w:tcBorders>
                  <w:vAlign w:val="center"/>
                </w:tcPr>
                <w:p>
                  <w:pPr>
                    <w:pStyle w:val="32"/>
                    <w:bidi w:val="0"/>
                    <w:rPr>
                      <w:rFonts w:hint="default"/>
                      <w:b/>
                      <w:bCs/>
                      <w:color w:val="auto"/>
                      <w:highlight w:val="none"/>
                    </w:rPr>
                  </w:pPr>
                  <w:r>
                    <w:rPr>
                      <w:rFonts w:hint="default"/>
                      <w:b/>
                      <w:bCs/>
                      <w:color w:val="auto"/>
                      <w:highlight w:val="none"/>
                    </w:rPr>
                    <w:t>类别</w:t>
                  </w:r>
                </w:p>
              </w:tc>
              <w:tc>
                <w:tcPr>
                  <w:tcW w:w="1708" w:type="dxa"/>
                  <w:tcBorders>
                    <w:tl2br w:val="nil"/>
                    <w:tr2bl w:val="nil"/>
                  </w:tcBorders>
                  <w:vAlign w:val="center"/>
                </w:tcPr>
                <w:p>
                  <w:pPr>
                    <w:pStyle w:val="32"/>
                    <w:bidi w:val="0"/>
                    <w:rPr>
                      <w:rFonts w:hint="default"/>
                      <w:b/>
                      <w:bCs/>
                      <w:color w:val="auto"/>
                      <w:highlight w:val="none"/>
                    </w:rPr>
                  </w:pPr>
                  <w:r>
                    <w:rPr>
                      <w:rFonts w:hint="default"/>
                      <w:b/>
                      <w:bCs/>
                      <w:color w:val="auto"/>
                      <w:highlight w:val="none"/>
                    </w:rPr>
                    <w:t>监测点位</w:t>
                  </w:r>
                </w:p>
              </w:tc>
              <w:tc>
                <w:tcPr>
                  <w:tcW w:w="2325" w:type="dxa"/>
                  <w:tcBorders>
                    <w:tl2br w:val="nil"/>
                    <w:tr2bl w:val="nil"/>
                  </w:tcBorders>
                  <w:vAlign w:val="center"/>
                </w:tcPr>
                <w:p>
                  <w:pPr>
                    <w:pStyle w:val="32"/>
                    <w:bidi w:val="0"/>
                    <w:rPr>
                      <w:rFonts w:hint="default"/>
                      <w:b/>
                      <w:bCs/>
                      <w:color w:val="auto"/>
                      <w:highlight w:val="none"/>
                    </w:rPr>
                  </w:pPr>
                  <w:r>
                    <w:rPr>
                      <w:rFonts w:hint="default"/>
                      <w:b/>
                      <w:bCs/>
                      <w:color w:val="auto"/>
                      <w:highlight w:val="none"/>
                    </w:rPr>
                    <w:t>监测项目</w:t>
                  </w:r>
                </w:p>
              </w:tc>
              <w:tc>
                <w:tcPr>
                  <w:tcW w:w="2103" w:type="dxa"/>
                  <w:tcBorders>
                    <w:tl2br w:val="nil"/>
                    <w:tr2bl w:val="nil"/>
                  </w:tcBorders>
                  <w:vAlign w:val="center"/>
                </w:tcPr>
                <w:p>
                  <w:pPr>
                    <w:pStyle w:val="32"/>
                    <w:bidi w:val="0"/>
                    <w:rPr>
                      <w:rFonts w:hint="eastAsia" w:eastAsia="宋体"/>
                      <w:b/>
                      <w:bCs/>
                      <w:color w:val="auto"/>
                      <w:highlight w:val="none"/>
                      <w:lang w:eastAsia="zh-CN"/>
                    </w:rPr>
                  </w:pPr>
                  <w:r>
                    <w:rPr>
                      <w:rFonts w:hint="default"/>
                      <w:b/>
                      <w:bCs/>
                      <w:color w:val="auto"/>
                      <w:highlight w:val="none"/>
                    </w:rPr>
                    <w:t>监测</w:t>
                  </w:r>
                  <w:r>
                    <w:rPr>
                      <w:rFonts w:hint="eastAsia"/>
                      <w:b/>
                      <w:bCs/>
                      <w:color w:val="auto"/>
                      <w:highlight w:val="none"/>
                      <w:lang w:val="en-US" w:eastAsia="zh-CN"/>
                    </w:rPr>
                    <w:t>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016" w:type="dxa"/>
                  <w:tcBorders>
                    <w:tl2br w:val="nil"/>
                    <w:tr2bl w:val="nil"/>
                  </w:tcBorders>
                  <w:vAlign w:val="center"/>
                </w:tcPr>
                <w:p>
                  <w:pPr>
                    <w:pStyle w:val="32"/>
                    <w:bidi w:val="0"/>
                    <w:rPr>
                      <w:rFonts w:hint="default"/>
                      <w:color w:val="auto"/>
                      <w:highlight w:val="none"/>
                    </w:rPr>
                  </w:pPr>
                  <w:r>
                    <w:rPr>
                      <w:rFonts w:hint="default"/>
                      <w:color w:val="auto"/>
                      <w:highlight w:val="none"/>
                    </w:rPr>
                    <w:t>厂界噪声</w:t>
                  </w:r>
                </w:p>
              </w:tc>
              <w:tc>
                <w:tcPr>
                  <w:tcW w:w="1708" w:type="dxa"/>
                  <w:tcBorders>
                    <w:tl2br w:val="nil"/>
                    <w:tr2bl w:val="nil"/>
                  </w:tcBorders>
                  <w:vAlign w:val="center"/>
                </w:tcPr>
                <w:p>
                  <w:pPr>
                    <w:pStyle w:val="32"/>
                    <w:bidi w:val="0"/>
                    <w:rPr>
                      <w:rFonts w:hint="eastAsia" w:eastAsia="宋体"/>
                      <w:color w:val="auto"/>
                      <w:highlight w:val="none"/>
                      <w:lang w:val="en-US" w:eastAsia="zh-CN"/>
                    </w:rPr>
                  </w:pPr>
                  <w:r>
                    <w:rPr>
                      <w:rFonts w:hint="default"/>
                      <w:color w:val="auto"/>
                      <w:highlight w:val="none"/>
                    </w:rPr>
                    <w:t>厂界</w:t>
                  </w:r>
                  <w:r>
                    <w:rPr>
                      <w:rFonts w:hint="eastAsia"/>
                      <w:color w:val="auto"/>
                      <w:highlight w:val="none"/>
                      <w:lang w:val="en-US" w:eastAsia="zh-CN"/>
                    </w:rPr>
                    <w:t>四周</w:t>
                  </w:r>
                </w:p>
              </w:tc>
              <w:tc>
                <w:tcPr>
                  <w:tcW w:w="2325" w:type="dxa"/>
                  <w:tcBorders>
                    <w:tl2br w:val="nil"/>
                    <w:tr2bl w:val="nil"/>
                  </w:tcBorders>
                  <w:vAlign w:val="center"/>
                </w:tcPr>
                <w:p>
                  <w:pPr>
                    <w:pStyle w:val="32"/>
                    <w:bidi w:val="0"/>
                    <w:rPr>
                      <w:rFonts w:hint="default"/>
                      <w:color w:val="auto"/>
                      <w:highlight w:val="none"/>
                    </w:rPr>
                  </w:pPr>
                  <w:r>
                    <w:rPr>
                      <w:rFonts w:hint="default"/>
                      <w:color w:val="auto"/>
                      <w:highlight w:val="none"/>
                    </w:rPr>
                    <w:t>等效连续A声级</w:t>
                  </w:r>
                </w:p>
              </w:tc>
              <w:tc>
                <w:tcPr>
                  <w:tcW w:w="2103" w:type="dxa"/>
                  <w:tcBorders>
                    <w:tl2br w:val="nil"/>
                    <w:tr2bl w:val="nil"/>
                  </w:tcBorders>
                  <w:vAlign w:val="center"/>
                </w:tcPr>
                <w:p>
                  <w:pPr>
                    <w:pStyle w:val="32"/>
                    <w:bidi w:val="0"/>
                    <w:rPr>
                      <w:rFonts w:hint="default"/>
                      <w:color w:val="auto"/>
                      <w:highlight w:val="none"/>
                      <w:lang w:eastAsia="zh-CN"/>
                    </w:rPr>
                  </w:pPr>
                  <w:r>
                    <w:rPr>
                      <w:rFonts w:hint="default"/>
                      <w:color w:val="auto"/>
                      <w:highlight w:val="none"/>
                    </w:rPr>
                    <w:t>1次/季</w:t>
                  </w:r>
                  <w:r>
                    <w:rPr>
                      <w:rFonts w:hint="default"/>
                      <w:color w:val="auto"/>
                      <w:highlight w:val="none"/>
                      <w:lang w:eastAsia="zh-CN"/>
                    </w:rPr>
                    <w:t>度</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snapToGrid w:val="0"/>
                <w:color w:val="auto"/>
                <w:spacing w:val="0"/>
                <w:kern w:val="21"/>
                <w:position w:val="0"/>
                <w:sz w:val="24"/>
                <w:szCs w:val="24"/>
                <w:highlight w:val="none"/>
              </w:rPr>
            </w:pPr>
            <w:r>
              <w:rPr>
                <w:rFonts w:hint="eastAsia" w:ascii="Times New Roman" w:hAnsi="Times New Roman" w:eastAsia="宋体" w:cs="Times New Roman"/>
                <w:color w:val="auto"/>
                <w:spacing w:val="0"/>
                <w:kern w:val="21"/>
                <w:position w:val="0"/>
                <w:sz w:val="24"/>
                <w:highlight w:val="none"/>
                <w:lang w:val="en-US" w:eastAsia="zh-CN"/>
              </w:rPr>
              <w:t>1、</w:t>
            </w:r>
            <w:r>
              <w:rPr>
                <w:rFonts w:hint="default" w:ascii="Times New Roman" w:hAnsi="Times New Roman" w:eastAsia="宋体" w:cs="Times New Roman"/>
                <w:color w:val="auto"/>
                <w:spacing w:val="0"/>
                <w:kern w:val="21"/>
                <w:position w:val="0"/>
                <w:sz w:val="24"/>
                <w:highlight w:val="none"/>
              </w:rPr>
              <w:t>项目</w:t>
            </w:r>
            <w:r>
              <w:rPr>
                <w:rFonts w:hint="default" w:ascii="Times New Roman" w:hAnsi="Times New Roman" w:eastAsia="宋体" w:cs="Times New Roman"/>
                <w:color w:val="auto"/>
                <w:spacing w:val="0"/>
                <w:kern w:val="21"/>
                <w:position w:val="0"/>
                <w:sz w:val="24"/>
                <w:szCs w:val="24"/>
                <w:highlight w:val="none"/>
              </w:rPr>
              <w:t>运营期</w:t>
            </w:r>
            <w:r>
              <w:rPr>
                <w:rFonts w:hint="default" w:ascii="Times New Roman" w:hAnsi="Times New Roman" w:eastAsia="宋体" w:cs="Times New Roman"/>
                <w:color w:val="auto"/>
                <w:spacing w:val="0"/>
                <w:kern w:val="21"/>
                <w:position w:val="0"/>
                <w:sz w:val="24"/>
                <w:highlight w:val="none"/>
              </w:rPr>
              <w:t>产生的固体废物分为</w:t>
            </w:r>
            <w:r>
              <w:rPr>
                <w:rFonts w:hint="eastAsia" w:ascii="Times New Roman" w:hAnsi="Times New Roman" w:eastAsia="宋体" w:cs="Times New Roman"/>
                <w:color w:val="auto"/>
                <w:spacing w:val="0"/>
                <w:kern w:val="21"/>
                <w:position w:val="0"/>
                <w:sz w:val="24"/>
                <w:highlight w:val="none"/>
                <w:lang w:val="en-US" w:eastAsia="zh-CN"/>
              </w:rPr>
              <w:t>生活垃圾、</w:t>
            </w:r>
            <w:r>
              <w:rPr>
                <w:rFonts w:hint="default" w:ascii="Times New Roman" w:hAnsi="Times New Roman" w:eastAsia="宋体" w:cs="Times New Roman"/>
                <w:color w:val="auto"/>
                <w:spacing w:val="0"/>
                <w:kern w:val="21"/>
                <w:position w:val="0"/>
                <w:sz w:val="24"/>
                <w:highlight w:val="none"/>
              </w:rPr>
              <w:t>一般工业固体废物。</w:t>
            </w:r>
          </w:p>
          <w:p>
            <w:pPr>
              <w:bidi w:val="0"/>
              <w:rPr>
                <w:rFonts w:hint="eastAsia"/>
                <w:lang w:val="en-US" w:eastAsia="zh-CN"/>
              </w:rPr>
            </w:pPr>
            <w:r>
              <w:rPr>
                <w:rFonts w:hint="default"/>
              </w:rPr>
              <w:t>（1）</w:t>
            </w:r>
            <w:r>
              <w:rPr>
                <w:rFonts w:hint="eastAsia"/>
                <w:lang w:val="en-US" w:eastAsia="zh-CN"/>
              </w:rPr>
              <w:t>一般固废</w:t>
            </w:r>
          </w:p>
          <w:p>
            <w:pPr>
              <w:bidi w:val="0"/>
            </w:pPr>
            <w:r>
              <w:rPr>
                <w:rFonts w:hint="default"/>
                <w:lang w:val="en-US" w:eastAsia="zh-CN"/>
              </w:rPr>
              <w:t>①</w:t>
            </w:r>
            <w:r>
              <w:t>不合格面皮、过期面皮</w:t>
            </w:r>
          </w:p>
          <w:p>
            <w:pPr>
              <w:bidi w:val="0"/>
            </w:pPr>
            <w:r>
              <w:rPr>
                <w:rFonts w:hint="eastAsia"/>
                <w:lang w:val="en-US" w:eastAsia="zh-CN"/>
              </w:rPr>
              <w:t>根据建设单位提供资料，</w:t>
            </w:r>
            <w:r>
              <w:t>本项目不合格面皮、过期面皮产生量约为</w:t>
            </w:r>
            <w:r>
              <w:rPr>
                <w:rFonts w:hint="eastAsia"/>
                <w:lang w:val="en-US" w:eastAsia="zh-CN"/>
              </w:rPr>
              <w:t>2</w:t>
            </w:r>
            <w:r>
              <w:t>t/a，集中收集后</w:t>
            </w:r>
            <w:r>
              <w:rPr>
                <w:rFonts w:hint="eastAsia"/>
                <w:lang w:val="en-US" w:eastAsia="zh-CN"/>
              </w:rPr>
              <w:t>外售养殖场处理</w:t>
            </w:r>
            <w:r>
              <w:t>。</w:t>
            </w:r>
          </w:p>
          <w:p>
            <w:pPr>
              <w:bidi w:val="0"/>
            </w:pPr>
            <w:r>
              <w:rPr>
                <w:rFonts w:hint="default"/>
                <w:lang w:val="en-US" w:eastAsia="zh-CN"/>
              </w:rPr>
              <w:t>②</w:t>
            </w:r>
            <w:r>
              <w:t>废包装材料</w:t>
            </w:r>
          </w:p>
          <w:p>
            <w:pPr>
              <w:bidi w:val="0"/>
            </w:pPr>
            <w:r>
              <w:t>项目原料包装主要为袋装、桶装、纸箱装，各种原料在使用过程中会产生废弃的包装材料，结合本项目特点，废包装材料产生量约为0.5t/a。废包装材料统一收集后外售于废品回收站。</w:t>
            </w:r>
          </w:p>
          <w:p>
            <w:pPr>
              <w:bidi w:val="0"/>
            </w:pPr>
            <w:r>
              <w:rPr>
                <w:rFonts w:hint="default"/>
                <w:lang w:val="en-US" w:eastAsia="zh-CN"/>
              </w:rPr>
              <w:t>③</w:t>
            </w:r>
            <w:r>
              <w:t>废过滤材料</w:t>
            </w:r>
          </w:p>
          <w:p>
            <w:pPr>
              <w:bidi w:val="0"/>
            </w:pPr>
            <w:r>
              <w:t>本项目纯净水制备采用反渗透净化设备，反渗透滤膜和滤芯在使用一段时间后均需要更换。根据设备单位提供的资料，废滤膜、滤芯每年更换</w:t>
            </w:r>
            <w:r>
              <w:rPr>
                <w:rFonts w:hint="eastAsia"/>
                <w:lang w:val="en-US" w:eastAsia="zh-CN"/>
              </w:rPr>
              <w:t>2</w:t>
            </w:r>
            <w:r>
              <w:t>次，</w:t>
            </w:r>
            <w:r>
              <w:rPr>
                <w:rFonts w:hint="eastAsia"/>
                <w:lang w:val="en-US" w:eastAsia="zh-CN"/>
              </w:rPr>
              <w:t>本次扩建后新增废过滤材料</w:t>
            </w:r>
            <w:r>
              <w:t>约为0.0</w:t>
            </w:r>
            <w:r>
              <w:rPr>
                <w:rFonts w:hint="eastAsia"/>
                <w:lang w:val="en-US" w:eastAsia="zh-CN"/>
              </w:rPr>
              <w:t>2</w:t>
            </w:r>
            <w:r>
              <w:t>t</w:t>
            </w:r>
            <w:r>
              <w:rPr>
                <w:rFonts w:hint="eastAsia"/>
                <w:lang w:val="en-US" w:eastAsia="zh-CN"/>
              </w:rPr>
              <w:t>/a</w:t>
            </w:r>
            <w:r>
              <w:t>。更换的废反渗透膜滤芯</w:t>
            </w:r>
            <w:r>
              <w:rPr>
                <w:rFonts w:hint="eastAsia"/>
                <w:lang w:val="en-US" w:eastAsia="zh-CN"/>
              </w:rPr>
              <w:t>外售物资回收部门</w:t>
            </w:r>
            <w:r>
              <w:t>。</w:t>
            </w:r>
          </w:p>
          <w:p>
            <w:pPr>
              <w:bidi w:val="0"/>
              <w:rPr>
                <w:rFonts w:hint="default"/>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t>④</w:t>
            </w:r>
            <w:r>
              <w:rPr>
                <w:rFonts w:hint="eastAsia"/>
                <w:lang w:val="en-US" w:eastAsia="zh-CN"/>
              </w:rPr>
              <w:fldChar w:fldCharType="end"/>
            </w:r>
            <w:r>
              <w:rPr>
                <w:rFonts w:hint="eastAsia"/>
                <w:lang w:val="en-US" w:eastAsia="zh-CN"/>
              </w:rPr>
              <w:t>废离子交换树脂</w:t>
            </w:r>
          </w:p>
          <w:p>
            <w:pPr>
              <w:bidi w:val="0"/>
              <w:rPr>
                <w:rFonts w:hint="default"/>
                <w:lang w:val="en-US" w:eastAsia="zh-CN"/>
              </w:rPr>
            </w:pPr>
            <w:r>
              <w:rPr>
                <w:rFonts w:hint="eastAsia"/>
                <w:lang w:val="en-US" w:eastAsia="zh-CN"/>
              </w:rPr>
              <w:t>锅炉软水制备过程采用离子交换树脂制备，制备过程产生废气离子交换树脂，根据建设单位提供资料，本项目每年废离子交换树脂量为0.02t/a。废离子交换树脂外售物资回收部门。</w:t>
            </w:r>
          </w:p>
          <w:p>
            <w:pPr>
              <w:bidi w:val="0"/>
              <w:rPr>
                <w:rFonts w:hint="default"/>
              </w:rPr>
            </w:pPr>
            <w:r>
              <w:rPr>
                <w:rFonts w:hint="eastAsia"/>
                <w:lang w:eastAsia="zh-CN"/>
              </w:rPr>
              <w:t>（</w:t>
            </w:r>
            <w:r>
              <w:rPr>
                <w:rFonts w:hint="eastAsia"/>
                <w:lang w:val="en-US" w:eastAsia="zh-CN"/>
              </w:rPr>
              <w:t>2</w:t>
            </w:r>
            <w:r>
              <w:rPr>
                <w:rFonts w:hint="eastAsia"/>
                <w:lang w:eastAsia="zh-CN"/>
              </w:rPr>
              <w:t>）</w:t>
            </w:r>
            <w:r>
              <w:rPr>
                <w:rFonts w:hint="default"/>
              </w:rPr>
              <w:t>危险废物</w:t>
            </w:r>
          </w:p>
          <w:p>
            <w:pPr>
              <w:bidi w:val="0"/>
              <w:rPr>
                <w:rFonts w:hint="default"/>
                <w:color w:val="auto"/>
              </w:rPr>
            </w:pPr>
            <w:r>
              <w:rPr>
                <w:rFonts w:hint="default"/>
                <w:lang w:val="en-US" w:eastAsia="zh-CN"/>
              </w:rPr>
              <w:t>①</w:t>
            </w:r>
            <w:r>
              <w:rPr>
                <w:rFonts w:hint="default"/>
                <w:color w:val="auto"/>
              </w:rPr>
              <w:t>废真空泵油</w:t>
            </w:r>
          </w:p>
          <w:p>
            <w:pPr>
              <w:bidi w:val="0"/>
              <w:rPr>
                <w:rFonts w:hint="eastAsia"/>
                <w:lang w:eastAsia="zh-CN"/>
              </w:rPr>
            </w:pPr>
            <w:r>
              <w:rPr>
                <w:rFonts w:hint="default"/>
                <w:color w:val="auto"/>
              </w:rPr>
              <w:t>本项目</w:t>
            </w:r>
            <w:r>
              <w:rPr>
                <w:rFonts w:hint="eastAsia"/>
                <w:color w:val="auto"/>
                <w:lang w:val="en-US" w:eastAsia="zh-CN"/>
              </w:rPr>
              <w:t>包装过程需真空泵抽真空</w:t>
            </w:r>
            <w:r>
              <w:rPr>
                <w:rFonts w:hint="eastAsia"/>
                <w:color w:val="auto"/>
                <w:lang w:eastAsia="zh-CN"/>
              </w:rPr>
              <w:t>，</w:t>
            </w:r>
            <w:r>
              <w:rPr>
                <w:rFonts w:hint="default"/>
                <w:color w:val="auto"/>
              </w:rPr>
              <w:t>真空泵所带油箱中的油需定期更换，更换频次为一次/</w:t>
            </w:r>
            <w:r>
              <w:rPr>
                <w:rFonts w:hint="eastAsia"/>
                <w:color w:val="auto"/>
                <w:lang w:val="en-US" w:eastAsia="zh-CN"/>
              </w:rPr>
              <w:t>年</w:t>
            </w:r>
            <w:r>
              <w:rPr>
                <w:rFonts w:hint="default"/>
                <w:color w:val="auto"/>
              </w:rPr>
              <w:t>，每</w:t>
            </w:r>
            <w:r>
              <w:rPr>
                <w:rFonts w:hint="eastAsia"/>
                <w:color w:val="auto"/>
                <w:lang w:val="en-US" w:eastAsia="zh-CN"/>
              </w:rPr>
              <w:t>年</w:t>
            </w:r>
            <w:r>
              <w:rPr>
                <w:rFonts w:hint="default"/>
                <w:color w:val="auto"/>
              </w:rPr>
              <w:t>更换量</w:t>
            </w:r>
            <w:r>
              <w:rPr>
                <w:rFonts w:hint="eastAsia"/>
                <w:color w:val="auto"/>
                <w:lang w:val="en-US" w:eastAsia="zh-CN"/>
              </w:rPr>
              <w:t>约</w:t>
            </w:r>
            <w:r>
              <w:rPr>
                <w:rFonts w:hint="default"/>
                <w:color w:val="auto"/>
              </w:rPr>
              <w:t>为产生废油量0.</w:t>
            </w:r>
            <w:r>
              <w:rPr>
                <w:rFonts w:hint="eastAsia"/>
                <w:color w:val="auto"/>
                <w:lang w:val="en-US" w:eastAsia="zh-CN"/>
              </w:rPr>
              <w:t>05</w:t>
            </w:r>
            <w:r>
              <w:rPr>
                <w:rFonts w:hint="default"/>
                <w:color w:val="auto"/>
              </w:rPr>
              <w:t>t/a。根据</w:t>
            </w:r>
            <w:r>
              <w:rPr>
                <w:rFonts w:hint="eastAsia"/>
                <w:color w:val="auto"/>
                <w:lang w:eastAsia="zh-CN"/>
              </w:rPr>
              <w:t>《国家危险废物名录（2025年版）》</w:t>
            </w:r>
            <w:r>
              <w:rPr>
                <w:rFonts w:hint="default"/>
                <w:color w:val="auto"/>
              </w:rPr>
              <w:t>，</w:t>
            </w:r>
            <w:r>
              <w:rPr>
                <w:rFonts w:hint="default" w:ascii="Times New Roman" w:hAnsi="Times New Roman" w:eastAsia="宋体" w:cs="Times New Roman"/>
                <w:color w:val="auto"/>
                <w:kern w:val="0"/>
                <w:sz w:val="24"/>
                <w:szCs w:val="24"/>
                <w:highlight w:val="none"/>
              </w:rPr>
              <w:t>其属于危险废物，废物类别为HW</w:t>
            </w:r>
            <w:r>
              <w:rPr>
                <w:rFonts w:hint="eastAsia" w:ascii="Times New Roman" w:hAnsi="Times New Roman" w:eastAsia="宋体" w:cs="Times New Roman"/>
                <w:color w:val="auto"/>
                <w:kern w:val="0"/>
                <w:sz w:val="24"/>
                <w:szCs w:val="24"/>
                <w:highlight w:val="none"/>
                <w:lang w:val="en-US" w:eastAsia="zh-CN"/>
              </w:rPr>
              <w:t>08</w:t>
            </w:r>
            <w:r>
              <w:rPr>
                <w:rFonts w:hint="default" w:ascii="Times New Roman" w:hAnsi="Times New Roman" w:eastAsia="宋体" w:cs="Times New Roman"/>
                <w:color w:val="auto"/>
                <w:kern w:val="0"/>
                <w:sz w:val="24"/>
                <w:szCs w:val="24"/>
                <w:highlight w:val="none"/>
              </w:rPr>
              <w:t>，</w:t>
            </w:r>
            <w:r>
              <w:rPr>
                <w:rFonts w:hint="default"/>
                <w:color w:val="auto"/>
              </w:rPr>
              <w:t>危废代码</w:t>
            </w:r>
            <w:r>
              <w:rPr>
                <w:rFonts w:hint="eastAsia"/>
                <w:color w:val="auto"/>
                <w:lang w:val="en-US" w:eastAsia="zh-CN"/>
              </w:rPr>
              <w:t>为</w:t>
            </w:r>
            <w:r>
              <w:rPr>
                <w:rFonts w:hint="default"/>
                <w:color w:val="auto"/>
              </w:rPr>
              <w:t>900-249-08</w:t>
            </w:r>
            <w:r>
              <w:rPr>
                <w:rFonts w:hint="default"/>
                <w:color w:val="auto"/>
                <w:highlight w:val="none"/>
              </w:rPr>
              <w:t>（其他生产、销售、使用过程中产生的废矿物油及沾染矿物油的废弃包装物）</w:t>
            </w:r>
            <w:r>
              <w:rPr>
                <w:rFonts w:hint="default"/>
                <w:color w:val="auto"/>
              </w:rPr>
              <w:t>。</w:t>
            </w:r>
          </w:p>
          <w:p>
            <w:pPr>
              <w:bidi w:val="0"/>
              <w:rPr>
                <w:rFonts w:hint="default"/>
                <w:lang w:val="en-US" w:eastAsia="zh-CN"/>
              </w:rPr>
            </w:pPr>
            <w:r>
              <w:rPr>
                <w:rFonts w:hint="default"/>
                <w:lang w:val="en-US" w:eastAsia="zh-CN"/>
              </w:rPr>
              <w:t>②</w:t>
            </w:r>
            <w:r>
              <w:rPr>
                <w:rFonts w:hint="eastAsia"/>
                <w:lang w:val="en-US" w:eastAsia="zh-CN"/>
              </w:rPr>
              <w:t>废油桶</w:t>
            </w:r>
          </w:p>
          <w:p>
            <w:pPr>
              <w:bidi w:val="0"/>
              <w:rPr>
                <w:rFonts w:hint="default"/>
              </w:rPr>
            </w:pPr>
            <w:r>
              <w:rPr>
                <w:rFonts w:hint="default"/>
              </w:rPr>
              <w:t>项目生产过程用到液压油，会产生一定的废油桶，废油桶产生量约为0.</w:t>
            </w:r>
            <w:r>
              <w:rPr>
                <w:rFonts w:hint="eastAsia"/>
                <w:lang w:val="en-US" w:eastAsia="zh-CN"/>
              </w:rPr>
              <w:t>01</w:t>
            </w:r>
            <w:r>
              <w:rPr>
                <w:rFonts w:hint="default"/>
              </w:rPr>
              <w:t>t/a。</w:t>
            </w:r>
            <w:r>
              <w:rPr>
                <w:rFonts w:hint="eastAsia"/>
                <w:lang w:eastAsia="zh-CN"/>
              </w:rPr>
              <w:t>根据《国家危险废物名录（2025年版）》</w:t>
            </w:r>
            <w:r>
              <w:rPr>
                <w:rFonts w:hint="default"/>
              </w:rPr>
              <w:t>，其属于危险废物，废物类别为HW</w:t>
            </w:r>
            <w:r>
              <w:rPr>
                <w:rFonts w:hint="eastAsia"/>
                <w:lang w:val="en-US" w:eastAsia="zh-CN"/>
              </w:rPr>
              <w:t>08</w:t>
            </w:r>
            <w:r>
              <w:rPr>
                <w:rFonts w:hint="default"/>
              </w:rPr>
              <w:t>，危废代码</w:t>
            </w:r>
            <w:r>
              <w:rPr>
                <w:rFonts w:hint="eastAsia"/>
                <w:lang w:val="en-US" w:eastAsia="zh-CN"/>
              </w:rPr>
              <w:t>为</w:t>
            </w:r>
            <w:r>
              <w:rPr>
                <w:rFonts w:hint="default"/>
              </w:rPr>
              <w:t>900-249-08（其他生产、销售、使用过程中产生的废矿物油及沾染矿物油的废弃包装物）。</w:t>
            </w:r>
          </w:p>
          <w:p>
            <w:pPr>
              <w:bidi w:val="0"/>
              <w:rPr>
                <w:rFonts w:hint="default"/>
                <w:lang w:eastAsia="zh-CN"/>
              </w:rPr>
            </w:pPr>
            <w:r>
              <w:rPr>
                <w:rFonts w:hint="default"/>
              </w:rPr>
              <w:t>③废旧手套</w:t>
            </w:r>
            <w:r>
              <w:rPr>
                <w:rFonts w:hint="default"/>
                <w:lang w:eastAsia="zh-CN"/>
              </w:rPr>
              <w:t>及</w:t>
            </w:r>
            <w:r>
              <w:rPr>
                <w:rFonts w:hint="default"/>
              </w:rPr>
              <w:t>废</w:t>
            </w:r>
            <w:r>
              <w:rPr>
                <w:rFonts w:hint="default"/>
                <w:lang w:eastAsia="zh-CN"/>
              </w:rPr>
              <w:t>油</w:t>
            </w:r>
            <w:r>
              <w:rPr>
                <w:rFonts w:hint="default"/>
              </w:rPr>
              <w:t>抹布</w:t>
            </w:r>
          </w:p>
          <w:p>
            <w:pPr>
              <w:rPr>
                <w:rFonts w:hint="default" w:ascii="Times New Roman" w:hAnsi="Times New Roman" w:eastAsia="宋体" w:cs="Times New Roman"/>
                <w:color w:val="auto"/>
                <w:lang w:eastAsia="zh-CN"/>
              </w:rPr>
            </w:pPr>
            <w:r>
              <w:rPr>
                <w:rFonts w:hint="default"/>
              </w:rPr>
              <w:t>项目设备维护过程中会产生一定的含油废抹布、废手套，产生量约为0.</w:t>
            </w:r>
            <w:r>
              <w:rPr>
                <w:rFonts w:hint="eastAsia"/>
                <w:lang w:val="en-US" w:eastAsia="zh-CN"/>
              </w:rPr>
              <w:t>02</w:t>
            </w:r>
            <w:r>
              <w:rPr>
                <w:rFonts w:hint="default"/>
              </w:rPr>
              <w:t>t/a。</w:t>
            </w:r>
            <w:r>
              <w:rPr>
                <w:rFonts w:hint="eastAsia"/>
                <w:lang w:eastAsia="zh-CN"/>
              </w:rPr>
              <w:t>根据《国家危险废物名录（2025年版）》</w:t>
            </w:r>
            <w:r>
              <w:rPr>
                <w:rFonts w:hint="default"/>
              </w:rPr>
              <w:t>，</w:t>
            </w:r>
            <w:r>
              <w:rPr>
                <w:rFonts w:hint="eastAsia"/>
                <w:lang w:eastAsia="zh-CN"/>
              </w:rPr>
              <w:t>其</w:t>
            </w:r>
            <w:r>
              <w:rPr>
                <w:rFonts w:hint="default"/>
              </w:rPr>
              <w:t>属危险废物，废物类别为HW</w:t>
            </w:r>
            <w:r>
              <w:rPr>
                <w:rFonts w:hint="eastAsia"/>
                <w:lang w:val="en-US" w:eastAsia="zh-CN"/>
              </w:rPr>
              <w:t>49</w:t>
            </w:r>
            <w:r>
              <w:rPr>
                <w:rFonts w:hint="default"/>
              </w:rPr>
              <w:t>，危废代码</w:t>
            </w:r>
            <w:r>
              <w:rPr>
                <w:rFonts w:hint="eastAsia"/>
                <w:lang w:val="en-US" w:eastAsia="zh-CN"/>
              </w:rPr>
              <w:t>为</w:t>
            </w:r>
            <w:r>
              <w:rPr>
                <w:rFonts w:hint="default"/>
              </w:rPr>
              <w:t>900-041-49（含有或沾染毒性、感染性危险废物的废弃包装物</w:t>
            </w:r>
            <w:r>
              <w:rPr>
                <w:rFonts w:hint="default" w:ascii="Times New Roman" w:hAnsi="Times New Roman" w:eastAsia="宋体" w:cs="Times New Roman"/>
                <w:color w:val="auto"/>
                <w:lang w:eastAsia="zh-CN"/>
              </w:rPr>
              <w:t>、容器、过滤吸附介质）。</w:t>
            </w:r>
          </w:p>
          <w:p>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4 \* GB3 \* MERGEFORMAT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Times New Roman"/>
                <w:color w:val="auto"/>
                <w:lang w:eastAsia="zh-CN"/>
              </w:rPr>
              <w:t>④</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化验室废液</w:t>
            </w:r>
          </w:p>
          <w:p>
            <w:pP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lang w:val="en-US" w:eastAsia="zh-CN"/>
              </w:rPr>
              <w:t>化验过程</w:t>
            </w:r>
            <w:r>
              <w:rPr>
                <w:rFonts w:hint="eastAsia"/>
                <w:lang w:val="en-US" w:eastAsia="zh-CN"/>
              </w:rPr>
              <w:t>使用危险化学品，会产</w:t>
            </w:r>
            <w:r>
              <w:rPr>
                <w:rFonts w:hint="eastAsia"/>
                <w:color w:val="auto"/>
                <w:lang w:val="en-US" w:eastAsia="zh-CN"/>
              </w:rPr>
              <w:t>生化验室废液，产生量为</w:t>
            </w:r>
            <w:r>
              <w:rPr>
                <w:rFonts w:hint="default"/>
                <w:color w:val="auto"/>
              </w:rPr>
              <w:t>0.</w:t>
            </w:r>
            <w:r>
              <w:rPr>
                <w:rFonts w:hint="eastAsia"/>
                <w:color w:val="auto"/>
                <w:lang w:val="en-US" w:eastAsia="zh-CN"/>
              </w:rPr>
              <w:t>01</w:t>
            </w:r>
            <w:r>
              <w:rPr>
                <w:rFonts w:hint="default"/>
                <w:color w:val="auto"/>
              </w:rPr>
              <w:t>t/a。</w:t>
            </w:r>
            <w:r>
              <w:rPr>
                <w:rFonts w:hint="eastAsia"/>
                <w:color w:val="auto"/>
                <w:lang w:eastAsia="zh-CN"/>
              </w:rPr>
              <w:t>根据《国家危险废物名录（2025年版）》</w:t>
            </w:r>
            <w:r>
              <w:rPr>
                <w:rFonts w:hint="default"/>
                <w:color w:val="auto"/>
              </w:rPr>
              <w:t>，其属于危险废物，废物类别为</w:t>
            </w:r>
            <w:r>
              <w:rPr>
                <w:rFonts w:hint="default" w:ascii="Times New Roman" w:hAnsi="Times New Roman" w:eastAsia="宋体" w:cs="Times New Roman"/>
                <w:color w:val="auto"/>
                <w:sz w:val="24"/>
                <w:highlight w:val="none"/>
                <w:lang w:val="en-US" w:eastAsia="zh-CN"/>
              </w:rPr>
              <w:t>HW49</w:t>
            </w:r>
            <w:r>
              <w:rPr>
                <w:rFonts w:hint="eastAsia" w:ascii="Times New Roman" w:hAnsi="Times New Roman" w:eastAsia="宋体" w:cs="Times New Roman"/>
                <w:color w:val="auto"/>
                <w:sz w:val="24"/>
                <w:highlight w:val="none"/>
                <w:lang w:val="en-US" w:eastAsia="zh-CN"/>
              </w:rPr>
              <w:t>，危废代码为</w:t>
            </w:r>
            <w:r>
              <w:rPr>
                <w:rFonts w:hint="default" w:ascii="Times New Roman" w:hAnsi="Times New Roman" w:eastAsia="宋体" w:cs="Times New Roman"/>
                <w:color w:val="auto"/>
                <w:sz w:val="24"/>
                <w:highlight w:val="none"/>
                <w:lang w:val="en-US" w:eastAsia="zh-CN"/>
              </w:rPr>
              <w:t>900-047-49</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包装物、过滤吸附介质等</w:t>
            </w:r>
            <w:r>
              <w:rPr>
                <w:rFonts w:hint="eastAsia" w:ascii="Times New Roman" w:hAnsi="Times New Roman" w:eastAsia="宋体" w:cs="Times New Roman"/>
                <w:color w:val="auto"/>
                <w:sz w:val="24"/>
                <w:highlight w:val="none"/>
                <w:lang w:val="en-US" w:eastAsia="zh-CN"/>
              </w:rPr>
              <w:t>）。</w:t>
            </w:r>
          </w:p>
          <w:p>
            <w:pPr>
              <w:pStyle w:val="81"/>
              <w:bidi w:val="0"/>
              <w:rPr>
                <w:rFonts w:hint="default"/>
                <w:color w:val="auto"/>
                <w:lang w:val="en-US" w:eastAsia="zh-CN"/>
              </w:rPr>
            </w:pPr>
            <w:r>
              <w:rPr>
                <w:rFonts w:hint="default"/>
                <w:color w:val="auto"/>
                <w:lang w:val="zh-CN"/>
              </w:rPr>
              <w:t>表</w:t>
            </w:r>
            <w:r>
              <w:rPr>
                <w:rFonts w:hint="eastAsia"/>
                <w:color w:val="auto"/>
                <w:lang w:val="en-US" w:eastAsia="zh-CN"/>
              </w:rPr>
              <w:t>4-15</w:t>
            </w:r>
            <w:r>
              <w:rPr>
                <w:rFonts w:hint="default"/>
                <w:color w:val="auto"/>
                <w:lang w:val="zh-CN"/>
              </w:rPr>
              <w:t xml:space="preserve">   </w:t>
            </w:r>
            <w:r>
              <w:rPr>
                <w:rFonts w:hint="default"/>
                <w:color w:val="auto"/>
                <w:lang w:val="en-US" w:eastAsia="zh-CN"/>
              </w:rPr>
              <w:t>项目固体废物分析结果汇总表</w:t>
            </w:r>
          </w:p>
          <w:tbl>
            <w:tblPr>
              <w:tblStyle w:val="30"/>
              <w:tblW w:w="815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1175"/>
              <w:gridCol w:w="1110"/>
              <w:gridCol w:w="627"/>
              <w:gridCol w:w="920"/>
              <w:gridCol w:w="1217"/>
              <w:gridCol w:w="740"/>
              <w:gridCol w:w="637"/>
              <w:gridCol w:w="17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175" w:type="dxa"/>
                  <w:tcBorders>
                    <w:tl2br w:val="nil"/>
                    <w:tr2bl w:val="nil"/>
                  </w:tcBorders>
                  <w:vAlign w:val="center"/>
                </w:tcPr>
                <w:p>
                  <w:pPr>
                    <w:pStyle w:val="32"/>
                    <w:bidi w:val="0"/>
                    <w:rPr>
                      <w:rFonts w:hint="default"/>
                      <w:b/>
                      <w:bCs/>
                      <w:color w:val="auto"/>
                      <w:highlight w:val="none"/>
                      <w:lang w:val="zh-CN"/>
                    </w:rPr>
                  </w:pPr>
                  <w:r>
                    <w:rPr>
                      <w:rFonts w:hint="default"/>
                      <w:b/>
                      <w:bCs/>
                      <w:color w:val="auto"/>
                      <w:highlight w:val="none"/>
                      <w:lang w:val="zh-CN"/>
                    </w:rPr>
                    <w:t>名称</w:t>
                  </w:r>
                </w:p>
              </w:tc>
              <w:tc>
                <w:tcPr>
                  <w:tcW w:w="1110" w:type="dxa"/>
                  <w:tcBorders>
                    <w:tl2br w:val="nil"/>
                    <w:tr2bl w:val="nil"/>
                  </w:tcBorders>
                  <w:vAlign w:val="center"/>
                </w:tcPr>
                <w:p>
                  <w:pPr>
                    <w:pStyle w:val="32"/>
                    <w:bidi w:val="0"/>
                    <w:rPr>
                      <w:rFonts w:hint="default"/>
                      <w:b/>
                      <w:bCs/>
                      <w:color w:val="auto"/>
                      <w:highlight w:val="none"/>
                      <w:lang w:val="zh-CN"/>
                    </w:rPr>
                  </w:pPr>
                  <w:r>
                    <w:rPr>
                      <w:rFonts w:hint="default"/>
                      <w:b/>
                      <w:bCs/>
                      <w:color w:val="auto"/>
                      <w:highlight w:val="none"/>
                      <w:lang w:val="zh-CN"/>
                    </w:rPr>
                    <w:t>产生环节</w:t>
                  </w:r>
                </w:p>
              </w:tc>
              <w:tc>
                <w:tcPr>
                  <w:tcW w:w="627" w:type="dxa"/>
                  <w:tcBorders>
                    <w:tl2br w:val="nil"/>
                    <w:tr2bl w:val="nil"/>
                  </w:tcBorders>
                  <w:vAlign w:val="center"/>
                </w:tcPr>
                <w:p>
                  <w:pPr>
                    <w:pStyle w:val="32"/>
                    <w:bidi w:val="0"/>
                    <w:rPr>
                      <w:rFonts w:hint="default"/>
                      <w:b/>
                      <w:bCs/>
                      <w:color w:val="auto"/>
                      <w:highlight w:val="none"/>
                      <w:lang w:val="en-US" w:eastAsia="zh-CN"/>
                    </w:rPr>
                  </w:pPr>
                  <w:r>
                    <w:rPr>
                      <w:rFonts w:hint="eastAsia"/>
                      <w:b/>
                      <w:bCs/>
                      <w:color w:val="auto"/>
                      <w:highlight w:val="none"/>
                      <w:lang w:val="en-US" w:eastAsia="zh-CN"/>
                    </w:rPr>
                    <w:t>物理性状</w:t>
                  </w:r>
                </w:p>
              </w:tc>
              <w:tc>
                <w:tcPr>
                  <w:tcW w:w="920" w:type="dxa"/>
                  <w:tcBorders>
                    <w:tl2br w:val="nil"/>
                    <w:tr2bl w:val="nil"/>
                  </w:tcBorders>
                  <w:vAlign w:val="center"/>
                </w:tcPr>
                <w:p>
                  <w:pPr>
                    <w:pStyle w:val="32"/>
                    <w:bidi w:val="0"/>
                    <w:rPr>
                      <w:rFonts w:hint="eastAsia"/>
                      <w:b/>
                      <w:bCs/>
                      <w:color w:val="auto"/>
                      <w:highlight w:val="none"/>
                      <w:lang w:val="zh-CN" w:eastAsia="zh-CN"/>
                    </w:rPr>
                  </w:pPr>
                  <w:r>
                    <w:rPr>
                      <w:rFonts w:hint="eastAsia"/>
                      <w:b/>
                      <w:bCs/>
                      <w:color w:val="auto"/>
                      <w:highlight w:val="none"/>
                      <w:lang w:val="en-US" w:eastAsia="zh-CN"/>
                    </w:rPr>
                    <w:t>属性</w:t>
                  </w:r>
                </w:p>
              </w:tc>
              <w:tc>
                <w:tcPr>
                  <w:tcW w:w="1217" w:type="dxa"/>
                  <w:tcBorders>
                    <w:tl2br w:val="nil"/>
                    <w:tr2bl w:val="nil"/>
                  </w:tcBorders>
                  <w:vAlign w:val="center"/>
                </w:tcPr>
                <w:p>
                  <w:pPr>
                    <w:pStyle w:val="32"/>
                    <w:bidi w:val="0"/>
                    <w:rPr>
                      <w:rFonts w:hint="default"/>
                      <w:b/>
                      <w:bCs/>
                      <w:color w:val="auto"/>
                      <w:highlight w:val="none"/>
                      <w:lang w:val="zh-CN"/>
                    </w:rPr>
                  </w:pPr>
                  <w:r>
                    <w:rPr>
                      <w:rFonts w:hint="default"/>
                      <w:b/>
                      <w:bCs/>
                      <w:color w:val="auto"/>
                      <w:highlight w:val="none"/>
                      <w:lang w:val="zh-CN"/>
                    </w:rPr>
                    <w:t>废物代码</w:t>
                  </w:r>
                </w:p>
              </w:tc>
              <w:tc>
                <w:tcPr>
                  <w:tcW w:w="740" w:type="dxa"/>
                  <w:tcBorders>
                    <w:tl2br w:val="nil"/>
                    <w:tr2bl w:val="nil"/>
                  </w:tcBorders>
                  <w:vAlign w:val="center"/>
                </w:tcPr>
                <w:p>
                  <w:pPr>
                    <w:pStyle w:val="32"/>
                    <w:bidi w:val="0"/>
                    <w:rPr>
                      <w:rFonts w:hint="default"/>
                      <w:b/>
                      <w:bCs/>
                      <w:color w:val="auto"/>
                      <w:highlight w:val="none"/>
                      <w:lang w:val="zh-CN"/>
                    </w:rPr>
                  </w:pPr>
                  <w:r>
                    <w:rPr>
                      <w:rFonts w:hint="default"/>
                      <w:b/>
                      <w:bCs/>
                      <w:color w:val="auto"/>
                      <w:highlight w:val="none"/>
                      <w:lang w:eastAsia="zh-CN"/>
                    </w:rPr>
                    <w:t>环境危险特性</w:t>
                  </w:r>
                </w:p>
              </w:tc>
              <w:tc>
                <w:tcPr>
                  <w:tcW w:w="637" w:type="dxa"/>
                  <w:tcBorders>
                    <w:tl2br w:val="nil"/>
                    <w:tr2bl w:val="nil"/>
                  </w:tcBorders>
                  <w:vAlign w:val="center"/>
                </w:tcPr>
                <w:p>
                  <w:pPr>
                    <w:pStyle w:val="32"/>
                    <w:bidi w:val="0"/>
                    <w:rPr>
                      <w:rFonts w:hint="default"/>
                      <w:b/>
                      <w:bCs/>
                      <w:color w:val="auto"/>
                      <w:highlight w:val="none"/>
                      <w:lang w:val="zh-CN"/>
                    </w:rPr>
                  </w:pPr>
                  <w:r>
                    <w:rPr>
                      <w:rFonts w:hint="default"/>
                      <w:b/>
                      <w:bCs/>
                      <w:color w:val="auto"/>
                      <w:highlight w:val="none"/>
                      <w:lang w:val="zh-CN"/>
                    </w:rPr>
                    <w:t>产生量</w:t>
                  </w:r>
                </w:p>
                <w:p>
                  <w:pPr>
                    <w:pStyle w:val="32"/>
                    <w:bidi w:val="0"/>
                    <w:rPr>
                      <w:rFonts w:hint="default"/>
                      <w:b/>
                      <w:bCs/>
                      <w:color w:val="auto"/>
                      <w:highlight w:val="none"/>
                      <w:lang w:val="zh-CN"/>
                    </w:rPr>
                  </w:pPr>
                  <w:r>
                    <w:rPr>
                      <w:rFonts w:hint="eastAsia"/>
                      <w:b/>
                      <w:bCs/>
                      <w:color w:val="auto"/>
                      <w:highlight w:val="none"/>
                      <w:lang w:val="zh-CN"/>
                    </w:rPr>
                    <w:t>(</w:t>
                  </w:r>
                  <w:r>
                    <w:rPr>
                      <w:rFonts w:hint="default"/>
                      <w:b/>
                      <w:bCs/>
                      <w:color w:val="auto"/>
                      <w:highlight w:val="none"/>
                      <w:lang w:val="zh-CN"/>
                    </w:rPr>
                    <w:t>t/a</w:t>
                  </w:r>
                  <w:r>
                    <w:rPr>
                      <w:rFonts w:hint="eastAsia"/>
                      <w:b/>
                      <w:bCs/>
                      <w:color w:val="auto"/>
                      <w:highlight w:val="none"/>
                      <w:lang w:val="zh-CN"/>
                    </w:rPr>
                    <w:t>)</w:t>
                  </w:r>
                </w:p>
              </w:tc>
              <w:tc>
                <w:tcPr>
                  <w:tcW w:w="1726" w:type="dxa"/>
                  <w:tcBorders>
                    <w:tl2br w:val="nil"/>
                    <w:tr2bl w:val="nil"/>
                  </w:tcBorders>
                  <w:vAlign w:val="center"/>
                </w:tcPr>
                <w:p>
                  <w:pPr>
                    <w:pStyle w:val="32"/>
                    <w:bidi w:val="0"/>
                    <w:rPr>
                      <w:rFonts w:hint="default"/>
                      <w:b/>
                      <w:bCs/>
                      <w:color w:val="auto"/>
                      <w:highlight w:val="none"/>
                      <w:lang w:val="zh-CN"/>
                    </w:rPr>
                  </w:pPr>
                  <w:r>
                    <w:rPr>
                      <w:rFonts w:hint="default"/>
                      <w:b/>
                      <w:bCs/>
                      <w:color w:val="auto"/>
                      <w:highlight w:val="none"/>
                      <w:lang w:val="zh-CN"/>
                    </w:rPr>
                    <w:t>处理处置方法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175" w:type="dxa"/>
                  <w:tcBorders>
                    <w:tl2br w:val="nil"/>
                    <w:tr2bl w:val="nil"/>
                  </w:tcBorders>
                  <w:shd w:val="clear" w:color="auto" w:fill="auto"/>
                  <w:vAlign w:val="center"/>
                </w:tcPr>
                <w:p>
                  <w:pPr>
                    <w:pStyle w:val="32"/>
                    <w:bidi w:val="0"/>
                    <w:ind w:firstLine="0" w:firstLineChars="0"/>
                    <w:rPr>
                      <w:rFonts w:hint="eastAsia"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不合格面皮、过期面皮</w:t>
                  </w:r>
                </w:p>
              </w:tc>
              <w:tc>
                <w:tcPr>
                  <w:tcW w:w="1110"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生产过程</w:t>
                  </w:r>
                </w:p>
              </w:tc>
              <w:tc>
                <w:tcPr>
                  <w:tcW w:w="627"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zh-CN" w:eastAsia="zh-CN" w:bidi="ar-SA"/>
                    </w:rPr>
                  </w:pPr>
                  <w:r>
                    <w:rPr>
                      <w:rFonts w:hint="default" w:ascii="Times New Roman" w:hAnsi="Times New Roman" w:eastAsia="宋体" w:cs="Times New Roman"/>
                      <w:b w:val="0"/>
                      <w:bCs w:val="0"/>
                      <w:color w:val="auto"/>
                      <w:highlight w:val="none"/>
                      <w:lang w:val="zh-CN" w:eastAsia="zh-CN"/>
                    </w:rPr>
                    <w:t>固态</w:t>
                  </w:r>
                </w:p>
              </w:tc>
              <w:tc>
                <w:tcPr>
                  <w:tcW w:w="920"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一般固废</w:t>
                  </w:r>
                </w:p>
              </w:tc>
              <w:tc>
                <w:tcPr>
                  <w:tcW w:w="1217" w:type="dxa"/>
                  <w:tcBorders>
                    <w:tl2br w:val="nil"/>
                    <w:tr2bl w:val="nil"/>
                  </w:tcBorders>
                  <w:shd w:val="clear" w:color="auto" w:fill="auto"/>
                  <w:vAlign w:val="center"/>
                </w:tcPr>
                <w:p>
                  <w:pPr>
                    <w:pStyle w:val="32"/>
                    <w:bidi w:val="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SW59</w:t>
                  </w:r>
                </w:p>
                <w:p>
                  <w:pPr>
                    <w:pStyle w:val="32"/>
                    <w:bidi w:val="0"/>
                    <w:ind w:firstLine="0" w:firstLineChars="0"/>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highlight w:val="none"/>
                      <w:lang w:val="en-US" w:eastAsia="zh-CN"/>
                    </w:rPr>
                    <w:t>900-099-S59</w:t>
                  </w:r>
                </w:p>
              </w:tc>
              <w:tc>
                <w:tcPr>
                  <w:tcW w:w="740"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w:t>
                  </w:r>
                </w:p>
              </w:tc>
              <w:tc>
                <w:tcPr>
                  <w:tcW w:w="637"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2</w:t>
                  </w:r>
                </w:p>
              </w:tc>
              <w:tc>
                <w:tcPr>
                  <w:tcW w:w="1726" w:type="dxa"/>
                  <w:tcBorders>
                    <w:tl2br w:val="nil"/>
                    <w:tr2bl w:val="nil"/>
                  </w:tcBorders>
                  <w:shd w:val="clear" w:color="auto" w:fill="auto"/>
                  <w:vAlign w:val="center"/>
                </w:tcPr>
                <w:p>
                  <w:pPr>
                    <w:pStyle w:val="32"/>
                    <w:bidi w:val="0"/>
                    <w:ind w:firstLine="0" w:firstLineChars="0"/>
                    <w:rPr>
                      <w:rFonts w:hint="eastAsia" w:ascii="Times New Roman" w:hAnsi="Times New Roman" w:eastAsia="宋体" w:cs="Times New Roman"/>
                      <w:b w:val="0"/>
                      <w:bCs w:val="0"/>
                      <w:color w:val="auto"/>
                      <w:kern w:val="0"/>
                      <w:sz w:val="21"/>
                      <w:szCs w:val="21"/>
                      <w:highlight w:val="none"/>
                      <w:lang w:val="en-US" w:eastAsia="zh-CN" w:bidi="ar-SA"/>
                    </w:rPr>
                  </w:pPr>
                  <w:r>
                    <w:rPr>
                      <w:rFonts w:hint="eastAsia"/>
                      <w:highlight w:val="none"/>
                      <w:lang w:val="en-US" w:eastAsia="zh-CN"/>
                    </w:rPr>
                    <w:t>外售养殖场处理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175" w:type="dxa"/>
                  <w:tcBorders>
                    <w:tl2br w:val="nil"/>
                    <w:tr2bl w:val="nil"/>
                  </w:tcBorders>
                  <w:shd w:val="clear" w:color="auto" w:fill="auto"/>
                  <w:vAlign w:val="center"/>
                </w:tcPr>
                <w:p>
                  <w:pPr>
                    <w:pStyle w:val="32"/>
                    <w:bidi w:val="0"/>
                    <w:ind w:firstLine="0" w:firstLineChars="0"/>
                    <w:rPr>
                      <w:rFonts w:hint="eastAsia"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废包装材料</w:t>
                  </w:r>
                </w:p>
              </w:tc>
              <w:tc>
                <w:tcPr>
                  <w:tcW w:w="1110"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包装</w:t>
                  </w:r>
                </w:p>
              </w:tc>
              <w:tc>
                <w:tcPr>
                  <w:tcW w:w="627"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zh-CN" w:eastAsia="zh-CN" w:bidi="ar-SA"/>
                    </w:rPr>
                  </w:pPr>
                  <w:r>
                    <w:rPr>
                      <w:rFonts w:hint="default" w:ascii="Times New Roman" w:hAnsi="Times New Roman" w:eastAsia="宋体" w:cs="Times New Roman"/>
                      <w:b w:val="0"/>
                      <w:bCs w:val="0"/>
                      <w:color w:val="auto"/>
                      <w:highlight w:val="none"/>
                      <w:lang w:val="zh-CN" w:eastAsia="zh-CN"/>
                    </w:rPr>
                    <w:t>固态</w:t>
                  </w:r>
                </w:p>
              </w:tc>
              <w:tc>
                <w:tcPr>
                  <w:tcW w:w="920"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一般固废</w:t>
                  </w:r>
                </w:p>
              </w:tc>
              <w:tc>
                <w:tcPr>
                  <w:tcW w:w="1217" w:type="dxa"/>
                  <w:tcBorders>
                    <w:tl2br w:val="nil"/>
                    <w:tr2bl w:val="nil"/>
                  </w:tcBorders>
                  <w:shd w:val="clear" w:color="auto" w:fill="auto"/>
                  <w:vAlign w:val="center"/>
                </w:tcPr>
                <w:p>
                  <w:pPr>
                    <w:pStyle w:val="32"/>
                    <w:bidi w:val="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SW17</w:t>
                  </w:r>
                </w:p>
                <w:p>
                  <w:pPr>
                    <w:pStyle w:val="32"/>
                    <w:bidi w:val="0"/>
                    <w:ind w:firstLine="0" w:firstLineChars="0"/>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highlight w:val="none"/>
                      <w:lang w:val="en-US" w:eastAsia="zh-CN"/>
                    </w:rPr>
                    <w:t>900</w:t>
                  </w:r>
                  <w:r>
                    <w:rPr>
                      <w:rFonts w:hint="eastAsia" w:cs="Times New Roman"/>
                      <w:b w:val="0"/>
                      <w:bCs w:val="0"/>
                      <w:color w:val="auto"/>
                      <w:highlight w:val="none"/>
                      <w:lang w:val="en-US" w:eastAsia="zh-CN"/>
                    </w:rPr>
                    <w:t>-003</w:t>
                  </w:r>
                  <w:r>
                    <w:rPr>
                      <w:rFonts w:hint="eastAsia" w:ascii="Times New Roman" w:hAnsi="Times New Roman" w:eastAsia="宋体" w:cs="Times New Roman"/>
                      <w:b w:val="0"/>
                      <w:bCs w:val="0"/>
                      <w:color w:val="auto"/>
                      <w:highlight w:val="none"/>
                      <w:lang w:val="en-US" w:eastAsia="zh-CN"/>
                    </w:rPr>
                    <w:t>-S17</w:t>
                  </w:r>
                </w:p>
              </w:tc>
              <w:tc>
                <w:tcPr>
                  <w:tcW w:w="740"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w:t>
                  </w:r>
                </w:p>
              </w:tc>
              <w:tc>
                <w:tcPr>
                  <w:tcW w:w="637"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highlight w:val="none"/>
                      <w:lang w:val="en-US" w:eastAsia="zh-CN"/>
                    </w:rPr>
                    <w:t>0.5</w:t>
                  </w:r>
                </w:p>
              </w:tc>
              <w:tc>
                <w:tcPr>
                  <w:tcW w:w="1726"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外售物资回收部门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175" w:type="dxa"/>
                  <w:tcBorders>
                    <w:tl2br w:val="nil"/>
                    <w:tr2bl w:val="nil"/>
                  </w:tcBorders>
                  <w:shd w:val="clear" w:color="auto" w:fill="auto"/>
                  <w:vAlign w:val="center"/>
                </w:tcPr>
                <w:p>
                  <w:pPr>
                    <w:pStyle w:val="32"/>
                    <w:bidi w:val="0"/>
                    <w:ind w:firstLine="0" w:firstLineChars="0"/>
                    <w:rPr>
                      <w:rFonts w:hint="eastAsia"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废过滤材料</w:t>
                  </w:r>
                </w:p>
              </w:tc>
              <w:tc>
                <w:tcPr>
                  <w:tcW w:w="1110"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纯水制备</w:t>
                  </w:r>
                </w:p>
              </w:tc>
              <w:tc>
                <w:tcPr>
                  <w:tcW w:w="627"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zh-CN" w:eastAsia="zh-CN" w:bidi="ar-SA"/>
                    </w:rPr>
                  </w:pPr>
                  <w:r>
                    <w:rPr>
                      <w:rFonts w:hint="default"/>
                      <w:color w:val="auto"/>
                      <w:highlight w:val="none"/>
                      <w:lang w:val="zh-CN"/>
                    </w:rPr>
                    <w:t>固态</w:t>
                  </w:r>
                </w:p>
              </w:tc>
              <w:tc>
                <w:tcPr>
                  <w:tcW w:w="920"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rPr>
                    <w:t>一般固废</w:t>
                  </w:r>
                </w:p>
              </w:tc>
              <w:tc>
                <w:tcPr>
                  <w:tcW w:w="1217" w:type="dxa"/>
                  <w:tcBorders>
                    <w:tl2br w:val="nil"/>
                    <w:tr2bl w:val="nil"/>
                  </w:tcBorders>
                  <w:shd w:val="clear" w:color="auto" w:fill="auto"/>
                  <w:vAlign w:val="center"/>
                </w:tcPr>
                <w:p>
                  <w:pPr>
                    <w:pStyle w:val="32"/>
                    <w:bidi w:val="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SW17</w:t>
                  </w:r>
                </w:p>
                <w:p>
                  <w:pPr>
                    <w:pStyle w:val="32"/>
                    <w:bidi w:val="0"/>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highlight w:val="none"/>
                      <w:lang w:val="en-US" w:eastAsia="zh-CN"/>
                    </w:rPr>
                    <w:t>900</w:t>
                  </w:r>
                  <w:r>
                    <w:rPr>
                      <w:rFonts w:hint="eastAsia" w:cs="Times New Roman"/>
                      <w:b w:val="0"/>
                      <w:bCs w:val="0"/>
                      <w:color w:val="auto"/>
                      <w:highlight w:val="none"/>
                      <w:lang w:val="en-US" w:eastAsia="zh-CN"/>
                    </w:rPr>
                    <w:t>-099</w:t>
                  </w:r>
                  <w:r>
                    <w:rPr>
                      <w:rFonts w:hint="eastAsia" w:ascii="Times New Roman" w:hAnsi="Times New Roman" w:eastAsia="宋体" w:cs="Times New Roman"/>
                      <w:b w:val="0"/>
                      <w:bCs w:val="0"/>
                      <w:color w:val="auto"/>
                      <w:highlight w:val="none"/>
                      <w:lang w:val="en-US" w:eastAsia="zh-CN"/>
                    </w:rPr>
                    <w:t>-S17</w:t>
                  </w:r>
                </w:p>
              </w:tc>
              <w:tc>
                <w:tcPr>
                  <w:tcW w:w="740"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lang w:val="en-US" w:eastAsia="zh-CN"/>
                    </w:rPr>
                    <w:t>/</w:t>
                  </w:r>
                </w:p>
              </w:tc>
              <w:tc>
                <w:tcPr>
                  <w:tcW w:w="637" w:type="dxa"/>
                  <w:tcBorders>
                    <w:tl2br w:val="nil"/>
                    <w:tr2bl w:val="nil"/>
                  </w:tcBorders>
                  <w:shd w:val="clear" w:color="auto" w:fill="auto"/>
                  <w:vAlign w:val="center"/>
                </w:tcPr>
                <w:p>
                  <w:pPr>
                    <w:pStyle w:val="32"/>
                    <w:bidi w:val="0"/>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0.02</w:t>
                  </w:r>
                </w:p>
              </w:tc>
              <w:tc>
                <w:tcPr>
                  <w:tcW w:w="1726"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外售物资回收部门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175" w:type="dxa"/>
                  <w:tcBorders>
                    <w:tl2br w:val="nil"/>
                    <w:tr2bl w:val="nil"/>
                  </w:tcBorders>
                  <w:shd w:val="clear" w:color="auto" w:fill="auto"/>
                  <w:vAlign w:val="center"/>
                </w:tcPr>
                <w:p>
                  <w:pPr>
                    <w:pStyle w:val="32"/>
                    <w:bidi w:val="0"/>
                    <w:ind w:firstLine="0" w:firstLineChars="0"/>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废离子交换树脂</w:t>
                  </w:r>
                </w:p>
              </w:tc>
              <w:tc>
                <w:tcPr>
                  <w:tcW w:w="1110"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软水制备</w:t>
                  </w:r>
                </w:p>
              </w:tc>
              <w:tc>
                <w:tcPr>
                  <w:tcW w:w="627" w:type="dxa"/>
                  <w:tcBorders>
                    <w:tl2br w:val="nil"/>
                    <w:tr2bl w:val="nil"/>
                  </w:tcBorders>
                  <w:shd w:val="clear" w:color="auto" w:fill="auto"/>
                  <w:vAlign w:val="center"/>
                </w:tcPr>
                <w:p>
                  <w:pPr>
                    <w:pStyle w:val="32"/>
                    <w:bidi w:val="0"/>
                    <w:ind w:firstLine="0" w:firstLineChars="0"/>
                    <w:rPr>
                      <w:rFonts w:hint="default"/>
                      <w:color w:val="auto"/>
                      <w:highlight w:val="none"/>
                      <w:lang w:val="zh-CN"/>
                    </w:rPr>
                  </w:pPr>
                  <w:r>
                    <w:rPr>
                      <w:rFonts w:hint="default"/>
                      <w:color w:val="auto"/>
                      <w:highlight w:val="none"/>
                      <w:lang w:val="zh-CN"/>
                    </w:rPr>
                    <w:t>固态</w:t>
                  </w:r>
                </w:p>
              </w:tc>
              <w:tc>
                <w:tcPr>
                  <w:tcW w:w="920" w:type="dxa"/>
                  <w:tcBorders>
                    <w:tl2br w:val="nil"/>
                    <w:tr2bl w:val="nil"/>
                  </w:tcBorders>
                  <w:shd w:val="clear" w:color="auto" w:fill="auto"/>
                  <w:vAlign w:val="center"/>
                </w:tcPr>
                <w:p>
                  <w:pPr>
                    <w:pStyle w:val="32"/>
                    <w:bidi w:val="0"/>
                    <w:ind w:firstLine="0" w:firstLineChars="0"/>
                    <w:rPr>
                      <w:rFonts w:hint="default"/>
                      <w:color w:val="auto"/>
                      <w:highlight w:val="none"/>
                    </w:rPr>
                  </w:pPr>
                  <w:r>
                    <w:rPr>
                      <w:rFonts w:hint="default"/>
                      <w:color w:val="auto"/>
                      <w:highlight w:val="none"/>
                    </w:rPr>
                    <w:t>一般固废</w:t>
                  </w:r>
                </w:p>
              </w:tc>
              <w:tc>
                <w:tcPr>
                  <w:tcW w:w="1217" w:type="dxa"/>
                  <w:tcBorders>
                    <w:tl2br w:val="nil"/>
                    <w:tr2bl w:val="nil"/>
                  </w:tcBorders>
                  <w:shd w:val="clear" w:color="auto" w:fill="auto"/>
                  <w:vAlign w:val="center"/>
                </w:tcPr>
                <w:p>
                  <w:pPr>
                    <w:pStyle w:val="32"/>
                    <w:bidi w:val="0"/>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SW17</w:t>
                  </w:r>
                </w:p>
                <w:p>
                  <w:pPr>
                    <w:pStyle w:val="32"/>
                    <w:bidi w:val="0"/>
                    <w:ind w:firstLine="0" w:firstLineChars="0"/>
                    <w:rPr>
                      <w:rFonts w:hint="eastAsia"/>
                      <w:color w:val="auto"/>
                      <w:highlight w:val="none"/>
                      <w:lang w:val="en-US" w:eastAsia="zh-CN"/>
                    </w:rPr>
                  </w:pPr>
                  <w:r>
                    <w:rPr>
                      <w:rFonts w:hint="eastAsia" w:ascii="Times New Roman" w:hAnsi="Times New Roman" w:eastAsia="宋体" w:cs="Times New Roman"/>
                      <w:b w:val="0"/>
                      <w:bCs w:val="0"/>
                      <w:color w:val="auto"/>
                      <w:highlight w:val="none"/>
                      <w:lang w:val="en-US" w:eastAsia="zh-CN"/>
                    </w:rPr>
                    <w:t>900</w:t>
                  </w:r>
                  <w:r>
                    <w:rPr>
                      <w:rFonts w:hint="eastAsia" w:cs="Times New Roman"/>
                      <w:b w:val="0"/>
                      <w:bCs w:val="0"/>
                      <w:color w:val="auto"/>
                      <w:highlight w:val="none"/>
                      <w:lang w:val="en-US" w:eastAsia="zh-CN"/>
                    </w:rPr>
                    <w:t>-099</w:t>
                  </w:r>
                  <w:r>
                    <w:rPr>
                      <w:rFonts w:hint="eastAsia" w:ascii="Times New Roman" w:hAnsi="Times New Roman" w:eastAsia="宋体" w:cs="Times New Roman"/>
                      <w:b w:val="0"/>
                      <w:bCs w:val="0"/>
                      <w:color w:val="auto"/>
                      <w:highlight w:val="none"/>
                      <w:lang w:val="en-US" w:eastAsia="zh-CN"/>
                    </w:rPr>
                    <w:t>-S17</w:t>
                  </w:r>
                </w:p>
              </w:tc>
              <w:tc>
                <w:tcPr>
                  <w:tcW w:w="740" w:type="dxa"/>
                  <w:tcBorders>
                    <w:tl2br w:val="nil"/>
                    <w:tr2bl w:val="nil"/>
                  </w:tcBorders>
                  <w:shd w:val="clear" w:color="auto" w:fill="auto"/>
                  <w:vAlign w:val="center"/>
                </w:tcPr>
                <w:p>
                  <w:pPr>
                    <w:pStyle w:val="32"/>
                    <w:bidi w:val="0"/>
                    <w:ind w:firstLine="0" w:firstLineChars="0"/>
                    <w:rPr>
                      <w:rFonts w:hint="default"/>
                      <w:color w:val="auto"/>
                      <w:highlight w:val="none"/>
                      <w:lang w:val="en-US" w:eastAsia="zh-CN"/>
                    </w:rPr>
                  </w:pPr>
                  <w:r>
                    <w:rPr>
                      <w:rFonts w:hint="eastAsia"/>
                      <w:color w:val="auto"/>
                      <w:highlight w:val="none"/>
                      <w:lang w:val="en-US" w:eastAsia="zh-CN"/>
                    </w:rPr>
                    <w:t>/</w:t>
                  </w:r>
                </w:p>
              </w:tc>
              <w:tc>
                <w:tcPr>
                  <w:tcW w:w="637" w:type="dxa"/>
                  <w:tcBorders>
                    <w:tl2br w:val="nil"/>
                    <w:tr2bl w:val="nil"/>
                  </w:tcBorders>
                  <w:shd w:val="clear" w:color="auto" w:fill="auto"/>
                  <w:vAlign w:val="center"/>
                </w:tcPr>
                <w:p>
                  <w:pPr>
                    <w:pStyle w:val="32"/>
                    <w:bidi w:val="0"/>
                    <w:ind w:firstLine="0" w:firstLineChars="0"/>
                    <w:rPr>
                      <w:rFonts w:hint="default"/>
                      <w:color w:val="auto"/>
                      <w:highlight w:val="none"/>
                      <w:lang w:val="en-US" w:eastAsia="zh-CN"/>
                    </w:rPr>
                  </w:pPr>
                  <w:r>
                    <w:rPr>
                      <w:rFonts w:hint="eastAsia"/>
                      <w:color w:val="auto"/>
                      <w:highlight w:val="none"/>
                      <w:lang w:val="en-US" w:eastAsia="zh-CN"/>
                    </w:rPr>
                    <w:t>0.02</w:t>
                  </w:r>
                </w:p>
              </w:tc>
              <w:tc>
                <w:tcPr>
                  <w:tcW w:w="1726" w:type="dxa"/>
                  <w:tcBorders>
                    <w:tl2br w:val="nil"/>
                    <w:tr2bl w:val="nil"/>
                  </w:tcBorders>
                  <w:shd w:val="clear" w:color="auto" w:fill="auto"/>
                  <w:vAlign w:val="center"/>
                </w:tcPr>
                <w:p>
                  <w:pPr>
                    <w:pStyle w:val="32"/>
                    <w:bidi w:val="0"/>
                    <w:ind w:firstLine="0" w:firstLineChars="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外售物资回收部门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175"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废真空泵油</w:t>
                  </w:r>
                </w:p>
              </w:tc>
              <w:tc>
                <w:tcPr>
                  <w:tcW w:w="1110"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设备维修</w:t>
                  </w:r>
                </w:p>
              </w:tc>
              <w:tc>
                <w:tcPr>
                  <w:tcW w:w="627" w:type="dxa"/>
                  <w:tcBorders>
                    <w:tl2br w:val="nil"/>
                    <w:tr2bl w:val="nil"/>
                  </w:tcBorders>
                  <w:vAlign w:val="center"/>
                </w:tcPr>
                <w:p>
                  <w:pPr>
                    <w:pStyle w:val="32"/>
                    <w:bidi w:val="0"/>
                    <w:rPr>
                      <w:rFonts w:hint="default"/>
                      <w:color w:val="auto"/>
                      <w:highlight w:val="none"/>
                      <w:lang w:val="zh-CN"/>
                    </w:rPr>
                  </w:pPr>
                  <w:r>
                    <w:rPr>
                      <w:rFonts w:hint="default"/>
                      <w:color w:val="auto"/>
                      <w:highlight w:val="none"/>
                      <w:lang w:val="zh-CN"/>
                    </w:rPr>
                    <w:t>液态</w:t>
                  </w:r>
                </w:p>
              </w:tc>
              <w:tc>
                <w:tcPr>
                  <w:tcW w:w="920" w:type="dxa"/>
                  <w:tcBorders>
                    <w:tl2br w:val="nil"/>
                    <w:tr2bl w:val="nil"/>
                  </w:tcBorders>
                  <w:vAlign w:val="center"/>
                </w:tcPr>
                <w:p>
                  <w:pPr>
                    <w:pStyle w:val="32"/>
                    <w:bidi w:val="0"/>
                    <w:rPr>
                      <w:rFonts w:hint="default"/>
                      <w:color w:val="auto"/>
                      <w:highlight w:val="none"/>
                      <w:lang w:val="zh-CN"/>
                    </w:rPr>
                  </w:pPr>
                  <w:r>
                    <w:rPr>
                      <w:rFonts w:hint="default"/>
                      <w:color w:val="auto"/>
                      <w:highlight w:val="none"/>
                    </w:rPr>
                    <w:t>危险废物</w:t>
                  </w:r>
                </w:p>
              </w:tc>
              <w:tc>
                <w:tcPr>
                  <w:tcW w:w="1217" w:type="dxa"/>
                  <w:tcBorders>
                    <w:tl2br w:val="nil"/>
                    <w:tr2bl w:val="nil"/>
                  </w:tcBorders>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zh-CN" w:eastAsia="zh-CN" w:bidi="ar-SA"/>
                    </w:rPr>
                  </w:pPr>
                  <w:r>
                    <w:rPr>
                      <w:rFonts w:hint="default"/>
                      <w:color w:val="auto"/>
                      <w:highlight w:val="none"/>
                    </w:rPr>
                    <w:t>HW</w:t>
                  </w:r>
                  <w:r>
                    <w:rPr>
                      <w:rFonts w:hint="default"/>
                      <w:color w:val="auto"/>
                      <w:highlight w:val="none"/>
                      <w:lang w:val="en-US" w:eastAsia="zh-CN"/>
                    </w:rPr>
                    <w:t>08</w:t>
                  </w:r>
                  <w:r>
                    <w:rPr>
                      <w:rFonts w:hint="default"/>
                      <w:color w:val="auto"/>
                      <w:highlight w:val="none"/>
                    </w:rPr>
                    <w:t xml:space="preserve"> 900-</w:t>
                  </w:r>
                  <w:r>
                    <w:rPr>
                      <w:rFonts w:hint="default"/>
                      <w:color w:val="auto"/>
                      <w:highlight w:val="none"/>
                      <w:lang w:val="en-US" w:eastAsia="zh-CN"/>
                    </w:rPr>
                    <w:t>249-08</w:t>
                  </w:r>
                </w:p>
              </w:tc>
              <w:tc>
                <w:tcPr>
                  <w:tcW w:w="740" w:type="dxa"/>
                  <w:tcBorders>
                    <w:tl2br w:val="nil"/>
                    <w:tr2bl w:val="nil"/>
                  </w:tcBorders>
                  <w:vAlign w:val="center"/>
                </w:tcPr>
                <w:p>
                  <w:pPr>
                    <w:pStyle w:val="32"/>
                    <w:bidi w:val="0"/>
                    <w:ind w:firstLine="0" w:firstLineChars="0"/>
                    <w:rPr>
                      <w:rFonts w:hint="default" w:ascii="Times New Roman" w:hAnsi="Times New Roman" w:eastAsia="宋体" w:cs="Times New Roman"/>
                      <w:color w:val="auto"/>
                      <w:kern w:val="0"/>
                      <w:sz w:val="21"/>
                      <w:szCs w:val="21"/>
                      <w:highlight w:val="none"/>
                      <w:lang w:val="zh-CN" w:eastAsia="zh-CN" w:bidi="ar-SA"/>
                    </w:rPr>
                  </w:pPr>
                  <w:r>
                    <w:rPr>
                      <w:rFonts w:hint="default"/>
                      <w:color w:val="auto"/>
                      <w:highlight w:val="none"/>
                      <w:lang w:val="en-US" w:eastAsia="zh-CN"/>
                    </w:rPr>
                    <w:t>T，I</w:t>
                  </w:r>
                </w:p>
              </w:tc>
              <w:tc>
                <w:tcPr>
                  <w:tcW w:w="637"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r>
                    <w:rPr>
                      <w:rFonts w:hint="eastAsia" w:cs="Times New Roman"/>
                      <w:color w:val="auto"/>
                      <w:lang w:val="en-US" w:eastAsia="zh-CN"/>
                    </w:rPr>
                    <w:t>05</w:t>
                  </w:r>
                </w:p>
              </w:tc>
              <w:tc>
                <w:tcPr>
                  <w:tcW w:w="1726" w:type="dxa"/>
                  <w:vMerge w:val="restart"/>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危废贮存库</w:t>
                  </w:r>
                  <w:r>
                    <w:rPr>
                      <w:rFonts w:hint="default" w:ascii="Times New Roman" w:hAnsi="Times New Roman" w:eastAsia="宋体" w:cs="Times New Roman"/>
                      <w:color w:val="auto"/>
                      <w:lang w:val="en-US" w:eastAsia="zh-CN"/>
                    </w:rPr>
                    <w:t>专用</w:t>
                  </w:r>
                  <w:r>
                    <w:rPr>
                      <w:rFonts w:hint="eastAsia" w:ascii="Times New Roman" w:hAnsi="Times New Roman" w:eastAsia="宋体" w:cs="Times New Roman"/>
                      <w:color w:val="auto"/>
                      <w:lang w:val="en-US" w:eastAsia="zh-CN"/>
                    </w:rPr>
                    <w:t>容器</w:t>
                  </w:r>
                  <w:r>
                    <w:rPr>
                      <w:rFonts w:hint="default" w:ascii="Times New Roman" w:hAnsi="Times New Roman" w:eastAsia="宋体" w:cs="Times New Roman"/>
                      <w:color w:val="auto"/>
                      <w:lang w:val="en-US" w:eastAsia="zh-CN"/>
                    </w:rPr>
                    <w:t>暂存，定期交陕西天行环保科技有限公司</w:t>
                  </w:r>
                  <w:r>
                    <w:rPr>
                      <w:rFonts w:hint="eastAsia" w:cs="Times New Roman"/>
                      <w:color w:val="auto"/>
                      <w:lang w:val="en-US" w:eastAsia="zh-CN"/>
                    </w:rPr>
                    <w:t>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175" w:type="dxa"/>
                  <w:tcBorders>
                    <w:tl2br w:val="nil"/>
                    <w:tr2bl w:val="nil"/>
                  </w:tcBorders>
                  <w:vAlign w:val="center"/>
                </w:tcPr>
                <w:p>
                  <w:pPr>
                    <w:pStyle w:val="32"/>
                    <w:bidi w:val="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废油桶</w:t>
                  </w:r>
                </w:p>
              </w:tc>
              <w:tc>
                <w:tcPr>
                  <w:tcW w:w="1110"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lang w:eastAsia="zh-CN"/>
                    </w:rPr>
                    <w:t>设备维修</w:t>
                  </w:r>
                </w:p>
              </w:tc>
              <w:tc>
                <w:tcPr>
                  <w:tcW w:w="627"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zh-CN" w:eastAsia="zh-CN" w:bidi="ar-SA"/>
                    </w:rPr>
                  </w:pPr>
                  <w:r>
                    <w:rPr>
                      <w:rFonts w:hint="default"/>
                      <w:color w:val="auto"/>
                      <w:highlight w:val="none"/>
                      <w:lang w:val="zh-CN"/>
                    </w:rPr>
                    <w:t>固态</w:t>
                  </w:r>
                </w:p>
              </w:tc>
              <w:tc>
                <w:tcPr>
                  <w:tcW w:w="920"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rPr>
                    <w:t>危险废物</w:t>
                  </w:r>
                </w:p>
              </w:tc>
              <w:tc>
                <w:tcPr>
                  <w:tcW w:w="1217"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rPr>
                    <w:t>HW</w:t>
                  </w:r>
                  <w:r>
                    <w:rPr>
                      <w:rFonts w:hint="default"/>
                      <w:color w:val="auto"/>
                      <w:highlight w:val="none"/>
                      <w:lang w:val="en-US" w:eastAsia="zh-CN"/>
                    </w:rPr>
                    <w:t>08</w:t>
                  </w:r>
                  <w:r>
                    <w:rPr>
                      <w:rFonts w:hint="default"/>
                      <w:color w:val="auto"/>
                      <w:highlight w:val="none"/>
                    </w:rPr>
                    <w:t xml:space="preserve"> 900-</w:t>
                  </w:r>
                  <w:r>
                    <w:rPr>
                      <w:rFonts w:hint="default"/>
                      <w:color w:val="auto"/>
                      <w:highlight w:val="none"/>
                      <w:lang w:val="en-US" w:eastAsia="zh-CN"/>
                    </w:rPr>
                    <w:t>249-08</w:t>
                  </w:r>
                </w:p>
              </w:tc>
              <w:tc>
                <w:tcPr>
                  <w:tcW w:w="740"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lang w:val="en-US" w:eastAsia="zh-CN"/>
                    </w:rPr>
                    <w:t>T，I</w:t>
                  </w:r>
                </w:p>
              </w:tc>
              <w:tc>
                <w:tcPr>
                  <w:tcW w:w="637" w:type="dxa"/>
                  <w:tcBorders>
                    <w:tl2br w:val="nil"/>
                    <w:tr2bl w:val="nil"/>
                  </w:tcBorders>
                  <w:vAlign w:val="center"/>
                </w:tcPr>
                <w:p>
                  <w:pPr>
                    <w:pStyle w:val="32"/>
                    <w:bidi w:val="0"/>
                    <w:rPr>
                      <w:rFonts w:hint="default"/>
                      <w:color w:val="auto"/>
                      <w:highlight w:val="none"/>
                      <w:lang w:val="en-US" w:eastAsia="zh-CN"/>
                    </w:rPr>
                  </w:pPr>
                  <w:r>
                    <w:rPr>
                      <w:rFonts w:hint="eastAsia"/>
                      <w:color w:val="auto"/>
                      <w:highlight w:val="none"/>
                      <w:lang w:val="en-US" w:eastAsia="zh-CN"/>
                    </w:rPr>
                    <w:t>0.01</w:t>
                  </w:r>
                </w:p>
              </w:tc>
              <w:tc>
                <w:tcPr>
                  <w:tcW w:w="1726" w:type="dxa"/>
                  <w:vMerge w:val="continue"/>
                  <w:tcBorders>
                    <w:tl2br w:val="nil"/>
                    <w:tr2bl w:val="nil"/>
                  </w:tcBorders>
                  <w:vAlign w:val="center"/>
                </w:tcPr>
                <w:p>
                  <w:pPr>
                    <w:pStyle w:val="32"/>
                    <w:bidi w:val="0"/>
                    <w:rPr>
                      <w:rFonts w:hint="default"/>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175"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default"/>
                      <w:color w:val="auto"/>
                      <w:highlight w:val="none"/>
                    </w:rPr>
                    <w:t>废旧手套</w:t>
                  </w:r>
                  <w:r>
                    <w:rPr>
                      <w:rFonts w:hint="default"/>
                      <w:color w:val="auto"/>
                      <w:highlight w:val="none"/>
                      <w:lang w:eastAsia="zh-CN"/>
                    </w:rPr>
                    <w:t>及</w:t>
                  </w:r>
                  <w:r>
                    <w:rPr>
                      <w:rFonts w:hint="default"/>
                      <w:color w:val="auto"/>
                      <w:highlight w:val="none"/>
                    </w:rPr>
                    <w:t>废</w:t>
                  </w:r>
                  <w:r>
                    <w:rPr>
                      <w:rFonts w:hint="eastAsia"/>
                      <w:color w:val="auto"/>
                      <w:highlight w:val="none"/>
                      <w:lang w:val="en-US" w:eastAsia="zh-CN"/>
                    </w:rPr>
                    <w:t>油</w:t>
                  </w:r>
                  <w:r>
                    <w:rPr>
                      <w:rFonts w:hint="default"/>
                      <w:color w:val="auto"/>
                      <w:highlight w:val="none"/>
                    </w:rPr>
                    <w:t>抹布</w:t>
                  </w:r>
                </w:p>
              </w:tc>
              <w:tc>
                <w:tcPr>
                  <w:tcW w:w="111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lang w:eastAsia="zh-CN"/>
                    </w:rPr>
                    <w:t>设备维修</w:t>
                  </w:r>
                </w:p>
              </w:tc>
              <w:tc>
                <w:tcPr>
                  <w:tcW w:w="627"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zh-CN" w:eastAsia="zh-CN" w:bidi="ar-SA"/>
                    </w:rPr>
                  </w:pPr>
                  <w:r>
                    <w:rPr>
                      <w:rFonts w:hint="default"/>
                      <w:color w:val="auto"/>
                      <w:highlight w:val="none"/>
                      <w:lang w:val="zh-CN"/>
                    </w:rPr>
                    <w:t>固态</w:t>
                  </w:r>
                </w:p>
              </w:tc>
              <w:tc>
                <w:tcPr>
                  <w:tcW w:w="92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rPr>
                    <w:t>危险废物</w:t>
                  </w:r>
                </w:p>
              </w:tc>
              <w:tc>
                <w:tcPr>
                  <w:tcW w:w="1217"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rPr>
                    <w:t>HW</w:t>
                  </w:r>
                  <w:r>
                    <w:rPr>
                      <w:rFonts w:hint="eastAsia"/>
                      <w:color w:val="auto"/>
                      <w:highlight w:val="none"/>
                      <w:lang w:val="en-US" w:eastAsia="zh-CN"/>
                    </w:rPr>
                    <w:t>49</w:t>
                  </w:r>
                  <w:r>
                    <w:rPr>
                      <w:rFonts w:hint="default"/>
                      <w:color w:val="auto"/>
                      <w:highlight w:val="none"/>
                    </w:rPr>
                    <w:t xml:space="preserve"> 900-</w:t>
                  </w:r>
                  <w:r>
                    <w:rPr>
                      <w:rFonts w:hint="eastAsia"/>
                      <w:color w:val="auto"/>
                      <w:highlight w:val="none"/>
                      <w:lang w:val="en-US" w:eastAsia="zh-CN"/>
                    </w:rPr>
                    <w:t>041</w:t>
                  </w:r>
                  <w:r>
                    <w:rPr>
                      <w:rFonts w:hint="default"/>
                      <w:color w:val="auto"/>
                      <w:highlight w:val="none"/>
                      <w:lang w:val="en-US" w:eastAsia="zh-CN"/>
                    </w:rPr>
                    <w:t>-</w:t>
                  </w:r>
                  <w:r>
                    <w:rPr>
                      <w:rFonts w:hint="eastAsia"/>
                      <w:color w:val="auto"/>
                      <w:highlight w:val="none"/>
                      <w:lang w:val="en-US" w:eastAsia="zh-CN"/>
                    </w:rPr>
                    <w:t>49</w:t>
                  </w:r>
                </w:p>
              </w:tc>
              <w:tc>
                <w:tcPr>
                  <w:tcW w:w="74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lang w:val="en-US" w:eastAsia="zh-CN"/>
                    </w:rPr>
                    <w:t>T，I</w:t>
                  </w:r>
                  <w:r>
                    <w:rPr>
                      <w:rFonts w:hint="eastAsia"/>
                      <w:color w:val="auto"/>
                      <w:highlight w:val="none"/>
                      <w:lang w:val="en-US" w:eastAsia="zh-CN"/>
                    </w:rPr>
                    <w:t>n</w:t>
                  </w:r>
                </w:p>
              </w:tc>
              <w:tc>
                <w:tcPr>
                  <w:tcW w:w="637"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0.02</w:t>
                  </w:r>
                </w:p>
              </w:tc>
              <w:tc>
                <w:tcPr>
                  <w:tcW w:w="1726" w:type="dxa"/>
                  <w:vMerge w:val="continue"/>
                  <w:tcBorders>
                    <w:tl2br w:val="nil"/>
                    <w:tr2bl w:val="nil"/>
                  </w:tcBorders>
                  <w:vAlign w:val="center"/>
                </w:tcPr>
                <w:p>
                  <w:pPr>
                    <w:pStyle w:val="32"/>
                    <w:bidi w:val="0"/>
                    <w:rPr>
                      <w:rFonts w:hint="default"/>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Ex>
              <w:trPr>
                <w:trHeight w:val="397" w:hRule="atLeast"/>
                <w:jc w:val="center"/>
              </w:trPr>
              <w:tc>
                <w:tcPr>
                  <w:tcW w:w="1175" w:type="dxa"/>
                  <w:tcBorders>
                    <w:tl2br w:val="nil"/>
                    <w:tr2bl w:val="nil"/>
                  </w:tcBorders>
                  <w:vAlign w:val="center"/>
                </w:tcPr>
                <w:p>
                  <w:pPr>
                    <w:pStyle w:val="32"/>
                    <w:bidi w:val="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lang w:val="en-US" w:eastAsia="zh-CN"/>
                    </w:rPr>
                    <w:t>化验室废液</w:t>
                  </w:r>
                </w:p>
              </w:tc>
              <w:tc>
                <w:tcPr>
                  <w:tcW w:w="1110"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化验</w:t>
                  </w:r>
                </w:p>
              </w:tc>
              <w:tc>
                <w:tcPr>
                  <w:tcW w:w="627"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液态</w:t>
                  </w:r>
                </w:p>
              </w:tc>
              <w:tc>
                <w:tcPr>
                  <w:tcW w:w="920"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rPr>
                    <w:t>危险废物</w:t>
                  </w:r>
                </w:p>
              </w:tc>
              <w:tc>
                <w:tcPr>
                  <w:tcW w:w="1217" w:type="dxa"/>
                  <w:tcBorders>
                    <w:tl2br w:val="nil"/>
                    <w:tr2bl w:val="nil"/>
                  </w:tcBorders>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rPr>
                    <w:t>HW</w:t>
                  </w:r>
                  <w:r>
                    <w:rPr>
                      <w:rFonts w:hint="eastAsia"/>
                      <w:color w:val="auto"/>
                      <w:highlight w:val="none"/>
                      <w:lang w:val="en-US" w:eastAsia="zh-CN"/>
                    </w:rPr>
                    <w:t>49</w:t>
                  </w:r>
                  <w:r>
                    <w:rPr>
                      <w:rFonts w:hint="default"/>
                      <w:color w:val="auto"/>
                      <w:highlight w:val="none"/>
                    </w:rPr>
                    <w:t xml:space="preserve"> 900-</w:t>
                  </w:r>
                  <w:r>
                    <w:rPr>
                      <w:rFonts w:hint="eastAsia"/>
                      <w:color w:val="auto"/>
                      <w:highlight w:val="none"/>
                      <w:lang w:val="en-US" w:eastAsia="zh-CN"/>
                    </w:rPr>
                    <w:t>047</w:t>
                  </w:r>
                  <w:r>
                    <w:rPr>
                      <w:rFonts w:hint="default"/>
                      <w:color w:val="auto"/>
                      <w:highlight w:val="none"/>
                      <w:lang w:val="en-US" w:eastAsia="zh-CN"/>
                    </w:rPr>
                    <w:t>-</w:t>
                  </w:r>
                  <w:r>
                    <w:rPr>
                      <w:rFonts w:hint="eastAsia"/>
                      <w:color w:val="auto"/>
                      <w:highlight w:val="none"/>
                      <w:lang w:val="en-US" w:eastAsia="zh-CN"/>
                    </w:rPr>
                    <w:t>49</w:t>
                  </w:r>
                </w:p>
              </w:tc>
              <w:tc>
                <w:tcPr>
                  <w:tcW w:w="740" w:type="dxa"/>
                  <w:tcBorders>
                    <w:tl2br w:val="nil"/>
                    <w:tr2bl w:val="nil"/>
                  </w:tcBorders>
                  <w:shd w:val="clear" w:color="auto" w:fill="auto"/>
                  <w:vAlign w:val="center"/>
                </w:tcPr>
                <w:p>
                  <w:pPr>
                    <w:pStyle w:val="32"/>
                    <w:numPr>
                      <w:ilvl w:val="0"/>
                      <w:numId w:val="0"/>
                    </w:numPr>
                    <w:bidi w:val="0"/>
                    <w:ind w:right="-48" w:rightChars="-2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lang w:val="en-US" w:eastAsia="zh-CN"/>
                    </w:rPr>
                    <w:t>T，</w:t>
                  </w:r>
                  <w:r>
                    <w:rPr>
                      <w:rFonts w:hint="eastAsia"/>
                      <w:color w:val="auto"/>
                      <w:highlight w:val="none"/>
                      <w:lang w:val="en-US" w:eastAsia="zh-CN"/>
                    </w:rPr>
                    <w:t>R</w:t>
                  </w:r>
                </w:p>
              </w:tc>
              <w:tc>
                <w:tcPr>
                  <w:tcW w:w="637" w:type="dxa"/>
                  <w:tcBorders>
                    <w:tl2br w:val="nil"/>
                    <w:tr2bl w:val="nil"/>
                  </w:tcBorders>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0.01</w:t>
                  </w:r>
                </w:p>
              </w:tc>
              <w:tc>
                <w:tcPr>
                  <w:tcW w:w="1726" w:type="dxa"/>
                  <w:vMerge w:val="continue"/>
                  <w:tcBorders>
                    <w:tl2br w:val="nil"/>
                    <w:tr2bl w:val="nil"/>
                  </w:tcBorders>
                  <w:vAlign w:val="center"/>
                </w:tcPr>
                <w:p>
                  <w:pPr>
                    <w:pStyle w:val="32"/>
                    <w:bidi w:val="0"/>
                    <w:rPr>
                      <w:rFonts w:hint="default"/>
                      <w:color w:val="auto"/>
                      <w:highlight w:val="none"/>
                    </w:rPr>
                  </w:pPr>
                </w:p>
              </w:tc>
            </w:tr>
          </w:tbl>
          <w:p>
            <w:pPr>
              <w:bidi w:val="0"/>
              <w:rPr>
                <w:rFonts w:hint="default"/>
                <w:color w:val="auto"/>
                <w:highlight w:val="none"/>
              </w:rPr>
            </w:pPr>
            <w:bookmarkStart w:id="29" w:name="6.4.2固体废物环境影响分析"/>
            <w:bookmarkEnd w:id="29"/>
            <w:r>
              <w:rPr>
                <w:rFonts w:hint="default"/>
                <w:color w:val="auto"/>
                <w:highlight w:val="none"/>
                <w:lang w:val="en-US" w:eastAsia="zh-CN"/>
              </w:rPr>
              <w:t>2</w:t>
            </w:r>
            <w:r>
              <w:rPr>
                <w:rFonts w:hint="default"/>
                <w:color w:val="auto"/>
                <w:highlight w:val="none"/>
              </w:rPr>
              <w:t>、环境管理要求</w:t>
            </w:r>
          </w:p>
          <w:p>
            <w:pPr>
              <w:bidi w:val="0"/>
              <w:rPr>
                <w:rFonts w:hint="default"/>
                <w:color w:val="auto"/>
                <w:highlight w:val="none"/>
                <w:lang w:val="en-US" w:eastAsia="zh-CN"/>
              </w:rPr>
            </w:pPr>
            <w:r>
              <w:rPr>
                <w:rFonts w:hint="default"/>
                <w:color w:val="auto"/>
                <w:highlight w:val="none"/>
                <w:lang w:val="en-US" w:eastAsia="zh-CN"/>
              </w:rPr>
              <w:t>（1）一般固废</w:t>
            </w:r>
            <w:r>
              <w:rPr>
                <w:rFonts w:hint="default"/>
                <w:color w:val="auto"/>
                <w:highlight w:val="none"/>
              </w:rPr>
              <w:t>暂存建设及管理要求</w:t>
            </w:r>
          </w:p>
          <w:p>
            <w:pPr>
              <w:bidi w:val="0"/>
              <w:rPr>
                <w:rFonts w:hint="eastAsia"/>
                <w:color w:val="auto"/>
                <w:highlight w:val="none"/>
                <w:lang w:val="en-US" w:eastAsia="zh-CN"/>
              </w:rPr>
            </w:pPr>
            <w:r>
              <w:rPr>
                <w:rFonts w:hint="default" w:ascii="Times New Roman" w:hAnsi="Times New Roman" w:cs="Times New Roman"/>
                <w:color w:val="auto"/>
                <w:highlight w:val="none"/>
              </w:rPr>
              <w:t>一般固废统一收集至</w:t>
            </w:r>
            <w:r>
              <w:rPr>
                <w:rFonts w:hint="eastAsia" w:ascii="Times New Roman" w:hAnsi="Times New Roman" w:cs="Times New Roman"/>
                <w:color w:val="auto"/>
                <w:highlight w:val="none"/>
                <w:lang w:eastAsia="zh-CN"/>
              </w:rPr>
              <w:t>一般固废贮存间</w:t>
            </w:r>
            <w:r>
              <w:rPr>
                <w:rFonts w:hint="default" w:ascii="Times New Roman" w:hAnsi="Times New Roman" w:cs="Times New Roman"/>
                <w:color w:val="auto"/>
                <w:highlight w:val="none"/>
              </w:rPr>
              <w:t>，随后进行处理。</w:t>
            </w:r>
            <w:r>
              <w:rPr>
                <w:rFonts w:hint="default" w:ascii="Times New Roman" w:hAnsi="Times New Roman" w:cs="Times New Roman"/>
                <w:color w:val="auto"/>
              </w:rPr>
              <w:t>一般工业固体废物的贮存过程污染控制应满足相应防渗漏、防雨淋、防扬尘等环境保护要求</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pacing w:val="0"/>
                <w:kern w:val="21"/>
                <w:position w:val="0"/>
                <w:sz w:val="24"/>
                <w:szCs w:val="24"/>
                <w:highlight w:val="none"/>
                <w:lang w:val="en-US" w:eastAsia="zh-CN"/>
              </w:rPr>
            </w:pPr>
            <w:r>
              <w:rPr>
                <w:rFonts w:hint="default" w:ascii="Times New Roman" w:hAnsi="Times New Roman" w:eastAsia="宋体" w:cs="Times New Roman"/>
                <w:color w:val="auto"/>
                <w:spacing w:val="0"/>
                <w:kern w:val="21"/>
                <w:position w:val="0"/>
                <w:sz w:val="24"/>
                <w:szCs w:val="24"/>
                <w:highlight w:val="none"/>
                <w:lang w:val="en-US" w:eastAsia="zh-CN"/>
              </w:rPr>
              <w:t>（</w:t>
            </w:r>
            <w:r>
              <w:rPr>
                <w:rFonts w:hint="eastAsia" w:ascii="Times New Roman" w:hAnsi="Times New Roman" w:eastAsia="宋体" w:cs="Times New Roman"/>
                <w:color w:val="auto"/>
                <w:spacing w:val="0"/>
                <w:kern w:val="21"/>
                <w:position w:val="0"/>
                <w:sz w:val="24"/>
                <w:szCs w:val="24"/>
                <w:highlight w:val="none"/>
                <w:lang w:val="en-US" w:eastAsia="zh-CN"/>
              </w:rPr>
              <w:t>2</w:t>
            </w:r>
            <w:r>
              <w:rPr>
                <w:rFonts w:hint="default" w:ascii="Times New Roman" w:hAnsi="Times New Roman" w:eastAsia="宋体" w:cs="Times New Roman"/>
                <w:color w:val="auto"/>
                <w:spacing w:val="0"/>
                <w:kern w:val="21"/>
                <w:position w:val="0"/>
                <w:sz w:val="24"/>
                <w:szCs w:val="24"/>
                <w:highlight w:val="none"/>
                <w:lang w:val="en-US" w:eastAsia="zh-CN"/>
              </w:rPr>
              <w:t>）危险废物暂存建设及管理要求</w:t>
            </w:r>
          </w:p>
          <w:p>
            <w:pPr>
              <w:ind w:firstLine="480"/>
              <w:rPr>
                <w:rFonts w:hint="default" w:ascii="Times New Roman" w:hAnsi="Times New Roman" w:eastAsia="宋体" w:cs="Times New Roman"/>
                <w:color w:val="auto"/>
                <w:spacing w:val="0"/>
                <w:kern w:val="21"/>
                <w:position w:val="0"/>
                <w:sz w:val="24"/>
                <w:szCs w:val="24"/>
                <w:highlight w:val="none"/>
                <w:lang w:val="en-US" w:eastAsia="zh-CN"/>
              </w:rPr>
            </w:pPr>
            <w:r>
              <w:rPr>
                <w:rFonts w:hint="eastAsia" w:ascii="Times New Roman" w:hAnsi="Times New Roman" w:cs="Times New Roman"/>
                <w:color w:val="auto"/>
                <w:lang w:val="en-US" w:eastAsia="zh-CN"/>
              </w:rPr>
              <w:t>目前厂区内设置危险废物贮存库，建筑面积为</w:t>
            </w:r>
            <w:r>
              <w:rPr>
                <w:rFonts w:hint="eastAsia" w:cs="Times New Roman"/>
                <w:color w:val="auto"/>
                <w:highlight w:val="none"/>
                <w:lang w:val="en-US" w:eastAsia="zh-CN"/>
              </w:rPr>
              <w:t>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rPr>
              <w:t>。</w:t>
            </w:r>
            <w:r>
              <w:rPr>
                <w:rFonts w:hint="default" w:ascii="Times New Roman" w:hAnsi="Times New Roman" w:eastAsia="宋体" w:cs="Times New Roman"/>
                <w:color w:val="auto"/>
                <w:spacing w:val="0"/>
                <w:kern w:val="21"/>
                <w:position w:val="0"/>
                <w:sz w:val="24"/>
                <w:szCs w:val="24"/>
                <w:highlight w:val="none"/>
                <w:lang w:val="en-US" w:eastAsia="zh-CN"/>
              </w:rPr>
              <w:t>危险废物标签、危险废物贮存分区标志和危险废物贮存设施标志均已按照《危险废物识别标志设置技术规范》（HJ1276-2022）要求设置，并与</w:t>
            </w:r>
            <w:r>
              <w:rPr>
                <w:rFonts w:hint="eastAsia" w:ascii="Times New Roman" w:hAnsi="Times New Roman" w:eastAsia="宋体" w:cs="Times New Roman"/>
                <w:color w:val="auto"/>
                <w:highlight w:val="none"/>
                <w:lang w:eastAsia="zh-CN"/>
              </w:rPr>
              <w:t>陕西天行环保科技有限公司</w:t>
            </w:r>
            <w:r>
              <w:rPr>
                <w:rFonts w:hint="default" w:ascii="Times New Roman" w:hAnsi="Times New Roman" w:eastAsia="宋体" w:cs="Times New Roman"/>
                <w:color w:val="auto"/>
                <w:spacing w:val="0"/>
                <w:kern w:val="21"/>
                <w:position w:val="0"/>
                <w:sz w:val="24"/>
                <w:szCs w:val="24"/>
                <w:highlight w:val="none"/>
                <w:lang w:val="en-US" w:eastAsia="zh-CN"/>
              </w:rPr>
              <w:t>签订危废处置协议。</w:t>
            </w:r>
          </w:p>
          <w:p>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spacing w:val="0"/>
                <w:kern w:val="21"/>
                <w:position w:val="0"/>
                <w:sz w:val="24"/>
                <w:szCs w:val="24"/>
                <w:highlight w:val="none"/>
                <w:lang w:val="en-US" w:eastAsia="zh-CN"/>
              </w:rPr>
              <w:t>根据调查，</w:t>
            </w:r>
            <w:r>
              <w:rPr>
                <w:rFonts w:hint="eastAsia" w:ascii="Times New Roman" w:hAnsi="Times New Roman" w:eastAsia="宋体" w:cs="Times New Roman"/>
                <w:color w:val="auto"/>
                <w:spacing w:val="0"/>
                <w:kern w:val="21"/>
                <w:position w:val="0"/>
                <w:sz w:val="24"/>
                <w:szCs w:val="24"/>
                <w:highlight w:val="none"/>
                <w:lang w:val="en-US" w:eastAsia="zh-CN"/>
              </w:rPr>
              <w:t>本次扩建项目产生危险废物与现有项目基本一致，目前危废贮存库可容纳本项目产生的危险废物。</w:t>
            </w:r>
            <w:r>
              <w:rPr>
                <w:rFonts w:hint="eastAsia" w:eastAsia="宋体" w:cs="Times New Roman"/>
                <w:color w:val="auto"/>
                <w:spacing w:val="0"/>
                <w:kern w:val="21"/>
                <w:position w:val="0"/>
                <w:sz w:val="24"/>
                <w:szCs w:val="24"/>
                <w:highlight w:val="none"/>
                <w:lang w:val="en-US" w:eastAsia="zh-CN"/>
              </w:rPr>
              <w:t>危废贮存库</w:t>
            </w:r>
            <w:r>
              <w:rPr>
                <w:rFonts w:hint="default" w:ascii="Times New Roman" w:hAnsi="Times New Roman" w:eastAsia="宋体" w:cs="Times New Roman"/>
                <w:color w:val="auto"/>
                <w:spacing w:val="0"/>
                <w:kern w:val="21"/>
                <w:position w:val="0"/>
                <w:sz w:val="24"/>
                <w:szCs w:val="24"/>
                <w:highlight w:val="none"/>
                <w:lang w:val="en-US" w:eastAsia="zh-CN"/>
              </w:rPr>
              <w:t>已按照规范进行防渗，地面底层为混凝土硬化，上层设置防渗膜，表层刷环氧树脂地坪漆，</w:t>
            </w:r>
            <w:r>
              <w:rPr>
                <w:rFonts w:hint="default" w:ascii="Times New Roman" w:hAnsi="Times New Roman" w:cs="Times New Roman"/>
                <w:color w:val="auto"/>
                <w:sz w:val="24"/>
                <w:szCs w:val="32"/>
                <w:highlight w:val="none"/>
              </w:rPr>
              <w:t>渗透系数不大于10</w:t>
            </w:r>
            <w:r>
              <w:rPr>
                <w:rFonts w:hint="default" w:ascii="Times New Roman" w:hAnsi="Times New Roman" w:cs="Times New Roman"/>
                <w:color w:val="auto"/>
                <w:sz w:val="24"/>
                <w:szCs w:val="32"/>
                <w:highlight w:val="none"/>
                <w:vertAlign w:val="superscript"/>
              </w:rPr>
              <w:t>-10</w:t>
            </w:r>
            <w:r>
              <w:rPr>
                <w:rFonts w:hint="default" w:ascii="Times New Roman" w:hAnsi="Times New Roman" w:cs="Times New Roman"/>
                <w:color w:val="auto"/>
                <w:sz w:val="24"/>
                <w:szCs w:val="32"/>
                <w:highlight w:val="none"/>
              </w:rPr>
              <w:t>cm/s</w:t>
            </w:r>
            <w:r>
              <w:rPr>
                <w:rFonts w:hint="default" w:ascii="Times New Roman" w:hAnsi="Times New Roman" w:eastAsia="宋体" w:cs="Times New Roman"/>
                <w:color w:val="auto"/>
                <w:spacing w:val="0"/>
                <w:kern w:val="21"/>
                <w:positio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内部设置有托盘及分区隔断，对不同类型的危险废物进行分区贮存。</w:t>
            </w:r>
            <w:r>
              <w:rPr>
                <w:rFonts w:hint="eastAsia" w:cs="Times New Roman"/>
                <w:color w:val="auto"/>
                <w:kern w:val="0"/>
                <w:sz w:val="24"/>
                <w:szCs w:val="24"/>
                <w:highlight w:val="none"/>
                <w:lang w:val="en-US" w:eastAsia="zh-CN" w:bidi="ar"/>
              </w:rPr>
              <w:t>危废贮存库</w:t>
            </w:r>
            <w:r>
              <w:rPr>
                <w:rFonts w:hint="default" w:ascii="Times New Roman" w:hAnsi="Times New Roman" w:eastAsia="宋体" w:cs="Times New Roman"/>
                <w:color w:val="auto"/>
                <w:kern w:val="0"/>
                <w:sz w:val="24"/>
                <w:szCs w:val="24"/>
                <w:highlight w:val="none"/>
                <w:lang w:val="en-US" w:eastAsia="zh-CN" w:bidi="ar"/>
              </w:rPr>
              <w:t>屋内张贴了企业《危险废物管理制度》，建立台账并悬挂于</w:t>
            </w:r>
            <w:r>
              <w:rPr>
                <w:rFonts w:hint="eastAsia" w:cs="Times New Roman"/>
                <w:color w:val="auto"/>
                <w:kern w:val="0"/>
                <w:sz w:val="24"/>
                <w:szCs w:val="24"/>
                <w:highlight w:val="none"/>
                <w:lang w:val="en-US" w:eastAsia="zh-CN" w:bidi="ar"/>
              </w:rPr>
              <w:t>危废贮存库</w:t>
            </w:r>
            <w:r>
              <w:rPr>
                <w:rFonts w:hint="default" w:ascii="Times New Roman" w:hAnsi="Times New Roman" w:eastAsia="宋体" w:cs="Times New Roman"/>
                <w:color w:val="auto"/>
                <w:kern w:val="0"/>
                <w:sz w:val="24"/>
                <w:szCs w:val="24"/>
                <w:highlight w:val="none"/>
                <w:lang w:val="en-US" w:eastAsia="zh-CN" w:bidi="ar"/>
              </w:rPr>
              <w:t>内，转入及转出（处置）填写危废种类、数量、时间及负责人员姓名。</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spacing w:val="0"/>
                <w:kern w:val="21"/>
                <w:position w:val="0"/>
                <w:sz w:val="24"/>
                <w:szCs w:val="24"/>
                <w:highlight w:val="none"/>
                <w:lang w:val="en-US" w:eastAsia="zh-CN"/>
              </w:rPr>
              <w:t>因此，本项目危险废物处置依托</w:t>
            </w:r>
            <w:r>
              <w:rPr>
                <w:rFonts w:hint="default" w:ascii="Times New Roman" w:hAnsi="Times New Roman" w:cs="Times New Roman"/>
                <w:color w:val="auto"/>
                <w:highlight w:val="none"/>
                <w:lang w:val="en-US" w:eastAsia="zh-CN"/>
              </w:rPr>
              <w:t>现有</w:t>
            </w:r>
            <w:r>
              <w:rPr>
                <w:rFonts w:hint="eastAsia" w:cs="Times New Roman"/>
                <w:color w:val="auto"/>
                <w:highlight w:val="none"/>
                <w:lang w:val="en-US" w:eastAsia="zh-CN"/>
              </w:rPr>
              <w:t>危废贮存库</w:t>
            </w:r>
            <w:r>
              <w:rPr>
                <w:rFonts w:hint="default" w:ascii="Times New Roman" w:hAnsi="Times New Roman" w:cs="Times New Roman"/>
                <w:color w:val="auto"/>
                <w:highlight w:val="none"/>
                <w:lang w:val="en-US" w:eastAsia="zh-CN"/>
              </w:rPr>
              <w:t>可行，能够满足要求。</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环评要求危险废物贮存要满足下述要求</w:t>
            </w:r>
            <w:r>
              <w:rPr>
                <w:rFonts w:hint="default" w:ascii="Times New Roman" w:hAnsi="Times New Roman" w:cs="Times New Roman"/>
                <w:color w:val="auto"/>
                <w:highlight w:val="none"/>
              </w:rPr>
              <w:t>：危险废物的转运应严格按照《危险废物转移管理办法》（交通运输部部令第23号）的有关规定执行。如实记录危险废物产生、贮存、利用和处置等各个环节的情况。定期（如按月、季或年）汇总危险废物台账记录表（或称生产报表），形成周期性报表。危险废物台账应当分类装订成册，由专人管理，防止遗失。</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采取上述措施后，项目固废均能够得到合理妥善处置，不产生二次污染，对外环境影响较小。</w:t>
            </w:r>
          </w:p>
          <w:p>
            <w:pPr>
              <w:numPr>
                <w:ilvl w:val="0"/>
                <w:numId w:val="0"/>
              </w:numPr>
              <w:ind w:leftChars="200"/>
              <w:rPr>
                <w:b/>
                <w:bCs/>
                <w:color w:val="auto"/>
                <w:highlight w:val="none"/>
              </w:rPr>
            </w:pPr>
            <w:r>
              <w:rPr>
                <w:rFonts w:hint="eastAsia" w:eastAsia="宋体" w:cs="Times New Roman"/>
                <w:b/>
                <w:bCs/>
                <w:color w:val="auto"/>
                <w:sz w:val="24"/>
                <w:szCs w:val="24"/>
                <w:highlight w:val="none"/>
                <w:lang w:val="en-US" w:eastAsia="zh-CN"/>
              </w:rPr>
              <w:t>五、</w:t>
            </w:r>
            <w:r>
              <w:rPr>
                <w:b/>
                <w:bCs/>
                <w:color w:val="auto"/>
                <w:highlight w:val="none"/>
              </w:rPr>
              <w:t>地下水</w:t>
            </w:r>
            <w:r>
              <w:rPr>
                <w:rFonts w:hint="eastAsia"/>
                <w:b/>
                <w:bCs/>
                <w:color w:val="auto"/>
                <w:highlight w:val="none"/>
                <w:lang w:val="en-US" w:eastAsia="zh-CN"/>
              </w:rPr>
              <w:t>环境影响分析</w:t>
            </w:r>
          </w:p>
          <w:p>
            <w:pPr>
              <w:bidi w:val="0"/>
              <w:rPr>
                <w:color w:val="auto"/>
                <w:highlight w:val="none"/>
              </w:rPr>
            </w:pPr>
            <w:r>
              <w:rPr>
                <w:rFonts w:hint="eastAsia"/>
                <w:color w:val="auto"/>
                <w:highlight w:val="none"/>
                <w:lang w:val="en-US" w:eastAsia="zh-CN"/>
              </w:rPr>
              <w:t>1、</w:t>
            </w:r>
            <w:r>
              <w:rPr>
                <w:color w:val="auto"/>
                <w:highlight w:val="none"/>
              </w:rPr>
              <w:t>地下水污染源分析</w:t>
            </w:r>
          </w:p>
          <w:p>
            <w:pPr>
              <w:bidi w:val="0"/>
              <w:rPr>
                <w:rFonts w:hint="default"/>
                <w:color w:val="auto"/>
                <w:highlight w:val="none"/>
                <w:lang w:val="en-US" w:eastAsia="zh-CN"/>
              </w:rPr>
            </w:pPr>
            <w:r>
              <w:rPr>
                <w:color w:val="auto"/>
                <w:highlight w:val="none"/>
              </w:rPr>
              <w:t>根据项目情况分析，本项目</w:t>
            </w:r>
            <w:r>
              <w:rPr>
                <w:rFonts w:hint="eastAsia"/>
                <w:color w:val="auto"/>
                <w:highlight w:val="none"/>
                <w:lang w:val="en-US" w:eastAsia="zh-CN"/>
              </w:rPr>
              <w:t>污染源</w:t>
            </w:r>
            <w:r>
              <w:rPr>
                <w:color w:val="auto"/>
                <w:highlight w:val="none"/>
              </w:rPr>
              <w:t>主要是</w:t>
            </w:r>
            <w:r>
              <w:rPr>
                <w:rFonts w:hint="eastAsia"/>
                <w:color w:val="auto"/>
                <w:highlight w:val="none"/>
                <w:lang w:eastAsia="zh-CN"/>
              </w:rPr>
              <w:t>危废贮存库</w:t>
            </w:r>
            <w:r>
              <w:rPr>
                <w:color w:val="auto"/>
                <w:highlight w:val="none"/>
              </w:rPr>
              <w:t>的</w:t>
            </w:r>
            <w:r>
              <w:rPr>
                <w:rFonts w:hint="eastAsia"/>
                <w:color w:val="auto"/>
                <w:highlight w:val="none"/>
                <w:lang w:val="en-US" w:eastAsia="zh-CN"/>
              </w:rPr>
              <w:t>废真空泵油、化验室废液等</w:t>
            </w:r>
            <w:r>
              <w:rPr>
                <w:rFonts w:hint="eastAsia"/>
                <w:color w:val="auto"/>
                <w:highlight w:val="none"/>
                <w:lang w:eastAsia="zh-CN"/>
              </w:rPr>
              <w:t>。</w:t>
            </w:r>
            <w:r>
              <w:rPr>
                <w:rFonts w:hint="eastAsia"/>
                <w:color w:val="auto"/>
                <w:highlight w:val="none"/>
                <w:lang w:val="en-US" w:eastAsia="zh-CN"/>
              </w:rPr>
              <w:t>储存不当时会污染地下水水质，主要污染物为石油类等。</w:t>
            </w:r>
          </w:p>
          <w:p>
            <w:pPr>
              <w:bidi w:val="0"/>
              <w:rPr>
                <w:color w:val="auto"/>
                <w:highlight w:val="none"/>
              </w:rPr>
            </w:pPr>
            <w:r>
              <w:rPr>
                <w:rFonts w:hint="eastAsia"/>
                <w:color w:val="auto"/>
                <w:highlight w:val="none"/>
                <w:lang w:val="en-US" w:eastAsia="zh-CN"/>
              </w:rPr>
              <w:t>2、</w:t>
            </w:r>
            <w:r>
              <w:rPr>
                <w:color w:val="auto"/>
                <w:highlight w:val="none"/>
              </w:rPr>
              <w:t>地下水污染的主要途径及防治措施</w:t>
            </w:r>
          </w:p>
          <w:p>
            <w:pPr>
              <w:bidi w:val="0"/>
              <w:rPr>
                <w:rFonts w:hint="default" w:eastAsia="宋体"/>
                <w:color w:val="auto"/>
                <w:highlight w:val="none"/>
                <w:lang w:val="en-US" w:eastAsia="zh-CN"/>
              </w:rPr>
            </w:pPr>
            <w:r>
              <w:rPr>
                <w:color w:val="auto"/>
                <w:highlight w:val="none"/>
              </w:rPr>
              <w:t>项目所涉及的</w:t>
            </w:r>
            <w:r>
              <w:rPr>
                <w:rFonts w:hint="eastAsia"/>
                <w:color w:val="auto"/>
                <w:highlight w:val="none"/>
                <w:lang w:val="en-US" w:eastAsia="zh-CN"/>
              </w:rPr>
              <w:t>危险</w:t>
            </w:r>
            <w:r>
              <w:rPr>
                <w:color w:val="auto"/>
                <w:highlight w:val="none"/>
              </w:rPr>
              <w:t>物质对地下水的主要污染途径为渗漏后的下渗，造成地下水污染的风险。但是，项目危险废物</w:t>
            </w:r>
            <w:r>
              <w:rPr>
                <w:rFonts w:hint="eastAsia"/>
                <w:color w:val="auto"/>
                <w:highlight w:val="none"/>
                <w:lang w:val="en-US" w:eastAsia="zh-CN"/>
              </w:rPr>
              <w:t>贮存库危险</w:t>
            </w:r>
            <w:r>
              <w:rPr>
                <w:color w:val="auto"/>
                <w:highlight w:val="none"/>
              </w:rPr>
              <w:t>物质涉及的量较少，且要求建设单位危险废物</w:t>
            </w:r>
            <w:r>
              <w:rPr>
                <w:rFonts w:hint="eastAsia"/>
                <w:color w:val="auto"/>
                <w:highlight w:val="none"/>
                <w:lang w:val="en-US" w:eastAsia="zh-CN"/>
              </w:rPr>
              <w:t>贮存库</w:t>
            </w:r>
            <w:r>
              <w:rPr>
                <w:color w:val="auto"/>
                <w:highlight w:val="none"/>
              </w:rPr>
              <w:t>地面全部进行水泥硬化，刷防渗涂料，液体存放在密封容器内，下设托盘。</w:t>
            </w:r>
            <w:r>
              <w:rPr>
                <w:rFonts w:hint="eastAsia"/>
                <w:color w:val="auto"/>
                <w:highlight w:val="none"/>
                <w:lang w:val="en-US" w:eastAsia="zh-CN"/>
              </w:rPr>
              <w:t>采取以上措施，可从污染途径上有效阻止对地下水的污染。</w:t>
            </w:r>
          </w:p>
          <w:p>
            <w:pPr>
              <w:bidi w:val="0"/>
              <w:rPr>
                <w:color w:val="auto"/>
                <w:highlight w:val="none"/>
              </w:rPr>
            </w:pPr>
            <w:r>
              <w:rPr>
                <w:color w:val="auto"/>
                <w:highlight w:val="none"/>
              </w:rPr>
              <w:t>由污染途径及对应措施分析可知，项目对可能产生地下水影响的各项途径均进行有效预防，在确保各项防渗措施得以落实，并加强维护和项目环境管理的前提下，可有效控制项目的废水污染物下渗现象，避免污染地下水，因此项目不会对区域地下水环境产生明显影响。</w:t>
            </w:r>
          </w:p>
          <w:p>
            <w:pPr>
              <w:numPr>
                <w:ilvl w:val="0"/>
                <w:numId w:val="0"/>
              </w:numPr>
              <w:ind w:leftChars="200"/>
              <w:rPr>
                <w:rFonts w:hint="default" w:eastAsia="宋体"/>
                <w:b/>
                <w:bCs/>
                <w:color w:val="auto"/>
                <w:highlight w:val="none"/>
                <w:lang w:val="en-US" w:eastAsia="zh-CN"/>
              </w:rPr>
            </w:pPr>
            <w:r>
              <w:rPr>
                <w:rFonts w:hint="eastAsia" w:eastAsia="宋体" w:cs="Times New Roman"/>
                <w:b/>
                <w:bCs/>
                <w:color w:val="auto"/>
                <w:sz w:val="24"/>
                <w:szCs w:val="24"/>
                <w:highlight w:val="none"/>
                <w:lang w:val="en-US" w:eastAsia="zh-CN"/>
              </w:rPr>
              <w:t>六、</w:t>
            </w:r>
            <w:r>
              <w:rPr>
                <w:rFonts w:hint="eastAsia"/>
                <w:b/>
                <w:bCs/>
                <w:color w:val="auto"/>
                <w:highlight w:val="none"/>
                <w:lang w:val="en-US" w:eastAsia="zh-CN"/>
              </w:rPr>
              <w:t>土壤环境影响分析</w:t>
            </w:r>
          </w:p>
          <w:p>
            <w:pPr>
              <w:ind w:firstLine="48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污染源、污染物类型及污染途径</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土壤</w:t>
            </w:r>
            <w:r>
              <w:rPr>
                <w:rFonts w:hint="eastAsia" w:ascii="Times New Roman" w:hAnsi="Times New Roman" w:eastAsia="宋体" w:cs="Times New Roman"/>
                <w:color w:val="auto"/>
                <w:sz w:val="24"/>
                <w:szCs w:val="24"/>
                <w:highlight w:val="none"/>
                <w:lang w:val="en-US" w:eastAsia="zh-CN"/>
              </w:rPr>
              <w:t>污染源为危废贮存库，污染物类型为石油烃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highlight w:val="none"/>
              </w:rPr>
              <w:t>在</w:t>
            </w:r>
            <w:r>
              <w:rPr>
                <w:rFonts w:hint="eastAsia" w:cs="Times New Roman"/>
                <w:color w:val="auto"/>
                <w:highlight w:val="none"/>
                <w:lang w:val="en-US" w:eastAsia="zh-CN"/>
              </w:rPr>
              <w:t>废真空泵油</w:t>
            </w:r>
            <w:r>
              <w:rPr>
                <w:rFonts w:hint="eastAsia" w:ascii="Times New Roman" w:hAnsi="Times New Roman" w:cs="Times New Roman"/>
                <w:color w:val="auto"/>
                <w:highlight w:val="none"/>
                <w:lang w:val="en-US" w:eastAsia="zh-CN"/>
              </w:rPr>
              <w:t>转移</w:t>
            </w:r>
            <w:r>
              <w:rPr>
                <w:rFonts w:hint="default" w:ascii="Times New Roman" w:hAnsi="Times New Roman" w:cs="Times New Roman"/>
                <w:color w:val="auto"/>
                <w:highlight w:val="none"/>
              </w:rPr>
              <w:t>、贮存过程中若存在管理、操作、保护不当或设计不合理，储存</w:t>
            </w:r>
            <w:r>
              <w:rPr>
                <w:rFonts w:hint="eastAsia" w:ascii="Times New Roman" w:hAnsi="Times New Roman" w:cs="Times New Roman"/>
                <w:color w:val="auto"/>
                <w:highlight w:val="none"/>
                <w:lang w:eastAsia="zh-CN"/>
              </w:rPr>
              <w:t>材质不良</w:t>
            </w:r>
            <w:r>
              <w:rPr>
                <w:rFonts w:hint="default" w:ascii="Times New Roman" w:hAnsi="Times New Roman" w:cs="Times New Roman"/>
                <w:color w:val="auto"/>
                <w:highlight w:val="none"/>
              </w:rPr>
              <w:t>发生腐蚀，</w:t>
            </w:r>
            <w:r>
              <w:rPr>
                <w:rFonts w:hint="default" w:ascii="Times New Roman" w:hAnsi="Times New Roman" w:cs="Times New Roman"/>
                <w:color w:val="auto"/>
                <w:highlight w:val="none"/>
                <w:lang w:val="en-US" w:eastAsia="zh-CN"/>
              </w:rPr>
              <w:t>可能</w:t>
            </w:r>
            <w:r>
              <w:rPr>
                <w:rFonts w:hint="default" w:ascii="Times New Roman" w:hAnsi="Times New Roman" w:cs="Times New Roman"/>
                <w:color w:val="auto"/>
                <w:highlight w:val="none"/>
              </w:rPr>
              <w:t>带来泄漏的风险</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泄漏</w:t>
            </w:r>
            <w:r>
              <w:rPr>
                <w:rFonts w:hint="default" w:ascii="Times New Roman" w:hAnsi="Times New Roman" w:cs="Times New Roman"/>
                <w:color w:val="auto"/>
                <w:highlight w:val="none"/>
                <w:lang w:val="en-US" w:eastAsia="zh-CN"/>
              </w:rPr>
              <w:t>的</w:t>
            </w:r>
            <w:r>
              <w:rPr>
                <w:rFonts w:hint="eastAsia" w:hAnsi="宋体"/>
                <w:color w:val="auto"/>
                <w:kern w:val="0"/>
                <w:szCs w:val="21"/>
                <w:lang w:val="en-US" w:eastAsia="zh-CN"/>
              </w:rPr>
              <w:t>废真空泵油</w:t>
            </w:r>
            <w:r>
              <w:rPr>
                <w:rFonts w:hint="eastAsia" w:ascii="Times New Roman" w:hAnsi="Times New Roman" w:cs="Times New Roman"/>
                <w:color w:val="auto"/>
                <w:highlight w:val="none"/>
                <w:lang w:val="en-US" w:eastAsia="zh-CN"/>
              </w:rPr>
              <w:t>等经</w:t>
            </w:r>
            <w:r>
              <w:rPr>
                <w:rFonts w:hint="default" w:ascii="Times New Roman" w:hAnsi="Times New Roman" w:cs="Times New Roman"/>
                <w:color w:val="auto"/>
                <w:highlight w:val="none"/>
              </w:rPr>
              <w:t>垂直入渗</w:t>
            </w:r>
            <w:r>
              <w:rPr>
                <w:rFonts w:hint="eastAsia" w:ascii="Times New Roman" w:hAnsi="Times New Roman" w:cs="Times New Roman"/>
                <w:color w:val="auto"/>
                <w:highlight w:val="none"/>
                <w:lang w:val="en-US" w:eastAsia="zh-CN"/>
              </w:rPr>
              <w:t>途径</w:t>
            </w:r>
            <w:r>
              <w:rPr>
                <w:rFonts w:hint="default" w:ascii="Times New Roman" w:hAnsi="Times New Roman" w:cs="Times New Roman"/>
                <w:color w:val="auto"/>
                <w:highlight w:val="none"/>
                <w:lang w:val="en-US" w:eastAsia="zh-CN"/>
              </w:rPr>
              <w:t>污染土壤环境。</w:t>
            </w:r>
          </w:p>
          <w:p>
            <w:pPr>
              <w:ind w:firstLine="48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防控措施</w:t>
            </w:r>
          </w:p>
          <w:p>
            <w:pPr>
              <w:ind w:firstLine="48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正</w:t>
            </w:r>
            <w:r>
              <w:rPr>
                <w:rFonts w:hint="default" w:ascii="Times New Roman" w:hAnsi="Times New Roman" w:eastAsia="宋体" w:cs="Times New Roman"/>
                <w:color w:val="auto"/>
                <w:sz w:val="24"/>
                <w:szCs w:val="24"/>
                <w:highlight w:val="none"/>
              </w:rPr>
              <w:t>常情况下，</w:t>
            </w:r>
            <w:r>
              <w:rPr>
                <w:rFonts w:hint="eastAsia" w:ascii="Times New Roman" w:hAnsi="Times New Roman" w:eastAsia="宋体" w:cs="Times New Roman"/>
                <w:color w:val="auto"/>
                <w:sz w:val="24"/>
                <w:szCs w:val="24"/>
                <w:highlight w:val="none"/>
                <w:lang w:val="en-US" w:eastAsia="zh-CN"/>
              </w:rPr>
              <w:t>石油烃</w:t>
            </w:r>
            <w:r>
              <w:rPr>
                <w:rFonts w:hint="default" w:ascii="Times New Roman" w:hAnsi="Times New Roman" w:eastAsia="宋体" w:cs="Times New Roman"/>
                <w:color w:val="auto"/>
                <w:sz w:val="24"/>
                <w:szCs w:val="24"/>
                <w:highlight w:val="none"/>
              </w:rPr>
              <w:t>不会通过垂直入渗的方式对土壤造成影响。非正常情况下，当</w:t>
            </w:r>
            <w:r>
              <w:rPr>
                <w:rFonts w:hint="eastAsia" w:ascii="Times New Roman" w:hAnsi="Times New Roman" w:eastAsia="宋体"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rPr>
              <w:t>等发生渗漏时，污染物会通过垂直入渗的方式对土壤环境造成污染。项目</w:t>
            </w:r>
            <w:r>
              <w:rPr>
                <w:rFonts w:hint="eastAsia" w:ascii="Times New Roman" w:hAnsi="Times New Roman" w:eastAsia="宋体" w:cs="Times New Roman"/>
                <w:color w:val="auto"/>
                <w:sz w:val="24"/>
                <w:szCs w:val="24"/>
                <w:highlight w:val="none"/>
                <w:lang w:val="en-US" w:eastAsia="zh-CN"/>
              </w:rPr>
              <w:t>已</w:t>
            </w:r>
            <w:r>
              <w:rPr>
                <w:rFonts w:hint="default" w:ascii="Times New Roman" w:hAnsi="Times New Roman" w:eastAsia="宋体" w:cs="Times New Roman"/>
                <w:color w:val="auto"/>
                <w:sz w:val="24"/>
                <w:szCs w:val="24"/>
                <w:highlight w:val="none"/>
              </w:rPr>
              <w:t>采取的防控措施为对</w:t>
            </w:r>
            <w:r>
              <w:rPr>
                <w:rFonts w:hint="eastAsia" w:ascii="Times New Roman" w:hAnsi="Times New Roman" w:eastAsia="宋体"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rPr>
              <w:t>采取重点防腐防渗措施，防渗层为至少1m厚</w:t>
            </w:r>
            <w:r>
              <w:rPr>
                <w:rFonts w:hint="eastAsia" w:ascii="Times New Roman" w:hAnsi="Times New Roman" w:eastAsia="宋体" w:cs="Times New Roman"/>
                <w:color w:val="auto"/>
                <w:sz w:val="24"/>
                <w:szCs w:val="24"/>
                <w:highlight w:val="none"/>
                <w:lang w:eastAsia="zh-CN"/>
              </w:rPr>
              <w:t>黏土</w:t>
            </w:r>
            <w:r>
              <w:rPr>
                <w:rFonts w:hint="default" w:ascii="Times New Roman" w:hAnsi="Times New Roman" w:eastAsia="宋体" w:cs="Times New Roman"/>
                <w:color w:val="auto"/>
                <w:sz w:val="24"/>
                <w:szCs w:val="24"/>
                <w:highlight w:val="none"/>
              </w:rPr>
              <w:t>层（渗透系数不大于1.0×10</w:t>
            </w:r>
            <w:r>
              <w:rPr>
                <w:rFonts w:hint="eastAsia"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cm/s），或2mm厚高密度聚乙烯，或至少2mm厚</w:t>
            </w:r>
            <w:r>
              <w:rPr>
                <w:rFonts w:hint="eastAsia" w:ascii="Times New Roman" w:hAnsi="Times New Roman" w:cs="Times New Roman"/>
                <w:color w:val="auto"/>
                <w:sz w:val="24"/>
                <w:szCs w:val="24"/>
                <w:highlight w:val="none"/>
                <w:lang w:eastAsia="zh-CN"/>
              </w:rPr>
              <w:t>其他人工</w:t>
            </w:r>
            <w:r>
              <w:rPr>
                <w:rFonts w:hint="default" w:ascii="Times New Roman" w:hAnsi="Times New Roman" w:eastAsia="宋体" w:cs="Times New Roman"/>
                <w:color w:val="auto"/>
                <w:sz w:val="24"/>
                <w:szCs w:val="24"/>
                <w:highlight w:val="none"/>
              </w:rPr>
              <w:t>材料，渗透系数≤1.0×10</w:t>
            </w:r>
            <w:r>
              <w:rPr>
                <w:rFonts w:hint="eastAsia"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cm/s，同时</w:t>
            </w:r>
            <w:r>
              <w:rPr>
                <w:color w:val="auto"/>
                <w:highlight w:val="none"/>
              </w:rPr>
              <w:t>液体存放在密封容器内，下设托盘</w:t>
            </w:r>
            <w:r>
              <w:rPr>
                <w:rFonts w:hint="default" w:ascii="Times New Roman" w:hAnsi="Times New Roman" w:eastAsia="宋体" w:cs="Times New Roman"/>
                <w:color w:val="auto"/>
                <w:sz w:val="24"/>
                <w:szCs w:val="24"/>
                <w:highlight w:val="none"/>
              </w:rPr>
              <w:t>，减少垂直入渗影响</w:t>
            </w:r>
            <w:r>
              <w:rPr>
                <w:rFonts w:hint="eastAsia" w:ascii="Times New Roman" w:hAnsi="Times New Roman" w:cs="Times New Roman"/>
                <w:color w:val="auto"/>
                <w:sz w:val="24"/>
                <w:szCs w:val="24"/>
                <w:highlight w:val="none"/>
                <w:lang w:val="en-US" w:eastAsia="zh-CN"/>
              </w:rPr>
              <w:t>可能</w:t>
            </w:r>
            <w:r>
              <w:rPr>
                <w:rFonts w:hint="default" w:ascii="Times New Roman" w:hAnsi="Times New Roman" w:eastAsia="宋体" w:cs="Times New Roman"/>
                <w:color w:val="auto"/>
                <w:sz w:val="24"/>
                <w:szCs w:val="24"/>
                <w:highlight w:val="none"/>
              </w:rPr>
              <w:t>，可</w:t>
            </w:r>
            <w:r>
              <w:rPr>
                <w:rFonts w:hint="eastAsia" w:ascii="Times New Roman" w:hAnsi="Times New Roman" w:cs="Times New Roman"/>
                <w:color w:val="auto"/>
                <w:sz w:val="24"/>
                <w:szCs w:val="24"/>
                <w:highlight w:val="none"/>
                <w:lang w:eastAsia="zh-CN"/>
              </w:rPr>
              <w:t>有效地防止</w:t>
            </w:r>
            <w:r>
              <w:rPr>
                <w:rFonts w:hint="default" w:ascii="Times New Roman" w:hAnsi="Times New Roman" w:eastAsia="宋体" w:cs="Times New Roman"/>
                <w:color w:val="auto"/>
                <w:sz w:val="24"/>
                <w:szCs w:val="24"/>
                <w:highlight w:val="none"/>
              </w:rPr>
              <w:t>污染物渗透到地下污染土壤。</w:t>
            </w:r>
            <w:r>
              <w:rPr>
                <w:rFonts w:hint="eastAsia"/>
                <w:color w:val="auto"/>
                <w:highlight w:val="none"/>
                <w:lang w:val="en-US" w:eastAsia="zh-CN"/>
              </w:rPr>
              <w:t>采取以上措施，可从污染途径上有效阻止对土壤的污染。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综上所述，正常情况下，项目厂区建有完善的环保设施及处置措施，能有效防控污染物进入土壤环境，项目在严格做好地面分区防渗措施，</w:t>
            </w:r>
            <w:r>
              <w:rPr>
                <w:rFonts w:hint="eastAsia" w:ascii="Times New Roman" w:hAnsi="Times New Roman" w:eastAsia="宋体" w:cs="Times New Roman"/>
                <w:color w:val="auto"/>
                <w:sz w:val="24"/>
                <w:szCs w:val="24"/>
                <w:highlight w:val="none"/>
                <w:lang w:val="en-US" w:eastAsia="zh-CN"/>
              </w:rPr>
              <w:t>确保废气治理设施正常运行，</w:t>
            </w:r>
            <w:r>
              <w:rPr>
                <w:rFonts w:hint="default" w:ascii="Times New Roman" w:hAnsi="Times New Roman" w:eastAsia="宋体" w:cs="Times New Roman"/>
                <w:color w:val="auto"/>
                <w:sz w:val="24"/>
                <w:szCs w:val="24"/>
                <w:highlight w:val="none"/>
              </w:rPr>
              <w:t>采取必要的检修、监测、管理措施条件下，对土壤环境的影响可接受。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七、环境风险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shd w:val="clear" w:color="auto" w:fill="auto"/>
                <w:lang w:val="en-US" w:eastAsia="zh-CN"/>
              </w:rPr>
              <w:t>风险源分布情况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eastAsia="宋体" w:cs="Times New Roman"/>
                <w:color w:val="auto"/>
                <w:sz w:val="24"/>
                <w:szCs w:val="24"/>
                <w:highlight w:val="none"/>
                <w:lang w:val="en-US" w:eastAsia="zh-CN"/>
              </w:rPr>
            </w:pPr>
            <w:r>
              <w:rPr>
                <w:color w:val="auto"/>
                <w:sz w:val="24"/>
                <w:highlight w:val="none"/>
              </w:rPr>
              <w:t>根据《建设项目环境风险评价技术导则》（HJ/T169-2018）附录B中表B.1及B.2中的相关数据，</w:t>
            </w:r>
            <w:r>
              <w:rPr>
                <w:color w:val="auto"/>
                <w:kern w:val="21"/>
                <w:sz w:val="24"/>
                <w:highlight w:val="none"/>
              </w:rPr>
              <w:t>同时结合本项目原辅材料理化性质及污染物产生情况，项目涉及的风险物质为</w:t>
            </w:r>
            <w:r>
              <w:rPr>
                <w:rFonts w:hint="eastAsia" w:cs="Times New Roman"/>
                <w:color w:val="auto"/>
                <w:sz w:val="24"/>
                <w:szCs w:val="24"/>
                <w:highlight w:val="none"/>
                <w:lang w:val="en-US" w:eastAsia="zh-CN"/>
              </w:rPr>
              <w:t>乙醇、异丙醇、废真空泵油、天然气、化验室废液等</w:t>
            </w:r>
            <w:r>
              <w:rPr>
                <w:rFonts w:hint="eastAsia"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全厂危险物质</w:t>
            </w:r>
            <w:r>
              <w:rPr>
                <w:rFonts w:hint="eastAsia" w:eastAsia="宋体" w:cs="Times New Roman"/>
                <w:color w:val="auto"/>
                <w:sz w:val="24"/>
                <w:szCs w:val="24"/>
                <w:highlight w:val="none"/>
                <w:lang w:val="en-US" w:eastAsia="zh-CN"/>
              </w:rPr>
              <w:t>分布情况见下表。</w:t>
            </w:r>
          </w:p>
          <w:p>
            <w:pPr>
              <w:pStyle w:val="76"/>
              <w:bidi w:val="0"/>
              <w:rPr>
                <w:rFonts w:hint="default"/>
                <w:color w:val="auto"/>
                <w:highlight w:val="none"/>
                <w:lang w:val="en-US" w:eastAsia="zh-CN"/>
              </w:rPr>
            </w:pPr>
            <w:r>
              <w:rPr>
                <w:rFonts w:hint="eastAsia"/>
                <w:color w:val="auto"/>
                <w:highlight w:val="none"/>
                <w:lang w:val="en-US" w:eastAsia="zh-CN"/>
              </w:rPr>
              <w:t>表4-16   项目</w:t>
            </w:r>
            <w:r>
              <w:rPr>
                <w:rFonts w:hint="eastAsia" w:cs="Times New Roman"/>
                <w:color w:val="auto"/>
                <w:sz w:val="24"/>
                <w:szCs w:val="24"/>
                <w:highlight w:val="none"/>
                <w:lang w:val="en-US" w:eastAsia="zh-CN"/>
              </w:rPr>
              <w:t>危险物质</w:t>
            </w:r>
            <w:r>
              <w:rPr>
                <w:rFonts w:hint="eastAsia"/>
                <w:color w:val="auto"/>
                <w:highlight w:val="none"/>
                <w:lang w:val="en-US" w:eastAsia="zh-CN"/>
              </w:rPr>
              <w:t>调查结果</w:t>
            </w:r>
          </w:p>
          <w:tbl>
            <w:tblPr>
              <w:tblStyle w:val="31"/>
              <w:tblW w:w="8063"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85"/>
              <w:gridCol w:w="1652"/>
              <w:gridCol w:w="1622"/>
              <w:gridCol w:w="1487"/>
              <w:gridCol w:w="14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885" w:type="dxa"/>
                  <w:tcBorders>
                    <w:tl2br w:val="nil"/>
                    <w:tr2bl w:val="nil"/>
                  </w:tcBorders>
                  <w:vAlign w:val="center"/>
                </w:tcPr>
                <w:p>
                  <w:pPr>
                    <w:pStyle w:val="32"/>
                    <w:bidi w:val="0"/>
                    <w:rPr>
                      <w:rFonts w:hint="default"/>
                      <w:b/>
                      <w:bCs/>
                      <w:color w:val="auto"/>
                      <w:highlight w:val="none"/>
                      <w:lang w:val="en-US" w:eastAsia="zh-CN"/>
                    </w:rPr>
                  </w:pPr>
                  <w:r>
                    <w:rPr>
                      <w:rFonts w:hint="eastAsia"/>
                      <w:b/>
                      <w:bCs/>
                      <w:color w:val="auto"/>
                      <w:highlight w:val="none"/>
                      <w:lang w:val="en-US" w:eastAsia="zh-CN"/>
                    </w:rPr>
                    <w:t>名称</w:t>
                  </w:r>
                </w:p>
              </w:tc>
              <w:tc>
                <w:tcPr>
                  <w:tcW w:w="1652" w:type="dxa"/>
                  <w:tcBorders>
                    <w:tl2br w:val="nil"/>
                    <w:tr2bl w:val="nil"/>
                  </w:tcBorders>
                  <w:vAlign w:val="center"/>
                </w:tcPr>
                <w:p>
                  <w:pPr>
                    <w:pStyle w:val="32"/>
                    <w:bidi w:val="0"/>
                    <w:rPr>
                      <w:rFonts w:hint="default"/>
                      <w:b/>
                      <w:bCs/>
                      <w:color w:val="auto"/>
                      <w:highlight w:val="none"/>
                      <w:lang w:val="en-US" w:eastAsia="zh-CN"/>
                    </w:rPr>
                  </w:pPr>
                  <w:r>
                    <w:rPr>
                      <w:rFonts w:hint="eastAsia"/>
                      <w:b/>
                      <w:bCs/>
                      <w:color w:val="auto"/>
                      <w:highlight w:val="none"/>
                      <w:lang w:val="en-US" w:eastAsia="zh-CN"/>
                    </w:rPr>
                    <w:t>最大存在量（t）</w:t>
                  </w:r>
                </w:p>
              </w:tc>
              <w:tc>
                <w:tcPr>
                  <w:tcW w:w="1622" w:type="dxa"/>
                  <w:tcBorders>
                    <w:tl2br w:val="nil"/>
                    <w:tr2bl w:val="nil"/>
                  </w:tcBorders>
                  <w:vAlign w:val="center"/>
                </w:tcPr>
                <w:p>
                  <w:pPr>
                    <w:pStyle w:val="32"/>
                    <w:bidi w:val="0"/>
                    <w:rPr>
                      <w:rFonts w:hint="default"/>
                      <w:b/>
                      <w:bCs/>
                      <w:color w:val="auto"/>
                      <w:highlight w:val="none"/>
                      <w:lang w:val="en-US" w:eastAsia="zh-CN"/>
                    </w:rPr>
                  </w:pPr>
                  <w:r>
                    <w:rPr>
                      <w:rFonts w:hint="eastAsia"/>
                      <w:b/>
                      <w:bCs/>
                      <w:color w:val="auto"/>
                      <w:highlight w:val="none"/>
                      <w:lang w:val="en-US" w:eastAsia="zh-CN"/>
                    </w:rPr>
                    <w:t>临界量（t）</w:t>
                  </w:r>
                </w:p>
              </w:tc>
              <w:tc>
                <w:tcPr>
                  <w:tcW w:w="1487" w:type="dxa"/>
                  <w:tcBorders>
                    <w:tl2br w:val="nil"/>
                    <w:tr2bl w:val="nil"/>
                  </w:tcBorders>
                  <w:vAlign w:val="center"/>
                </w:tcPr>
                <w:p>
                  <w:pPr>
                    <w:pStyle w:val="32"/>
                    <w:bidi w:val="0"/>
                    <w:rPr>
                      <w:rFonts w:hint="default"/>
                      <w:b/>
                      <w:bCs/>
                      <w:color w:val="auto"/>
                      <w:highlight w:val="none"/>
                      <w:lang w:val="en-US" w:eastAsia="zh-CN"/>
                    </w:rPr>
                  </w:pPr>
                  <w:r>
                    <w:rPr>
                      <w:rFonts w:hint="eastAsia"/>
                      <w:b/>
                      <w:bCs/>
                      <w:color w:val="auto"/>
                      <w:highlight w:val="none"/>
                      <w:lang w:val="en-US" w:eastAsia="zh-CN"/>
                    </w:rPr>
                    <w:t>Q值</w:t>
                  </w:r>
                </w:p>
              </w:tc>
              <w:tc>
                <w:tcPr>
                  <w:tcW w:w="1417" w:type="dxa"/>
                  <w:tcBorders>
                    <w:tl2br w:val="nil"/>
                    <w:tr2bl w:val="nil"/>
                  </w:tcBorders>
                  <w:vAlign w:val="center"/>
                </w:tcPr>
                <w:p>
                  <w:pPr>
                    <w:pStyle w:val="32"/>
                    <w:bidi w:val="0"/>
                    <w:rPr>
                      <w:rFonts w:hint="default"/>
                      <w:b/>
                      <w:bCs/>
                      <w:color w:val="auto"/>
                      <w:highlight w:val="none"/>
                      <w:lang w:val="en-US" w:eastAsia="zh-CN"/>
                    </w:rPr>
                  </w:pPr>
                  <w:r>
                    <w:rPr>
                      <w:rFonts w:hint="eastAsia"/>
                      <w:b/>
                      <w:bCs/>
                      <w:color w:val="auto"/>
                      <w:highlight w:val="none"/>
                      <w:lang w:val="en-US" w:eastAsia="zh-CN"/>
                    </w:rPr>
                    <w:t>存储位置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885"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乙醇</w:t>
                  </w:r>
                </w:p>
              </w:tc>
              <w:tc>
                <w:tcPr>
                  <w:tcW w:w="1652" w:type="dxa"/>
                  <w:tcBorders>
                    <w:tl2br w:val="nil"/>
                    <w:tr2bl w:val="nil"/>
                  </w:tcBorders>
                  <w:vAlign w:val="center"/>
                </w:tcPr>
                <w:p>
                  <w:pPr>
                    <w:pStyle w:val="32"/>
                    <w:bidi w:val="0"/>
                    <w:rPr>
                      <w:rFonts w:hint="default" w:eastAsia="宋体"/>
                      <w:color w:val="auto"/>
                      <w:highlight w:val="none"/>
                      <w:lang w:val="en-US" w:eastAsia="zh-CN"/>
                    </w:rPr>
                  </w:pPr>
                  <w:r>
                    <w:rPr>
                      <w:rFonts w:hint="eastAsia" w:ascii="Times New Roman" w:hAnsi="Times New Roman"/>
                      <w:bCs/>
                      <w:color w:val="auto"/>
                      <w:szCs w:val="21"/>
                      <w:lang w:val="en-US" w:eastAsia="zh-CN"/>
                    </w:rPr>
                    <w:t>0.010</w:t>
                  </w:r>
                </w:p>
              </w:tc>
              <w:tc>
                <w:tcPr>
                  <w:tcW w:w="1622"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500</w:t>
                  </w:r>
                </w:p>
              </w:tc>
              <w:tc>
                <w:tcPr>
                  <w:tcW w:w="1487" w:type="dxa"/>
                  <w:tcBorders>
                    <w:tl2br w:val="nil"/>
                    <w:tr2bl w:val="nil"/>
                  </w:tcBorders>
                  <w:vAlign w:val="center"/>
                </w:tcPr>
                <w:p>
                  <w:pPr>
                    <w:pStyle w:val="32"/>
                    <w:bidi w:val="0"/>
                    <w:rPr>
                      <w:rFonts w:hint="default"/>
                      <w:color w:val="auto"/>
                      <w:highlight w:val="none"/>
                      <w:lang w:val="en-US" w:eastAsia="zh-CN"/>
                    </w:rPr>
                  </w:pPr>
                  <w:r>
                    <w:rPr>
                      <w:rFonts w:hint="eastAsia"/>
                      <w:color w:val="auto"/>
                      <w:highlight w:val="none"/>
                      <w:lang w:val="en-US" w:eastAsia="zh-CN"/>
                    </w:rPr>
                    <w:t>0.00002</w:t>
                  </w:r>
                </w:p>
              </w:tc>
              <w:tc>
                <w:tcPr>
                  <w:tcW w:w="1417" w:type="dxa"/>
                  <w:tcBorders>
                    <w:tl2br w:val="nil"/>
                    <w:tr2bl w:val="nil"/>
                  </w:tcBorders>
                  <w:vAlign w:val="center"/>
                </w:tcPr>
                <w:p>
                  <w:pPr>
                    <w:pStyle w:val="32"/>
                    <w:bidi w:val="0"/>
                    <w:rPr>
                      <w:rFonts w:hint="default"/>
                      <w:color w:val="auto"/>
                      <w:highlight w:val="none"/>
                      <w:lang w:val="en-US" w:eastAsia="zh-CN"/>
                    </w:rPr>
                  </w:pPr>
                  <w:r>
                    <w:rPr>
                      <w:rFonts w:hint="eastAsia"/>
                      <w:color w:val="auto"/>
                      <w:highlight w:val="none"/>
                      <w:lang w:val="en-US" w:eastAsia="zh-CN"/>
                    </w:rPr>
                    <w:t>车间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885"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eastAsia"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异丙醇</w:t>
                  </w:r>
                </w:p>
              </w:tc>
              <w:tc>
                <w:tcPr>
                  <w:tcW w:w="1652"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0.0005</w:t>
                  </w:r>
                </w:p>
              </w:tc>
              <w:tc>
                <w:tcPr>
                  <w:tcW w:w="1622"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10</w:t>
                  </w:r>
                </w:p>
              </w:tc>
              <w:tc>
                <w:tcPr>
                  <w:tcW w:w="1487"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0.00005</w:t>
                  </w:r>
                </w:p>
              </w:tc>
              <w:tc>
                <w:tcPr>
                  <w:tcW w:w="1417"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化验室</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885"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eastAsia"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废真空泵油</w:t>
                  </w:r>
                </w:p>
              </w:tc>
              <w:tc>
                <w:tcPr>
                  <w:tcW w:w="1652"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0.05</w:t>
                  </w:r>
                </w:p>
              </w:tc>
              <w:tc>
                <w:tcPr>
                  <w:tcW w:w="1622"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50</w:t>
                  </w:r>
                </w:p>
              </w:tc>
              <w:tc>
                <w:tcPr>
                  <w:tcW w:w="1487"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0.001</w:t>
                  </w:r>
                </w:p>
              </w:tc>
              <w:tc>
                <w:tcPr>
                  <w:tcW w:w="1417"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危废贮存库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885"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天然气</w:t>
                  </w:r>
                </w:p>
              </w:tc>
              <w:tc>
                <w:tcPr>
                  <w:tcW w:w="1652"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0.001</w:t>
                  </w:r>
                </w:p>
              </w:tc>
              <w:tc>
                <w:tcPr>
                  <w:tcW w:w="1622"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50</w:t>
                  </w:r>
                </w:p>
              </w:tc>
              <w:tc>
                <w:tcPr>
                  <w:tcW w:w="1487"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0.00002</w:t>
                  </w:r>
                </w:p>
              </w:tc>
              <w:tc>
                <w:tcPr>
                  <w:tcW w:w="1417"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天然气管线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885"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化验室废液</w:t>
                  </w:r>
                </w:p>
              </w:tc>
              <w:tc>
                <w:tcPr>
                  <w:tcW w:w="1652"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0.03</w:t>
                  </w:r>
                </w:p>
              </w:tc>
              <w:tc>
                <w:tcPr>
                  <w:tcW w:w="1622"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5</w:t>
                  </w:r>
                </w:p>
              </w:tc>
              <w:tc>
                <w:tcPr>
                  <w:tcW w:w="1487"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0.0006</w:t>
                  </w:r>
                </w:p>
              </w:tc>
              <w:tc>
                <w:tcPr>
                  <w:tcW w:w="1417"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危废贮存库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5159" w:type="dxa"/>
                  <w:gridSpan w:val="3"/>
                  <w:tcBorders>
                    <w:tl2br w:val="nil"/>
                    <w:tr2bl w:val="nil"/>
                  </w:tcBorders>
                  <w:vAlign w:val="center"/>
                </w:tcPr>
                <w:p>
                  <w:pPr>
                    <w:pStyle w:val="32"/>
                    <w:bidi w:val="0"/>
                    <w:rPr>
                      <w:rFonts w:hint="default"/>
                      <w:color w:val="auto"/>
                      <w:highlight w:val="none"/>
                      <w:lang w:val="en-US" w:eastAsia="zh-CN"/>
                    </w:rPr>
                  </w:pPr>
                  <w:r>
                    <w:rPr>
                      <w:rFonts w:hint="eastAsia"/>
                      <w:color w:val="auto"/>
                      <w:highlight w:val="none"/>
                      <w:lang w:val="en-US" w:eastAsia="zh-CN"/>
                    </w:rPr>
                    <w:t>合计</w:t>
                  </w:r>
                </w:p>
              </w:tc>
              <w:tc>
                <w:tcPr>
                  <w:tcW w:w="1487" w:type="dxa"/>
                  <w:tcBorders>
                    <w:tl2br w:val="nil"/>
                    <w:tr2bl w:val="nil"/>
                  </w:tcBorders>
                  <w:vAlign w:val="center"/>
                </w:tcPr>
                <w:p>
                  <w:pPr>
                    <w:pStyle w:val="32"/>
                    <w:bidi w:val="0"/>
                    <w:rPr>
                      <w:rFonts w:hint="default"/>
                      <w:color w:val="auto"/>
                      <w:highlight w:val="none"/>
                      <w:lang w:val="en-US" w:eastAsia="zh-CN"/>
                    </w:rPr>
                  </w:pPr>
                  <w:r>
                    <w:rPr>
                      <w:rFonts w:hint="eastAsia"/>
                      <w:color w:val="auto"/>
                      <w:highlight w:val="none"/>
                      <w:lang w:val="en-US" w:eastAsia="zh-CN"/>
                    </w:rPr>
                    <w:t>0.00169</w:t>
                  </w:r>
                </w:p>
              </w:tc>
              <w:tc>
                <w:tcPr>
                  <w:tcW w:w="1417" w:type="dxa"/>
                  <w:tcBorders>
                    <w:tl2br w:val="nil"/>
                    <w:tr2bl w:val="nil"/>
                  </w:tcBorders>
                  <w:vAlign w:val="center"/>
                </w:tcPr>
                <w:p>
                  <w:pPr>
                    <w:pStyle w:val="32"/>
                    <w:bidi w:val="0"/>
                    <w:rPr>
                      <w:rFonts w:hint="default"/>
                      <w:color w:val="auto"/>
                      <w:highlight w:val="none"/>
                      <w:lang w:val="en-US" w:eastAsia="zh-CN"/>
                    </w:rPr>
                  </w:pPr>
                  <w:r>
                    <w:rPr>
                      <w:rFonts w:hint="eastAsia"/>
                      <w:color w:val="auto"/>
                      <w:highlight w:val="none"/>
                      <w:lang w:val="en-US" w:eastAsia="zh-CN"/>
                    </w:rPr>
                    <w:t>Q&lt;1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2、可能影响环境的途径</w:t>
            </w:r>
          </w:p>
          <w:p>
            <w:pPr>
              <w:pStyle w:val="76"/>
              <w:bidi w:val="0"/>
              <w:rPr>
                <w:rFonts w:hint="default"/>
                <w:color w:val="auto"/>
                <w:highlight w:val="none"/>
                <w:lang w:val="en-US" w:eastAsia="zh-CN"/>
              </w:rPr>
            </w:pPr>
            <w:r>
              <w:rPr>
                <w:rFonts w:hint="eastAsia"/>
                <w:color w:val="auto"/>
                <w:highlight w:val="none"/>
                <w:lang w:val="en-US" w:eastAsia="zh-CN"/>
              </w:rPr>
              <w:t>表4-17   影响途径一览表</w:t>
            </w:r>
          </w:p>
          <w:tbl>
            <w:tblPr>
              <w:tblStyle w:val="31"/>
              <w:tblW w:w="8063"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28"/>
              <w:gridCol w:w="1376"/>
              <w:gridCol w:w="525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428"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危险物质</w:t>
                  </w:r>
                </w:p>
              </w:tc>
              <w:tc>
                <w:tcPr>
                  <w:tcW w:w="1376" w:type="dxa"/>
                  <w:tcBorders>
                    <w:tl2br w:val="nil"/>
                    <w:tr2bl w:val="nil"/>
                  </w:tcBorders>
                  <w:vAlign w:val="center"/>
                </w:tcPr>
                <w:p>
                  <w:pPr>
                    <w:pStyle w:val="32"/>
                    <w:bidi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危险源分布</w:t>
                  </w:r>
                </w:p>
              </w:tc>
              <w:tc>
                <w:tcPr>
                  <w:tcW w:w="5259" w:type="dxa"/>
                  <w:tcBorders>
                    <w:tl2br w:val="nil"/>
                    <w:tr2bl w:val="nil"/>
                  </w:tcBorders>
                  <w:vAlign w:val="center"/>
                </w:tcPr>
                <w:p>
                  <w:pPr>
                    <w:pStyle w:val="32"/>
                    <w:bidi w:val="0"/>
                    <w:rPr>
                      <w:rFonts w:hint="eastAsia"/>
                      <w:b/>
                      <w:bCs/>
                      <w:color w:val="auto"/>
                      <w:highlight w:val="none"/>
                      <w:lang w:val="en-US" w:eastAsia="zh-CN"/>
                    </w:rPr>
                  </w:pPr>
                  <w:r>
                    <w:rPr>
                      <w:rFonts w:hint="eastAsia"/>
                      <w:b/>
                      <w:bCs/>
                      <w:color w:val="auto"/>
                      <w:highlight w:val="none"/>
                      <w:lang w:val="en-US" w:eastAsia="zh-CN"/>
                    </w:rPr>
                    <w:t>可能影响的途径</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428" w:type="dxa"/>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zh-CN"/>
                    </w:rPr>
                  </w:pPr>
                  <w:r>
                    <w:rPr>
                      <w:rFonts w:hint="eastAsia" w:cs="Times New Roman"/>
                      <w:color w:val="auto"/>
                      <w:kern w:val="2"/>
                      <w:sz w:val="21"/>
                      <w:szCs w:val="21"/>
                      <w:highlight w:val="none"/>
                      <w:lang w:val="en-US" w:eastAsia="zh-CN" w:bidi="zh-CN"/>
                    </w:rPr>
                    <w:t>乙醇、异丙醇</w:t>
                  </w:r>
                </w:p>
              </w:tc>
              <w:tc>
                <w:tcPr>
                  <w:tcW w:w="1376" w:type="dxa"/>
                  <w:tcBorders>
                    <w:tl2br w:val="nil"/>
                    <w:tr2bl w:val="nil"/>
                  </w:tcBorders>
                  <w:vAlign w:val="center"/>
                </w:tcPr>
                <w:p>
                  <w:pPr>
                    <w:pStyle w:val="32"/>
                    <w:bidi w:val="0"/>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生产车间、化验室</w:t>
                  </w:r>
                </w:p>
              </w:tc>
              <w:tc>
                <w:tcPr>
                  <w:tcW w:w="5259" w:type="dxa"/>
                  <w:tcBorders>
                    <w:tl2br w:val="nil"/>
                    <w:tr2bl w:val="nil"/>
                  </w:tcBorders>
                  <w:vAlign w:val="center"/>
                </w:tcPr>
                <w:p>
                  <w:pPr>
                    <w:pStyle w:val="32"/>
                    <w:bidi w:val="0"/>
                    <w:rPr>
                      <w:rFonts w:hint="eastAsia"/>
                      <w:b/>
                      <w:bCs/>
                      <w:color w:val="auto"/>
                      <w:highlight w:val="none"/>
                      <w:lang w:val="en-US" w:eastAsia="zh-CN"/>
                    </w:rPr>
                  </w:pPr>
                  <w:r>
                    <w:rPr>
                      <w:rFonts w:hint="eastAsia"/>
                      <w:color w:val="auto"/>
                      <w:highlight w:val="none"/>
                      <w:lang w:val="en-US" w:eastAsia="zh-CN"/>
                    </w:rPr>
                    <w:t>乙醇、异丙醇</w:t>
                  </w:r>
                  <w:r>
                    <w:rPr>
                      <w:rFonts w:hint="eastAsia"/>
                      <w:color w:val="auto"/>
                      <w:highlight w:val="none"/>
                      <w:lang w:eastAsia="zh-CN"/>
                    </w:rPr>
                    <w:t>泄漏</w:t>
                  </w:r>
                  <w:r>
                    <w:rPr>
                      <w:rFonts w:hint="default"/>
                      <w:color w:val="auto"/>
                      <w:highlight w:val="none"/>
                    </w:rPr>
                    <w:t>，随地表径流进入地表水体污染河流，或垂直入渗进入地下水造成地下水污染。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428" w:type="dxa"/>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tLeast"/>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废真空泵油、化验室废液</w:t>
                  </w:r>
                </w:p>
              </w:tc>
              <w:tc>
                <w:tcPr>
                  <w:tcW w:w="1376" w:type="dxa"/>
                  <w:tcBorders>
                    <w:tl2br w:val="nil"/>
                    <w:tr2bl w:val="nil"/>
                  </w:tcBorders>
                  <w:vAlign w:val="center"/>
                </w:tcPr>
                <w:p>
                  <w:pPr>
                    <w:pStyle w:val="32"/>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危废贮存库</w:t>
                  </w:r>
                </w:p>
              </w:tc>
              <w:tc>
                <w:tcPr>
                  <w:tcW w:w="5259" w:type="dxa"/>
                  <w:tcBorders>
                    <w:tl2br w:val="nil"/>
                    <w:tr2bl w:val="nil"/>
                  </w:tcBorders>
                  <w:vAlign w:val="center"/>
                </w:tcPr>
                <w:p>
                  <w:pPr>
                    <w:pStyle w:val="32"/>
                    <w:bidi w:val="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废真空泵油、化验室废液</w:t>
                  </w:r>
                  <w:r>
                    <w:rPr>
                      <w:rFonts w:hint="default" w:ascii="Times New Roman" w:hAnsi="Times New Roman" w:eastAsia="宋体" w:cs="Times New Roman"/>
                      <w:color w:val="auto"/>
                      <w:kern w:val="0"/>
                      <w:sz w:val="21"/>
                      <w:szCs w:val="21"/>
                      <w:highlight w:val="none"/>
                      <w:lang w:val="en-US" w:eastAsia="zh-CN" w:bidi="ar-SA"/>
                    </w:rPr>
                    <w:t>的</w:t>
                  </w:r>
                  <w:r>
                    <w:rPr>
                      <w:rFonts w:hint="eastAsia" w:ascii="Times New Roman" w:hAnsi="Times New Roman" w:eastAsia="宋体" w:cs="Times New Roman"/>
                      <w:color w:val="auto"/>
                      <w:kern w:val="0"/>
                      <w:sz w:val="21"/>
                      <w:szCs w:val="21"/>
                      <w:highlight w:val="none"/>
                      <w:lang w:val="en-US" w:eastAsia="zh-CN" w:bidi="ar-SA"/>
                    </w:rPr>
                    <w:t>泄漏</w:t>
                  </w:r>
                  <w:r>
                    <w:rPr>
                      <w:rFonts w:hint="default" w:ascii="Times New Roman" w:hAnsi="Times New Roman" w:eastAsia="宋体" w:cs="Times New Roman"/>
                      <w:color w:val="auto"/>
                      <w:kern w:val="0"/>
                      <w:sz w:val="21"/>
                      <w:szCs w:val="21"/>
                      <w:highlight w:val="none"/>
                      <w:lang w:val="en-US" w:eastAsia="zh-CN" w:bidi="ar-SA"/>
                    </w:rPr>
                    <w:t>，随地表径流进入地表水体污染河流，或垂直入渗进入地下水造成地下水污染。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428" w:type="dxa"/>
                  <w:tcBorders>
                    <w:tl2br w:val="nil"/>
                    <w:tr2bl w:val="nil"/>
                  </w:tcBorders>
                  <w:vAlign w:val="center"/>
                </w:tcPr>
                <w:p>
                  <w:pPr>
                    <w:pStyle w:val="32"/>
                    <w:bidi w:val="0"/>
                    <w:rPr>
                      <w:rFonts w:hint="default"/>
                      <w:color w:val="auto"/>
                      <w:highlight w:val="none"/>
                      <w:lang w:val="en-US" w:eastAsia="zh-CN"/>
                    </w:rPr>
                  </w:pPr>
                  <w:r>
                    <w:rPr>
                      <w:rFonts w:hint="eastAsia"/>
                      <w:color w:val="auto"/>
                      <w:highlight w:val="none"/>
                      <w:lang w:val="en-US" w:eastAsia="zh-CN"/>
                    </w:rPr>
                    <w:t>天然气</w:t>
                  </w:r>
                </w:p>
              </w:tc>
              <w:tc>
                <w:tcPr>
                  <w:tcW w:w="1376" w:type="dxa"/>
                  <w:tcBorders>
                    <w:tl2br w:val="nil"/>
                    <w:tr2bl w:val="nil"/>
                  </w:tcBorders>
                  <w:vAlign w:val="center"/>
                </w:tcPr>
                <w:p>
                  <w:pPr>
                    <w:pStyle w:val="32"/>
                    <w:bidi w:val="0"/>
                    <w:rPr>
                      <w:rFonts w:hint="default"/>
                      <w:color w:val="auto"/>
                      <w:highlight w:val="none"/>
                      <w:lang w:val="en-US" w:eastAsia="zh-CN"/>
                    </w:rPr>
                  </w:pPr>
                  <w:r>
                    <w:rPr>
                      <w:rFonts w:hint="eastAsia"/>
                      <w:color w:val="auto"/>
                      <w:highlight w:val="none"/>
                      <w:lang w:val="en-US" w:eastAsia="zh-CN"/>
                    </w:rPr>
                    <w:t>天然气管线</w:t>
                  </w:r>
                </w:p>
              </w:tc>
              <w:tc>
                <w:tcPr>
                  <w:tcW w:w="5259" w:type="dxa"/>
                  <w:tcBorders>
                    <w:tl2br w:val="nil"/>
                    <w:tr2bl w:val="nil"/>
                  </w:tcBorders>
                  <w:vAlign w:val="center"/>
                </w:tcPr>
                <w:p>
                  <w:pPr>
                    <w:pStyle w:val="32"/>
                    <w:bidi w:val="0"/>
                    <w:rPr>
                      <w:rFonts w:hint="eastAsia"/>
                      <w:color w:val="auto"/>
                      <w:highlight w:val="none"/>
                      <w:lang w:val="en-US" w:eastAsia="zh-CN"/>
                    </w:rPr>
                  </w:pPr>
                  <w:r>
                    <w:rPr>
                      <w:rFonts w:hint="eastAsia"/>
                      <w:color w:val="auto"/>
                      <w:highlight w:val="none"/>
                      <w:lang w:val="en-US" w:eastAsia="zh-CN"/>
                    </w:rPr>
                    <w:t>天然气泄漏遇明火发生火灾爆炸，产生伴生/次生污染物，污染环境空气，消防废水</w:t>
                  </w:r>
                  <w:r>
                    <w:rPr>
                      <w:rFonts w:hint="default"/>
                      <w:color w:val="auto"/>
                      <w:highlight w:val="none"/>
                    </w:rPr>
                    <w:t>随地表径流进入地表水体污染河流。</w:t>
                  </w:r>
                </w:p>
              </w:tc>
            </w:tr>
          </w:tbl>
          <w:p>
            <w:pPr>
              <w:bidi w:val="0"/>
              <w:rPr>
                <w:rFonts w:hint="eastAsia"/>
                <w:color w:val="auto"/>
                <w:lang w:val="en-US" w:eastAsia="zh-CN"/>
              </w:rPr>
            </w:pPr>
            <w:r>
              <w:rPr>
                <w:rFonts w:hint="eastAsia"/>
                <w:color w:val="auto"/>
                <w:lang w:val="en-US" w:eastAsia="zh-CN"/>
              </w:rPr>
              <w:t>3、风险防范措施</w:t>
            </w:r>
          </w:p>
          <w:p>
            <w:pPr>
              <w:bidi w:val="0"/>
              <w:rPr>
                <w:rFonts w:hint="default"/>
                <w:color w:val="auto"/>
              </w:rPr>
            </w:pPr>
            <w:r>
              <w:rPr>
                <w:rFonts w:hint="default"/>
                <w:color w:val="auto"/>
              </w:rPr>
              <w:t>为预防风险事故的发生，本次评价提出以下防范措施：</w:t>
            </w:r>
          </w:p>
          <w:p>
            <w:pPr>
              <w:bidi w:val="0"/>
              <w:rPr>
                <w:rFonts w:hint="default"/>
                <w:color w:val="auto"/>
              </w:rPr>
            </w:pPr>
            <w:r>
              <w:rPr>
                <w:rFonts w:hint="default"/>
                <w:color w:val="auto"/>
              </w:rPr>
              <w:t>a.项目在生产过程中要一定注意通风，远离火花、明火、热源。厂区内应安装消防设施。厂区总平面布置符合防范事故要求，有应急救援设施及救援通道、应急疏散。</w:t>
            </w:r>
          </w:p>
          <w:p>
            <w:pPr>
              <w:bidi w:val="0"/>
              <w:rPr>
                <w:rFonts w:hint="default"/>
                <w:color w:val="auto"/>
              </w:rPr>
            </w:pPr>
            <w:r>
              <w:rPr>
                <w:rFonts w:hint="default"/>
                <w:color w:val="auto"/>
              </w:rPr>
              <w:t>b.加强职工的安全教育，定期组织事故抢救演习。企业应开展安全生产定期检查，严格实行岗位责任制，及时发现并消除隐患；制定防止事故发生的各项规章制度并严格执行。按规定对操作人员进行安全操作技术培训，考试合格后方可上岗。企业的安全工作应做到经常化和常态化。</w:t>
            </w:r>
          </w:p>
          <w:p>
            <w:pPr>
              <w:bidi w:val="0"/>
              <w:rPr>
                <w:rFonts w:hint="default"/>
                <w:color w:val="auto"/>
                <w:lang w:val="en-US" w:eastAsia="zh-CN"/>
              </w:rPr>
            </w:pPr>
            <w:r>
              <w:rPr>
                <w:rFonts w:hint="default"/>
                <w:color w:val="auto"/>
              </w:rPr>
              <w:t>c.暂存时</w:t>
            </w:r>
            <w:r>
              <w:rPr>
                <w:rFonts w:hint="eastAsia"/>
                <w:color w:val="auto"/>
                <w:lang w:eastAsia="zh-CN"/>
              </w:rPr>
              <w:t>废真空泵油</w:t>
            </w:r>
            <w:r>
              <w:rPr>
                <w:rFonts w:hint="default"/>
                <w:color w:val="auto"/>
              </w:rPr>
              <w:t>桶下设置托盘，采取严格的硬化及防渗处理。厂区建立完善的危废管理制度，有专人负责进行管理</w:t>
            </w:r>
            <w:r>
              <w:rPr>
                <w:rFonts w:hint="default"/>
                <w:color w:val="auto"/>
                <w:lang w:val="en-US" w:eastAsia="zh-CN"/>
              </w:rPr>
              <w:t>。</w:t>
            </w:r>
          </w:p>
          <w:p>
            <w:pPr>
              <w:bidi w:val="0"/>
              <w:rPr>
                <w:rFonts w:hint="default"/>
                <w:color w:val="auto"/>
              </w:rPr>
            </w:pPr>
            <w:r>
              <w:rPr>
                <w:rFonts w:hint="default"/>
                <w:color w:val="auto"/>
                <w:lang w:val="en-US" w:eastAsia="zh-CN"/>
              </w:rPr>
              <w:t>d</w:t>
            </w:r>
            <w:r>
              <w:rPr>
                <w:rFonts w:hint="default"/>
                <w:color w:val="auto"/>
              </w:rPr>
              <w:t>.履行危险废物申报登记制度、建立台账管理制度、执行报批和转移联单制度。</w:t>
            </w:r>
          </w:p>
          <w:p>
            <w:pPr>
              <w:bidi w:val="0"/>
              <w:rPr>
                <w:rFonts w:hint="default"/>
                <w:color w:val="auto"/>
              </w:rPr>
            </w:pPr>
            <w:r>
              <w:rPr>
                <w:rFonts w:hint="default"/>
                <w:color w:val="auto"/>
              </w:rPr>
              <w:t>综上，本项目不存在重大危险源，且涉及危险品性质及生产工艺简单，在采取本次评价提出的各项风险防范措施后，环境风险较小。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八</w:t>
            </w:r>
            <w:r>
              <w:rPr>
                <w:rFonts w:hint="default" w:ascii="Times New Roman" w:hAnsi="Times New Roman" w:eastAsia="宋体" w:cs="Times New Roman"/>
                <w:b/>
                <w:bCs/>
                <w:color w:val="auto"/>
                <w:sz w:val="24"/>
                <w:szCs w:val="24"/>
                <w:highlight w:val="none"/>
                <w:lang w:val="en-US" w:eastAsia="zh-CN"/>
              </w:rPr>
              <w:t>、生态</w:t>
            </w:r>
          </w:p>
          <w:p>
            <w:pPr>
              <w:bidi w:val="0"/>
              <w:rPr>
                <w:rFonts w:hint="eastAsia"/>
                <w:lang w:val="en-US" w:eastAsia="zh-CN"/>
              </w:rPr>
            </w:pPr>
            <w:r>
              <w:rPr>
                <w:rFonts w:hint="eastAsia"/>
                <w:lang w:val="en-US" w:eastAsia="zh-CN"/>
              </w:rPr>
              <w:t>项目周边主要为当地植被及农作物，项目地不涉及生态保护红线、自然保护区等生态保护目标。项目在已建成厂房内安装设备，对周围生态环境影响较小。</w:t>
            </w:r>
          </w:p>
          <w:p>
            <w:pPr>
              <w:pStyle w:val="12"/>
              <w:rPr>
                <w:rFonts w:hint="eastAsia"/>
                <w:lang w:val="en-US" w:eastAsia="zh-CN"/>
              </w:rPr>
            </w:pPr>
          </w:p>
          <w:p>
            <w:pPr>
              <w:pStyle w:val="12"/>
              <w:rPr>
                <w:rFonts w:hint="eastAsia"/>
                <w:lang w:val="en-US" w:eastAsia="zh-CN"/>
              </w:rPr>
            </w:pPr>
          </w:p>
          <w:p>
            <w:pPr>
              <w:bidi w:val="0"/>
              <w:rPr>
                <w:rFonts w:hint="default"/>
              </w:rPr>
            </w:pPr>
          </w:p>
        </w:tc>
      </w:tr>
    </w:tbl>
    <w:p>
      <w:pPr>
        <w:rPr>
          <w:color w:val="auto"/>
        </w:rPr>
        <w:sectPr>
          <w:headerReference r:id="rId7" w:type="default"/>
          <w:footerReference r:id="rId8" w:type="default"/>
          <w:pgSz w:w="11905" w:h="16838"/>
          <w:pgMar w:top="1247" w:right="1247" w:bottom="1247" w:left="1587"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firstLine="0" w:firstLineChars="0"/>
        <w:jc w:val="center"/>
        <w:textAlignment w:val="auto"/>
        <w:outlineLvl w:val="0"/>
        <w:rPr>
          <w:rFonts w:hint="default" w:ascii="Times New Roman" w:hAnsi="Times New Roman" w:eastAsia="宋体" w:cs="Times New Roman"/>
          <w:b/>
          <w:bCs/>
          <w:snapToGrid w:val="0"/>
          <w:color w:val="auto"/>
          <w:kern w:val="0"/>
          <w:sz w:val="30"/>
          <w:szCs w:val="30"/>
          <w:highlight w:val="none"/>
          <w:lang w:val="en-US" w:eastAsia="zh-CN" w:bidi="ar-SA"/>
        </w:rPr>
      </w:pPr>
      <w:r>
        <w:rPr>
          <w:rFonts w:hint="default" w:ascii="Times New Roman" w:hAnsi="Times New Roman" w:eastAsia="黑体" w:cs="Times New Roman"/>
          <w:snapToGrid w:val="0"/>
          <w:color w:val="auto"/>
          <w:sz w:val="30"/>
          <w:szCs w:val="30"/>
          <w:highlight w:val="none"/>
        </w:rPr>
        <w:t>五、环境保护措施监督检查清单</w:t>
      </w:r>
      <w:bookmarkEnd w:id="22"/>
      <w:bookmarkEnd w:id="23"/>
      <w:bookmarkEnd w:id="24"/>
      <w:bookmarkEnd w:id="25"/>
    </w:p>
    <w:tbl>
      <w:tblPr>
        <w:tblStyle w:val="30"/>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445"/>
        <w:gridCol w:w="1660"/>
        <w:gridCol w:w="1478"/>
        <w:gridCol w:w="2137"/>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1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名称</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/污染源</w:t>
            </w:r>
          </w:p>
        </w:tc>
        <w:tc>
          <w:tcPr>
            <w:tcW w:w="14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2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2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大气环境</w:t>
            </w:r>
          </w:p>
        </w:tc>
        <w:tc>
          <w:tcPr>
            <w:tcW w:w="1660" w:type="dxa"/>
            <w:tcBorders>
              <w:tl2br w:val="nil"/>
              <w:tr2bl w:val="nil"/>
            </w:tcBorders>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DA001/天然气锅炉</w:t>
            </w:r>
          </w:p>
        </w:tc>
        <w:tc>
          <w:tcPr>
            <w:tcW w:w="1478"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olor w:val="auto"/>
                <w:lang w:val="en-US" w:eastAsia="zh-CN"/>
              </w:rPr>
              <w:t>颗粒物、二氧化硫、氮氧化物</w:t>
            </w:r>
          </w:p>
        </w:tc>
        <w:tc>
          <w:tcPr>
            <w:tcW w:w="2137"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color w:val="auto"/>
                <w:lang w:val="en-US" w:eastAsia="zh-CN"/>
              </w:rPr>
            </w:pPr>
            <w:r>
              <w:rPr>
                <w:rFonts w:hint="eastAsia"/>
                <w:color w:val="auto"/>
                <w:lang w:val="en-US" w:eastAsia="zh-CN"/>
              </w:rPr>
              <w:t>低氮燃烧+15m排气筒DA001</w:t>
            </w:r>
          </w:p>
        </w:tc>
        <w:tc>
          <w:tcPr>
            <w:tcW w:w="2408"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《锅炉大气污染物排放标准》（DB60/1226-2018）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p>
        </w:tc>
        <w:tc>
          <w:tcPr>
            <w:tcW w:w="1660" w:type="dxa"/>
            <w:tcBorders>
              <w:tl2br w:val="nil"/>
              <w:tr2bl w:val="nil"/>
            </w:tcBorders>
            <w:vAlign w:val="center"/>
          </w:tcPr>
          <w:p>
            <w:pPr>
              <w:adjustRightInd w:val="0"/>
              <w:snapToGrid w:val="0"/>
              <w:spacing w:line="240" w:lineRule="atLeast"/>
              <w:ind w:left="0" w:leftChars="0" w:firstLine="0" w:firstLineChars="0"/>
              <w:jc w:val="center"/>
              <w:rPr>
                <w:rFonts w:hint="default"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DA002/1#及2#热油锅</w:t>
            </w:r>
          </w:p>
        </w:tc>
        <w:tc>
          <w:tcPr>
            <w:tcW w:w="1478"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油烟</w:t>
            </w:r>
          </w:p>
        </w:tc>
        <w:tc>
          <w:tcPr>
            <w:tcW w:w="2137"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color w:val="auto"/>
                <w:lang w:val="en-US" w:eastAsia="zh-CN"/>
              </w:rPr>
            </w:pPr>
            <w:r>
              <w:rPr>
                <w:rFonts w:hint="eastAsia"/>
                <w:color w:val="auto"/>
                <w:lang w:val="en-US" w:eastAsia="zh-CN"/>
              </w:rPr>
              <w:t>集气罩收集+油烟净化器+15m排气筒DA002</w:t>
            </w:r>
          </w:p>
        </w:tc>
        <w:tc>
          <w:tcPr>
            <w:tcW w:w="2408" w:type="dxa"/>
            <w:vMerge w:val="restart"/>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《饮食业油烟排放标准》（试行）（GB18483-2001）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p>
        </w:tc>
        <w:tc>
          <w:tcPr>
            <w:tcW w:w="1660" w:type="dxa"/>
            <w:tcBorders>
              <w:tl2br w:val="nil"/>
              <w:tr2bl w:val="nil"/>
            </w:tcBorders>
            <w:vAlign w:val="center"/>
          </w:tcPr>
          <w:p>
            <w:pPr>
              <w:adjustRightInd w:val="0"/>
              <w:snapToGrid w:val="0"/>
              <w:spacing w:line="240" w:lineRule="atLeast"/>
              <w:ind w:left="0" w:leftChars="0" w:firstLine="0" w:firstLineChars="0"/>
              <w:jc w:val="center"/>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DA003/3#及4#热油锅</w:t>
            </w:r>
          </w:p>
        </w:tc>
        <w:tc>
          <w:tcPr>
            <w:tcW w:w="1478"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油烟</w:t>
            </w:r>
          </w:p>
        </w:tc>
        <w:tc>
          <w:tcPr>
            <w:tcW w:w="2137"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eastAsia"/>
                <w:color w:val="auto"/>
                <w:lang w:val="en-US" w:eastAsia="zh-CN"/>
              </w:rPr>
            </w:pPr>
            <w:r>
              <w:rPr>
                <w:rFonts w:hint="eastAsia"/>
                <w:color w:val="auto"/>
                <w:lang w:val="en-US" w:eastAsia="zh-CN"/>
              </w:rPr>
              <w:t>集气罩收集+油烟净化器+15m排气筒DA002</w:t>
            </w:r>
          </w:p>
        </w:tc>
        <w:tc>
          <w:tcPr>
            <w:tcW w:w="2408" w:type="dxa"/>
            <w:vMerge w:val="continue"/>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p>
        </w:tc>
        <w:tc>
          <w:tcPr>
            <w:tcW w:w="1660" w:type="dxa"/>
            <w:tcBorders>
              <w:tl2br w:val="nil"/>
              <w:tr2bl w:val="nil"/>
            </w:tcBorders>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lang w:val="en-US" w:eastAsia="zh-CN"/>
              </w:rPr>
              <w:t>热油锅天然气燃烧废气</w:t>
            </w:r>
          </w:p>
        </w:tc>
        <w:tc>
          <w:tcPr>
            <w:tcW w:w="1478"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eastAsia"/>
                <w:color w:val="auto"/>
                <w:lang w:val="en-US" w:eastAsia="zh-CN"/>
              </w:rPr>
            </w:pPr>
            <w:r>
              <w:rPr>
                <w:rFonts w:hint="eastAsia"/>
                <w:color w:val="auto"/>
                <w:lang w:val="en-US" w:eastAsia="zh-CN"/>
              </w:rPr>
              <w:t>颗粒物、二氧化硫、氮氧化物</w:t>
            </w:r>
          </w:p>
        </w:tc>
        <w:tc>
          <w:tcPr>
            <w:tcW w:w="2137"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color w:val="auto"/>
                <w:lang w:val="en-US" w:eastAsia="zh-CN"/>
              </w:rPr>
            </w:pPr>
            <w:r>
              <w:rPr>
                <w:rFonts w:hint="eastAsia"/>
                <w:color w:val="auto"/>
                <w:lang w:val="en-US" w:eastAsia="zh-CN"/>
              </w:rPr>
              <w:t>无组织排放</w:t>
            </w:r>
          </w:p>
        </w:tc>
        <w:tc>
          <w:tcPr>
            <w:tcW w:w="2408"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地表水环境</w:t>
            </w:r>
          </w:p>
        </w:tc>
        <w:tc>
          <w:tcPr>
            <w:tcW w:w="1660"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pacing w:val="0"/>
                <w:kern w:val="2"/>
                <w:sz w:val="24"/>
                <w:szCs w:val="24"/>
                <w:lang w:val="en-US" w:eastAsia="zh-CN" w:bidi="ar-SA"/>
              </w:rPr>
            </w:pPr>
            <w:r>
              <w:rPr>
                <w:rFonts w:hint="eastAsia" w:cs="Times New Roman"/>
                <w:color w:val="auto"/>
                <w:spacing w:val="0"/>
                <w:kern w:val="2"/>
                <w:sz w:val="24"/>
                <w:szCs w:val="24"/>
                <w:lang w:val="en-US" w:eastAsia="zh-CN" w:bidi="ar-SA"/>
              </w:rPr>
              <w:t>车间清洗、设备清洗、面筋蒸煮、灭菌</w:t>
            </w:r>
          </w:p>
        </w:tc>
        <w:tc>
          <w:tcPr>
            <w:tcW w:w="1478" w:type="dxa"/>
            <w:tcBorders>
              <w:tl2br w:val="nil"/>
              <w:tr2bl w:val="nil"/>
            </w:tcBorders>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pacing w:val="0"/>
                <w:kern w:val="2"/>
                <w:sz w:val="24"/>
                <w:szCs w:val="24"/>
                <w:lang w:val="en-US" w:eastAsia="zh-CN" w:bidi="ar-SA"/>
              </w:rPr>
            </w:pPr>
            <w:r>
              <w:rPr>
                <w:rFonts w:hint="eastAsia" w:cs="Times New Roman"/>
                <w:color w:val="auto"/>
                <w:spacing w:val="0"/>
                <w:kern w:val="2"/>
                <w:sz w:val="24"/>
                <w:szCs w:val="24"/>
                <w:lang w:val="en-US" w:eastAsia="zh-CN" w:bidi="ar-SA"/>
              </w:rPr>
              <w:t>pH值、SS、氨氮、COD、BOD</w:t>
            </w:r>
            <w:r>
              <w:rPr>
                <w:rFonts w:hint="eastAsia" w:cs="Times New Roman"/>
                <w:color w:val="auto"/>
                <w:spacing w:val="0"/>
                <w:kern w:val="2"/>
                <w:sz w:val="24"/>
                <w:szCs w:val="24"/>
                <w:vertAlign w:val="subscript"/>
                <w:lang w:val="en-US" w:eastAsia="zh-CN" w:bidi="ar-SA"/>
              </w:rPr>
              <w:t>5</w:t>
            </w:r>
            <w:r>
              <w:rPr>
                <w:rFonts w:hint="eastAsia" w:cs="Times New Roman"/>
                <w:color w:val="auto"/>
                <w:spacing w:val="0"/>
                <w:kern w:val="2"/>
                <w:sz w:val="24"/>
                <w:szCs w:val="24"/>
                <w:lang w:val="en-US" w:eastAsia="zh-CN" w:bidi="ar-SA"/>
              </w:rPr>
              <w:t>、动植物油、总磷、总氮</w:t>
            </w:r>
          </w:p>
        </w:tc>
        <w:tc>
          <w:tcPr>
            <w:tcW w:w="2137" w:type="dxa"/>
            <w:tcBorders>
              <w:tl2br w:val="nil"/>
              <w:tr2bl w:val="nil"/>
            </w:tcBorders>
            <w:shd w:val="clear" w:color="auto" w:fill="auto"/>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cs="Times New Roman"/>
                <w:color w:val="auto"/>
                <w:spacing w:val="0"/>
                <w:kern w:val="2"/>
                <w:sz w:val="24"/>
                <w:szCs w:val="24"/>
                <w:lang w:val="en-US" w:eastAsia="zh-CN" w:bidi="ar-SA"/>
              </w:rPr>
              <w:t>污水罐收集拉运至岐山县大源污水处理厂</w:t>
            </w:r>
          </w:p>
        </w:tc>
        <w:tc>
          <w:tcPr>
            <w:tcW w:w="2408" w:type="dxa"/>
            <w:tcBorders>
              <w:tl2br w:val="nil"/>
              <w:tr2bl w:val="nil"/>
            </w:tcBorders>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eastAsia="宋体" w:cs="Times New Roman"/>
                <w:color w:val="auto"/>
                <w:spacing w:val="0"/>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声环境</w:t>
            </w:r>
          </w:p>
        </w:tc>
        <w:tc>
          <w:tcPr>
            <w:tcW w:w="1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设备运行</w:t>
            </w:r>
          </w:p>
        </w:tc>
        <w:tc>
          <w:tcPr>
            <w:tcW w:w="14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噪声</w:t>
            </w:r>
          </w:p>
        </w:tc>
        <w:tc>
          <w:tcPr>
            <w:tcW w:w="213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厂房隔声、基础减振</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风机设置隔声箱</w:t>
            </w:r>
          </w:p>
        </w:tc>
        <w:tc>
          <w:tcPr>
            <w:tcW w:w="240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《工业企业厂界</w:t>
            </w:r>
            <w:r>
              <w:rPr>
                <w:rFonts w:hint="eastAsia"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en-US" w:eastAsia="zh-CN"/>
              </w:rPr>
              <w:t>噪声排放标准》（GB12348-2008）</w:t>
            </w:r>
            <w:r>
              <w:rPr>
                <w:rFonts w:hint="eastAsia" w:ascii="Times New Roman" w:hAnsi="Times New Roman" w:eastAsia="宋体" w:cs="Times New Roman"/>
                <w:color w:val="auto"/>
                <w:sz w:val="24"/>
                <w:szCs w:val="24"/>
                <w:highlight w:val="no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电磁辐射</w:t>
            </w:r>
          </w:p>
        </w:tc>
        <w:tc>
          <w:tcPr>
            <w:tcW w:w="1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14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2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2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固体废物</w:t>
            </w:r>
          </w:p>
        </w:tc>
        <w:tc>
          <w:tcPr>
            <w:tcW w:w="16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生产过程</w:t>
            </w:r>
          </w:p>
        </w:tc>
        <w:tc>
          <w:tcPr>
            <w:tcW w:w="147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不合格面皮、过期面皮</w:t>
            </w:r>
          </w:p>
        </w:tc>
        <w:tc>
          <w:tcPr>
            <w:tcW w:w="21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外售养殖场处理</w:t>
            </w:r>
          </w:p>
        </w:tc>
        <w:tc>
          <w:tcPr>
            <w:tcW w:w="24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4"/>
                <w:szCs w:val="24"/>
                <w:lang w:val="en-US" w:eastAsia="zh-CN"/>
              </w:rPr>
            </w:pPr>
            <w:r>
              <w:rPr>
                <w:rFonts w:hint="eastAsia" w:ascii="Times New Roman" w:hAnsi="Times New Roman" w:eastAsia="宋体" w:cs="Times New Roman"/>
                <w:color w:val="auto"/>
                <w:spacing w:val="0"/>
                <w:kern w:val="21"/>
                <w:positio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6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包装</w:t>
            </w:r>
          </w:p>
        </w:tc>
        <w:tc>
          <w:tcPr>
            <w:tcW w:w="147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废包装材料</w:t>
            </w:r>
          </w:p>
        </w:tc>
        <w:tc>
          <w:tcPr>
            <w:tcW w:w="21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外售物资回收部门</w:t>
            </w:r>
          </w:p>
        </w:tc>
        <w:tc>
          <w:tcPr>
            <w:tcW w:w="2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6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纯水制备</w:t>
            </w:r>
          </w:p>
        </w:tc>
        <w:tc>
          <w:tcPr>
            <w:tcW w:w="147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废过滤材料</w:t>
            </w:r>
          </w:p>
        </w:tc>
        <w:tc>
          <w:tcPr>
            <w:tcW w:w="21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外售物资回收部门</w:t>
            </w:r>
          </w:p>
        </w:tc>
        <w:tc>
          <w:tcPr>
            <w:tcW w:w="2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6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软水制备</w:t>
            </w:r>
          </w:p>
        </w:tc>
        <w:tc>
          <w:tcPr>
            <w:tcW w:w="147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废离子交换树脂</w:t>
            </w:r>
          </w:p>
        </w:tc>
        <w:tc>
          <w:tcPr>
            <w:tcW w:w="21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外售物资回收部门</w:t>
            </w:r>
          </w:p>
        </w:tc>
        <w:tc>
          <w:tcPr>
            <w:tcW w:w="2408" w:type="dxa"/>
            <w:vMerge w:val="continue"/>
            <w:tcBorders>
              <w:tl2br w:val="nil"/>
              <w:tr2bl w:val="nil"/>
            </w:tcBorders>
            <w:vAlign w:val="center"/>
          </w:tcPr>
          <w:p>
            <w:pPr>
              <w:pStyle w:val="32"/>
              <w:bidi w:val="0"/>
              <w:ind w:firstLine="0" w:firstLineChars="0"/>
              <w:rPr>
                <w:rFonts w:hint="default" w:ascii="Times New Roman" w:hAnsi="Times New Roman" w:eastAsia="宋体" w:cs="Times New Roman"/>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p>
        </w:tc>
        <w:tc>
          <w:tcPr>
            <w:tcW w:w="16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设备维修</w:t>
            </w:r>
          </w:p>
        </w:tc>
        <w:tc>
          <w:tcPr>
            <w:tcW w:w="147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废真空泵油</w:t>
            </w:r>
          </w:p>
        </w:tc>
        <w:tc>
          <w:tcPr>
            <w:tcW w:w="213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危废贮存库</w:t>
            </w:r>
            <w:r>
              <w:rPr>
                <w:rFonts w:hint="default" w:ascii="Times New Roman" w:hAnsi="Times New Roman" w:eastAsia="宋体" w:cs="Times New Roman"/>
                <w:color w:val="auto"/>
                <w:sz w:val="24"/>
                <w:szCs w:val="24"/>
                <w:lang w:eastAsia="zh-CN"/>
              </w:rPr>
              <w:t>暂存，定期交陕西天行环保科技有限公司</w:t>
            </w:r>
            <w:r>
              <w:rPr>
                <w:rFonts w:hint="eastAsia" w:ascii="Times New Roman" w:hAnsi="Times New Roman" w:eastAsia="宋体" w:cs="Times New Roman"/>
                <w:color w:val="auto"/>
                <w:sz w:val="24"/>
                <w:szCs w:val="24"/>
                <w:lang w:val="en-US" w:eastAsia="zh-CN"/>
              </w:rPr>
              <w:t>处置</w:t>
            </w:r>
          </w:p>
        </w:tc>
        <w:tc>
          <w:tcPr>
            <w:tcW w:w="24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10"/>
                <w:sz w:val="24"/>
                <w:szCs w:val="24"/>
                <w:highlight w:val="none"/>
                <w:lang w:eastAsia="zh-CN"/>
              </w:rPr>
            </w:pPr>
            <w:r>
              <w:rPr>
                <w:rFonts w:hint="default" w:ascii="Times New Roman" w:hAnsi="Times New Roman" w:eastAsia="宋体" w:cs="Times New Roman"/>
                <w:color w:val="auto"/>
                <w:sz w:val="24"/>
                <w:szCs w:val="24"/>
                <w:highlight w:val="none"/>
              </w:rPr>
              <w:t>《危险废物贮存污染控制标准》</w:t>
            </w:r>
            <w:r>
              <w:rPr>
                <w:rFonts w:hint="eastAsia" w:ascii="Times New Roman" w:hAnsi="Times New Roman" w:eastAsia="宋体" w:cs="Times New Roman"/>
                <w:color w:val="auto"/>
                <w:sz w:val="24"/>
                <w:szCs w:val="24"/>
                <w:highlight w:val="none"/>
                <w:lang w:eastAsia="zh-CN"/>
              </w:rPr>
              <w:t>（GB 18597</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p>
        </w:tc>
        <w:tc>
          <w:tcPr>
            <w:tcW w:w="16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设备维修</w:t>
            </w:r>
          </w:p>
        </w:tc>
        <w:tc>
          <w:tcPr>
            <w:tcW w:w="147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废油桶</w:t>
            </w:r>
          </w:p>
        </w:tc>
        <w:tc>
          <w:tcPr>
            <w:tcW w:w="2137" w:type="dxa"/>
            <w:vMerge w:val="continue"/>
            <w:tcBorders>
              <w:tl2br w:val="nil"/>
              <w:tr2bl w:val="nil"/>
            </w:tcBorders>
            <w:vAlign w:val="center"/>
          </w:tcPr>
          <w:p>
            <w:pPr>
              <w:pStyle w:val="32"/>
              <w:bidi w:val="0"/>
              <w:rPr>
                <w:rFonts w:hint="eastAsia"/>
                <w:color w:val="auto"/>
                <w:sz w:val="24"/>
                <w:szCs w:val="24"/>
                <w:lang w:eastAsia="zh-CN"/>
              </w:rPr>
            </w:pPr>
          </w:p>
        </w:tc>
        <w:tc>
          <w:tcPr>
            <w:tcW w:w="2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p>
        </w:tc>
        <w:tc>
          <w:tcPr>
            <w:tcW w:w="16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设备维修</w:t>
            </w:r>
          </w:p>
        </w:tc>
        <w:tc>
          <w:tcPr>
            <w:tcW w:w="147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废旧手套及废</w:t>
            </w:r>
            <w:r>
              <w:rPr>
                <w:rFonts w:hint="eastAsia" w:ascii="Times New Roman" w:hAnsi="Times New Roman" w:eastAsia="宋体" w:cs="Times New Roman"/>
                <w:color w:val="auto"/>
                <w:sz w:val="24"/>
                <w:szCs w:val="24"/>
                <w:lang w:val="en-US" w:eastAsia="zh-CN"/>
              </w:rPr>
              <w:t>油</w:t>
            </w:r>
            <w:r>
              <w:rPr>
                <w:rFonts w:hint="default" w:ascii="Times New Roman" w:hAnsi="Times New Roman" w:eastAsia="宋体" w:cs="Times New Roman"/>
                <w:color w:val="auto"/>
                <w:sz w:val="24"/>
                <w:szCs w:val="24"/>
                <w:lang w:eastAsia="zh-CN"/>
              </w:rPr>
              <w:t>抹布</w:t>
            </w:r>
          </w:p>
        </w:tc>
        <w:tc>
          <w:tcPr>
            <w:tcW w:w="2137" w:type="dxa"/>
            <w:vMerge w:val="continue"/>
            <w:tcBorders>
              <w:tl2br w:val="nil"/>
              <w:tr2bl w:val="nil"/>
            </w:tcBorders>
            <w:vAlign w:val="center"/>
          </w:tcPr>
          <w:p>
            <w:pPr>
              <w:pStyle w:val="32"/>
              <w:bidi w:val="0"/>
              <w:rPr>
                <w:rFonts w:hint="default"/>
                <w:color w:val="auto"/>
                <w:sz w:val="24"/>
                <w:szCs w:val="24"/>
              </w:rPr>
            </w:pPr>
          </w:p>
        </w:tc>
        <w:tc>
          <w:tcPr>
            <w:tcW w:w="2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p>
        </w:tc>
        <w:tc>
          <w:tcPr>
            <w:tcW w:w="16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color w:val="auto"/>
                <w:sz w:val="24"/>
                <w:szCs w:val="24"/>
                <w:lang w:val="en-US" w:eastAsia="zh-CN"/>
              </w:rPr>
              <w:t>化验</w:t>
            </w:r>
          </w:p>
        </w:tc>
        <w:tc>
          <w:tcPr>
            <w:tcW w:w="147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化验室废液</w:t>
            </w:r>
          </w:p>
        </w:tc>
        <w:tc>
          <w:tcPr>
            <w:tcW w:w="2137" w:type="dxa"/>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tLeast"/>
              <w:contextualSpacing/>
              <w:jc w:val="center"/>
              <w:textAlignment w:val="auto"/>
              <w:rPr>
                <w:rFonts w:hint="default" w:ascii="Times New Roman" w:hAnsi="Times New Roman" w:eastAsia="宋体" w:cs="Times New Roman"/>
                <w:color w:val="auto"/>
                <w:sz w:val="24"/>
                <w:szCs w:val="24"/>
              </w:rPr>
            </w:pPr>
          </w:p>
        </w:tc>
        <w:tc>
          <w:tcPr>
            <w:tcW w:w="2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tLeast"/>
              <w:ind w:firstLine="0"/>
              <w:jc w:val="both"/>
              <w:textAlignment w:val="auto"/>
              <w:rPr>
                <w:rFonts w:hint="default" w:ascii="Times New Roman" w:hAnsi="Times New Roman" w:eastAsia="宋体" w:cs="Times New Roman"/>
                <w:color w:val="auto"/>
                <w:kern w:val="1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土壤及地下水污染防治措施</w:t>
            </w:r>
          </w:p>
        </w:tc>
        <w:tc>
          <w:tcPr>
            <w:tcW w:w="7683" w:type="dxa"/>
            <w:gridSpan w:val="4"/>
            <w:tcBorders>
              <w:tl2br w:val="nil"/>
              <w:tr2bl w:val="nil"/>
            </w:tcBorders>
            <w:vAlign w:val="center"/>
          </w:tcPr>
          <w:p>
            <w:pPr>
              <w:bidi w:val="0"/>
              <w:rPr>
                <w:rFonts w:hint="default"/>
                <w:color w:val="auto"/>
                <w:sz w:val="24"/>
                <w:szCs w:val="24"/>
              </w:rPr>
            </w:pPr>
            <w:r>
              <w:rPr>
                <w:rFonts w:hint="default"/>
                <w:color w:val="auto"/>
                <w:sz w:val="24"/>
                <w:szCs w:val="24"/>
              </w:rPr>
              <w:t>源头控制措施：在生产过程中，做好设备的维护、检修，杜绝跑、冒、滴、漏现象；产生的</w:t>
            </w:r>
            <w:r>
              <w:rPr>
                <w:rFonts w:hint="eastAsia"/>
                <w:color w:val="auto"/>
                <w:sz w:val="24"/>
                <w:szCs w:val="24"/>
                <w:lang w:val="en-US" w:eastAsia="zh-CN"/>
              </w:rPr>
              <w:t>危险废物</w:t>
            </w:r>
            <w:r>
              <w:rPr>
                <w:rFonts w:hint="default"/>
                <w:color w:val="auto"/>
                <w:sz w:val="24"/>
                <w:szCs w:val="24"/>
              </w:rPr>
              <w:t>及时交有资质单位处置。过程防控措施：暂存时</w:t>
            </w:r>
            <w:r>
              <w:rPr>
                <w:rFonts w:hint="eastAsia"/>
                <w:color w:val="auto"/>
                <w:sz w:val="24"/>
                <w:szCs w:val="24"/>
                <w:lang w:eastAsia="zh-CN"/>
              </w:rPr>
              <w:t>废真空泵油</w:t>
            </w:r>
            <w:r>
              <w:rPr>
                <w:rFonts w:hint="default"/>
                <w:color w:val="auto"/>
                <w:sz w:val="24"/>
                <w:szCs w:val="24"/>
              </w:rPr>
              <w:t>桶下设置托盘，暂存区设置围堰且采取严格的硬化及防渗处理。管理措施：厂区建立完善的危废管理制度，有专人负责进行管理。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生态保护措施</w:t>
            </w:r>
          </w:p>
        </w:tc>
        <w:tc>
          <w:tcPr>
            <w:tcW w:w="7683" w:type="dxa"/>
            <w:gridSpan w:val="4"/>
            <w:tcBorders>
              <w:tl2br w:val="nil"/>
              <w:tr2bl w:val="nil"/>
            </w:tcBorders>
            <w:vAlign w:val="center"/>
          </w:tcPr>
          <w:p>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环境风险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防范措施</w:t>
            </w:r>
          </w:p>
        </w:tc>
        <w:tc>
          <w:tcPr>
            <w:tcW w:w="7683" w:type="dxa"/>
            <w:gridSpan w:val="4"/>
            <w:tcBorders>
              <w:tl2br w:val="nil"/>
              <w:tr2bl w:val="nil"/>
            </w:tcBorders>
            <w:vAlign w:val="center"/>
          </w:tcPr>
          <w:p>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厂区建立完善的危废管理制度，有专人负责进行管理，对危废储存种类、数量进行台账管理。危废经收集暂存在危废暂存区，项目危废</w:t>
            </w:r>
            <w:r>
              <w:rPr>
                <w:rFonts w:hint="eastAsia" w:ascii="Times New Roman" w:hAnsi="Times New Roman" w:eastAsia="宋体" w:cs="Times New Roman"/>
                <w:color w:val="auto"/>
                <w:sz w:val="24"/>
                <w:szCs w:val="24"/>
                <w:lang w:val="en-US" w:eastAsia="zh-CN"/>
              </w:rPr>
              <w:t>贮存设施</w:t>
            </w:r>
            <w:r>
              <w:rPr>
                <w:rFonts w:hint="default" w:ascii="Times New Roman" w:hAnsi="Times New Roman" w:eastAsia="宋体" w:cs="Times New Roman"/>
                <w:color w:val="auto"/>
                <w:sz w:val="24"/>
                <w:szCs w:val="24"/>
              </w:rPr>
              <w:t>采用重点防渗，危险废物分类存储，专用容器存放，及时交有资质单位处置，满足环保相关要求。暂存时发现</w:t>
            </w:r>
            <w:r>
              <w:rPr>
                <w:rFonts w:hint="eastAsia" w:ascii="Times New Roman" w:hAnsi="Times New Roman" w:eastAsia="宋体" w:cs="Times New Roman"/>
                <w:color w:val="auto"/>
                <w:sz w:val="24"/>
                <w:szCs w:val="24"/>
                <w:lang w:val="en-US" w:eastAsia="zh-CN"/>
              </w:rPr>
              <w:t>泄漏</w:t>
            </w:r>
            <w:r>
              <w:rPr>
                <w:rFonts w:hint="default" w:ascii="Times New Roman" w:hAnsi="Times New Roman" w:eastAsia="宋体" w:cs="Times New Roman"/>
                <w:color w:val="auto"/>
                <w:sz w:val="24"/>
                <w:szCs w:val="24"/>
              </w:rPr>
              <w:t>事故应立即采取清理措施。严格按照要求进行操作，设施加强管理，确保处理设施正常运转。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97" w:hRule="atLeast"/>
          <w:jc w:val="center"/>
        </w:trPr>
        <w:tc>
          <w:tcPr>
            <w:tcW w:w="1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其他环境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管理要求</w:t>
            </w:r>
          </w:p>
        </w:tc>
        <w:tc>
          <w:tcPr>
            <w:tcW w:w="7683" w:type="dxa"/>
            <w:gridSpan w:val="4"/>
            <w:tcBorders>
              <w:tl2br w:val="nil"/>
              <w:tr2bl w:val="nil"/>
            </w:tcBorders>
            <w:vAlign w:val="center"/>
          </w:tcPr>
          <w:p>
            <w:pPr>
              <w:pStyle w:val="5"/>
              <w:keepLines w:val="0"/>
              <w:pageBreakBefore w:val="0"/>
              <w:kinsoku/>
              <w:wordWrap/>
              <w:overflowPunct/>
              <w:topLinePunct w:val="0"/>
              <w:autoSpaceDE/>
              <w:autoSpaceDN/>
              <w:bidi w:val="0"/>
              <w:spacing w:line="360" w:lineRule="auto"/>
              <w:ind w:left="0" w:right="0" w:firstLine="482" w:firstLineChars="200"/>
              <w:textAlignment w:val="auto"/>
              <w:rPr>
                <w:rFonts w:hint="default" w:ascii="Times New Roman" w:hAnsi="Times New Roman" w:eastAsia="宋体" w:cs="Times New Roman"/>
                <w:b/>
                <w:bCs/>
                <w:color w:val="auto"/>
                <w:kern w:val="10"/>
                <w:sz w:val="24"/>
                <w:szCs w:val="24"/>
                <w:lang w:val="en-US" w:eastAsia="zh-CN" w:bidi="ar-SA"/>
              </w:rPr>
            </w:pPr>
            <w:r>
              <w:rPr>
                <w:rFonts w:hint="default" w:ascii="Times New Roman" w:hAnsi="Times New Roman" w:eastAsia="宋体" w:cs="Times New Roman"/>
                <w:b/>
                <w:bCs/>
                <w:color w:val="auto"/>
                <w:kern w:val="10"/>
                <w:sz w:val="24"/>
                <w:szCs w:val="24"/>
                <w:lang w:val="en-US" w:eastAsia="zh-CN" w:bidi="ar-SA"/>
              </w:rPr>
              <w:t>一、排污口规范化设置</w:t>
            </w:r>
          </w:p>
          <w:p>
            <w:pPr>
              <w:keepNext w:val="0"/>
              <w:keepLines w:val="0"/>
              <w:widowControl/>
              <w:suppressLineNumbers w:val="0"/>
              <w:jc w:val="left"/>
              <w:rPr>
                <w:rFonts w:hint="default" w:ascii="Times New Roman" w:hAnsi="Times New Roman" w:eastAsia="宋体" w:cs="Times New Roman"/>
                <w:color w:val="auto"/>
                <w:kern w:val="10"/>
                <w:sz w:val="24"/>
                <w:szCs w:val="24"/>
                <w:lang w:val="en-US" w:eastAsia="zh-CN" w:bidi="ar-SA"/>
              </w:rPr>
            </w:pPr>
            <w:r>
              <w:rPr>
                <w:rFonts w:hint="default" w:ascii="Times New Roman" w:hAnsi="Times New Roman" w:eastAsia="宋体" w:cs="Times New Roman"/>
                <w:color w:val="auto"/>
                <w:kern w:val="10"/>
                <w:sz w:val="24"/>
                <w:szCs w:val="24"/>
                <w:lang w:val="en-US" w:eastAsia="zh-CN" w:bidi="ar-SA"/>
              </w:rPr>
              <w:t>本项目的排污口按照《排污单位污染物排放口监测点位设置技术规范》</w:t>
            </w:r>
            <w:r>
              <w:rPr>
                <w:rFonts w:hint="eastAsia" w:ascii="Times New Roman" w:hAnsi="Times New Roman" w:eastAsia="宋体" w:cs="Times New Roman"/>
                <w:color w:val="auto"/>
                <w:kern w:val="10"/>
                <w:sz w:val="24"/>
                <w:szCs w:val="24"/>
                <w:lang w:val="en-US" w:eastAsia="zh-CN" w:bidi="ar-SA"/>
              </w:rPr>
              <w:t>（</w:t>
            </w:r>
            <w:r>
              <w:rPr>
                <w:rFonts w:hint="default" w:ascii="Times New Roman" w:hAnsi="Times New Roman" w:eastAsia="宋体" w:cs="Times New Roman"/>
                <w:color w:val="auto"/>
                <w:kern w:val="10"/>
                <w:sz w:val="24"/>
                <w:szCs w:val="24"/>
                <w:lang w:val="en-US" w:eastAsia="zh-CN" w:bidi="ar-SA"/>
              </w:rPr>
              <w:t>HJ 1405</w:t>
            </w:r>
            <w:r>
              <w:rPr>
                <w:rFonts w:hint="eastAsia" w:ascii="Times New Roman" w:hAnsi="Times New Roman" w:eastAsia="宋体" w:cs="Times New Roman"/>
                <w:color w:val="auto"/>
                <w:kern w:val="10"/>
                <w:sz w:val="24"/>
                <w:szCs w:val="24"/>
                <w:lang w:val="en-US" w:eastAsia="zh-CN" w:bidi="ar-SA"/>
              </w:rPr>
              <w:t>-</w:t>
            </w:r>
            <w:r>
              <w:rPr>
                <w:rFonts w:hint="default" w:ascii="Times New Roman" w:hAnsi="Times New Roman" w:eastAsia="宋体" w:cs="Times New Roman"/>
                <w:color w:val="auto"/>
                <w:kern w:val="10"/>
                <w:sz w:val="24"/>
                <w:szCs w:val="24"/>
                <w:lang w:val="en-US" w:eastAsia="zh-CN" w:bidi="ar-SA"/>
              </w:rPr>
              <w:t>2024</w:t>
            </w:r>
            <w:r>
              <w:rPr>
                <w:rFonts w:hint="eastAsia" w:ascii="Times New Roman" w:hAnsi="Times New Roman" w:eastAsia="宋体" w:cs="Times New Roman"/>
                <w:color w:val="auto"/>
                <w:kern w:val="10"/>
                <w:sz w:val="24"/>
                <w:szCs w:val="24"/>
                <w:lang w:val="en-US" w:eastAsia="zh-CN" w:bidi="ar-SA"/>
              </w:rPr>
              <w:t>）</w:t>
            </w:r>
            <w:r>
              <w:rPr>
                <w:rFonts w:hint="default" w:ascii="Times New Roman" w:hAnsi="Times New Roman" w:eastAsia="宋体" w:cs="Times New Roman"/>
                <w:color w:val="auto"/>
                <w:kern w:val="10"/>
                <w:sz w:val="24"/>
                <w:szCs w:val="24"/>
                <w:lang w:val="en-US" w:eastAsia="zh-CN" w:bidi="ar-SA"/>
              </w:rPr>
              <w:t>进行规范化设置，具体要求如下：</w:t>
            </w:r>
          </w:p>
          <w:p>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kern w:val="10"/>
                <w:sz w:val="24"/>
                <w:szCs w:val="24"/>
                <w:lang w:val="en-US" w:eastAsia="zh-CN" w:bidi="ar-SA"/>
              </w:rPr>
            </w:pPr>
            <w:r>
              <w:rPr>
                <w:rFonts w:hint="default" w:ascii="Times New Roman" w:hAnsi="Times New Roman" w:eastAsia="宋体" w:cs="Times New Roman"/>
                <w:color w:val="auto"/>
                <w:kern w:val="10"/>
                <w:sz w:val="24"/>
                <w:szCs w:val="24"/>
                <w:lang w:val="en-US" w:eastAsia="zh-CN" w:bidi="ar-SA"/>
              </w:rPr>
              <w:t>1、应在废气排放口设置科学、规范、便于采样监测的监测点位，避开对测试人员操作有危险的场所；</w:t>
            </w:r>
          </w:p>
          <w:p>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kern w:val="10"/>
                <w:sz w:val="24"/>
                <w:szCs w:val="24"/>
                <w:lang w:val="en-US" w:eastAsia="zh-CN" w:bidi="ar-SA"/>
              </w:rPr>
            </w:pPr>
            <w:r>
              <w:rPr>
                <w:rFonts w:hint="default" w:ascii="Times New Roman" w:hAnsi="Times New Roman" w:eastAsia="宋体" w:cs="Times New Roman"/>
                <w:color w:val="auto"/>
                <w:kern w:val="10"/>
                <w:sz w:val="24"/>
                <w:szCs w:val="24"/>
                <w:lang w:val="en-US" w:eastAsia="zh-CN" w:bidi="ar-SA"/>
              </w:rPr>
              <w:t>2、在流场均匀稳定的监测断面规范开设监测孔，设置工作平台、梯架及相应安全防护设施等；</w:t>
            </w:r>
          </w:p>
          <w:p>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kern w:val="10"/>
                <w:sz w:val="24"/>
                <w:szCs w:val="24"/>
                <w:lang w:val="en-US" w:eastAsia="zh-CN" w:bidi="ar-SA"/>
              </w:rPr>
            </w:pPr>
            <w:r>
              <w:rPr>
                <w:rFonts w:hint="default" w:ascii="Times New Roman" w:hAnsi="Times New Roman" w:eastAsia="宋体" w:cs="Times New Roman"/>
                <w:color w:val="auto"/>
                <w:kern w:val="10"/>
                <w:sz w:val="24"/>
                <w:szCs w:val="24"/>
                <w:lang w:val="en-US" w:eastAsia="zh-CN" w:bidi="ar-SA"/>
              </w:rPr>
              <w:t>3、自动监测断面和手工监测断面设置位置应满足，其按照气流方向的上游距离弯头、阀门、变径管≥4倍烟道直径，其下游距离上述部件≥2倍烟道直径；</w:t>
            </w:r>
          </w:p>
          <w:p>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kern w:val="10"/>
                <w:sz w:val="24"/>
                <w:szCs w:val="24"/>
                <w:lang w:val="en-US" w:eastAsia="zh-CN" w:bidi="ar-SA"/>
              </w:rPr>
            </w:pPr>
            <w:r>
              <w:rPr>
                <w:rFonts w:hint="default" w:ascii="Times New Roman" w:hAnsi="Times New Roman" w:eastAsia="宋体" w:cs="Times New Roman"/>
                <w:color w:val="auto"/>
                <w:kern w:val="10"/>
                <w:sz w:val="24"/>
                <w:szCs w:val="24"/>
                <w:lang w:val="en-US" w:eastAsia="zh-CN" w:bidi="ar-SA"/>
              </w:rPr>
              <w:t>4、在手工监测断面处设置手工监测孔，其内径应满足相关污染物和排气参数的监测需要，一般应≥80</w:t>
            </w:r>
            <w:r>
              <w:rPr>
                <w:rFonts w:hint="eastAsia" w:ascii="Times New Roman" w:hAnsi="Times New Roman" w:eastAsia="宋体" w:cs="Times New Roman"/>
                <w:color w:val="auto"/>
                <w:kern w:val="10"/>
                <w:sz w:val="24"/>
                <w:szCs w:val="24"/>
                <w:lang w:val="en-US" w:eastAsia="zh-CN" w:bidi="ar-SA"/>
              </w:rPr>
              <w:t>mm</w:t>
            </w:r>
            <w:r>
              <w:rPr>
                <w:rFonts w:hint="default" w:ascii="Times New Roman" w:hAnsi="Times New Roman" w:eastAsia="宋体" w:cs="Times New Roman"/>
                <w:color w:val="auto"/>
                <w:kern w:val="10"/>
                <w:sz w:val="24"/>
                <w:szCs w:val="24"/>
                <w:lang w:val="en-US" w:eastAsia="zh-CN" w:bidi="ar-SA"/>
              </w:rPr>
              <w:t>；</w:t>
            </w:r>
          </w:p>
          <w:p>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kern w:val="10"/>
                <w:sz w:val="24"/>
                <w:szCs w:val="24"/>
                <w:lang w:val="en-US" w:eastAsia="zh-CN" w:bidi="ar-SA"/>
              </w:rPr>
            </w:pPr>
            <w:r>
              <w:rPr>
                <w:rFonts w:hint="default" w:ascii="Times New Roman" w:hAnsi="Times New Roman" w:eastAsia="宋体" w:cs="Times New Roman"/>
                <w:color w:val="auto"/>
                <w:kern w:val="10"/>
                <w:sz w:val="24"/>
                <w:szCs w:val="24"/>
                <w:lang w:val="en-US" w:eastAsia="zh-CN" w:bidi="ar-SA"/>
              </w:rPr>
              <w:t>5监测断面距离坠落高度基准面2m以上时，应配套建设永久、安全、便于采样和测试的工作平台。除在水平烟道顶部开设监测孔外，工作平台宜设置在监测孔的正下方1.2m~1.3m处；</w:t>
            </w:r>
          </w:p>
          <w:p>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kern w:val="10"/>
                <w:sz w:val="24"/>
                <w:szCs w:val="24"/>
                <w:lang w:val="en-US" w:eastAsia="zh-CN" w:bidi="ar-SA"/>
              </w:rPr>
            </w:pPr>
            <w:r>
              <w:rPr>
                <w:rFonts w:hint="default" w:ascii="Times New Roman" w:hAnsi="Times New Roman" w:eastAsia="宋体" w:cs="Times New Roman"/>
                <w:color w:val="auto"/>
                <w:kern w:val="10"/>
                <w:sz w:val="24"/>
                <w:szCs w:val="24"/>
                <w:lang w:val="en-US" w:eastAsia="zh-CN" w:bidi="ar-SA"/>
              </w:rPr>
              <w:t>6、工作平台与坠落高度基准面之间距离超过0.5m且不足2m时，应按照GB 4053.1或GB 4053.2要求设置固定式钢梯到达工作平台。工作平台与坠落高度基准面之间距离不小于2m时，应安装钢斜梯、转梯到达监测平台，不得仅设置钢直梯。梯架无障碍宽度应不小于0.8m，倾角应不超过38°；踏板前后深度不小于80mm，相邻两踏板的前后方向重叠应在10mm~35mm之间；梯高大于6m时，应设置梯间平台。斜梯、转梯的材料、载荷、制造安装等要求按照GB 4053.2执行</w:t>
            </w:r>
            <w:r>
              <w:rPr>
                <w:rFonts w:hint="eastAsia" w:ascii="Times New Roman" w:hAnsi="Times New Roman" w:eastAsia="宋体" w:cs="Times New Roman"/>
                <w:color w:val="auto"/>
                <w:kern w:val="10"/>
                <w:sz w:val="24"/>
                <w:szCs w:val="24"/>
                <w:lang w:val="en-US" w:eastAsia="zh-CN" w:bidi="ar-SA"/>
              </w:rPr>
              <w:t>；</w:t>
            </w:r>
          </w:p>
          <w:p>
            <w:pPr>
              <w:pStyle w:val="11"/>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kern w:val="10"/>
                <w:sz w:val="24"/>
                <w:szCs w:val="24"/>
                <w:lang w:val="en-US" w:eastAsia="zh-CN" w:bidi="ar-SA"/>
              </w:rPr>
            </w:pP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在距排放口监测点位较近且醒目处应设置监测点位信息标志牌，并长久保留。单个排放口监测点位涉及多股排气/排水的，可设置多个监测点位信息标志牌，分别记录每股排气/排水的相关信息。根据监测点位情况，可设置立式或平面固定式监测点位信息标志牌。监测点位信息标志牌的技术规格及信息内容应符合附录A规定，其中点位编号包含排污单位编号和排放口编号两部分，应与排污许可证中载明的编号一致。监测点位信息标志牌右下角应设置与标志牌图案总体协调的二维码，相关要求按HJ 1297 执行。</w:t>
            </w:r>
          </w:p>
          <w:p>
            <w:pPr>
              <w:keepNext w:val="0"/>
              <w:keepLines w:val="0"/>
              <w:pageBreakBefore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spacing w:val="0"/>
                <w:sz w:val="24"/>
                <w:szCs w:val="24"/>
              </w:rPr>
            </w:pPr>
            <w:r>
              <w:rPr>
                <w:rFonts w:hint="default" w:ascii="Times New Roman" w:hAnsi="Times New Roman" w:eastAsia="宋体" w:cs="Times New Roman"/>
                <w:b/>
                <w:bCs/>
                <w:color w:val="auto"/>
                <w:spacing w:val="0"/>
                <w:sz w:val="24"/>
                <w:szCs w:val="24"/>
                <w:lang w:eastAsia="zh-CN"/>
              </w:rPr>
              <w:t>二</w:t>
            </w:r>
            <w:r>
              <w:rPr>
                <w:rFonts w:hint="default" w:ascii="Times New Roman" w:hAnsi="Times New Roman" w:eastAsia="宋体" w:cs="Times New Roman"/>
                <w:b/>
                <w:bCs/>
                <w:color w:val="auto"/>
                <w:spacing w:val="0"/>
                <w:sz w:val="24"/>
                <w:szCs w:val="24"/>
              </w:rPr>
              <w:t>、环境管理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项目的污染物排放水平与厂区环境管理水平密切相关，运营期的环境管理是企业环境管理的重点，因此在采取环境保护工程措施的同时，必须加强环境管理。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建立环境管理台账，并接受</w:t>
            </w:r>
            <w:r>
              <w:rPr>
                <w:rFonts w:hint="default" w:ascii="Times New Roman" w:hAnsi="Times New Roman" w:eastAsia="宋体" w:cs="Times New Roman"/>
                <w:color w:val="auto"/>
                <w:sz w:val="24"/>
                <w:szCs w:val="24"/>
                <w:lang w:eastAsia="zh-CN"/>
              </w:rPr>
              <w:t>有关部门</w:t>
            </w:r>
            <w:r>
              <w:rPr>
                <w:rFonts w:hint="default" w:ascii="Times New Roman" w:hAnsi="Times New Roman" w:eastAsia="宋体" w:cs="Times New Roman"/>
                <w:color w:val="auto"/>
                <w:sz w:val="24"/>
                <w:szCs w:val="24"/>
              </w:rPr>
              <w:t>检查。台账内容包括：</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污染物排放情况；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污染物治理设施的运行、操作和管理情况；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各污染物的监测分析方法和监测记录；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事故情况及有关记录；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其他与污染防治有关的情况和资料；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环保设施运行能耗情况等。</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把环境管理和污染治理纳入企业日常经营管理活动，从计划管理、生产管理、技术管理、设备管理到经济成本核算都要有控制污染的内容和指标，并要落实到位。</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）实行环保责任制，由领导负责企业总体环境管理工作。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）建立环境保护指标体系，根据工艺特点，制定</w:t>
            </w:r>
            <w:r>
              <w:rPr>
                <w:rFonts w:hint="eastAsia" w:cs="Times New Roman"/>
                <w:color w:val="auto"/>
                <w:sz w:val="24"/>
                <w:szCs w:val="24"/>
                <w:lang w:val="en-US" w:eastAsia="zh-CN"/>
              </w:rPr>
              <w:t>各项</w:t>
            </w:r>
            <w:r>
              <w:rPr>
                <w:rFonts w:hint="default" w:ascii="Times New Roman" w:hAnsi="Times New Roman" w:eastAsia="宋体" w:cs="Times New Roman"/>
                <w:color w:val="auto"/>
                <w:sz w:val="24"/>
                <w:szCs w:val="24"/>
              </w:rPr>
              <w:t>污染防治措施的各项操作规程，制定节水、节电、节能措施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）对员工进行定期环保知识培训讲座，将国家环境保护的有关法律法规和企业的环境保护目标与指标以及为保障目标、指标的实现而建立的各项管理制度向员工</w:t>
            </w:r>
            <w:r>
              <w:rPr>
                <w:rFonts w:hint="eastAsia" w:cs="Times New Roman"/>
                <w:color w:val="auto"/>
                <w:sz w:val="24"/>
                <w:szCs w:val="24"/>
                <w:lang w:eastAsia="zh-CN"/>
              </w:rPr>
              <w:t>进行针对性地</w:t>
            </w:r>
            <w:r>
              <w:rPr>
                <w:rFonts w:hint="default" w:ascii="Times New Roman" w:hAnsi="Times New Roman" w:eastAsia="宋体" w:cs="Times New Roman"/>
                <w:color w:val="auto"/>
                <w:sz w:val="24"/>
                <w:szCs w:val="24"/>
              </w:rPr>
              <w:t>宣讲。</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）企业应对项目基础信息，排污信息，污染防</w:t>
            </w:r>
            <w:r>
              <w:rPr>
                <w:rFonts w:hint="eastAsia" w:ascii="Times New Roman" w:hAnsi="Times New Roman" w:eastAsia="宋体" w:cs="Times New Roman"/>
                <w:color w:val="auto"/>
                <w:sz w:val="24"/>
                <w:szCs w:val="24"/>
                <w:lang w:val="en-US" w:eastAsia="zh-CN"/>
              </w:rPr>
              <w:t>治</w:t>
            </w:r>
            <w:r>
              <w:rPr>
                <w:rFonts w:hint="default" w:ascii="Times New Roman" w:hAnsi="Times New Roman" w:eastAsia="宋体" w:cs="Times New Roman"/>
                <w:color w:val="auto"/>
                <w:sz w:val="24"/>
                <w:szCs w:val="24"/>
              </w:rPr>
              <w:t>设施的建设和运行情况，建设项目环评情况、验收、执行国家及地方环保政策等信息进行公开公示。</w:t>
            </w:r>
          </w:p>
          <w:p>
            <w:pPr>
              <w:bidi w:val="0"/>
              <w:rPr>
                <w:rFonts w:hint="default"/>
                <w:color w:val="auto"/>
                <w:sz w:val="24"/>
                <w:szCs w:val="24"/>
                <w:lang w:val="en-US" w:eastAsia="zh-CN"/>
              </w:rPr>
            </w:pPr>
            <w:r>
              <w:rPr>
                <w:rFonts w:hint="eastAsia"/>
                <w:color w:val="auto"/>
                <w:sz w:val="24"/>
                <w:szCs w:val="24"/>
                <w:lang w:val="en-US" w:eastAsia="zh-CN"/>
              </w:rPr>
              <w:t>3、环境管理水平</w:t>
            </w:r>
          </w:p>
          <w:p>
            <w:pPr>
              <w:bidi w:val="0"/>
              <w:rPr>
                <w:rFonts w:ascii="Times New Roman" w:hAnsi="Times New Roman" w:eastAsia="宋体" w:cs="Times New Roman"/>
                <w:color w:val="auto"/>
                <w:sz w:val="24"/>
                <w:szCs w:val="24"/>
              </w:rPr>
            </w:pPr>
            <w:r>
              <w:rPr>
                <w:color w:val="auto"/>
                <w:sz w:val="24"/>
                <w:szCs w:val="24"/>
              </w:rPr>
              <w:t>环保档案齐全：</w:t>
            </w:r>
            <w:r>
              <w:rPr>
                <w:color w:val="auto"/>
                <w:sz w:val="24"/>
                <w:szCs w:val="24"/>
              </w:rPr>
              <w:fldChar w:fldCharType="begin"/>
            </w:r>
            <w:r>
              <w:rPr>
                <w:color w:val="auto"/>
                <w:sz w:val="24"/>
                <w:szCs w:val="24"/>
              </w:rPr>
              <w:instrText xml:space="preserve"> = 1 \* GB3 \* MERGEFORMAT </w:instrText>
            </w:r>
            <w:r>
              <w:rPr>
                <w:color w:val="auto"/>
                <w:sz w:val="24"/>
                <w:szCs w:val="24"/>
              </w:rPr>
              <w:fldChar w:fldCharType="separate"/>
            </w:r>
            <w:r>
              <w:rPr>
                <w:color w:val="auto"/>
                <w:sz w:val="24"/>
                <w:szCs w:val="24"/>
              </w:rPr>
              <w:t>①</w:t>
            </w:r>
            <w:r>
              <w:rPr>
                <w:color w:val="auto"/>
                <w:sz w:val="24"/>
                <w:szCs w:val="24"/>
              </w:rPr>
              <w:fldChar w:fldCharType="end"/>
            </w:r>
            <w:r>
              <w:rPr>
                <w:color w:val="auto"/>
                <w:sz w:val="24"/>
                <w:szCs w:val="24"/>
              </w:rPr>
              <w:t>环评批复</w:t>
            </w:r>
            <w:r>
              <w:rPr>
                <w:rFonts w:ascii="Times New Roman" w:hAnsi="Times New Roman" w:eastAsia="宋体" w:cs="Times New Roman"/>
                <w:color w:val="auto"/>
                <w:sz w:val="24"/>
                <w:szCs w:val="24"/>
              </w:rPr>
              <w:t>文件；</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2 \* GB3 \* MERGEFORMAT </w:instrText>
            </w:r>
            <w:r>
              <w:rPr>
                <w:rFonts w:ascii="Times New Roman" w:hAnsi="Times New Roman" w:eastAsia="宋体" w:cs="Times New Roman"/>
                <w:color w:val="auto"/>
                <w:sz w:val="24"/>
                <w:szCs w:val="24"/>
              </w:rPr>
              <w:fldChar w:fldCharType="separate"/>
            </w:r>
            <w:r>
              <w:rPr>
                <w:rFonts w:ascii="Times New Roman" w:hAnsi="Times New Roman" w:eastAsia="宋体" w:cs="Times New Roman"/>
                <w:color w:val="auto"/>
                <w:sz w:val="24"/>
                <w:szCs w:val="24"/>
              </w:rPr>
              <w:t>②</w:t>
            </w:r>
            <w:r>
              <w:rPr>
                <w:rFonts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lang w:val="en-US" w:eastAsia="zh-CN"/>
              </w:rPr>
              <w:t>排污许可证</w:t>
            </w:r>
            <w:r>
              <w:rPr>
                <w:rFonts w:ascii="Times New Roman" w:hAnsi="Times New Roman" w:eastAsia="宋体" w:cs="Times New Roman"/>
                <w:color w:val="auto"/>
                <w:sz w:val="24"/>
                <w:szCs w:val="24"/>
              </w:rPr>
              <w:t>；</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3 \* GB3 \* MERGEFORMAT </w:instrText>
            </w:r>
            <w:r>
              <w:rPr>
                <w:rFonts w:ascii="Times New Roman" w:hAnsi="Times New Roman" w:eastAsia="宋体" w:cs="Times New Roman"/>
                <w:color w:val="auto"/>
                <w:sz w:val="24"/>
                <w:szCs w:val="24"/>
              </w:rPr>
              <w:fldChar w:fldCharType="separate"/>
            </w:r>
            <w:r>
              <w:rPr>
                <w:rFonts w:ascii="Times New Roman" w:hAnsi="Times New Roman" w:eastAsia="宋体" w:cs="Times New Roman"/>
                <w:color w:val="auto"/>
                <w:sz w:val="24"/>
                <w:szCs w:val="24"/>
              </w:rPr>
              <w:t>③</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竣工验收文件；</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4 \* GB3 \* MERGEFORMAT </w:instrText>
            </w:r>
            <w:r>
              <w:rPr>
                <w:rFonts w:ascii="Times New Roman" w:hAnsi="Times New Roman" w:eastAsia="宋体" w:cs="Times New Roman"/>
                <w:color w:val="auto"/>
                <w:sz w:val="24"/>
                <w:szCs w:val="24"/>
              </w:rPr>
              <w:fldChar w:fldCharType="separate"/>
            </w:r>
            <w:r>
              <w:rPr>
                <w:rFonts w:ascii="Times New Roman" w:hAnsi="Times New Roman" w:eastAsia="宋体" w:cs="Times New Roman"/>
                <w:color w:val="auto"/>
                <w:sz w:val="24"/>
                <w:szCs w:val="24"/>
              </w:rPr>
              <w:t>④</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一年内废气</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噪声</w:t>
            </w:r>
            <w:r>
              <w:rPr>
                <w:rFonts w:ascii="Times New Roman" w:hAnsi="Times New Roman" w:eastAsia="宋体" w:cs="Times New Roman"/>
                <w:color w:val="auto"/>
                <w:sz w:val="24"/>
                <w:szCs w:val="24"/>
              </w:rPr>
              <w:t>检测报告</w:t>
            </w:r>
          </w:p>
          <w:p>
            <w:pPr>
              <w:bidi w:val="0"/>
              <w:rPr>
                <w:color w:val="auto"/>
                <w:sz w:val="24"/>
                <w:szCs w:val="24"/>
              </w:rPr>
            </w:pPr>
            <w:r>
              <w:rPr>
                <w:rFonts w:ascii="Times New Roman" w:hAnsi="Times New Roman" w:eastAsia="宋体" w:cs="Times New Roman"/>
                <w:color w:val="auto"/>
                <w:sz w:val="24"/>
                <w:szCs w:val="24"/>
              </w:rPr>
              <w:t>台账记录：</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1 \* GB3 \* MERGEFORMAT </w:instrText>
            </w:r>
            <w:r>
              <w:rPr>
                <w:rFonts w:ascii="Times New Roman" w:hAnsi="Times New Roman" w:eastAsia="宋体" w:cs="Times New Roman"/>
                <w:color w:val="auto"/>
                <w:sz w:val="24"/>
                <w:szCs w:val="24"/>
              </w:rPr>
              <w:fldChar w:fldCharType="separate"/>
            </w:r>
            <w:r>
              <w:rPr>
                <w:rFonts w:ascii="Times New Roman" w:hAnsi="Times New Roman" w:eastAsia="宋体" w:cs="Times New Roman"/>
                <w:color w:val="auto"/>
                <w:sz w:val="24"/>
                <w:szCs w:val="24"/>
              </w:rPr>
              <w:t>①</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完整生产管理台账（包</w:t>
            </w:r>
            <w:r>
              <w:rPr>
                <w:color w:val="auto"/>
                <w:sz w:val="24"/>
                <w:szCs w:val="24"/>
              </w:rPr>
              <w:t>括生产设备运行台账，原辅材料、燃料使用量，产品产量等）；</w:t>
            </w:r>
            <w:r>
              <w:rPr>
                <w:color w:val="auto"/>
                <w:sz w:val="24"/>
                <w:szCs w:val="24"/>
              </w:rPr>
              <w:fldChar w:fldCharType="begin"/>
            </w:r>
            <w:r>
              <w:rPr>
                <w:color w:val="auto"/>
                <w:sz w:val="24"/>
                <w:szCs w:val="24"/>
              </w:rPr>
              <w:instrText xml:space="preserve"> = 2 \* GB3 \* MERGEFORMAT </w:instrText>
            </w:r>
            <w:r>
              <w:rPr>
                <w:color w:val="auto"/>
                <w:sz w:val="24"/>
                <w:szCs w:val="24"/>
              </w:rPr>
              <w:fldChar w:fldCharType="separate"/>
            </w:r>
            <w:r>
              <w:rPr>
                <w:color w:val="auto"/>
                <w:sz w:val="24"/>
                <w:szCs w:val="24"/>
              </w:rPr>
              <w:t>②</w:t>
            </w:r>
            <w:r>
              <w:rPr>
                <w:color w:val="auto"/>
                <w:sz w:val="24"/>
                <w:szCs w:val="24"/>
              </w:rPr>
              <w:fldChar w:fldCharType="end"/>
            </w:r>
            <w:r>
              <w:rPr>
                <w:color w:val="auto"/>
                <w:sz w:val="24"/>
                <w:szCs w:val="24"/>
              </w:rPr>
              <w:t>运输管理电子台账（包括车辆出入厂记录、车牌号、VIN号、发动机编号和排放标准等）；</w:t>
            </w:r>
            <w:r>
              <w:rPr>
                <w:color w:val="auto"/>
                <w:sz w:val="24"/>
                <w:szCs w:val="24"/>
              </w:rPr>
              <w:fldChar w:fldCharType="begin"/>
            </w:r>
            <w:r>
              <w:rPr>
                <w:color w:val="auto"/>
                <w:sz w:val="24"/>
                <w:szCs w:val="24"/>
              </w:rPr>
              <w:instrText xml:space="preserve"> = 3 \* GB3 \* MERGEFORMAT </w:instrText>
            </w:r>
            <w:r>
              <w:rPr>
                <w:color w:val="auto"/>
                <w:sz w:val="24"/>
                <w:szCs w:val="24"/>
              </w:rPr>
              <w:fldChar w:fldCharType="separate"/>
            </w:r>
            <w:r>
              <w:rPr>
                <w:color w:val="auto"/>
                <w:sz w:val="24"/>
                <w:szCs w:val="24"/>
              </w:rPr>
              <w:t>③</w:t>
            </w:r>
            <w:r>
              <w:rPr>
                <w:color w:val="auto"/>
                <w:sz w:val="24"/>
                <w:szCs w:val="24"/>
              </w:rPr>
              <w:fldChar w:fldCharType="end"/>
            </w:r>
            <w:r>
              <w:rPr>
                <w:color w:val="auto"/>
                <w:sz w:val="24"/>
                <w:szCs w:val="24"/>
              </w:rPr>
              <w:t>设备维护记录；</w:t>
            </w:r>
            <w:r>
              <w:rPr>
                <w:color w:val="auto"/>
                <w:sz w:val="24"/>
                <w:szCs w:val="24"/>
              </w:rPr>
              <w:fldChar w:fldCharType="begin"/>
            </w:r>
            <w:r>
              <w:rPr>
                <w:color w:val="auto"/>
                <w:sz w:val="24"/>
                <w:szCs w:val="24"/>
              </w:rPr>
              <w:instrText xml:space="preserve"> = 4 \* GB3 \* MERGEFORMAT </w:instrText>
            </w:r>
            <w:r>
              <w:rPr>
                <w:color w:val="auto"/>
                <w:sz w:val="24"/>
                <w:szCs w:val="24"/>
              </w:rPr>
              <w:fldChar w:fldCharType="separate"/>
            </w:r>
            <w:r>
              <w:rPr>
                <w:color w:val="auto"/>
                <w:sz w:val="24"/>
                <w:szCs w:val="24"/>
              </w:rPr>
              <w:t>④</w:t>
            </w:r>
            <w:r>
              <w:rPr>
                <w:color w:val="auto"/>
                <w:sz w:val="24"/>
                <w:szCs w:val="24"/>
              </w:rPr>
              <w:fldChar w:fldCharType="end"/>
            </w:r>
            <w:r>
              <w:rPr>
                <w:color w:val="auto"/>
                <w:sz w:val="24"/>
                <w:szCs w:val="24"/>
              </w:rPr>
              <w:t>废气治理设备清单（包括主要污染治理设备、设计说明书、运行记录、CEMS数据等）；</w:t>
            </w:r>
            <w:r>
              <w:rPr>
                <w:color w:val="auto"/>
                <w:sz w:val="24"/>
                <w:szCs w:val="24"/>
              </w:rPr>
              <w:fldChar w:fldCharType="begin"/>
            </w:r>
            <w:r>
              <w:rPr>
                <w:color w:val="auto"/>
                <w:sz w:val="24"/>
                <w:szCs w:val="24"/>
              </w:rPr>
              <w:instrText xml:space="preserve"> = 5 \* GB3 \* MERGEFORMAT </w:instrText>
            </w:r>
            <w:r>
              <w:rPr>
                <w:color w:val="auto"/>
                <w:sz w:val="24"/>
                <w:szCs w:val="24"/>
              </w:rPr>
              <w:fldChar w:fldCharType="separate"/>
            </w:r>
            <w:r>
              <w:rPr>
                <w:color w:val="auto"/>
                <w:sz w:val="24"/>
                <w:szCs w:val="24"/>
              </w:rPr>
              <w:t>⑤</w:t>
            </w:r>
            <w:r>
              <w:rPr>
                <w:color w:val="auto"/>
                <w:sz w:val="24"/>
                <w:szCs w:val="24"/>
              </w:rPr>
              <w:fldChar w:fldCharType="end"/>
            </w:r>
            <w:r>
              <w:rPr>
                <w:color w:val="auto"/>
                <w:sz w:val="24"/>
                <w:szCs w:val="24"/>
              </w:rPr>
              <w:t>耗材清单（</w:t>
            </w:r>
            <w:r>
              <w:rPr>
                <w:rFonts w:hint="eastAsia"/>
                <w:color w:val="auto"/>
                <w:sz w:val="24"/>
                <w:szCs w:val="24"/>
                <w:lang w:val="en-US" w:eastAsia="zh-CN"/>
              </w:rPr>
              <w:t>各类耗材</w:t>
            </w:r>
            <w:r>
              <w:rPr>
                <w:color w:val="auto"/>
                <w:sz w:val="24"/>
                <w:szCs w:val="24"/>
              </w:rPr>
              <w:t>更换记录等）</w:t>
            </w:r>
          </w:p>
          <w:p>
            <w:pPr>
              <w:bidi w:val="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管理制度健全：</w:t>
            </w: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1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有专兼职环保人员；</w:t>
            </w: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2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废气治理设施运行管理规程。</w:t>
            </w:r>
          </w:p>
          <w:p>
            <w:pPr>
              <w:spacing w:line="360" w:lineRule="auto"/>
              <w:ind w:firstLine="482" w:firstLineChars="200"/>
              <w:rPr>
                <w:b/>
                <w:bCs/>
                <w:color w:val="auto"/>
                <w:sz w:val="24"/>
                <w:szCs w:val="24"/>
              </w:rPr>
            </w:pPr>
            <w:r>
              <w:rPr>
                <w:rFonts w:hint="eastAsia" w:ascii="Times New Roman" w:hAnsi="Times New Roman" w:eastAsia="宋体" w:cs="Times New Roman"/>
                <w:b/>
                <w:bCs/>
                <w:color w:val="auto"/>
                <w:spacing w:val="0"/>
                <w:sz w:val="24"/>
                <w:szCs w:val="24"/>
                <w:lang w:val="en-US" w:eastAsia="zh-CN"/>
              </w:rPr>
              <w:t>三</w:t>
            </w:r>
            <w:r>
              <w:rPr>
                <w:rFonts w:hint="eastAsia"/>
                <w:b/>
                <w:bCs/>
                <w:color w:val="auto"/>
                <w:sz w:val="24"/>
                <w:szCs w:val="24"/>
              </w:rPr>
              <w:t>、</w:t>
            </w:r>
            <w:r>
              <w:rPr>
                <w:b/>
                <w:bCs/>
                <w:color w:val="auto"/>
                <w:sz w:val="24"/>
                <w:szCs w:val="24"/>
              </w:rPr>
              <w:t>监测计划</w:t>
            </w:r>
          </w:p>
          <w:p>
            <w:pPr>
              <w:spacing w:line="360" w:lineRule="auto"/>
              <w:ind w:firstLine="480" w:firstLineChars="200"/>
              <w:rPr>
                <w:color w:val="auto"/>
                <w:sz w:val="24"/>
                <w:szCs w:val="24"/>
              </w:rPr>
            </w:pPr>
            <w:r>
              <w:rPr>
                <w:color w:val="auto"/>
                <w:sz w:val="24"/>
                <w:szCs w:val="24"/>
              </w:rPr>
              <w:t>按照报告中提出的监测计划进行监测，并保留好监测报告。监测委托有资质的检（监）测机构代其开展自行监测的，对检（监）测机构的资质进行确认。</w:t>
            </w:r>
          </w:p>
          <w:p>
            <w:pPr>
              <w:rPr>
                <w:rFonts w:hint="eastAsia" w:ascii="Times New Roman" w:hAnsi="Times New Roman" w:eastAsia="宋体" w:cs="Times New Roman"/>
                <w:color w:val="auto"/>
                <w:sz w:val="24"/>
                <w:szCs w:val="24"/>
                <w:lang w:val="en-US" w:eastAsia="zh-CN"/>
              </w:rPr>
            </w:pPr>
          </w:p>
          <w:p>
            <w:pPr>
              <w:pStyle w:val="2"/>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2"/>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2"/>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2"/>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2"/>
              <w:rPr>
                <w:rFonts w:hint="eastAsia" w:ascii="Times New Roman" w:hAnsi="Times New Roman" w:eastAsia="宋体" w:cs="Times New Roman"/>
                <w:color w:val="auto"/>
                <w:sz w:val="24"/>
                <w:szCs w:val="24"/>
                <w:lang w:val="en-US" w:eastAsia="zh-CN"/>
              </w:rPr>
            </w:pPr>
          </w:p>
          <w:p>
            <w:pPr>
              <w:rPr>
                <w:rFonts w:hint="eastAsia"/>
                <w:lang w:val="en-US" w:eastAsia="zh-CN"/>
              </w:rPr>
            </w:pPr>
          </w:p>
          <w:p>
            <w:pPr>
              <w:pStyle w:val="12"/>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rPr>
                <w:rFonts w:hint="eastAsia"/>
                <w:color w:val="auto"/>
                <w:sz w:val="24"/>
                <w:szCs w:val="24"/>
                <w:lang w:val="en-US" w:eastAsia="zh-CN"/>
              </w:rPr>
            </w:pPr>
          </w:p>
          <w:p>
            <w:pPr>
              <w:pStyle w:val="2"/>
              <w:ind w:left="0" w:leftChars="0" w:firstLine="0" w:firstLineChars="0"/>
              <w:rPr>
                <w:rFonts w:hint="default" w:ascii="Times New Roman" w:hAnsi="Times New Roman" w:eastAsia="宋体" w:cs="Times New Roman"/>
                <w:color w:val="auto"/>
                <w:sz w:val="24"/>
                <w:szCs w:val="24"/>
                <w:lang w:val="en-US" w:eastAsia="zh-CN"/>
              </w:rPr>
            </w:pPr>
          </w:p>
        </w:tc>
      </w:tr>
    </w:tbl>
    <w:p>
      <w:pPr>
        <w:pStyle w:val="24"/>
        <w:ind w:left="0" w:leftChars="0" w:firstLine="0" w:firstLineChars="0"/>
        <w:jc w:val="center"/>
        <w:outlineLvl w:val="0"/>
        <w:rPr>
          <w:rFonts w:hint="default" w:ascii="Times New Roman" w:hAnsi="Times New Roman" w:eastAsia="宋体" w:cs="Times New Roman"/>
          <w:b w:val="0"/>
          <w:bCs w:val="0"/>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0" w:name="_Toc16508"/>
      <w:r>
        <w:rPr>
          <w:rFonts w:hint="default" w:ascii="Times New Roman" w:hAnsi="Times New Roman" w:eastAsia="黑体" w:cs="Times New Roman"/>
          <w:snapToGrid w:val="0"/>
          <w:color w:val="auto"/>
          <w:sz w:val="30"/>
          <w:szCs w:val="30"/>
          <w:highlight w:val="none"/>
        </w:rPr>
        <w:t>六、结论</w:t>
      </w:r>
      <w:bookmarkEnd w:id="30"/>
    </w:p>
    <w:tbl>
      <w:tblPr>
        <w:tblStyle w:val="30"/>
        <w:tblW w:w="92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88" w:type="dxa"/>
            <w:vAlign w:val="top"/>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rPr>
              <w:t>本项目建设符合国家</w:t>
            </w:r>
            <w:r>
              <w:rPr>
                <w:rFonts w:hint="default" w:ascii="Times New Roman" w:hAnsi="Times New Roman" w:eastAsia="宋体" w:cs="Times New Roman"/>
                <w:color w:val="auto"/>
                <w:sz w:val="24"/>
                <w:lang w:eastAsia="zh-CN"/>
              </w:rPr>
              <w:t>及地方</w:t>
            </w:r>
            <w:r>
              <w:rPr>
                <w:rFonts w:hint="default" w:ascii="Times New Roman" w:hAnsi="Times New Roman" w:eastAsia="宋体" w:cs="Times New Roman"/>
                <w:color w:val="auto"/>
                <w:sz w:val="24"/>
              </w:rPr>
              <w:t>相关产业政策；项目产生的污染物较少，经治理后均能达标排放，且污染防治措施技术可靠、经济可行，项目在落实各项环保措施的前提下，对周围环境影响较小。因此，建设单位严格落实环评中提出的各项环保措施，加强环境管理，从环保的角度分析，本项目的建设</w:t>
            </w:r>
            <w:r>
              <w:rPr>
                <w:rFonts w:hint="eastAsia" w:ascii="Times New Roman" w:hAnsi="Times New Roman" w:eastAsia="宋体" w:cs="Times New Roman"/>
                <w:color w:val="auto"/>
                <w:sz w:val="24"/>
                <w:lang w:val="en-US" w:eastAsia="zh-CN"/>
              </w:rPr>
              <w:t>环境影响</w:t>
            </w:r>
            <w:r>
              <w:rPr>
                <w:rFonts w:hint="default" w:ascii="Times New Roman" w:hAnsi="Times New Roman" w:eastAsia="宋体" w:cs="Times New Roman"/>
                <w:color w:val="auto"/>
                <w:sz w:val="24"/>
              </w:rPr>
              <w:t>是可行的。</w:t>
            </w:r>
          </w:p>
          <w:p>
            <w:pPr>
              <w:spacing w:line="360" w:lineRule="auto"/>
              <w:jc w:val="both"/>
              <w:rPr>
                <w:rFonts w:hint="default" w:ascii="Times New Roman" w:hAnsi="Times New Roman" w:eastAsia="宋体" w:cs="Times New Roman"/>
                <w:color w:val="auto"/>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p>
            <w:pPr>
              <w:pStyle w:val="48"/>
              <w:rPr>
                <w:rFonts w:hint="default" w:ascii="Times New Roman" w:hAnsi="Times New Roman" w:eastAsia="宋体" w:cs="Times New Roman"/>
                <w:color w:val="auto"/>
                <w:sz w:val="24"/>
                <w:highlight w:val="none"/>
              </w:rPr>
            </w:pPr>
          </w:p>
        </w:tc>
      </w:tr>
    </w:tbl>
    <w:p>
      <w:pPr>
        <w:rPr>
          <w:rFonts w:hint="default" w:ascii="Times New Roman" w:hAnsi="Times New Roman" w:eastAsia="宋体" w:cs="Times New Roman"/>
          <w:color w:val="auto"/>
          <w:highlight w:val="none"/>
        </w:rPr>
        <w:sectPr>
          <w:footerReference r:id="rId9" w:type="default"/>
          <w:pgSz w:w="11905" w:h="16838"/>
          <w:pgMar w:top="1247" w:right="1247" w:bottom="1247" w:left="1587"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4"/>
        <w:adjustRightInd w:val="0"/>
        <w:snapToGrid w:val="0"/>
        <w:spacing w:before="0" w:beforeAutospacing="0" w:after="0" w:afterAutospacing="0" w:line="240" w:lineRule="auto"/>
        <w:outlineLvl w:val="0"/>
        <w:rPr>
          <w:rFonts w:hint="default" w:ascii="Times New Roman" w:hAnsi="Times New Roman" w:eastAsia="黑体" w:cs="Times New Roman"/>
          <w:snapToGrid w:val="0"/>
          <w:color w:val="auto"/>
          <w:sz w:val="32"/>
          <w:szCs w:val="32"/>
          <w:highlight w:val="none"/>
        </w:rPr>
      </w:pPr>
      <w:bookmarkStart w:id="31" w:name="_Toc17061"/>
      <w:r>
        <w:rPr>
          <w:rFonts w:hint="default" w:ascii="Times New Roman" w:hAnsi="Times New Roman" w:eastAsia="黑体" w:cs="Times New Roman"/>
          <w:snapToGrid w:val="0"/>
          <w:color w:val="auto"/>
          <w:sz w:val="32"/>
          <w:szCs w:val="32"/>
          <w:highlight w:val="none"/>
        </w:rPr>
        <w:t>附表</w:t>
      </w:r>
      <w:bookmarkEnd w:id="31"/>
    </w:p>
    <w:p>
      <w:pPr>
        <w:pStyle w:val="24"/>
        <w:adjustRightInd w:val="0"/>
        <w:snapToGrid w:val="0"/>
        <w:spacing w:before="0" w:beforeAutospacing="0" w:after="0" w:afterAutospacing="0" w:line="240" w:lineRule="auto"/>
        <w:jc w:val="center"/>
        <w:outlineLvl w:val="0"/>
        <w:rPr>
          <w:rFonts w:hint="default" w:ascii="Times New Roman" w:hAnsi="Times New Roman" w:eastAsia="方正小标宋_GBK" w:cs="Times New Roman"/>
          <w:snapToGrid w:val="0"/>
          <w:color w:val="auto"/>
          <w:sz w:val="38"/>
          <w:szCs w:val="38"/>
          <w:highlight w:val="none"/>
        </w:rPr>
      </w:pPr>
      <w:bookmarkStart w:id="32" w:name="_Toc17936"/>
      <w:bookmarkStart w:id="33" w:name="_Toc25596"/>
      <w:r>
        <w:rPr>
          <w:rFonts w:hint="default" w:ascii="Times New Roman" w:hAnsi="Times New Roman" w:eastAsia="方正小标宋_GBK" w:cs="Times New Roman"/>
          <w:snapToGrid w:val="0"/>
          <w:color w:val="auto"/>
          <w:sz w:val="38"/>
          <w:szCs w:val="38"/>
          <w:highlight w:val="none"/>
        </w:rPr>
        <w:t>建设项目污染物排放量汇总表</w:t>
      </w:r>
      <w:bookmarkEnd w:id="32"/>
      <w:bookmarkEnd w:id="33"/>
    </w:p>
    <w:tbl>
      <w:tblPr>
        <w:tblStyle w:val="30"/>
        <w:tblW w:w="1383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571"/>
        <w:gridCol w:w="1538"/>
        <w:gridCol w:w="1230"/>
        <w:gridCol w:w="1756"/>
        <w:gridCol w:w="1540"/>
        <w:gridCol w:w="1758"/>
        <w:gridCol w:w="1796"/>
        <w:gridCol w:w="10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jc w:val="center"/>
        </w:trPr>
        <w:tc>
          <w:tcPr>
            <w:tcW w:w="1583" w:type="dxa"/>
            <w:tcBorders>
              <w:tl2br w:val="single" w:color="auto" w:sz="4" w:space="0"/>
            </w:tcBorders>
            <w:tcMar>
              <w:left w:w="28" w:type="dxa"/>
              <w:right w:w="28" w:type="dxa"/>
            </w:tcMar>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jc w:val="right"/>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项目</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jc w:val="left"/>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分类</w:t>
            </w:r>
          </w:p>
        </w:tc>
        <w:tc>
          <w:tcPr>
            <w:tcW w:w="1571" w:type="dxa"/>
            <w:tcMar>
              <w:left w:w="28" w:type="dxa"/>
              <w:right w:w="28" w:type="dxa"/>
            </w:tcMar>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污染物名称</w:t>
            </w:r>
          </w:p>
        </w:tc>
        <w:tc>
          <w:tcPr>
            <w:tcW w:w="1538" w:type="dxa"/>
            <w:tcMar>
              <w:left w:w="28" w:type="dxa"/>
              <w:right w:w="28" w:type="dxa"/>
            </w:tcMar>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现有工程</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排放量（固体废物产生量）</w:t>
            </w: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①</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c>
          <w:tcPr>
            <w:tcW w:w="1230" w:type="dxa"/>
            <w:tcMar>
              <w:left w:w="28" w:type="dxa"/>
              <w:right w:w="28" w:type="dxa"/>
            </w:tcMar>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现有工程</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许可排放量</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snapToGrid w:val="0"/>
                <w:color w:val="auto"/>
                <w:spacing w:val="-6"/>
                <w:kern w:val="21"/>
                <w:sz w:val="21"/>
                <w:szCs w:val="21"/>
                <w:highlight w:val="none"/>
              </w:rPr>
              <w:t>②</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c>
          <w:tcPr>
            <w:tcW w:w="1756" w:type="dxa"/>
            <w:tcMar>
              <w:left w:w="28" w:type="dxa"/>
              <w:right w:w="28" w:type="dxa"/>
            </w:tcMar>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在建工程</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排放量（固体废物产生量）</w:t>
            </w: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③</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c>
          <w:tcPr>
            <w:tcW w:w="1540" w:type="dxa"/>
            <w:tcMar>
              <w:left w:w="28" w:type="dxa"/>
              <w:right w:w="28" w:type="dxa"/>
            </w:tcMar>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本项目</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排放量（固体废物产生量）</w:t>
            </w: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④</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c>
          <w:tcPr>
            <w:tcW w:w="1758" w:type="dxa"/>
            <w:tcMar>
              <w:left w:w="28" w:type="dxa"/>
              <w:right w:w="28" w:type="dxa"/>
            </w:tcMar>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16"/>
                <w:kern w:val="21"/>
                <w:sz w:val="21"/>
                <w:szCs w:val="21"/>
                <w:highlight w:val="none"/>
              </w:rPr>
            </w:pPr>
            <w:r>
              <w:rPr>
                <w:rFonts w:hint="default" w:ascii="Times New Roman" w:hAnsi="Times New Roman" w:eastAsia="宋体" w:cs="Times New Roman"/>
                <w:b w:val="0"/>
                <w:bCs w:val="0"/>
                <w:snapToGrid w:val="0"/>
                <w:color w:val="auto"/>
                <w:spacing w:val="-16"/>
                <w:kern w:val="21"/>
                <w:sz w:val="21"/>
                <w:szCs w:val="21"/>
                <w:highlight w:val="none"/>
              </w:rPr>
              <w:t>以新带老削减量</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16"/>
                <w:kern w:val="21"/>
                <w:sz w:val="21"/>
                <w:szCs w:val="21"/>
                <w:highlight w:val="none"/>
              </w:rPr>
            </w:pPr>
            <w:r>
              <w:rPr>
                <w:rFonts w:hint="default" w:ascii="Times New Roman" w:hAnsi="Times New Roman" w:eastAsia="宋体" w:cs="Times New Roman"/>
                <w:b w:val="0"/>
                <w:bCs w:val="0"/>
                <w:snapToGrid w:val="0"/>
                <w:color w:val="auto"/>
                <w:spacing w:val="-16"/>
                <w:kern w:val="21"/>
                <w:sz w:val="21"/>
                <w:szCs w:val="21"/>
                <w:highlight w:val="none"/>
              </w:rPr>
              <w:t>（新建项目不填）</w:t>
            </w:r>
            <w:r>
              <w:rPr>
                <w:rFonts w:hint="default" w:ascii="Times New Roman" w:hAnsi="Times New Roman" w:eastAsia="宋体" w:cs="Times New Roman"/>
                <w:b w:val="0"/>
                <w:bCs w:val="0"/>
                <w:snapToGrid w:val="0"/>
                <w:color w:val="auto"/>
                <w:spacing w:val="-16"/>
                <w:kern w:val="21"/>
                <w:sz w:val="21"/>
                <w:szCs w:val="21"/>
                <w:highlight w:val="none"/>
              </w:rPr>
              <w:fldChar w:fldCharType="begin"/>
            </w:r>
            <w:r>
              <w:rPr>
                <w:rFonts w:hint="default" w:ascii="Times New Roman" w:hAnsi="Times New Roman" w:eastAsia="宋体" w:cs="Times New Roman"/>
                <w:b w:val="0"/>
                <w:bCs w:val="0"/>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b w:val="0"/>
                <w:bCs w:val="0"/>
                <w:snapToGrid w:val="0"/>
                <w:color w:val="auto"/>
                <w:spacing w:val="-1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⑤</w:t>
            </w:r>
            <w:r>
              <w:rPr>
                <w:rFonts w:hint="default" w:ascii="Times New Roman" w:hAnsi="Times New Roman" w:eastAsia="宋体" w:cs="Times New Roman"/>
                <w:b w:val="0"/>
                <w:bCs w:val="0"/>
                <w:snapToGrid w:val="0"/>
                <w:color w:val="auto"/>
                <w:spacing w:val="-16"/>
                <w:kern w:val="21"/>
                <w:sz w:val="21"/>
                <w:szCs w:val="21"/>
                <w:highlight w:val="none"/>
              </w:rPr>
              <w:fldChar w:fldCharType="end"/>
            </w:r>
          </w:p>
        </w:tc>
        <w:tc>
          <w:tcPr>
            <w:tcW w:w="1796" w:type="dxa"/>
            <w:tcMar>
              <w:left w:w="28" w:type="dxa"/>
              <w:right w:w="28" w:type="dxa"/>
            </w:tcMar>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16"/>
                <w:kern w:val="21"/>
                <w:sz w:val="21"/>
                <w:szCs w:val="21"/>
                <w:highlight w:val="none"/>
              </w:rPr>
            </w:pPr>
            <w:r>
              <w:rPr>
                <w:rFonts w:hint="default" w:ascii="Times New Roman" w:hAnsi="Times New Roman" w:eastAsia="宋体" w:cs="Times New Roman"/>
                <w:b w:val="0"/>
                <w:bCs w:val="0"/>
                <w:snapToGrid w:val="0"/>
                <w:color w:val="auto"/>
                <w:spacing w:val="-16"/>
                <w:kern w:val="21"/>
                <w:sz w:val="21"/>
                <w:szCs w:val="21"/>
                <w:highlight w:val="none"/>
              </w:rPr>
              <w:t>本项目建成后</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16"/>
                <w:kern w:val="21"/>
                <w:sz w:val="21"/>
                <w:szCs w:val="21"/>
                <w:highlight w:val="none"/>
              </w:rPr>
            </w:pPr>
            <w:r>
              <w:rPr>
                <w:rFonts w:hint="default" w:ascii="Times New Roman" w:hAnsi="Times New Roman" w:eastAsia="宋体" w:cs="Times New Roman"/>
                <w:b w:val="0"/>
                <w:bCs w:val="0"/>
                <w:snapToGrid w:val="0"/>
                <w:color w:val="auto"/>
                <w:spacing w:val="-16"/>
                <w:kern w:val="21"/>
                <w:sz w:val="21"/>
                <w:szCs w:val="21"/>
                <w:highlight w:val="none"/>
              </w:rPr>
              <w:t>全厂排放量（固体废物产生量）</w:t>
            </w:r>
            <w:r>
              <w:rPr>
                <w:rFonts w:hint="default" w:ascii="Times New Roman" w:hAnsi="Times New Roman" w:eastAsia="宋体" w:cs="Times New Roman"/>
                <w:b w:val="0"/>
                <w:bCs w:val="0"/>
                <w:snapToGrid w:val="0"/>
                <w:color w:val="auto"/>
                <w:spacing w:val="-16"/>
                <w:kern w:val="21"/>
                <w:sz w:val="21"/>
                <w:szCs w:val="21"/>
                <w:highlight w:val="none"/>
              </w:rPr>
              <w:fldChar w:fldCharType="begin"/>
            </w:r>
            <w:r>
              <w:rPr>
                <w:rFonts w:hint="default" w:ascii="Times New Roman" w:hAnsi="Times New Roman" w:eastAsia="宋体" w:cs="Times New Roman"/>
                <w:b w:val="0"/>
                <w:bCs w:val="0"/>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b w:val="0"/>
                <w:bCs w:val="0"/>
                <w:snapToGrid w:val="0"/>
                <w:color w:val="auto"/>
                <w:spacing w:val="-1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⑥</w:t>
            </w:r>
            <w:r>
              <w:rPr>
                <w:rFonts w:hint="default" w:ascii="Times New Roman" w:hAnsi="Times New Roman" w:eastAsia="宋体" w:cs="Times New Roman"/>
                <w:b w:val="0"/>
                <w:bCs w:val="0"/>
                <w:snapToGrid w:val="0"/>
                <w:color w:val="auto"/>
                <w:spacing w:val="-16"/>
                <w:kern w:val="21"/>
                <w:sz w:val="21"/>
                <w:szCs w:val="21"/>
                <w:highlight w:val="none"/>
              </w:rPr>
              <w:fldChar w:fldCharType="end"/>
            </w:r>
          </w:p>
        </w:tc>
        <w:tc>
          <w:tcPr>
            <w:tcW w:w="1065" w:type="dxa"/>
            <w:tcMar>
              <w:left w:w="28" w:type="dxa"/>
              <w:right w:w="28" w:type="dxa"/>
            </w:tcMar>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变化量</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⑦</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restart"/>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废气</w:t>
            </w:r>
          </w:p>
        </w:tc>
        <w:tc>
          <w:tcPr>
            <w:tcW w:w="1571" w:type="dxa"/>
            <w:vAlign w:val="center"/>
          </w:tcPr>
          <w:p>
            <w:pPr>
              <w:pStyle w:val="32"/>
              <w:bidi w:val="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颗粒物</w:t>
            </w:r>
          </w:p>
        </w:tc>
        <w:tc>
          <w:tcPr>
            <w:tcW w:w="1538"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0.009t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1230"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5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540" w:type="dxa"/>
            <w:vAlign w:val="center"/>
          </w:tcPr>
          <w:p>
            <w:pPr>
              <w:pStyle w:val="32"/>
              <w:bidi w:val="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0.024t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1758"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96" w:type="dxa"/>
            <w:vAlign w:val="center"/>
          </w:tcPr>
          <w:p>
            <w:pPr>
              <w:pStyle w:val="32"/>
              <w:bidi w:val="0"/>
              <w:ind w:firstLine="0" w:firstLineChars="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0.033</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065"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+0.024t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rPr>
            </w:pPr>
          </w:p>
        </w:tc>
        <w:tc>
          <w:tcPr>
            <w:tcW w:w="1571" w:type="dxa"/>
            <w:vAlign w:val="center"/>
          </w:tcPr>
          <w:p>
            <w:pPr>
              <w:pStyle w:val="32"/>
              <w:bidi w:val="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SO</w:t>
            </w:r>
            <w:r>
              <w:rPr>
                <w:rFonts w:hint="eastAsia" w:cs="Times New Roman"/>
                <w:b w:val="0"/>
                <w:bCs w:val="0"/>
                <w:snapToGrid w:val="0"/>
                <w:color w:val="auto"/>
                <w:kern w:val="21"/>
                <w:sz w:val="21"/>
                <w:szCs w:val="21"/>
                <w:highlight w:val="none"/>
                <w:vertAlign w:val="subscript"/>
                <w:lang w:val="en-US" w:eastAsia="zh-CN" w:bidi="ar-SA"/>
              </w:rPr>
              <w:t>2</w:t>
            </w:r>
          </w:p>
        </w:tc>
        <w:tc>
          <w:tcPr>
            <w:tcW w:w="1538"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0.002t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1230"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56"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540" w:type="dxa"/>
            <w:vAlign w:val="center"/>
          </w:tcPr>
          <w:p>
            <w:pPr>
              <w:pStyle w:val="32"/>
              <w:bidi w:val="0"/>
              <w:rPr>
                <w:rFonts w:hint="default"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0.010t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1758"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96" w:type="dxa"/>
            <w:vAlign w:val="center"/>
          </w:tcPr>
          <w:p>
            <w:pPr>
              <w:pStyle w:val="32"/>
              <w:bidi w:val="0"/>
              <w:ind w:firstLine="0" w:firstLineChars="0"/>
              <w:rPr>
                <w:rFonts w:hint="default"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0.012</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065"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+0.010t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rPr>
            </w:pPr>
          </w:p>
        </w:tc>
        <w:tc>
          <w:tcPr>
            <w:tcW w:w="1571" w:type="dxa"/>
            <w:vAlign w:val="center"/>
          </w:tcPr>
          <w:p>
            <w:pPr>
              <w:pStyle w:val="32"/>
              <w:bidi w:val="0"/>
              <w:rPr>
                <w:rFonts w:hint="eastAsia"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NOx</w:t>
            </w:r>
          </w:p>
        </w:tc>
        <w:tc>
          <w:tcPr>
            <w:tcW w:w="1538"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0.041t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1230"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5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540" w:type="dxa"/>
            <w:vAlign w:val="center"/>
          </w:tcPr>
          <w:p>
            <w:pPr>
              <w:pStyle w:val="32"/>
              <w:bidi w:val="0"/>
              <w:rPr>
                <w:rFonts w:hint="eastAsia"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0.091t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1758"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96" w:type="dxa"/>
            <w:vAlign w:val="center"/>
          </w:tcPr>
          <w:p>
            <w:pPr>
              <w:pStyle w:val="32"/>
              <w:bidi w:val="0"/>
              <w:ind w:firstLine="0" w:firstLineChars="0"/>
              <w:rPr>
                <w:rFonts w:hint="default"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0.132</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065"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+0.091t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rPr>
            </w:pPr>
          </w:p>
        </w:tc>
        <w:tc>
          <w:tcPr>
            <w:tcW w:w="1571" w:type="dxa"/>
            <w:vAlign w:val="center"/>
          </w:tcPr>
          <w:p>
            <w:pPr>
              <w:pStyle w:val="32"/>
              <w:bidi w:val="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油烟</w:t>
            </w:r>
          </w:p>
        </w:tc>
        <w:tc>
          <w:tcPr>
            <w:tcW w:w="1538"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0.018t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1230"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75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540" w:type="dxa"/>
            <w:vAlign w:val="center"/>
          </w:tcPr>
          <w:p>
            <w:pPr>
              <w:pStyle w:val="32"/>
              <w:bidi w:val="0"/>
              <w:rPr>
                <w:rFonts w:hint="eastAsia"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0.033t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1758"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kern w:val="0"/>
                <w:sz w:val="21"/>
                <w:szCs w:val="21"/>
                <w:highlight w:val="green"/>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796" w:type="dxa"/>
            <w:vAlign w:val="center"/>
          </w:tcPr>
          <w:p>
            <w:pPr>
              <w:pStyle w:val="32"/>
              <w:bidi w:val="0"/>
              <w:ind w:firstLine="0" w:firstLineChars="0"/>
              <w:rPr>
                <w:rFonts w:hint="default"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0.044</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065" w:type="dxa"/>
            <w:vAlign w:val="center"/>
          </w:tcPr>
          <w:p>
            <w:pPr>
              <w:pStyle w:val="32"/>
              <w:bidi w:val="0"/>
              <w:ind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+0.026t</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restart"/>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废水</w:t>
            </w:r>
          </w:p>
        </w:tc>
        <w:tc>
          <w:tcPr>
            <w:tcW w:w="1571"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COD</w:t>
            </w:r>
          </w:p>
        </w:tc>
        <w:tc>
          <w:tcPr>
            <w:tcW w:w="1538"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0.037t/a</w:t>
            </w:r>
          </w:p>
        </w:tc>
        <w:tc>
          <w:tcPr>
            <w:tcW w:w="1230"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56"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540"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5.104t/a</w:t>
            </w:r>
          </w:p>
        </w:tc>
        <w:tc>
          <w:tcPr>
            <w:tcW w:w="1758"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96"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5.141t/a</w:t>
            </w:r>
          </w:p>
        </w:tc>
        <w:tc>
          <w:tcPr>
            <w:tcW w:w="106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+5.104t/a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rPr>
            </w:pPr>
          </w:p>
        </w:tc>
        <w:tc>
          <w:tcPr>
            <w:tcW w:w="1571"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NH</w:t>
            </w:r>
            <w:r>
              <w:rPr>
                <w:rFonts w:hint="default" w:ascii="Times New Roman" w:hAnsi="Times New Roman" w:eastAsia="宋体" w:cs="Times New Roman"/>
                <w:b w:val="0"/>
                <w:bCs w:val="0"/>
                <w:snapToGrid w:val="0"/>
                <w:color w:val="auto"/>
                <w:kern w:val="21"/>
                <w:sz w:val="21"/>
                <w:szCs w:val="21"/>
                <w:highlight w:val="none"/>
                <w:vertAlign w:val="subscript"/>
                <w:lang w:val="en-US" w:eastAsia="zh-CN" w:bidi="ar-SA"/>
              </w:rPr>
              <w:t>3</w:t>
            </w:r>
            <w:r>
              <w:rPr>
                <w:rFonts w:hint="default" w:ascii="Times New Roman" w:hAnsi="Times New Roman" w:eastAsia="宋体" w:cs="Times New Roman"/>
                <w:b w:val="0"/>
                <w:bCs w:val="0"/>
                <w:snapToGrid w:val="0"/>
                <w:color w:val="auto"/>
                <w:kern w:val="21"/>
                <w:sz w:val="21"/>
                <w:szCs w:val="21"/>
                <w:highlight w:val="none"/>
                <w:lang w:val="en-US" w:eastAsia="zh-CN" w:bidi="ar-SA"/>
              </w:rPr>
              <w:t>-N</w:t>
            </w:r>
          </w:p>
        </w:tc>
        <w:tc>
          <w:tcPr>
            <w:tcW w:w="1538"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0.023t/a</w:t>
            </w:r>
          </w:p>
        </w:tc>
        <w:tc>
          <w:tcPr>
            <w:tcW w:w="1230"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56"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540"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0.014t/a</w:t>
            </w:r>
          </w:p>
        </w:tc>
        <w:tc>
          <w:tcPr>
            <w:tcW w:w="1758"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96"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0.037t/a</w:t>
            </w:r>
          </w:p>
        </w:tc>
        <w:tc>
          <w:tcPr>
            <w:tcW w:w="1065" w:type="dxa"/>
            <w:shd w:val="clear" w:color="auto" w:fill="auto"/>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+0.014t/a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snapToGrid w:val="0"/>
                <w:color w:val="auto"/>
                <w:kern w:val="21"/>
                <w:sz w:val="21"/>
                <w:szCs w:val="21"/>
                <w:highlight w:val="none"/>
                <w:lang w:val="en-US" w:eastAsia="zh-CN"/>
              </w:rPr>
            </w:pPr>
            <w:r>
              <w:rPr>
                <w:rFonts w:hint="eastAsia" w:ascii="Times New Roman" w:hAnsi="Times New Roman" w:cs="Times New Roman"/>
                <w:b w:val="0"/>
                <w:bCs w:val="0"/>
                <w:snapToGrid w:val="0"/>
                <w:color w:val="auto"/>
                <w:kern w:val="21"/>
                <w:sz w:val="21"/>
                <w:szCs w:val="21"/>
                <w:highlight w:val="none"/>
                <w:lang w:val="en-US" w:eastAsia="zh-CN"/>
              </w:rPr>
              <w:t>生活垃圾</w:t>
            </w:r>
          </w:p>
        </w:tc>
        <w:tc>
          <w:tcPr>
            <w:tcW w:w="1571"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生活垃圾</w:t>
            </w:r>
          </w:p>
        </w:tc>
        <w:tc>
          <w:tcPr>
            <w:tcW w:w="1538"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12.67t/a</w:t>
            </w:r>
          </w:p>
        </w:tc>
        <w:tc>
          <w:tcPr>
            <w:tcW w:w="1230"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56"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540"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cs="Times New Roman"/>
                <w:b w:val="0"/>
                <w:bCs w:val="0"/>
                <w:snapToGrid w:val="0"/>
                <w:color w:val="auto"/>
                <w:kern w:val="21"/>
                <w:sz w:val="21"/>
                <w:szCs w:val="21"/>
                <w:highlight w:val="none"/>
                <w:lang w:val="en-US" w:eastAsia="zh-CN" w:bidi="ar-SA"/>
              </w:rPr>
              <w:t>0</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758"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96"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cs="Times New Roman"/>
                <w:b w:val="0"/>
                <w:bCs w:val="0"/>
                <w:snapToGrid w:val="0"/>
                <w:color w:val="auto"/>
                <w:kern w:val="21"/>
                <w:sz w:val="21"/>
                <w:szCs w:val="21"/>
                <w:highlight w:val="none"/>
                <w:lang w:val="en-US" w:eastAsia="zh-CN" w:bidi="ar-SA"/>
              </w:rPr>
              <w:t>12.67</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065"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w:t>
            </w:r>
            <w:r>
              <w:rPr>
                <w:rFonts w:hint="eastAsia" w:ascii="Times New Roman" w:cs="Times New Roman"/>
                <w:b w:val="0"/>
                <w:bCs w:val="0"/>
                <w:snapToGrid w:val="0"/>
                <w:color w:val="auto"/>
                <w:kern w:val="21"/>
                <w:sz w:val="21"/>
                <w:szCs w:val="21"/>
                <w:highlight w:val="none"/>
                <w:lang w:val="en-US" w:eastAsia="zh-CN" w:bidi="ar-SA"/>
              </w:rPr>
              <w:t>0</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restart"/>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一般工业</w:t>
            </w:r>
          </w:p>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固体废</w:t>
            </w:r>
            <w:r>
              <w:rPr>
                <w:rFonts w:hint="default" w:ascii="Times New Roman" w:hAnsi="Times New Roman" w:eastAsia="宋体" w:cs="Times New Roman"/>
                <w:b w:val="0"/>
                <w:bCs w:val="0"/>
                <w:color w:val="auto"/>
                <w:sz w:val="21"/>
                <w:szCs w:val="21"/>
                <w:highlight w:val="none"/>
                <w:lang w:eastAsia="zh-CN"/>
              </w:rPr>
              <w:t>物</w:t>
            </w:r>
          </w:p>
        </w:tc>
        <w:tc>
          <w:tcPr>
            <w:tcW w:w="1571"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不合格面皮、过期面皮</w:t>
            </w:r>
          </w:p>
        </w:tc>
        <w:tc>
          <w:tcPr>
            <w:tcW w:w="1538"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0.8</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230"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756"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540"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highlight w:val="none"/>
                <w:lang w:val="en-US" w:eastAsia="zh-CN"/>
              </w:rPr>
              <w:t>2</w:t>
            </w:r>
            <w:r>
              <w:rPr>
                <w:rFonts w:hint="eastAsia" w:ascii="Times New Roman" w:cs="Times New Roman"/>
                <w:b w:val="0"/>
                <w:bCs w:val="0"/>
                <w:color w:val="auto"/>
                <w:sz w:val="21"/>
                <w:szCs w:val="21"/>
                <w:highlight w:val="none"/>
                <w:lang w:val="en-US" w:eastAsia="zh-CN"/>
              </w:rPr>
              <w:t>t/a</w:t>
            </w:r>
          </w:p>
        </w:tc>
        <w:tc>
          <w:tcPr>
            <w:tcW w:w="1758"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796"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cs="Times New Roman"/>
                <w:b w:val="0"/>
                <w:bCs w:val="0"/>
                <w:color w:val="auto"/>
                <w:sz w:val="21"/>
                <w:szCs w:val="21"/>
                <w:highlight w:val="none"/>
                <w:lang w:val="en-US" w:eastAsia="zh-CN"/>
              </w:rPr>
              <w:t>2.8</w:t>
            </w:r>
            <w:r>
              <w:rPr>
                <w:rFonts w:hint="eastAsia" w:ascii="Times New Roman" w:hAnsi="Times New Roman" w:eastAsia="宋体" w:cs="Times New Roman"/>
                <w:b w:val="0"/>
                <w:bCs w:val="0"/>
                <w:color w:val="auto"/>
                <w:sz w:val="21"/>
                <w:szCs w:val="21"/>
                <w:highlight w:val="none"/>
                <w:lang w:val="en-US" w:eastAsia="zh-CN"/>
              </w:rPr>
              <w:t>t/a</w:t>
            </w:r>
          </w:p>
        </w:tc>
        <w:tc>
          <w:tcPr>
            <w:tcW w:w="1065"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r>
              <w:rPr>
                <w:rFonts w:hint="eastAsia" w:ascii="Times New Roman"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rPr>
            </w:pPr>
          </w:p>
        </w:tc>
        <w:tc>
          <w:tcPr>
            <w:tcW w:w="1571"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废包装材料</w:t>
            </w:r>
          </w:p>
        </w:tc>
        <w:tc>
          <w:tcPr>
            <w:tcW w:w="1538"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0.1</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230"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75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default" w:ascii="Times New Roman" w:cs="Times New Roman"/>
                <w:b w:val="0"/>
                <w:bCs w:val="0"/>
                <w:color w:val="auto"/>
                <w:sz w:val="21"/>
                <w:szCs w:val="21"/>
                <w:highlight w:val="none"/>
                <w:lang w:val="en-US" w:eastAsia="zh-CN"/>
              </w:rPr>
              <w:t>/</w:t>
            </w:r>
          </w:p>
        </w:tc>
        <w:tc>
          <w:tcPr>
            <w:tcW w:w="1540"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highlight w:val="none"/>
                <w:lang w:val="en-US" w:eastAsia="zh-CN"/>
              </w:rPr>
              <w:t>0.5</w:t>
            </w:r>
            <w:r>
              <w:rPr>
                <w:rFonts w:hint="eastAsia" w:ascii="Times New Roman" w:cs="Times New Roman"/>
                <w:b w:val="0"/>
                <w:bCs w:val="0"/>
                <w:color w:val="auto"/>
                <w:sz w:val="21"/>
                <w:szCs w:val="21"/>
                <w:highlight w:val="none"/>
                <w:lang w:val="en-US" w:eastAsia="zh-CN"/>
              </w:rPr>
              <w:t>t/a</w:t>
            </w:r>
          </w:p>
        </w:tc>
        <w:tc>
          <w:tcPr>
            <w:tcW w:w="1758"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default" w:ascii="Times New Roman" w:cs="Times New Roman"/>
                <w:b w:val="0"/>
                <w:bCs w:val="0"/>
                <w:color w:val="auto"/>
                <w:sz w:val="21"/>
                <w:szCs w:val="21"/>
                <w:highlight w:val="none"/>
                <w:lang w:val="en-US" w:eastAsia="zh-CN"/>
              </w:rPr>
              <w:t>/</w:t>
            </w:r>
          </w:p>
        </w:tc>
        <w:tc>
          <w:tcPr>
            <w:tcW w:w="179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0.6t/a</w:t>
            </w:r>
          </w:p>
        </w:tc>
        <w:tc>
          <w:tcPr>
            <w:tcW w:w="1065"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rPr>
            </w:pPr>
          </w:p>
        </w:tc>
        <w:tc>
          <w:tcPr>
            <w:tcW w:w="1571"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废过滤材料</w:t>
            </w:r>
          </w:p>
        </w:tc>
        <w:tc>
          <w:tcPr>
            <w:tcW w:w="1538"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0.01</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230"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w:t>
            </w:r>
          </w:p>
        </w:tc>
        <w:tc>
          <w:tcPr>
            <w:tcW w:w="175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w:t>
            </w:r>
          </w:p>
        </w:tc>
        <w:tc>
          <w:tcPr>
            <w:tcW w:w="1540"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0.02</w:t>
            </w:r>
            <w:r>
              <w:rPr>
                <w:rFonts w:hint="eastAsia" w:ascii="Times New Roman" w:cs="Times New Roman"/>
                <w:b w:val="0"/>
                <w:bCs w:val="0"/>
                <w:color w:val="auto"/>
                <w:sz w:val="21"/>
                <w:szCs w:val="21"/>
                <w:highlight w:val="none"/>
                <w:lang w:val="en-US" w:eastAsia="zh-CN"/>
              </w:rPr>
              <w:t>t/a</w:t>
            </w:r>
          </w:p>
        </w:tc>
        <w:tc>
          <w:tcPr>
            <w:tcW w:w="1758"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w:t>
            </w:r>
          </w:p>
        </w:tc>
        <w:tc>
          <w:tcPr>
            <w:tcW w:w="179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0.03</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065"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rPr>
            </w:pPr>
          </w:p>
        </w:tc>
        <w:tc>
          <w:tcPr>
            <w:tcW w:w="1571"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highlight w:val="none"/>
                <w:lang w:val="en-US" w:eastAsia="zh-CN"/>
              </w:rPr>
              <w:t>废离子交换树脂</w:t>
            </w:r>
          </w:p>
        </w:tc>
        <w:tc>
          <w:tcPr>
            <w:tcW w:w="1538"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0.01</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230"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56"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default" w:ascii="Times New Roman" w:cs="Times New Roman"/>
                <w:b w:val="0"/>
                <w:bCs w:val="0"/>
                <w:color w:val="auto"/>
                <w:sz w:val="21"/>
                <w:szCs w:val="21"/>
                <w:highlight w:val="none"/>
                <w:lang w:val="en-US" w:eastAsia="zh-CN"/>
              </w:rPr>
              <w:t>/</w:t>
            </w:r>
          </w:p>
        </w:tc>
        <w:tc>
          <w:tcPr>
            <w:tcW w:w="1540"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0.02</w:t>
            </w:r>
            <w:r>
              <w:rPr>
                <w:rFonts w:hint="eastAsia" w:ascii="Times New Roman" w:cs="Times New Roman"/>
                <w:b w:val="0"/>
                <w:bCs w:val="0"/>
                <w:color w:val="auto"/>
                <w:sz w:val="21"/>
                <w:szCs w:val="21"/>
                <w:highlight w:val="none"/>
                <w:lang w:val="en-US" w:eastAsia="zh-CN"/>
              </w:rPr>
              <w:t>t/a</w:t>
            </w:r>
          </w:p>
        </w:tc>
        <w:tc>
          <w:tcPr>
            <w:tcW w:w="1758"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default" w:ascii="Times New Roman" w:cs="Times New Roman"/>
                <w:b w:val="0"/>
                <w:bCs w:val="0"/>
                <w:color w:val="auto"/>
                <w:sz w:val="21"/>
                <w:szCs w:val="21"/>
                <w:highlight w:val="none"/>
                <w:lang w:val="en-US" w:eastAsia="zh-CN"/>
              </w:rPr>
              <w:t>/</w:t>
            </w:r>
          </w:p>
        </w:tc>
        <w:tc>
          <w:tcPr>
            <w:tcW w:w="1796"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0.03t/a</w:t>
            </w:r>
          </w:p>
        </w:tc>
        <w:tc>
          <w:tcPr>
            <w:tcW w:w="1065"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rPr>
            </w:pPr>
            <w:bookmarkStart w:id="34" w:name="_Toc19952"/>
            <w:bookmarkStart w:id="35" w:name="_Toc11956"/>
          </w:p>
        </w:tc>
        <w:tc>
          <w:tcPr>
            <w:tcW w:w="1571"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color w:val="auto"/>
                <w:highlight w:val="none"/>
                <w:lang w:val="en-US" w:eastAsia="zh-CN"/>
              </w:rPr>
            </w:pPr>
            <w:r>
              <w:rPr>
                <w:rFonts w:hint="eastAsia" w:ascii="Times New Roman" w:hAnsi="Times New Roman" w:cs="Times New Roman"/>
                <w:color w:val="auto"/>
                <w:lang w:val="en-US" w:eastAsia="zh-CN"/>
              </w:rPr>
              <w:t>污泥</w:t>
            </w:r>
          </w:p>
        </w:tc>
        <w:tc>
          <w:tcPr>
            <w:tcW w:w="1538" w:type="dxa"/>
            <w:shd w:val="clear" w:color="auto" w:fill="auto"/>
            <w:vAlign w:val="center"/>
          </w:tcPr>
          <w:p>
            <w:pPr>
              <w:pStyle w:val="32"/>
              <w:bidi w:val="0"/>
              <w:ind w:left="-48" w:leftChars="-20" w:right="-48" w:rightChars="-20" w:firstLine="0" w:firstLineChars="0"/>
              <w:rPr>
                <w:rFonts w:hint="eastAsia" w:cs="Times New Roman"/>
                <w:color w:val="auto"/>
                <w:lang w:val="en-US" w:eastAsia="zh-CN"/>
              </w:rPr>
            </w:pPr>
            <w:r>
              <w:rPr>
                <w:rFonts w:hint="eastAsia" w:cs="Times New Roman"/>
                <w:color w:val="auto"/>
                <w:lang w:val="en-US" w:eastAsia="zh-CN"/>
              </w:rPr>
              <w:t>2</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230" w:type="dxa"/>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w:t>
            </w:r>
          </w:p>
        </w:tc>
        <w:tc>
          <w:tcPr>
            <w:tcW w:w="1756"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w:t>
            </w:r>
          </w:p>
        </w:tc>
        <w:tc>
          <w:tcPr>
            <w:tcW w:w="1540" w:type="dxa"/>
            <w:shd w:val="clear" w:color="auto" w:fill="auto"/>
            <w:vAlign w:val="center"/>
          </w:tcPr>
          <w:p>
            <w:pPr>
              <w:pStyle w:val="32"/>
              <w:bidi w:val="0"/>
              <w:ind w:left="-48" w:leftChars="-20" w:right="-48" w:rightChars="-20" w:firstLine="0" w:firstLineChars="0"/>
              <w:rPr>
                <w:rFonts w:hint="default"/>
                <w:color w:val="auto"/>
                <w:highlight w:val="none"/>
                <w:lang w:val="en-US" w:eastAsia="zh-CN"/>
              </w:rPr>
            </w:pPr>
            <w:r>
              <w:rPr>
                <w:rFonts w:hint="eastAsia"/>
                <w:color w:val="auto"/>
                <w:highlight w:val="none"/>
                <w:lang w:val="en-US" w:eastAsia="zh-CN"/>
              </w:rPr>
              <w:t>0</w:t>
            </w:r>
            <w:r>
              <w:rPr>
                <w:rFonts w:hint="eastAsia" w:ascii="Times New Roman" w:cs="Times New Roman"/>
                <w:b w:val="0"/>
                <w:bCs w:val="0"/>
                <w:color w:val="auto"/>
                <w:sz w:val="21"/>
                <w:szCs w:val="21"/>
                <w:highlight w:val="none"/>
                <w:lang w:val="en-US" w:eastAsia="zh-CN"/>
              </w:rPr>
              <w:t>t/a</w:t>
            </w:r>
          </w:p>
        </w:tc>
        <w:tc>
          <w:tcPr>
            <w:tcW w:w="1758"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2t/a</w:t>
            </w:r>
          </w:p>
        </w:tc>
        <w:tc>
          <w:tcPr>
            <w:tcW w:w="1796"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0t/a</w:t>
            </w:r>
          </w:p>
        </w:tc>
        <w:tc>
          <w:tcPr>
            <w:tcW w:w="1065"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restart"/>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危险废物</w:t>
            </w:r>
          </w:p>
        </w:tc>
        <w:tc>
          <w:tcPr>
            <w:tcW w:w="1571"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废真空泵油</w:t>
            </w:r>
          </w:p>
        </w:tc>
        <w:tc>
          <w:tcPr>
            <w:tcW w:w="1538"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0.02</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230" w:type="dxa"/>
            <w:vAlign w:val="center"/>
          </w:tcPr>
          <w:p>
            <w:pPr>
              <w:pStyle w:val="32"/>
              <w:bidi w:val="0"/>
              <w:ind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56" w:type="dxa"/>
            <w:vAlign w:val="center"/>
          </w:tcPr>
          <w:p>
            <w:pPr>
              <w:pStyle w:val="32"/>
              <w:bidi w:val="0"/>
              <w:ind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540"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lang w:val="en-US" w:eastAsia="zh-CN"/>
              </w:rPr>
              <w:t>0.</w:t>
            </w:r>
            <w:r>
              <w:rPr>
                <w:rFonts w:hint="eastAsia" w:cs="Times New Roman"/>
                <w:color w:val="auto"/>
                <w:lang w:val="en-US" w:eastAsia="zh-CN"/>
              </w:rPr>
              <w:t>05</w:t>
            </w:r>
            <w:r>
              <w:rPr>
                <w:rFonts w:hint="eastAsia" w:ascii="Times New Roman" w:cs="Times New Roman"/>
                <w:b w:val="0"/>
                <w:bCs w:val="0"/>
                <w:color w:val="auto"/>
                <w:sz w:val="21"/>
                <w:szCs w:val="21"/>
                <w:highlight w:val="none"/>
                <w:lang w:val="en-US" w:eastAsia="zh-CN"/>
              </w:rPr>
              <w:t>t/a</w:t>
            </w:r>
          </w:p>
        </w:tc>
        <w:tc>
          <w:tcPr>
            <w:tcW w:w="1758" w:type="dxa"/>
            <w:vAlign w:val="center"/>
          </w:tcPr>
          <w:p>
            <w:pPr>
              <w:pStyle w:val="32"/>
              <w:bidi w:val="0"/>
              <w:ind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96"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w:t>
            </w:r>
            <w:r>
              <w:rPr>
                <w:rFonts w:hint="eastAsia" w:ascii="Times New Roman" w:cs="Times New Roman"/>
                <w:b w:val="0"/>
                <w:bCs w:val="0"/>
                <w:color w:val="auto"/>
                <w:sz w:val="21"/>
                <w:szCs w:val="21"/>
                <w:highlight w:val="none"/>
                <w:lang w:val="en-US" w:eastAsia="zh-CN"/>
              </w:rPr>
              <w:t>07</w:t>
            </w:r>
            <w:r>
              <w:rPr>
                <w:rFonts w:hint="eastAsia" w:ascii="Times New Roman" w:hAnsi="Times New Roman" w:eastAsia="宋体" w:cs="Times New Roman"/>
                <w:b w:val="0"/>
                <w:bCs w:val="0"/>
                <w:color w:val="auto"/>
                <w:sz w:val="21"/>
                <w:szCs w:val="21"/>
                <w:highlight w:val="none"/>
                <w:lang w:val="en-US" w:eastAsia="zh-CN"/>
              </w:rPr>
              <w:t>t/a</w:t>
            </w:r>
          </w:p>
        </w:tc>
        <w:tc>
          <w:tcPr>
            <w:tcW w:w="1065" w:type="dxa"/>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w:t>
            </w:r>
            <w:r>
              <w:rPr>
                <w:rFonts w:hint="eastAsia" w:ascii="Times New Roman" w:cs="Times New Roman"/>
                <w:b w:val="0"/>
                <w:bCs w:val="0"/>
                <w:color w:val="auto"/>
                <w:sz w:val="21"/>
                <w:szCs w:val="21"/>
                <w:highlight w:val="none"/>
                <w:lang w:val="en-US" w:eastAsia="zh-CN"/>
              </w:rPr>
              <w:t>05</w:t>
            </w:r>
            <w:r>
              <w:rPr>
                <w:rFonts w:hint="eastAsia" w:ascii="Times New Roman" w:hAnsi="Times New Roman" w:eastAsia="宋体" w:cs="Times New Roman"/>
                <w:b w:val="0"/>
                <w:bCs w:val="0"/>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cs="Times New Roman"/>
                <w:b w:val="0"/>
                <w:bCs w:val="0"/>
                <w:color w:val="auto"/>
                <w:sz w:val="21"/>
                <w:szCs w:val="21"/>
                <w:highlight w:val="none"/>
                <w:lang w:val="en-US" w:eastAsia="zh-CN"/>
              </w:rPr>
            </w:pPr>
          </w:p>
        </w:tc>
        <w:tc>
          <w:tcPr>
            <w:tcW w:w="1571"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废油桶</w:t>
            </w:r>
          </w:p>
        </w:tc>
        <w:tc>
          <w:tcPr>
            <w:tcW w:w="1538"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0.005</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230"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5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540"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0.01</w:t>
            </w:r>
            <w:r>
              <w:rPr>
                <w:rFonts w:hint="eastAsia" w:ascii="Times New Roman" w:cs="Times New Roman"/>
                <w:b w:val="0"/>
                <w:bCs w:val="0"/>
                <w:color w:val="auto"/>
                <w:sz w:val="21"/>
                <w:szCs w:val="21"/>
                <w:highlight w:val="none"/>
                <w:lang w:val="en-US" w:eastAsia="zh-CN"/>
              </w:rPr>
              <w:t>t/a</w:t>
            </w:r>
          </w:p>
        </w:tc>
        <w:tc>
          <w:tcPr>
            <w:tcW w:w="1758"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w:t>
            </w:r>
          </w:p>
        </w:tc>
        <w:tc>
          <w:tcPr>
            <w:tcW w:w="179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w:t>
            </w:r>
            <w:r>
              <w:rPr>
                <w:rFonts w:hint="eastAsia" w:ascii="Times New Roman"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5t/a</w:t>
            </w:r>
          </w:p>
        </w:tc>
        <w:tc>
          <w:tcPr>
            <w:tcW w:w="1065"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w:t>
            </w:r>
            <w:r>
              <w:rPr>
                <w:rFonts w:hint="eastAsia" w:ascii="Times New Roman"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rPr>
            </w:pPr>
          </w:p>
        </w:tc>
        <w:tc>
          <w:tcPr>
            <w:tcW w:w="1571"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bidi="ar-SA"/>
              </w:rPr>
              <w:t>废旧手套及废</w:t>
            </w:r>
            <w:r>
              <w:rPr>
                <w:rFonts w:hint="eastAsia" w:ascii="Times New Roman" w:hAnsi="Times New Roman" w:eastAsia="宋体" w:cs="Times New Roman"/>
                <w:b w:val="0"/>
                <w:bCs w:val="0"/>
                <w:snapToGrid w:val="0"/>
                <w:color w:val="auto"/>
                <w:kern w:val="21"/>
                <w:sz w:val="21"/>
                <w:szCs w:val="21"/>
                <w:highlight w:val="none"/>
                <w:lang w:val="en-US" w:eastAsia="zh-CN" w:bidi="ar-SA"/>
              </w:rPr>
              <w:t>油</w:t>
            </w:r>
            <w:r>
              <w:rPr>
                <w:rFonts w:hint="default" w:ascii="Times New Roman" w:hAnsi="Times New Roman" w:eastAsia="宋体" w:cs="Times New Roman"/>
                <w:b w:val="0"/>
                <w:bCs w:val="0"/>
                <w:snapToGrid w:val="0"/>
                <w:color w:val="auto"/>
                <w:kern w:val="21"/>
                <w:sz w:val="21"/>
                <w:szCs w:val="21"/>
                <w:highlight w:val="none"/>
                <w:lang w:val="en-US" w:eastAsia="zh-CN" w:bidi="ar-SA"/>
              </w:rPr>
              <w:t>抹布</w:t>
            </w:r>
          </w:p>
        </w:tc>
        <w:tc>
          <w:tcPr>
            <w:tcW w:w="1538"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0.01</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230"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75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540"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0.02</w:t>
            </w:r>
            <w:r>
              <w:rPr>
                <w:rFonts w:hint="eastAsia" w:ascii="Times New Roman" w:cs="Times New Roman"/>
                <w:b w:val="0"/>
                <w:bCs w:val="0"/>
                <w:color w:val="auto"/>
                <w:sz w:val="21"/>
                <w:szCs w:val="21"/>
                <w:highlight w:val="none"/>
                <w:lang w:val="en-US" w:eastAsia="zh-CN"/>
              </w:rPr>
              <w:t>t/a</w:t>
            </w:r>
          </w:p>
        </w:tc>
        <w:tc>
          <w:tcPr>
            <w:tcW w:w="1758"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796"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0.0</w:t>
            </w:r>
            <w:r>
              <w:rPr>
                <w:rFonts w:hint="eastAsia" w:cs="Times New Roman"/>
                <w:b w:val="0"/>
                <w:bCs w:val="0"/>
                <w:snapToGrid w:val="0"/>
                <w:color w:val="auto"/>
                <w:kern w:val="21"/>
                <w:sz w:val="21"/>
                <w:szCs w:val="21"/>
                <w:highlight w:val="none"/>
                <w:lang w:val="en-US" w:eastAsia="zh-CN" w:bidi="ar-SA"/>
              </w:rPr>
              <w:t>3</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065"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+0.0</w:t>
            </w:r>
            <w:r>
              <w:rPr>
                <w:rFonts w:hint="eastAsia" w:cs="Times New Roman"/>
                <w:b w:val="0"/>
                <w:bCs w:val="0"/>
                <w:snapToGrid w:val="0"/>
                <w:color w:val="auto"/>
                <w:kern w:val="21"/>
                <w:sz w:val="21"/>
                <w:szCs w:val="21"/>
                <w:highlight w:val="none"/>
                <w:lang w:val="en-US" w:eastAsia="zh-CN" w:bidi="ar-SA"/>
              </w:rPr>
              <w:t>2</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583" w:type="dxa"/>
            <w:vMerge w:val="continue"/>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rPr>
            </w:pPr>
          </w:p>
        </w:tc>
        <w:tc>
          <w:tcPr>
            <w:tcW w:w="1571" w:type="dxa"/>
            <w:vAlign w:val="center"/>
          </w:tcPr>
          <w:p>
            <w:pPr>
              <w:pStyle w:val="32"/>
              <w:bidi w:val="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bidi="ar-SA"/>
              </w:rPr>
              <w:t>化验室废液</w:t>
            </w:r>
          </w:p>
        </w:tc>
        <w:tc>
          <w:tcPr>
            <w:tcW w:w="1538"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0t/a</w:t>
            </w:r>
          </w:p>
        </w:tc>
        <w:tc>
          <w:tcPr>
            <w:tcW w:w="1230"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756"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540"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0.01</w:t>
            </w:r>
            <w:r>
              <w:rPr>
                <w:rFonts w:hint="eastAsia" w:ascii="Times New Roman" w:cs="Times New Roman"/>
                <w:b w:val="0"/>
                <w:bCs w:val="0"/>
                <w:color w:val="auto"/>
                <w:sz w:val="21"/>
                <w:szCs w:val="21"/>
                <w:highlight w:val="none"/>
                <w:lang w:val="en-US" w:eastAsia="zh-CN"/>
              </w:rPr>
              <w:t>t/a</w:t>
            </w:r>
          </w:p>
        </w:tc>
        <w:tc>
          <w:tcPr>
            <w:tcW w:w="1758" w:type="dxa"/>
            <w:shd w:val="clear" w:color="auto" w:fill="auto"/>
            <w:vAlign w:val="center"/>
          </w:tcPr>
          <w:p>
            <w:pPr>
              <w:pStyle w:val="55"/>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1796" w:type="dxa"/>
            <w:shd w:val="clear" w:color="auto" w:fill="auto"/>
            <w:vAlign w:val="center"/>
          </w:tcPr>
          <w:p>
            <w:pPr>
              <w:pStyle w:val="32"/>
              <w:bidi w:val="0"/>
              <w:ind w:left="-48" w:leftChars="-20" w:right="-48" w:rightChars="-20" w:firstLine="0" w:firstLineChars="0"/>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0.0</w:t>
            </w:r>
            <w:r>
              <w:rPr>
                <w:rFonts w:hint="eastAsia" w:cs="Times New Roman"/>
                <w:b w:val="0"/>
                <w:bCs w:val="0"/>
                <w:snapToGrid w:val="0"/>
                <w:color w:val="auto"/>
                <w:kern w:val="21"/>
                <w:sz w:val="21"/>
                <w:szCs w:val="21"/>
                <w:highlight w:val="none"/>
                <w:lang w:val="en-US" w:eastAsia="zh-CN" w:bidi="ar-SA"/>
              </w:rPr>
              <w:t>1</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c>
          <w:tcPr>
            <w:tcW w:w="1065" w:type="dxa"/>
            <w:shd w:val="clear" w:color="auto" w:fill="auto"/>
            <w:vAlign w:val="center"/>
          </w:tcPr>
          <w:p>
            <w:pPr>
              <w:pStyle w:val="32"/>
              <w:bidi w:val="0"/>
              <w:ind w:left="-48" w:leftChars="-20" w:right="-48" w:rightChars="-20" w:firstLine="0" w:firstLineChars="0"/>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+0.0</w:t>
            </w:r>
            <w:r>
              <w:rPr>
                <w:rFonts w:hint="eastAsia" w:cs="Times New Roman"/>
                <w:b w:val="0"/>
                <w:bCs w:val="0"/>
                <w:snapToGrid w:val="0"/>
                <w:color w:val="auto"/>
                <w:kern w:val="21"/>
                <w:sz w:val="21"/>
                <w:szCs w:val="21"/>
                <w:highlight w:val="none"/>
                <w:lang w:val="en-US" w:eastAsia="zh-CN" w:bidi="ar-SA"/>
              </w:rPr>
              <w:t>1</w:t>
            </w:r>
            <w:r>
              <w:rPr>
                <w:rFonts w:hint="eastAsia" w:ascii="Times New Roman" w:hAnsi="Times New Roman" w:eastAsia="宋体" w:cs="Times New Roman"/>
                <w:b w:val="0"/>
                <w:bCs w:val="0"/>
                <w:snapToGrid w:val="0"/>
                <w:color w:val="auto"/>
                <w:kern w:val="21"/>
                <w:sz w:val="21"/>
                <w:szCs w:val="21"/>
                <w:highlight w:val="none"/>
                <w:lang w:val="en-US" w:eastAsia="zh-CN" w:bidi="ar-SA"/>
              </w:rPr>
              <w:t>t/a</w:t>
            </w:r>
          </w:p>
        </w:tc>
      </w:tr>
    </w:tbl>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jc w:val="left"/>
        <w:textAlignment w:val="auto"/>
        <w:outlineLvl w:val="0"/>
        <w:rPr>
          <w:rFonts w:hint="default" w:ascii="Times New Roman" w:hAnsi="Times New Roman" w:eastAsia="宋体" w:cs="Times New Roman"/>
          <w:color w:val="auto"/>
          <w:lang w:val="en-US" w:eastAsia="zh-CN"/>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bookmarkEnd w:id="34"/>
      <w:bookmarkEnd w:id="35"/>
    </w:p>
    <w:sectPr>
      <w:footerReference r:id="rId10" w:type="default"/>
      <w:pgSz w:w="16838" w:h="11905" w:orient="landscape"/>
      <w:pgMar w:top="1587" w:right="1247" w:bottom="1247" w:left="1247"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199B81-B262-4EA4-8263-1FBB382AC9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宋体`.....">
    <w:altName w:val="宋体"/>
    <w:panose1 w:val="00000000000000000000"/>
    <w:charset w:val="86"/>
    <w:family w:val="roman"/>
    <w:pitch w:val="default"/>
    <w:sig w:usb0="00000000" w:usb1="00000000" w:usb2="00000010" w:usb3="00000000" w:csb0="00040000" w:csb1="00000000"/>
    <w:embedRegular r:id="rId2" w:fontKey="{3F393451-6794-493C-ACE5-DEEB14769C01}"/>
  </w:font>
  <w:font w:name="TimesNewRomanPS-BoldMT">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00000000" w:csb1="00000000"/>
    <w:embedRegular r:id="rId3" w:fontKey="{B7CD5F74-E07B-4685-97EF-C85AE856392A}"/>
  </w:font>
  <w:font w:name="方正小标宋_GBK">
    <w:panose1 w:val="02000000000000000000"/>
    <w:charset w:val="86"/>
    <w:family w:val="script"/>
    <w:pitch w:val="default"/>
    <w:sig w:usb0="00000000" w:usb1="00000000" w:usb2="00000000" w:usb3="00000000" w:csb0="00000000" w:csb1="00000000"/>
    <w:embedRegular r:id="rId4" w:fontKey="{6E9E5922-39F0-4A20-9905-CD61FC8C38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fMOG8sQEA&#10;AE4DAAAOAAAAAAAAAAEAIAAAAB4BAABkcnMvZTJvRG9jLnhtbFBLBQYAAAAABgAGAFkBAABBBQAA&#10;AAA=&#10;">
              <v:fill on="f" focussize="0,0"/>
              <v:stroke on="f"/>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z6mhdsQEA&#10;AE8DAAAOAAAAAAAAAAEAIAAAAB4BAABkcnMvZTJvRG9jLnhtbFBLBQYAAAAABgAGAFkBAABBBQAA&#10;AAA=&#10;">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vNUFwsQEA&#10;AE8DAAAOAAAAAAAAAAEAIAAAAB4BAABkcnMvZTJvRG9jLnhtbFBLBQYAAAAABgAGAFkBAABBBQAA&#10;AAA=&#10;">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NeiPPTFAQAAcwMAAA4AAAAAAAAAAQAgAAAAHgEAAGRycy9lMm9Eb2MueG1s&#10;UEsFBgAAAAAGAAYAWQEAAFUFAAAAAA==&#10;">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65</w:t>
                          </w:r>
                          <w:r>
                            <w:fldChar w:fldCharType="end"/>
                          </w:r>
                        </w:p>
                      </w:txbxContent>
                    </wps:txbx>
                    <wps:bodyPr vert="horz" wrap="none" lIns="0" tIns="0" rIns="0" bIns="0" anchor="t" anchorCtr="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Dns7DFAQAAcgMAAA4AAAAAAAAAAQAgAAAAHgEAAGRycy9lMm9Eb2MueG1s&#10;UEsFBgAAAAAGAAYAWQEAAFUF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none" w:color="auto" w:sz="0" w:space="0"/>
        <w:left w:val="none" w:color="auto" w:sz="0" w:space="0"/>
        <w:bottom w:val="none" w:color="auto" w:sz="0" w:space="1"/>
        <w:right w:val="none" w:color="auto" w:sz="0" w:space="0"/>
        <w:between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none" w:color="auto" w:sz="0" w:space="0"/>
        <w:left w:val="none" w:color="auto" w:sz="0" w:space="0"/>
        <w:bottom w:val="none" w:color="auto" w:sz="0" w:space="1"/>
        <w:right w:val="none" w:color="auto" w:sz="0" w:space="0"/>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CEF440"/>
    <w:multiLevelType w:val="singleLevel"/>
    <w:tmpl w:val="87CEF440"/>
    <w:lvl w:ilvl="0" w:tentative="0">
      <w:start w:val="1"/>
      <w:numFmt w:val="bullet"/>
      <w:pStyle w:val="17"/>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24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mNjFkOTc0ZjcwODUxOGViYmI3NDRiMWI5YWY5MjYifQ=="/>
  </w:docVars>
  <w:rsids>
    <w:rsidRoot w:val="00172A27"/>
    <w:rsid w:val="000060B3"/>
    <w:rsid w:val="00011645"/>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37D90"/>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4783"/>
    <w:rsid w:val="006C5479"/>
    <w:rsid w:val="006D13B5"/>
    <w:rsid w:val="006E12FF"/>
    <w:rsid w:val="006E607E"/>
    <w:rsid w:val="00706C5D"/>
    <w:rsid w:val="00732922"/>
    <w:rsid w:val="0075162E"/>
    <w:rsid w:val="00754034"/>
    <w:rsid w:val="00756556"/>
    <w:rsid w:val="007618C4"/>
    <w:rsid w:val="007632B7"/>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F551E"/>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3182"/>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57859"/>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94EF3"/>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F7F43"/>
    <w:rsid w:val="01290F7E"/>
    <w:rsid w:val="01430BE7"/>
    <w:rsid w:val="015D1E09"/>
    <w:rsid w:val="01631969"/>
    <w:rsid w:val="017772A6"/>
    <w:rsid w:val="018B22D7"/>
    <w:rsid w:val="01924B58"/>
    <w:rsid w:val="019F7757"/>
    <w:rsid w:val="01D454A1"/>
    <w:rsid w:val="0212210A"/>
    <w:rsid w:val="0217097D"/>
    <w:rsid w:val="022B54E8"/>
    <w:rsid w:val="02697903"/>
    <w:rsid w:val="029022B2"/>
    <w:rsid w:val="02925F33"/>
    <w:rsid w:val="02B81FC4"/>
    <w:rsid w:val="02C12279"/>
    <w:rsid w:val="02F53218"/>
    <w:rsid w:val="02F96569"/>
    <w:rsid w:val="02FB4424"/>
    <w:rsid w:val="0305437B"/>
    <w:rsid w:val="031B4789"/>
    <w:rsid w:val="034B1479"/>
    <w:rsid w:val="0355335C"/>
    <w:rsid w:val="03887BE8"/>
    <w:rsid w:val="038A6243"/>
    <w:rsid w:val="03C373E3"/>
    <w:rsid w:val="03C926DB"/>
    <w:rsid w:val="03DB0534"/>
    <w:rsid w:val="03EA7B21"/>
    <w:rsid w:val="03F03059"/>
    <w:rsid w:val="040A0B77"/>
    <w:rsid w:val="04337DBE"/>
    <w:rsid w:val="043465CE"/>
    <w:rsid w:val="04417874"/>
    <w:rsid w:val="04CA3C20"/>
    <w:rsid w:val="05112F12"/>
    <w:rsid w:val="052E3951"/>
    <w:rsid w:val="05463B2D"/>
    <w:rsid w:val="05500DE3"/>
    <w:rsid w:val="05516375"/>
    <w:rsid w:val="055A12B2"/>
    <w:rsid w:val="0577131F"/>
    <w:rsid w:val="05813128"/>
    <w:rsid w:val="05AF5900"/>
    <w:rsid w:val="05B81B56"/>
    <w:rsid w:val="05BB42A5"/>
    <w:rsid w:val="05EE07A1"/>
    <w:rsid w:val="05F83EAE"/>
    <w:rsid w:val="061F6062"/>
    <w:rsid w:val="063E7D85"/>
    <w:rsid w:val="064249C6"/>
    <w:rsid w:val="065743D6"/>
    <w:rsid w:val="06C93710"/>
    <w:rsid w:val="06EA6EFA"/>
    <w:rsid w:val="07044C9E"/>
    <w:rsid w:val="0708077B"/>
    <w:rsid w:val="07176075"/>
    <w:rsid w:val="07293586"/>
    <w:rsid w:val="07295285"/>
    <w:rsid w:val="07636392"/>
    <w:rsid w:val="077126CC"/>
    <w:rsid w:val="07770C56"/>
    <w:rsid w:val="077F2AF1"/>
    <w:rsid w:val="078A390B"/>
    <w:rsid w:val="079C20A8"/>
    <w:rsid w:val="07A55C8C"/>
    <w:rsid w:val="07B520E6"/>
    <w:rsid w:val="07D806C6"/>
    <w:rsid w:val="082476B1"/>
    <w:rsid w:val="086C1100"/>
    <w:rsid w:val="08901219"/>
    <w:rsid w:val="08AD3ED4"/>
    <w:rsid w:val="08BA6ECB"/>
    <w:rsid w:val="08C020C0"/>
    <w:rsid w:val="08CE11DB"/>
    <w:rsid w:val="0907030B"/>
    <w:rsid w:val="091151DF"/>
    <w:rsid w:val="092217DD"/>
    <w:rsid w:val="093A7294"/>
    <w:rsid w:val="0955056D"/>
    <w:rsid w:val="095C5378"/>
    <w:rsid w:val="09D85DFE"/>
    <w:rsid w:val="09F653ED"/>
    <w:rsid w:val="0A1D57E3"/>
    <w:rsid w:val="0A263993"/>
    <w:rsid w:val="0A2D3AC2"/>
    <w:rsid w:val="0A2E3071"/>
    <w:rsid w:val="0A3110AA"/>
    <w:rsid w:val="0A477434"/>
    <w:rsid w:val="0A6413B8"/>
    <w:rsid w:val="0A677E4F"/>
    <w:rsid w:val="0AA755DF"/>
    <w:rsid w:val="0ABF5171"/>
    <w:rsid w:val="0ABF78DB"/>
    <w:rsid w:val="0AFE0DCC"/>
    <w:rsid w:val="0B120D44"/>
    <w:rsid w:val="0B3B6B94"/>
    <w:rsid w:val="0B6230F5"/>
    <w:rsid w:val="0B631D94"/>
    <w:rsid w:val="0B663726"/>
    <w:rsid w:val="0B7D1FFD"/>
    <w:rsid w:val="0B8F10EA"/>
    <w:rsid w:val="0BA154C5"/>
    <w:rsid w:val="0BA406FA"/>
    <w:rsid w:val="0BB608CF"/>
    <w:rsid w:val="0BD27BF6"/>
    <w:rsid w:val="0C2F775E"/>
    <w:rsid w:val="0C3B3C7D"/>
    <w:rsid w:val="0C53185E"/>
    <w:rsid w:val="0C6A1E71"/>
    <w:rsid w:val="0C86735C"/>
    <w:rsid w:val="0CAB2EAE"/>
    <w:rsid w:val="0CF77B46"/>
    <w:rsid w:val="0CF90F11"/>
    <w:rsid w:val="0D0522AA"/>
    <w:rsid w:val="0D3147F4"/>
    <w:rsid w:val="0D3B46E4"/>
    <w:rsid w:val="0D4A1FED"/>
    <w:rsid w:val="0D57709A"/>
    <w:rsid w:val="0D5A1E63"/>
    <w:rsid w:val="0D621C7D"/>
    <w:rsid w:val="0D6E42F3"/>
    <w:rsid w:val="0DAB7B78"/>
    <w:rsid w:val="0DF353A1"/>
    <w:rsid w:val="0DF920A2"/>
    <w:rsid w:val="0DFE5677"/>
    <w:rsid w:val="0DFF12C2"/>
    <w:rsid w:val="0E1A3E9B"/>
    <w:rsid w:val="0E2F5830"/>
    <w:rsid w:val="0E3B03D9"/>
    <w:rsid w:val="0E3E1A7F"/>
    <w:rsid w:val="0E613642"/>
    <w:rsid w:val="0E705AE8"/>
    <w:rsid w:val="0E73034D"/>
    <w:rsid w:val="0E772D33"/>
    <w:rsid w:val="0E81413F"/>
    <w:rsid w:val="0E8C1734"/>
    <w:rsid w:val="0E953C76"/>
    <w:rsid w:val="0EB13A6B"/>
    <w:rsid w:val="0ED65CAC"/>
    <w:rsid w:val="0F13775A"/>
    <w:rsid w:val="0F2271A6"/>
    <w:rsid w:val="0F5F45FE"/>
    <w:rsid w:val="0F8E6AFF"/>
    <w:rsid w:val="0F9A112B"/>
    <w:rsid w:val="0FB604E0"/>
    <w:rsid w:val="0FE9276C"/>
    <w:rsid w:val="0FF341F8"/>
    <w:rsid w:val="10304834"/>
    <w:rsid w:val="10437371"/>
    <w:rsid w:val="104515D6"/>
    <w:rsid w:val="105F559A"/>
    <w:rsid w:val="1061740B"/>
    <w:rsid w:val="106D2F64"/>
    <w:rsid w:val="106E096F"/>
    <w:rsid w:val="106F3AA7"/>
    <w:rsid w:val="10B63710"/>
    <w:rsid w:val="10C83D1A"/>
    <w:rsid w:val="10C960E2"/>
    <w:rsid w:val="10D15E88"/>
    <w:rsid w:val="10D73C68"/>
    <w:rsid w:val="10DA1E2D"/>
    <w:rsid w:val="10F10820"/>
    <w:rsid w:val="10FD111A"/>
    <w:rsid w:val="10FF750B"/>
    <w:rsid w:val="110B48D6"/>
    <w:rsid w:val="111C2F7A"/>
    <w:rsid w:val="11317293"/>
    <w:rsid w:val="113245CC"/>
    <w:rsid w:val="114A0BD3"/>
    <w:rsid w:val="11665CA1"/>
    <w:rsid w:val="1201359B"/>
    <w:rsid w:val="12067B8B"/>
    <w:rsid w:val="121E3807"/>
    <w:rsid w:val="12287CB2"/>
    <w:rsid w:val="122D652B"/>
    <w:rsid w:val="12302D61"/>
    <w:rsid w:val="123044CF"/>
    <w:rsid w:val="12455F5C"/>
    <w:rsid w:val="12B419DD"/>
    <w:rsid w:val="12DF6F28"/>
    <w:rsid w:val="131A0358"/>
    <w:rsid w:val="1335563A"/>
    <w:rsid w:val="13463BA2"/>
    <w:rsid w:val="13830D33"/>
    <w:rsid w:val="13841A3E"/>
    <w:rsid w:val="13856A5B"/>
    <w:rsid w:val="138F3E7B"/>
    <w:rsid w:val="13951726"/>
    <w:rsid w:val="13A357D8"/>
    <w:rsid w:val="13AC443E"/>
    <w:rsid w:val="13C83333"/>
    <w:rsid w:val="13C87E8B"/>
    <w:rsid w:val="140E5EE8"/>
    <w:rsid w:val="14162BCB"/>
    <w:rsid w:val="14293891"/>
    <w:rsid w:val="14396509"/>
    <w:rsid w:val="14891A12"/>
    <w:rsid w:val="14DD2C3C"/>
    <w:rsid w:val="14DE76DB"/>
    <w:rsid w:val="14F57B79"/>
    <w:rsid w:val="15090401"/>
    <w:rsid w:val="15220ACA"/>
    <w:rsid w:val="1529774A"/>
    <w:rsid w:val="153B709C"/>
    <w:rsid w:val="153C05FF"/>
    <w:rsid w:val="155D3CA0"/>
    <w:rsid w:val="158D0E46"/>
    <w:rsid w:val="15AE34DE"/>
    <w:rsid w:val="15C43BB7"/>
    <w:rsid w:val="15D3138B"/>
    <w:rsid w:val="15F24A12"/>
    <w:rsid w:val="16087E1D"/>
    <w:rsid w:val="16143AB8"/>
    <w:rsid w:val="16203BC1"/>
    <w:rsid w:val="16247C45"/>
    <w:rsid w:val="16525EE6"/>
    <w:rsid w:val="1662140C"/>
    <w:rsid w:val="168C7386"/>
    <w:rsid w:val="16AF746D"/>
    <w:rsid w:val="16DC22CD"/>
    <w:rsid w:val="16F63453"/>
    <w:rsid w:val="170A08EE"/>
    <w:rsid w:val="1720040C"/>
    <w:rsid w:val="174079F2"/>
    <w:rsid w:val="175179D8"/>
    <w:rsid w:val="175868C3"/>
    <w:rsid w:val="1765033C"/>
    <w:rsid w:val="17701D14"/>
    <w:rsid w:val="17735226"/>
    <w:rsid w:val="17856487"/>
    <w:rsid w:val="1790210E"/>
    <w:rsid w:val="17AA23CB"/>
    <w:rsid w:val="17C668A4"/>
    <w:rsid w:val="17E31AC1"/>
    <w:rsid w:val="17EF6CA9"/>
    <w:rsid w:val="17F54140"/>
    <w:rsid w:val="18315813"/>
    <w:rsid w:val="1847358B"/>
    <w:rsid w:val="18567D4B"/>
    <w:rsid w:val="187971F4"/>
    <w:rsid w:val="1881137E"/>
    <w:rsid w:val="188E55BA"/>
    <w:rsid w:val="189F624C"/>
    <w:rsid w:val="18BC259A"/>
    <w:rsid w:val="18CB508E"/>
    <w:rsid w:val="18D53478"/>
    <w:rsid w:val="19051165"/>
    <w:rsid w:val="19164F4B"/>
    <w:rsid w:val="191A58BB"/>
    <w:rsid w:val="191A70DD"/>
    <w:rsid w:val="1921406C"/>
    <w:rsid w:val="194C7B20"/>
    <w:rsid w:val="194E3B33"/>
    <w:rsid w:val="199200F8"/>
    <w:rsid w:val="19B579D5"/>
    <w:rsid w:val="19B60B57"/>
    <w:rsid w:val="19CB2C2D"/>
    <w:rsid w:val="19DE3DC5"/>
    <w:rsid w:val="19EF2C2B"/>
    <w:rsid w:val="1A0E4F34"/>
    <w:rsid w:val="1A1B7550"/>
    <w:rsid w:val="1A1C66C0"/>
    <w:rsid w:val="1A42393B"/>
    <w:rsid w:val="1A5C7C4C"/>
    <w:rsid w:val="1A811057"/>
    <w:rsid w:val="1AAD45DE"/>
    <w:rsid w:val="1AAF7A66"/>
    <w:rsid w:val="1AB51A5B"/>
    <w:rsid w:val="1ABE44D8"/>
    <w:rsid w:val="1ABE486A"/>
    <w:rsid w:val="1AC20D91"/>
    <w:rsid w:val="1AEB40F5"/>
    <w:rsid w:val="1B046F80"/>
    <w:rsid w:val="1B0E5289"/>
    <w:rsid w:val="1B180781"/>
    <w:rsid w:val="1B3267B5"/>
    <w:rsid w:val="1B40161D"/>
    <w:rsid w:val="1B441859"/>
    <w:rsid w:val="1B6606B1"/>
    <w:rsid w:val="1B6D7984"/>
    <w:rsid w:val="1B8A3CEC"/>
    <w:rsid w:val="1BA00C8D"/>
    <w:rsid w:val="1BD02610"/>
    <w:rsid w:val="1BD32D2F"/>
    <w:rsid w:val="1BE74DC9"/>
    <w:rsid w:val="1C5E7925"/>
    <w:rsid w:val="1C610541"/>
    <w:rsid w:val="1C7A63C2"/>
    <w:rsid w:val="1C7B54B2"/>
    <w:rsid w:val="1C9B2C01"/>
    <w:rsid w:val="1CC4373D"/>
    <w:rsid w:val="1CD37CCF"/>
    <w:rsid w:val="1CFD070F"/>
    <w:rsid w:val="1D126A49"/>
    <w:rsid w:val="1D257F1F"/>
    <w:rsid w:val="1D3C7A0B"/>
    <w:rsid w:val="1D4D47D7"/>
    <w:rsid w:val="1D5F6196"/>
    <w:rsid w:val="1D6132A5"/>
    <w:rsid w:val="1D8E56D5"/>
    <w:rsid w:val="1D943902"/>
    <w:rsid w:val="1D9F27F8"/>
    <w:rsid w:val="1DF231E0"/>
    <w:rsid w:val="1E3736A4"/>
    <w:rsid w:val="1E3F4167"/>
    <w:rsid w:val="1E5B42BE"/>
    <w:rsid w:val="1E7A43DA"/>
    <w:rsid w:val="1E9B49BF"/>
    <w:rsid w:val="1EE52F28"/>
    <w:rsid w:val="1EF17162"/>
    <w:rsid w:val="1F1F56E2"/>
    <w:rsid w:val="1F3E41BC"/>
    <w:rsid w:val="1F833C2E"/>
    <w:rsid w:val="1FE7539E"/>
    <w:rsid w:val="1FEB039F"/>
    <w:rsid w:val="201C5310"/>
    <w:rsid w:val="202D2E6F"/>
    <w:rsid w:val="203E67B0"/>
    <w:rsid w:val="206039FF"/>
    <w:rsid w:val="20671BE0"/>
    <w:rsid w:val="206B5E23"/>
    <w:rsid w:val="20724C6E"/>
    <w:rsid w:val="208F0E7D"/>
    <w:rsid w:val="20963CB8"/>
    <w:rsid w:val="20A81A1B"/>
    <w:rsid w:val="20B07FB6"/>
    <w:rsid w:val="20B646FB"/>
    <w:rsid w:val="20C47791"/>
    <w:rsid w:val="20E45568"/>
    <w:rsid w:val="20EE3329"/>
    <w:rsid w:val="21130FC7"/>
    <w:rsid w:val="21133FC8"/>
    <w:rsid w:val="212226F5"/>
    <w:rsid w:val="21293127"/>
    <w:rsid w:val="213B74B1"/>
    <w:rsid w:val="215A2310"/>
    <w:rsid w:val="21830150"/>
    <w:rsid w:val="21B722D7"/>
    <w:rsid w:val="21BD316D"/>
    <w:rsid w:val="21DE318A"/>
    <w:rsid w:val="21EF5B80"/>
    <w:rsid w:val="21F84BB3"/>
    <w:rsid w:val="222B2001"/>
    <w:rsid w:val="222F6B61"/>
    <w:rsid w:val="22564868"/>
    <w:rsid w:val="22576990"/>
    <w:rsid w:val="22643371"/>
    <w:rsid w:val="2297598E"/>
    <w:rsid w:val="22B3658A"/>
    <w:rsid w:val="22F277C6"/>
    <w:rsid w:val="22F47480"/>
    <w:rsid w:val="22FA0AB9"/>
    <w:rsid w:val="23121492"/>
    <w:rsid w:val="23175AD5"/>
    <w:rsid w:val="23197D5A"/>
    <w:rsid w:val="234B4F7E"/>
    <w:rsid w:val="234B5014"/>
    <w:rsid w:val="234B5724"/>
    <w:rsid w:val="236A028A"/>
    <w:rsid w:val="236F6892"/>
    <w:rsid w:val="237722A3"/>
    <w:rsid w:val="237B667C"/>
    <w:rsid w:val="238F3F3F"/>
    <w:rsid w:val="23C23111"/>
    <w:rsid w:val="23C86CBF"/>
    <w:rsid w:val="23DE1C48"/>
    <w:rsid w:val="240026E6"/>
    <w:rsid w:val="240210CD"/>
    <w:rsid w:val="243A6885"/>
    <w:rsid w:val="244C0386"/>
    <w:rsid w:val="2469336E"/>
    <w:rsid w:val="247A5542"/>
    <w:rsid w:val="24AC1531"/>
    <w:rsid w:val="24AF0882"/>
    <w:rsid w:val="24BF09F7"/>
    <w:rsid w:val="25036653"/>
    <w:rsid w:val="25082AA1"/>
    <w:rsid w:val="252D53FE"/>
    <w:rsid w:val="25320DCD"/>
    <w:rsid w:val="253229A8"/>
    <w:rsid w:val="25C94365"/>
    <w:rsid w:val="25D52B14"/>
    <w:rsid w:val="25E065AF"/>
    <w:rsid w:val="25EC2D81"/>
    <w:rsid w:val="25ED6727"/>
    <w:rsid w:val="260F09FF"/>
    <w:rsid w:val="26190E48"/>
    <w:rsid w:val="264779F7"/>
    <w:rsid w:val="26D31B3A"/>
    <w:rsid w:val="26FB054E"/>
    <w:rsid w:val="27273917"/>
    <w:rsid w:val="272803A8"/>
    <w:rsid w:val="277057A2"/>
    <w:rsid w:val="27B134D0"/>
    <w:rsid w:val="27B66FB3"/>
    <w:rsid w:val="27CA3618"/>
    <w:rsid w:val="27E9685F"/>
    <w:rsid w:val="27EC3976"/>
    <w:rsid w:val="2804736B"/>
    <w:rsid w:val="2821022E"/>
    <w:rsid w:val="282F4DC7"/>
    <w:rsid w:val="284E151D"/>
    <w:rsid w:val="28596232"/>
    <w:rsid w:val="2864688B"/>
    <w:rsid w:val="28984952"/>
    <w:rsid w:val="28BF1656"/>
    <w:rsid w:val="28D471DA"/>
    <w:rsid w:val="28F620B9"/>
    <w:rsid w:val="290B25D3"/>
    <w:rsid w:val="29206EB8"/>
    <w:rsid w:val="292652B6"/>
    <w:rsid w:val="29592679"/>
    <w:rsid w:val="29595666"/>
    <w:rsid w:val="295B0863"/>
    <w:rsid w:val="2978368B"/>
    <w:rsid w:val="29874881"/>
    <w:rsid w:val="299F269C"/>
    <w:rsid w:val="29D57BE0"/>
    <w:rsid w:val="29E325E0"/>
    <w:rsid w:val="29E6344A"/>
    <w:rsid w:val="29FA07F7"/>
    <w:rsid w:val="2A452503"/>
    <w:rsid w:val="2A461CEB"/>
    <w:rsid w:val="2A777BEF"/>
    <w:rsid w:val="2AA322C0"/>
    <w:rsid w:val="2AB55DD7"/>
    <w:rsid w:val="2ACD5E0D"/>
    <w:rsid w:val="2ADB7AF8"/>
    <w:rsid w:val="2AE82B97"/>
    <w:rsid w:val="2B07696E"/>
    <w:rsid w:val="2B0D56C4"/>
    <w:rsid w:val="2B185B55"/>
    <w:rsid w:val="2B2C335D"/>
    <w:rsid w:val="2B2E4F2A"/>
    <w:rsid w:val="2B36563A"/>
    <w:rsid w:val="2B465CF5"/>
    <w:rsid w:val="2B547D28"/>
    <w:rsid w:val="2B6A3EF4"/>
    <w:rsid w:val="2B7E5DD6"/>
    <w:rsid w:val="2BA936A8"/>
    <w:rsid w:val="2BAD3557"/>
    <w:rsid w:val="2BC10487"/>
    <w:rsid w:val="2BC36FEB"/>
    <w:rsid w:val="2BC52416"/>
    <w:rsid w:val="2BF10ADE"/>
    <w:rsid w:val="2C2B382E"/>
    <w:rsid w:val="2C315A5A"/>
    <w:rsid w:val="2C40309E"/>
    <w:rsid w:val="2C4B1C25"/>
    <w:rsid w:val="2C723C80"/>
    <w:rsid w:val="2C9F073C"/>
    <w:rsid w:val="2CB52E1C"/>
    <w:rsid w:val="2CF94B79"/>
    <w:rsid w:val="2D530A52"/>
    <w:rsid w:val="2D74105A"/>
    <w:rsid w:val="2D9139BA"/>
    <w:rsid w:val="2D9E56F5"/>
    <w:rsid w:val="2DEB6954"/>
    <w:rsid w:val="2E02480A"/>
    <w:rsid w:val="2E1D349F"/>
    <w:rsid w:val="2E2C0160"/>
    <w:rsid w:val="2E300A94"/>
    <w:rsid w:val="2E38594F"/>
    <w:rsid w:val="2E5709A7"/>
    <w:rsid w:val="2E667F96"/>
    <w:rsid w:val="2E6C3ADF"/>
    <w:rsid w:val="2E747188"/>
    <w:rsid w:val="2E8226AB"/>
    <w:rsid w:val="2ECF56A2"/>
    <w:rsid w:val="2F1B0E26"/>
    <w:rsid w:val="2F2342CE"/>
    <w:rsid w:val="2F553B79"/>
    <w:rsid w:val="2F7E5A15"/>
    <w:rsid w:val="2F882B9B"/>
    <w:rsid w:val="2F9419E8"/>
    <w:rsid w:val="2F9C08D3"/>
    <w:rsid w:val="2FBE4CDE"/>
    <w:rsid w:val="2FC34D54"/>
    <w:rsid w:val="2FC36AFB"/>
    <w:rsid w:val="2FD065E6"/>
    <w:rsid w:val="2FD96870"/>
    <w:rsid w:val="2FF214F8"/>
    <w:rsid w:val="2FF524EA"/>
    <w:rsid w:val="301E2846"/>
    <w:rsid w:val="302B196D"/>
    <w:rsid w:val="30580BC9"/>
    <w:rsid w:val="309E295F"/>
    <w:rsid w:val="30AE03DF"/>
    <w:rsid w:val="311741D6"/>
    <w:rsid w:val="31191C93"/>
    <w:rsid w:val="311D3F13"/>
    <w:rsid w:val="311E2ED7"/>
    <w:rsid w:val="312E7E68"/>
    <w:rsid w:val="314E33D8"/>
    <w:rsid w:val="315619EE"/>
    <w:rsid w:val="315C449C"/>
    <w:rsid w:val="318A34B0"/>
    <w:rsid w:val="31AC0DC2"/>
    <w:rsid w:val="31B82709"/>
    <w:rsid w:val="31BB2F15"/>
    <w:rsid w:val="31BD7698"/>
    <w:rsid w:val="31C27443"/>
    <w:rsid w:val="31D05482"/>
    <w:rsid w:val="31EE3E55"/>
    <w:rsid w:val="31F14C6F"/>
    <w:rsid w:val="320B19A9"/>
    <w:rsid w:val="322A7C16"/>
    <w:rsid w:val="323E5792"/>
    <w:rsid w:val="32400B34"/>
    <w:rsid w:val="325167F3"/>
    <w:rsid w:val="325F5E35"/>
    <w:rsid w:val="327A2802"/>
    <w:rsid w:val="327B0474"/>
    <w:rsid w:val="3296760C"/>
    <w:rsid w:val="329E6876"/>
    <w:rsid w:val="32B214AB"/>
    <w:rsid w:val="32B4735C"/>
    <w:rsid w:val="32EE7231"/>
    <w:rsid w:val="32FC68E9"/>
    <w:rsid w:val="33044C2E"/>
    <w:rsid w:val="3304669A"/>
    <w:rsid w:val="33084F7F"/>
    <w:rsid w:val="333015F2"/>
    <w:rsid w:val="334B6320"/>
    <w:rsid w:val="3365757E"/>
    <w:rsid w:val="33703E86"/>
    <w:rsid w:val="338A5133"/>
    <w:rsid w:val="338D2B43"/>
    <w:rsid w:val="33D864E1"/>
    <w:rsid w:val="33D934D4"/>
    <w:rsid w:val="33FE2F6A"/>
    <w:rsid w:val="340E07E5"/>
    <w:rsid w:val="34235BF7"/>
    <w:rsid w:val="342F7EA5"/>
    <w:rsid w:val="34357A9A"/>
    <w:rsid w:val="345E02EB"/>
    <w:rsid w:val="346355C2"/>
    <w:rsid w:val="34730A46"/>
    <w:rsid w:val="34842943"/>
    <w:rsid w:val="3491604D"/>
    <w:rsid w:val="34B37867"/>
    <w:rsid w:val="34B9364D"/>
    <w:rsid w:val="34C52FC0"/>
    <w:rsid w:val="34D25427"/>
    <w:rsid w:val="34E01520"/>
    <w:rsid w:val="34FC63AE"/>
    <w:rsid w:val="350F6899"/>
    <w:rsid w:val="352A08BB"/>
    <w:rsid w:val="3589141A"/>
    <w:rsid w:val="358C5FA8"/>
    <w:rsid w:val="359C2635"/>
    <w:rsid w:val="35AF5C94"/>
    <w:rsid w:val="35C15DF1"/>
    <w:rsid w:val="35D33E50"/>
    <w:rsid w:val="35F94978"/>
    <w:rsid w:val="36021CE2"/>
    <w:rsid w:val="36074A7F"/>
    <w:rsid w:val="3623727E"/>
    <w:rsid w:val="36251097"/>
    <w:rsid w:val="36662DBA"/>
    <w:rsid w:val="366C094F"/>
    <w:rsid w:val="367467EE"/>
    <w:rsid w:val="36914BCE"/>
    <w:rsid w:val="36923549"/>
    <w:rsid w:val="36B75FBF"/>
    <w:rsid w:val="36BD0C45"/>
    <w:rsid w:val="36CF54A8"/>
    <w:rsid w:val="36DE0416"/>
    <w:rsid w:val="3700139D"/>
    <w:rsid w:val="37441B27"/>
    <w:rsid w:val="37902C63"/>
    <w:rsid w:val="37991DCD"/>
    <w:rsid w:val="379E7A8F"/>
    <w:rsid w:val="37B94CD9"/>
    <w:rsid w:val="37E00298"/>
    <w:rsid w:val="380B25BB"/>
    <w:rsid w:val="381C7852"/>
    <w:rsid w:val="384536D3"/>
    <w:rsid w:val="384D4AFE"/>
    <w:rsid w:val="388351FB"/>
    <w:rsid w:val="38B302F9"/>
    <w:rsid w:val="38EE5B87"/>
    <w:rsid w:val="38F12CD3"/>
    <w:rsid w:val="38F50DE8"/>
    <w:rsid w:val="38F94775"/>
    <w:rsid w:val="39065067"/>
    <w:rsid w:val="390C32FF"/>
    <w:rsid w:val="39185892"/>
    <w:rsid w:val="392971ED"/>
    <w:rsid w:val="392E0A81"/>
    <w:rsid w:val="39325651"/>
    <w:rsid w:val="39637B6C"/>
    <w:rsid w:val="398378B8"/>
    <w:rsid w:val="39932937"/>
    <w:rsid w:val="39C52E90"/>
    <w:rsid w:val="39C64E20"/>
    <w:rsid w:val="39CA2496"/>
    <w:rsid w:val="39CF42F7"/>
    <w:rsid w:val="39D763E0"/>
    <w:rsid w:val="39E135D3"/>
    <w:rsid w:val="3A3F1885"/>
    <w:rsid w:val="3A3F64D0"/>
    <w:rsid w:val="3A5E69D2"/>
    <w:rsid w:val="3A6A6B30"/>
    <w:rsid w:val="3A7C5D33"/>
    <w:rsid w:val="3A872856"/>
    <w:rsid w:val="3A987C0B"/>
    <w:rsid w:val="3A991B74"/>
    <w:rsid w:val="3A9C77B0"/>
    <w:rsid w:val="3AA866CB"/>
    <w:rsid w:val="3AEF3E12"/>
    <w:rsid w:val="3B021A53"/>
    <w:rsid w:val="3B364802"/>
    <w:rsid w:val="3B3763D1"/>
    <w:rsid w:val="3B376729"/>
    <w:rsid w:val="3B3C1DED"/>
    <w:rsid w:val="3B5E4D0D"/>
    <w:rsid w:val="3BE4217D"/>
    <w:rsid w:val="3BE56B58"/>
    <w:rsid w:val="3BFD2052"/>
    <w:rsid w:val="3C165E8D"/>
    <w:rsid w:val="3C1B3B1B"/>
    <w:rsid w:val="3C25407B"/>
    <w:rsid w:val="3C2F6E1E"/>
    <w:rsid w:val="3C3110DA"/>
    <w:rsid w:val="3C485100"/>
    <w:rsid w:val="3C4F64BA"/>
    <w:rsid w:val="3C5622AC"/>
    <w:rsid w:val="3C93768F"/>
    <w:rsid w:val="3C98178D"/>
    <w:rsid w:val="3CBD0327"/>
    <w:rsid w:val="3CDA245A"/>
    <w:rsid w:val="3D0A2EB4"/>
    <w:rsid w:val="3D113F30"/>
    <w:rsid w:val="3D133461"/>
    <w:rsid w:val="3D1E06B7"/>
    <w:rsid w:val="3D201F74"/>
    <w:rsid w:val="3D502432"/>
    <w:rsid w:val="3D6871C6"/>
    <w:rsid w:val="3D720ED7"/>
    <w:rsid w:val="3D8330CD"/>
    <w:rsid w:val="3DAE5967"/>
    <w:rsid w:val="3DD63F2D"/>
    <w:rsid w:val="3DD72E9B"/>
    <w:rsid w:val="3E0D0E3B"/>
    <w:rsid w:val="3E2B3954"/>
    <w:rsid w:val="3E304B29"/>
    <w:rsid w:val="3E5F3B0B"/>
    <w:rsid w:val="3E755F71"/>
    <w:rsid w:val="3E8217C6"/>
    <w:rsid w:val="3EDA0523"/>
    <w:rsid w:val="3EDB5236"/>
    <w:rsid w:val="3EE82723"/>
    <w:rsid w:val="3F243177"/>
    <w:rsid w:val="3F245C55"/>
    <w:rsid w:val="3F4B6816"/>
    <w:rsid w:val="3FA228E2"/>
    <w:rsid w:val="3FC165DA"/>
    <w:rsid w:val="3FC537BF"/>
    <w:rsid w:val="406F1488"/>
    <w:rsid w:val="40784565"/>
    <w:rsid w:val="407A6407"/>
    <w:rsid w:val="40D4227B"/>
    <w:rsid w:val="41306BEE"/>
    <w:rsid w:val="413503BA"/>
    <w:rsid w:val="41390D07"/>
    <w:rsid w:val="41466146"/>
    <w:rsid w:val="41646079"/>
    <w:rsid w:val="41A25D3E"/>
    <w:rsid w:val="41B90814"/>
    <w:rsid w:val="41BC7167"/>
    <w:rsid w:val="41BE3D6B"/>
    <w:rsid w:val="41C45D04"/>
    <w:rsid w:val="41DA3687"/>
    <w:rsid w:val="4200449D"/>
    <w:rsid w:val="420965B4"/>
    <w:rsid w:val="42303718"/>
    <w:rsid w:val="4236566E"/>
    <w:rsid w:val="423A3BCC"/>
    <w:rsid w:val="424E57D2"/>
    <w:rsid w:val="42542AAB"/>
    <w:rsid w:val="426077E6"/>
    <w:rsid w:val="42735FA0"/>
    <w:rsid w:val="42B26C49"/>
    <w:rsid w:val="42D4120A"/>
    <w:rsid w:val="43040332"/>
    <w:rsid w:val="43167E11"/>
    <w:rsid w:val="433A6FE6"/>
    <w:rsid w:val="43480868"/>
    <w:rsid w:val="4350713C"/>
    <w:rsid w:val="436653E0"/>
    <w:rsid w:val="436750FB"/>
    <w:rsid w:val="436D51B9"/>
    <w:rsid w:val="43C4431A"/>
    <w:rsid w:val="43EC7D40"/>
    <w:rsid w:val="43F66B9F"/>
    <w:rsid w:val="43F76867"/>
    <w:rsid w:val="443F1622"/>
    <w:rsid w:val="444D7A01"/>
    <w:rsid w:val="44B951CC"/>
    <w:rsid w:val="44BF6C07"/>
    <w:rsid w:val="44CD14E0"/>
    <w:rsid w:val="44F20B0B"/>
    <w:rsid w:val="44F3065E"/>
    <w:rsid w:val="45286D84"/>
    <w:rsid w:val="452E5F4C"/>
    <w:rsid w:val="45386D54"/>
    <w:rsid w:val="45610AF0"/>
    <w:rsid w:val="45612018"/>
    <w:rsid w:val="45646335"/>
    <w:rsid w:val="457A2894"/>
    <w:rsid w:val="458946E9"/>
    <w:rsid w:val="45A47C0E"/>
    <w:rsid w:val="45A81449"/>
    <w:rsid w:val="45B41AAD"/>
    <w:rsid w:val="45F7279B"/>
    <w:rsid w:val="460F14C8"/>
    <w:rsid w:val="46322F0B"/>
    <w:rsid w:val="46427327"/>
    <w:rsid w:val="46577FD6"/>
    <w:rsid w:val="46800DBB"/>
    <w:rsid w:val="46AA133B"/>
    <w:rsid w:val="46C6514A"/>
    <w:rsid w:val="46D955A7"/>
    <w:rsid w:val="46EB6A1F"/>
    <w:rsid w:val="47133957"/>
    <w:rsid w:val="471541F7"/>
    <w:rsid w:val="47434A5B"/>
    <w:rsid w:val="47635B92"/>
    <w:rsid w:val="476C1638"/>
    <w:rsid w:val="4770328B"/>
    <w:rsid w:val="47792026"/>
    <w:rsid w:val="47A07E0C"/>
    <w:rsid w:val="47A362D2"/>
    <w:rsid w:val="47CF32D2"/>
    <w:rsid w:val="47D134B1"/>
    <w:rsid w:val="47E434A7"/>
    <w:rsid w:val="47E80223"/>
    <w:rsid w:val="47F16DAB"/>
    <w:rsid w:val="48160668"/>
    <w:rsid w:val="481B5E4E"/>
    <w:rsid w:val="48500E3F"/>
    <w:rsid w:val="486046B9"/>
    <w:rsid w:val="4870272E"/>
    <w:rsid w:val="487113BF"/>
    <w:rsid w:val="48760C17"/>
    <w:rsid w:val="48B03585"/>
    <w:rsid w:val="48B75626"/>
    <w:rsid w:val="48D64F62"/>
    <w:rsid w:val="48FA211D"/>
    <w:rsid w:val="49022751"/>
    <w:rsid w:val="490661C4"/>
    <w:rsid w:val="49224F7E"/>
    <w:rsid w:val="49337708"/>
    <w:rsid w:val="494543B4"/>
    <w:rsid w:val="49861AA1"/>
    <w:rsid w:val="49C87356"/>
    <w:rsid w:val="49DC7715"/>
    <w:rsid w:val="4A023139"/>
    <w:rsid w:val="4A103F1C"/>
    <w:rsid w:val="4A111CB3"/>
    <w:rsid w:val="4A125B86"/>
    <w:rsid w:val="4A6C65C3"/>
    <w:rsid w:val="4A7B576F"/>
    <w:rsid w:val="4A8C7352"/>
    <w:rsid w:val="4A8E7095"/>
    <w:rsid w:val="4ACE0663"/>
    <w:rsid w:val="4AE5780A"/>
    <w:rsid w:val="4AF561A9"/>
    <w:rsid w:val="4AF65DDB"/>
    <w:rsid w:val="4B0A58A9"/>
    <w:rsid w:val="4B112CA8"/>
    <w:rsid w:val="4B3F2124"/>
    <w:rsid w:val="4B407287"/>
    <w:rsid w:val="4B6E485B"/>
    <w:rsid w:val="4B886EFB"/>
    <w:rsid w:val="4B94073F"/>
    <w:rsid w:val="4B9B5965"/>
    <w:rsid w:val="4BF23C29"/>
    <w:rsid w:val="4BF83801"/>
    <w:rsid w:val="4BFC4C20"/>
    <w:rsid w:val="4BFD189E"/>
    <w:rsid w:val="4C3A16BF"/>
    <w:rsid w:val="4C4A0649"/>
    <w:rsid w:val="4C5046F3"/>
    <w:rsid w:val="4C60468B"/>
    <w:rsid w:val="4C6F0ADB"/>
    <w:rsid w:val="4C7E5ECA"/>
    <w:rsid w:val="4C876AA5"/>
    <w:rsid w:val="4C891FD4"/>
    <w:rsid w:val="4CC971F7"/>
    <w:rsid w:val="4D003862"/>
    <w:rsid w:val="4D0E00FB"/>
    <w:rsid w:val="4D176606"/>
    <w:rsid w:val="4D3A57A5"/>
    <w:rsid w:val="4D550108"/>
    <w:rsid w:val="4D570E48"/>
    <w:rsid w:val="4D71363B"/>
    <w:rsid w:val="4DD122C8"/>
    <w:rsid w:val="4DEC4FB0"/>
    <w:rsid w:val="4E075D8A"/>
    <w:rsid w:val="4E3656AA"/>
    <w:rsid w:val="4E4849A4"/>
    <w:rsid w:val="4E784ECF"/>
    <w:rsid w:val="4E7D5EEC"/>
    <w:rsid w:val="4EBE4538"/>
    <w:rsid w:val="4EC00FAD"/>
    <w:rsid w:val="4EFC390E"/>
    <w:rsid w:val="4F377BCB"/>
    <w:rsid w:val="4F5D4149"/>
    <w:rsid w:val="4F9843DC"/>
    <w:rsid w:val="4FBA5C9E"/>
    <w:rsid w:val="4FC62A8C"/>
    <w:rsid w:val="4FD13FED"/>
    <w:rsid w:val="4FE20F0D"/>
    <w:rsid w:val="4FE51552"/>
    <w:rsid w:val="5035487C"/>
    <w:rsid w:val="50504C4B"/>
    <w:rsid w:val="506835E4"/>
    <w:rsid w:val="509C6E7C"/>
    <w:rsid w:val="50A7285A"/>
    <w:rsid w:val="51182E64"/>
    <w:rsid w:val="51567ABE"/>
    <w:rsid w:val="515E4D30"/>
    <w:rsid w:val="5162104E"/>
    <w:rsid w:val="516E40D7"/>
    <w:rsid w:val="5188727C"/>
    <w:rsid w:val="51AE3A7D"/>
    <w:rsid w:val="51BD44CE"/>
    <w:rsid w:val="51E72621"/>
    <w:rsid w:val="51F528BC"/>
    <w:rsid w:val="520A522C"/>
    <w:rsid w:val="520E4D2A"/>
    <w:rsid w:val="522C26FB"/>
    <w:rsid w:val="524A2F7B"/>
    <w:rsid w:val="52526A30"/>
    <w:rsid w:val="52594E28"/>
    <w:rsid w:val="52741223"/>
    <w:rsid w:val="52982A6C"/>
    <w:rsid w:val="52B0325F"/>
    <w:rsid w:val="52EC437C"/>
    <w:rsid w:val="52EE60CF"/>
    <w:rsid w:val="53010515"/>
    <w:rsid w:val="53020F20"/>
    <w:rsid w:val="534D7A18"/>
    <w:rsid w:val="53565241"/>
    <w:rsid w:val="535B2838"/>
    <w:rsid w:val="537D2167"/>
    <w:rsid w:val="53857F11"/>
    <w:rsid w:val="53A039CC"/>
    <w:rsid w:val="53A1505A"/>
    <w:rsid w:val="53C20FB2"/>
    <w:rsid w:val="53D76245"/>
    <w:rsid w:val="54063E08"/>
    <w:rsid w:val="54176117"/>
    <w:rsid w:val="54237799"/>
    <w:rsid w:val="543437E8"/>
    <w:rsid w:val="54564600"/>
    <w:rsid w:val="5465707B"/>
    <w:rsid w:val="547A010D"/>
    <w:rsid w:val="54832804"/>
    <w:rsid w:val="548A27C1"/>
    <w:rsid w:val="548E6F7F"/>
    <w:rsid w:val="54A159E1"/>
    <w:rsid w:val="54B32BBE"/>
    <w:rsid w:val="54F67A7F"/>
    <w:rsid w:val="54F73313"/>
    <w:rsid w:val="54F80955"/>
    <w:rsid w:val="5503226D"/>
    <w:rsid w:val="55173480"/>
    <w:rsid w:val="552E6DA6"/>
    <w:rsid w:val="555170A7"/>
    <w:rsid w:val="556E620B"/>
    <w:rsid w:val="55852AE6"/>
    <w:rsid w:val="5587536D"/>
    <w:rsid w:val="559B174B"/>
    <w:rsid w:val="55A27E89"/>
    <w:rsid w:val="55BD3B27"/>
    <w:rsid w:val="55CE0CF4"/>
    <w:rsid w:val="55CE69D3"/>
    <w:rsid w:val="55EF0DA6"/>
    <w:rsid w:val="55F45BD2"/>
    <w:rsid w:val="560E6A45"/>
    <w:rsid w:val="56373ACB"/>
    <w:rsid w:val="56777A19"/>
    <w:rsid w:val="56826F89"/>
    <w:rsid w:val="56897BA3"/>
    <w:rsid w:val="568B1933"/>
    <w:rsid w:val="56B22A9C"/>
    <w:rsid w:val="56D576BF"/>
    <w:rsid w:val="57037370"/>
    <w:rsid w:val="57093E60"/>
    <w:rsid w:val="57612A15"/>
    <w:rsid w:val="57854308"/>
    <w:rsid w:val="579379BE"/>
    <w:rsid w:val="57B72A76"/>
    <w:rsid w:val="57C3426C"/>
    <w:rsid w:val="57CE1F93"/>
    <w:rsid w:val="57EC4B4E"/>
    <w:rsid w:val="58003EBD"/>
    <w:rsid w:val="581D7A74"/>
    <w:rsid w:val="582726A1"/>
    <w:rsid w:val="583F03B3"/>
    <w:rsid w:val="5857422D"/>
    <w:rsid w:val="588571F5"/>
    <w:rsid w:val="588743D1"/>
    <w:rsid w:val="5887701A"/>
    <w:rsid w:val="589874E0"/>
    <w:rsid w:val="589957C8"/>
    <w:rsid w:val="58AD0893"/>
    <w:rsid w:val="58DE3A96"/>
    <w:rsid w:val="58FE3670"/>
    <w:rsid w:val="59033243"/>
    <w:rsid w:val="59270BB9"/>
    <w:rsid w:val="596077FA"/>
    <w:rsid w:val="59710674"/>
    <w:rsid w:val="598824D5"/>
    <w:rsid w:val="5996188C"/>
    <w:rsid w:val="59C0439F"/>
    <w:rsid w:val="59E84340"/>
    <w:rsid w:val="59FF3DAF"/>
    <w:rsid w:val="5A7275F5"/>
    <w:rsid w:val="5A865DA5"/>
    <w:rsid w:val="5A9E73E6"/>
    <w:rsid w:val="5ABE2233"/>
    <w:rsid w:val="5AD91E74"/>
    <w:rsid w:val="5B104CDD"/>
    <w:rsid w:val="5B110419"/>
    <w:rsid w:val="5B2F5F59"/>
    <w:rsid w:val="5B3951AC"/>
    <w:rsid w:val="5B5D5055"/>
    <w:rsid w:val="5B970483"/>
    <w:rsid w:val="5BAD110F"/>
    <w:rsid w:val="5BB05D82"/>
    <w:rsid w:val="5BB3263B"/>
    <w:rsid w:val="5BD60666"/>
    <w:rsid w:val="5BDF5D95"/>
    <w:rsid w:val="5BFE7528"/>
    <w:rsid w:val="5C230F36"/>
    <w:rsid w:val="5C262A24"/>
    <w:rsid w:val="5C2826D5"/>
    <w:rsid w:val="5C342162"/>
    <w:rsid w:val="5C586F04"/>
    <w:rsid w:val="5C5F5DDA"/>
    <w:rsid w:val="5CBB0E30"/>
    <w:rsid w:val="5CC71F9C"/>
    <w:rsid w:val="5D3D4FD0"/>
    <w:rsid w:val="5D451937"/>
    <w:rsid w:val="5D505EBE"/>
    <w:rsid w:val="5D9F1D3D"/>
    <w:rsid w:val="5DB43F93"/>
    <w:rsid w:val="5DC418E2"/>
    <w:rsid w:val="5DD15589"/>
    <w:rsid w:val="5DDA0D8D"/>
    <w:rsid w:val="5E2467F1"/>
    <w:rsid w:val="5E540D78"/>
    <w:rsid w:val="5E693981"/>
    <w:rsid w:val="5E996D71"/>
    <w:rsid w:val="5ECF5E39"/>
    <w:rsid w:val="5EE83C56"/>
    <w:rsid w:val="5EEC0A0D"/>
    <w:rsid w:val="5F140445"/>
    <w:rsid w:val="5F1A2B43"/>
    <w:rsid w:val="5F1D1431"/>
    <w:rsid w:val="5F2A3D64"/>
    <w:rsid w:val="5F3C5C1C"/>
    <w:rsid w:val="5F683CCB"/>
    <w:rsid w:val="5FA01CBE"/>
    <w:rsid w:val="5FB837BB"/>
    <w:rsid w:val="5FF30C7D"/>
    <w:rsid w:val="606C731F"/>
    <w:rsid w:val="606C77D5"/>
    <w:rsid w:val="609C6EB9"/>
    <w:rsid w:val="60CC405A"/>
    <w:rsid w:val="60E24BD5"/>
    <w:rsid w:val="60ED1362"/>
    <w:rsid w:val="60FA777E"/>
    <w:rsid w:val="61593781"/>
    <w:rsid w:val="61CB1160"/>
    <w:rsid w:val="61CC46CC"/>
    <w:rsid w:val="61E215D8"/>
    <w:rsid w:val="621B3775"/>
    <w:rsid w:val="62287B69"/>
    <w:rsid w:val="62364782"/>
    <w:rsid w:val="62393555"/>
    <w:rsid w:val="625C213B"/>
    <w:rsid w:val="62612A92"/>
    <w:rsid w:val="6292482E"/>
    <w:rsid w:val="62AA1349"/>
    <w:rsid w:val="62F10DE9"/>
    <w:rsid w:val="63487A30"/>
    <w:rsid w:val="63723BDC"/>
    <w:rsid w:val="63756544"/>
    <w:rsid w:val="6394356A"/>
    <w:rsid w:val="639962E8"/>
    <w:rsid w:val="63B66333"/>
    <w:rsid w:val="63C61B2C"/>
    <w:rsid w:val="63D40BE9"/>
    <w:rsid w:val="63D42261"/>
    <w:rsid w:val="64102431"/>
    <w:rsid w:val="64296F6B"/>
    <w:rsid w:val="64627425"/>
    <w:rsid w:val="648279D5"/>
    <w:rsid w:val="64A5243A"/>
    <w:rsid w:val="64B64D8A"/>
    <w:rsid w:val="64C30216"/>
    <w:rsid w:val="64DB0A9B"/>
    <w:rsid w:val="64E531C3"/>
    <w:rsid w:val="64ED2D30"/>
    <w:rsid w:val="64F52C32"/>
    <w:rsid w:val="64F531DE"/>
    <w:rsid w:val="65146C68"/>
    <w:rsid w:val="65373578"/>
    <w:rsid w:val="653B319C"/>
    <w:rsid w:val="655948BA"/>
    <w:rsid w:val="657E6A64"/>
    <w:rsid w:val="65815B5D"/>
    <w:rsid w:val="6598373A"/>
    <w:rsid w:val="65A102AF"/>
    <w:rsid w:val="65BD52A3"/>
    <w:rsid w:val="65BF610A"/>
    <w:rsid w:val="660202AA"/>
    <w:rsid w:val="660E1D9A"/>
    <w:rsid w:val="66515EB5"/>
    <w:rsid w:val="66664CF8"/>
    <w:rsid w:val="66954995"/>
    <w:rsid w:val="66AE4B55"/>
    <w:rsid w:val="66BB7F8E"/>
    <w:rsid w:val="66C144C5"/>
    <w:rsid w:val="66DA117A"/>
    <w:rsid w:val="66FB3A73"/>
    <w:rsid w:val="67037D22"/>
    <w:rsid w:val="670A5668"/>
    <w:rsid w:val="671F124A"/>
    <w:rsid w:val="673053A9"/>
    <w:rsid w:val="674548F2"/>
    <w:rsid w:val="67577F03"/>
    <w:rsid w:val="677A33C6"/>
    <w:rsid w:val="67896640"/>
    <w:rsid w:val="678C42DA"/>
    <w:rsid w:val="679A58DA"/>
    <w:rsid w:val="67AB0BF9"/>
    <w:rsid w:val="67AE2962"/>
    <w:rsid w:val="67D220E2"/>
    <w:rsid w:val="680E159A"/>
    <w:rsid w:val="681F6961"/>
    <w:rsid w:val="68245A70"/>
    <w:rsid w:val="68610A2F"/>
    <w:rsid w:val="686F60CA"/>
    <w:rsid w:val="68805514"/>
    <w:rsid w:val="6884278F"/>
    <w:rsid w:val="68A1024E"/>
    <w:rsid w:val="68AF4719"/>
    <w:rsid w:val="68C0768A"/>
    <w:rsid w:val="68DA2F68"/>
    <w:rsid w:val="68E90B4E"/>
    <w:rsid w:val="691A2A84"/>
    <w:rsid w:val="69316E2F"/>
    <w:rsid w:val="694E2071"/>
    <w:rsid w:val="696F6838"/>
    <w:rsid w:val="69766163"/>
    <w:rsid w:val="697A3B33"/>
    <w:rsid w:val="697B53BE"/>
    <w:rsid w:val="69A022B3"/>
    <w:rsid w:val="69A14F23"/>
    <w:rsid w:val="69A16342"/>
    <w:rsid w:val="69A74846"/>
    <w:rsid w:val="69B63CE2"/>
    <w:rsid w:val="69D44760"/>
    <w:rsid w:val="69DA0FBD"/>
    <w:rsid w:val="69FA4D71"/>
    <w:rsid w:val="6A0777C9"/>
    <w:rsid w:val="6A520EC7"/>
    <w:rsid w:val="6A6F1133"/>
    <w:rsid w:val="6AA10091"/>
    <w:rsid w:val="6AC050B7"/>
    <w:rsid w:val="6ACC522E"/>
    <w:rsid w:val="6ADB20B7"/>
    <w:rsid w:val="6AEA5EDC"/>
    <w:rsid w:val="6AF87E20"/>
    <w:rsid w:val="6B030834"/>
    <w:rsid w:val="6B0C4384"/>
    <w:rsid w:val="6B322639"/>
    <w:rsid w:val="6B3B6F2B"/>
    <w:rsid w:val="6B676B89"/>
    <w:rsid w:val="6B9A3062"/>
    <w:rsid w:val="6BCC49E9"/>
    <w:rsid w:val="6BE807BF"/>
    <w:rsid w:val="6BF574D5"/>
    <w:rsid w:val="6BF92453"/>
    <w:rsid w:val="6C00584C"/>
    <w:rsid w:val="6C2C7857"/>
    <w:rsid w:val="6C3B1940"/>
    <w:rsid w:val="6C441C3E"/>
    <w:rsid w:val="6C505D0E"/>
    <w:rsid w:val="6C5535A3"/>
    <w:rsid w:val="6C636C38"/>
    <w:rsid w:val="6D2975D3"/>
    <w:rsid w:val="6D611509"/>
    <w:rsid w:val="6D705EF2"/>
    <w:rsid w:val="6DB34098"/>
    <w:rsid w:val="6DB545B6"/>
    <w:rsid w:val="6DC36F06"/>
    <w:rsid w:val="6DCA73AE"/>
    <w:rsid w:val="6DE02FB4"/>
    <w:rsid w:val="6DE67646"/>
    <w:rsid w:val="6DF817FA"/>
    <w:rsid w:val="6E396833"/>
    <w:rsid w:val="6E514CED"/>
    <w:rsid w:val="6E5B3E50"/>
    <w:rsid w:val="6E697118"/>
    <w:rsid w:val="6E6A60BA"/>
    <w:rsid w:val="6E963C85"/>
    <w:rsid w:val="6E972BEF"/>
    <w:rsid w:val="6E9775CB"/>
    <w:rsid w:val="6E9A3E67"/>
    <w:rsid w:val="6EB563D5"/>
    <w:rsid w:val="6EC7366A"/>
    <w:rsid w:val="6ED92677"/>
    <w:rsid w:val="6EDA2D31"/>
    <w:rsid w:val="6EEE535B"/>
    <w:rsid w:val="6F225983"/>
    <w:rsid w:val="6F4231DA"/>
    <w:rsid w:val="6F5E0785"/>
    <w:rsid w:val="6F6A36BA"/>
    <w:rsid w:val="6F7101BE"/>
    <w:rsid w:val="6F862D98"/>
    <w:rsid w:val="6F8958F4"/>
    <w:rsid w:val="6FA76651"/>
    <w:rsid w:val="6FBB507D"/>
    <w:rsid w:val="6FC60C70"/>
    <w:rsid w:val="6FC6728E"/>
    <w:rsid w:val="6FCC3D44"/>
    <w:rsid w:val="6FE44E92"/>
    <w:rsid w:val="6FE669FB"/>
    <w:rsid w:val="6FFC5590"/>
    <w:rsid w:val="701C0038"/>
    <w:rsid w:val="701D5DE7"/>
    <w:rsid w:val="701F7AB8"/>
    <w:rsid w:val="7023058B"/>
    <w:rsid w:val="703D1F66"/>
    <w:rsid w:val="706D1DD0"/>
    <w:rsid w:val="707B186E"/>
    <w:rsid w:val="70856B87"/>
    <w:rsid w:val="70D311C0"/>
    <w:rsid w:val="70D527EE"/>
    <w:rsid w:val="70FC6C4E"/>
    <w:rsid w:val="7105648A"/>
    <w:rsid w:val="71112D55"/>
    <w:rsid w:val="71216FC1"/>
    <w:rsid w:val="714F2325"/>
    <w:rsid w:val="715B5300"/>
    <w:rsid w:val="71775FF0"/>
    <w:rsid w:val="71B601FA"/>
    <w:rsid w:val="71BC4F4E"/>
    <w:rsid w:val="71BE4C40"/>
    <w:rsid w:val="71BF02EA"/>
    <w:rsid w:val="71C137A6"/>
    <w:rsid w:val="71D27F8A"/>
    <w:rsid w:val="71D52148"/>
    <w:rsid w:val="71ED64CA"/>
    <w:rsid w:val="720E78A3"/>
    <w:rsid w:val="72120736"/>
    <w:rsid w:val="724237C1"/>
    <w:rsid w:val="72553024"/>
    <w:rsid w:val="72636669"/>
    <w:rsid w:val="726A6E4E"/>
    <w:rsid w:val="727D0A56"/>
    <w:rsid w:val="72814891"/>
    <w:rsid w:val="728E407C"/>
    <w:rsid w:val="72914E8F"/>
    <w:rsid w:val="729A70DD"/>
    <w:rsid w:val="72B00740"/>
    <w:rsid w:val="72B8250C"/>
    <w:rsid w:val="72DD4D4D"/>
    <w:rsid w:val="72EB6357"/>
    <w:rsid w:val="73122968"/>
    <w:rsid w:val="731F5D5E"/>
    <w:rsid w:val="73210203"/>
    <w:rsid w:val="736D7FA4"/>
    <w:rsid w:val="73771596"/>
    <w:rsid w:val="739B4217"/>
    <w:rsid w:val="73B0324E"/>
    <w:rsid w:val="73C31857"/>
    <w:rsid w:val="73C51AD5"/>
    <w:rsid w:val="74072B70"/>
    <w:rsid w:val="741E793C"/>
    <w:rsid w:val="745E3944"/>
    <w:rsid w:val="74626A42"/>
    <w:rsid w:val="7463285B"/>
    <w:rsid w:val="746759A3"/>
    <w:rsid w:val="7479207F"/>
    <w:rsid w:val="74793E2D"/>
    <w:rsid w:val="74AF640F"/>
    <w:rsid w:val="74B5172F"/>
    <w:rsid w:val="74CD4655"/>
    <w:rsid w:val="74ED4046"/>
    <w:rsid w:val="7518720D"/>
    <w:rsid w:val="753E356A"/>
    <w:rsid w:val="75415741"/>
    <w:rsid w:val="7568473A"/>
    <w:rsid w:val="75851341"/>
    <w:rsid w:val="759072DF"/>
    <w:rsid w:val="75A91E1D"/>
    <w:rsid w:val="761338CF"/>
    <w:rsid w:val="761D2D29"/>
    <w:rsid w:val="762F62AF"/>
    <w:rsid w:val="7635099D"/>
    <w:rsid w:val="763530CB"/>
    <w:rsid w:val="763A78B0"/>
    <w:rsid w:val="764273FE"/>
    <w:rsid w:val="7647352A"/>
    <w:rsid w:val="76674CB4"/>
    <w:rsid w:val="76690415"/>
    <w:rsid w:val="768A359B"/>
    <w:rsid w:val="769F114D"/>
    <w:rsid w:val="76A205C9"/>
    <w:rsid w:val="76BA510F"/>
    <w:rsid w:val="76C017C7"/>
    <w:rsid w:val="76D17280"/>
    <w:rsid w:val="76F25FD4"/>
    <w:rsid w:val="770859BB"/>
    <w:rsid w:val="77091DB7"/>
    <w:rsid w:val="7724512A"/>
    <w:rsid w:val="77332056"/>
    <w:rsid w:val="776133A2"/>
    <w:rsid w:val="77762421"/>
    <w:rsid w:val="77810FAE"/>
    <w:rsid w:val="7795437A"/>
    <w:rsid w:val="77A636BE"/>
    <w:rsid w:val="77AB07A1"/>
    <w:rsid w:val="77B56B1F"/>
    <w:rsid w:val="77E343B9"/>
    <w:rsid w:val="780F09F4"/>
    <w:rsid w:val="783044E0"/>
    <w:rsid w:val="7846424A"/>
    <w:rsid w:val="78524B43"/>
    <w:rsid w:val="785B2EE8"/>
    <w:rsid w:val="78A90480"/>
    <w:rsid w:val="78B51A15"/>
    <w:rsid w:val="78BF1E08"/>
    <w:rsid w:val="78CC4CFB"/>
    <w:rsid w:val="79117437"/>
    <w:rsid w:val="79274F2C"/>
    <w:rsid w:val="79481BD3"/>
    <w:rsid w:val="794F71DB"/>
    <w:rsid w:val="79621333"/>
    <w:rsid w:val="79912AB2"/>
    <w:rsid w:val="79A37EE2"/>
    <w:rsid w:val="79A948C0"/>
    <w:rsid w:val="79B1104A"/>
    <w:rsid w:val="7A0F2D07"/>
    <w:rsid w:val="7A28574E"/>
    <w:rsid w:val="7A364017"/>
    <w:rsid w:val="7A8265E1"/>
    <w:rsid w:val="7AA30227"/>
    <w:rsid w:val="7ACB61C0"/>
    <w:rsid w:val="7AE55D78"/>
    <w:rsid w:val="7AE916D2"/>
    <w:rsid w:val="7AF058BB"/>
    <w:rsid w:val="7B0520AF"/>
    <w:rsid w:val="7B0657E9"/>
    <w:rsid w:val="7B450F0D"/>
    <w:rsid w:val="7B686D42"/>
    <w:rsid w:val="7B840887"/>
    <w:rsid w:val="7B841746"/>
    <w:rsid w:val="7BAA5536"/>
    <w:rsid w:val="7BB7750E"/>
    <w:rsid w:val="7BD36884"/>
    <w:rsid w:val="7BDC0F74"/>
    <w:rsid w:val="7BDE0BC1"/>
    <w:rsid w:val="7BEC7C8A"/>
    <w:rsid w:val="7C3D65BF"/>
    <w:rsid w:val="7C6A634E"/>
    <w:rsid w:val="7C6C5AC7"/>
    <w:rsid w:val="7C6F12C9"/>
    <w:rsid w:val="7CB33030"/>
    <w:rsid w:val="7CC6544B"/>
    <w:rsid w:val="7CDD3EDF"/>
    <w:rsid w:val="7CE74632"/>
    <w:rsid w:val="7CEB66D3"/>
    <w:rsid w:val="7D007B00"/>
    <w:rsid w:val="7D0239FF"/>
    <w:rsid w:val="7D025F61"/>
    <w:rsid w:val="7D292139"/>
    <w:rsid w:val="7D314C6E"/>
    <w:rsid w:val="7D3A5CA3"/>
    <w:rsid w:val="7D4E746A"/>
    <w:rsid w:val="7D5E40CD"/>
    <w:rsid w:val="7D84289E"/>
    <w:rsid w:val="7D8F44D2"/>
    <w:rsid w:val="7D9A41EA"/>
    <w:rsid w:val="7D9F57FC"/>
    <w:rsid w:val="7DB67184"/>
    <w:rsid w:val="7DB67EA0"/>
    <w:rsid w:val="7DCD56F2"/>
    <w:rsid w:val="7DE92F38"/>
    <w:rsid w:val="7E1D1559"/>
    <w:rsid w:val="7E1D165F"/>
    <w:rsid w:val="7E302291"/>
    <w:rsid w:val="7E3F7D1D"/>
    <w:rsid w:val="7E582D05"/>
    <w:rsid w:val="7E770605"/>
    <w:rsid w:val="7ED52A97"/>
    <w:rsid w:val="7F001CE7"/>
    <w:rsid w:val="7F192A2A"/>
    <w:rsid w:val="7F1A71C4"/>
    <w:rsid w:val="7F353EF2"/>
    <w:rsid w:val="7F3844B1"/>
    <w:rsid w:val="7F496C35"/>
    <w:rsid w:val="7F5B22F2"/>
    <w:rsid w:val="7F651499"/>
    <w:rsid w:val="7F9A3D06"/>
    <w:rsid w:val="7FC44D22"/>
    <w:rsid w:val="7FE374F0"/>
    <w:rsid w:val="7FE47E50"/>
    <w:rsid w:val="7FF60C0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6"/>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adjustRightInd w:val="0"/>
      <w:outlineLvl w:val="1"/>
    </w:pPr>
    <w:rPr>
      <w:rFonts w:ascii="幼圆" w:eastAsia="幼圆"/>
      <w:sz w:val="28"/>
    </w:rPr>
  </w:style>
  <w:style w:type="paragraph" w:styleId="6">
    <w:name w:val="heading 3"/>
    <w:basedOn w:val="1"/>
    <w:next w:val="1"/>
    <w:qFormat/>
    <w:locked/>
    <w:uiPriority w:val="0"/>
    <w:pPr>
      <w:keepNext/>
      <w:keepLines/>
      <w:spacing w:line="360" w:lineRule="auto"/>
      <w:outlineLvl w:val="2"/>
    </w:pPr>
    <w:rPr>
      <w:b/>
      <w:bCs/>
      <w:szCs w:val="32"/>
    </w:rPr>
  </w:style>
  <w:style w:type="paragraph" w:styleId="7">
    <w:name w:val="heading 4"/>
    <w:basedOn w:val="1"/>
    <w:next w:val="1"/>
    <w:qFormat/>
    <w:locked/>
    <w:uiPriority w:val="1"/>
    <w:pPr>
      <w:jc w:val="center"/>
      <w:outlineLvl w:val="3"/>
    </w:pPr>
    <w:rPr>
      <w:rFonts w:ascii="宋体" w:hAnsi="宋体" w:eastAsia="宋体" w:cs="宋体"/>
      <w:b/>
      <w:bCs/>
      <w:sz w:val="24"/>
      <w:szCs w:val="24"/>
      <w:lang w:val="zh-CN" w:eastAsia="zh-CN" w:bidi="zh-CN"/>
    </w:rPr>
  </w:style>
  <w:style w:type="character" w:default="1" w:styleId="25">
    <w:name w:val="Default Paragraph Font"/>
    <w:semiHidden/>
    <w:qFormat/>
    <w:uiPriority w:val="0"/>
  </w:style>
  <w:style w:type="table" w:default="1" w:styleId="30">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1"/>
    <w:qFormat/>
    <w:locked/>
    <w:uiPriority w:val="0"/>
    <w:pPr>
      <w:spacing w:after="120" w:line="360" w:lineRule="auto"/>
      <w:ind w:left="420" w:leftChars="200" w:firstLine="420" w:firstLineChars="200"/>
    </w:pPr>
    <w:rPr>
      <w:rFonts w:eastAsia="仿宋_GB2312"/>
    </w:rPr>
  </w:style>
  <w:style w:type="paragraph" w:styleId="3">
    <w:name w:val="Body Text Indent"/>
    <w:basedOn w:val="1"/>
    <w:next w:val="1"/>
    <w:link w:val="41"/>
    <w:qFormat/>
    <w:uiPriority w:val="0"/>
    <w:pPr>
      <w:spacing w:after="120"/>
      <w:ind w:left="420" w:leftChars="200"/>
    </w:pPr>
    <w:rPr>
      <w:kern w:val="0"/>
      <w:sz w:val="24"/>
      <w:szCs w:val="20"/>
    </w:rPr>
  </w:style>
  <w:style w:type="paragraph" w:styleId="8">
    <w:name w:val="annotation subject"/>
    <w:basedOn w:val="9"/>
    <w:next w:val="9"/>
    <w:link w:val="47"/>
    <w:semiHidden/>
    <w:qFormat/>
    <w:uiPriority w:val="0"/>
    <w:rPr>
      <w:b/>
      <w:sz w:val="24"/>
      <w:szCs w:val="20"/>
    </w:rPr>
  </w:style>
  <w:style w:type="paragraph" w:styleId="9">
    <w:name w:val="annotation text"/>
    <w:basedOn w:val="1"/>
    <w:link w:val="39"/>
    <w:semiHidden/>
    <w:qFormat/>
    <w:uiPriority w:val="0"/>
    <w:pPr>
      <w:jc w:val="left"/>
    </w:pPr>
    <w:rPr>
      <w:kern w:val="0"/>
      <w:sz w:val="24"/>
      <w:szCs w:val="20"/>
    </w:rPr>
  </w:style>
  <w:style w:type="paragraph" w:styleId="10">
    <w:name w:val="Body Text First Indent"/>
    <w:basedOn w:val="11"/>
    <w:next w:val="12"/>
    <w:unhideWhenUsed/>
    <w:qFormat/>
    <w:locked/>
    <w:uiPriority w:val="99"/>
    <w:pPr>
      <w:ind w:firstLine="420" w:firstLineChars="100"/>
    </w:pPr>
    <w:rPr>
      <w:rFonts w:ascii="Calibri" w:hAnsi="Calibri"/>
      <w:szCs w:val="22"/>
    </w:rPr>
  </w:style>
  <w:style w:type="paragraph" w:styleId="11">
    <w:name w:val="Body Text"/>
    <w:basedOn w:val="1"/>
    <w:next w:val="1"/>
    <w:link w:val="40"/>
    <w:qFormat/>
    <w:uiPriority w:val="0"/>
    <w:pPr>
      <w:widowControl/>
      <w:snapToGrid w:val="0"/>
      <w:spacing w:before="60" w:after="160" w:line="259" w:lineRule="auto"/>
      <w:ind w:right="113"/>
    </w:pPr>
    <w:rPr>
      <w:kern w:val="0"/>
      <w:sz w:val="18"/>
      <w:szCs w:val="20"/>
    </w:rPr>
  </w:style>
  <w:style w:type="paragraph" w:styleId="12">
    <w:name w:val="table of figures"/>
    <w:basedOn w:val="1"/>
    <w:next w:val="1"/>
    <w:qFormat/>
    <w:locked/>
    <w:uiPriority w:val="0"/>
    <w:pPr>
      <w:widowControl w:val="0"/>
      <w:ind w:leftChars="200" w:hanging="200" w:hangingChars="200"/>
      <w:jc w:val="both"/>
    </w:pPr>
    <w:rPr>
      <w:rFonts w:ascii="Calibri" w:hAnsi="Calibri" w:cs="Times New Roman"/>
      <w:kern w:val="2"/>
      <w:sz w:val="21"/>
      <w:szCs w:val="22"/>
    </w:rPr>
  </w:style>
  <w:style w:type="paragraph" w:styleId="13">
    <w:name w:val="Normal Indent"/>
    <w:basedOn w:val="1"/>
    <w:next w:val="1"/>
    <w:qFormat/>
    <w:locked/>
    <w:uiPriority w:val="0"/>
    <w:pPr>
      <w:ind w:firstLine="420"/>
    </w:pPr>
  </w:style>
  <w:style w:type="paragraph" w:styleId="14">
    <w:name w:val="Salutation"/>
    <w:basedOn w:val="1"/>
    <w:next w:val="1"/>
    <w:qFormat/>
    <w:locked/>
    <w:uiPriority w:val="0"/>
    <w:pPr>
      <w:spacing w:line="240" w:lineRule="auto"/>
    </w:pPr>
    <w:rPr>
      <w:b/>
      <w:bCs/>
    </w:rPr>
  </w:style>
  <w:style w:type="paragraph" w:styleId="15">
    <w:name w:val="Block Text"/>
    <w:basedOn w:val="1"/>
    <w:qFormat/>
    <w:locked/>
    <w:uiPriority w:val="0"/>
    <w:pPr>
      <w:spacing w:beforeLines="50" w:line="600" w:lineRule="exact"/>
      <w:ind w:left="42" w:leftChars="20" w:right="42" w:rightChars="20" w:firstLine="560"/>
    </w:pPr>
    <w:rPr>
      <w:rFonts w:ascii="宋体"/>
      <w:sz w:val="28"/>
    </w:rPr>
  </w:style>
  <w:style w:type="paragraph" w:styleId="16">
    <w:name w:val="Plain Text"/>
    <w:basedOn w:val="1"/>
    <w:next w:val="14"/>
    <w:qFormat/>
    <w:locked/>
    <w:uiPriority w:val="0"/>
    <w:rPr>
      <w:rFonts w:ascii="宋体" w:hAnsi="Courier New" w:cs="Courier New"/>
      <w:szCs w:val="21"/>
    </w:rPr>
  </w:style>
  <w:style w:type="paragraph" w:styleId="17">
    <w:name w:val="List Bullet 5"/>
    <w:basedOn w:val="1"/>
    <w:qFormat/>
    <w:locked/>
    <w:uiPriority w:val="0"/>
    <w:pPr>
      <w:numPr>
        <w:ilvl w:val="0"/>
        <w:numId w:val="1"/>
      </w:numPr>
    </w:pPr>
  </w:style>
  <w:style w:type="paragraph" w:styleId="18">
    <w:name w:val="Date"/>
    <w:basedOn w:val="1"/>
    <w:next w:val="1"/>
    <w:link w:val="42"/>
    <w:qFormat/>
    <w:uiPriority w:val="0"/>
    <w:pPr>
      <w:ind w:left="100" w:leftChars="2500"/>
    </w:pPr>
    <w:rPr>
      <w:kern w:val="0"/>
      <w:sz w:val="24"/>
      <w:szCs w:val="20"/>
    </w:rPr>
  </w:style>
  <w:style w:type="paragraph" w:styleId="19">
    <w:name w:val="Balloon Text"/>
    <w:basedOn w:val="1"/>
    <w:link w:val="43"/>
    <w:semiHidden/>
    <w:qFormat/>
    <w:uiPriority w:val="0"/>
    <w:rPr>
      <w:kern w:val="0"/>
      <w:sz w:val="18"/>
      <w:szCs w:val="20"/>
    </w:rPr>
  </w:style>
  <w:style w:type="paragraph" w:styleId="20">
    <w:name w:val="footer"/>
    <w:basedOn w:val="1"/>
    <w:link w:val="44"/>
    <w:qFormat/>
    <w:uiPriority w:val="99"/>
    <w:pPr>
      <w:tabs>
        <w:tab w:val="center" w:pos="4153"/>
        <w:tab w:val="right" w:pos="8306"/>
      </w:tabs>
      <w:snapToGrid w:val="0"/>
      <w:jc w:val="left"/>
    </w:pPr>
    <w:rPr>
      <w:kern w:val="0"/>
      <w:sz w:val="18"/>
      <w:szCs w:val="20"/>
    </w:rPr>
  </w:style>
  <w:style w:type="paragraph" w:styleId="21">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List"/>
    <w:basedOn w:val="1"/>
    <w:qFormat/>
    <w:locked/>
    <w:uiPriority w:val="0"/>
    <w:pPr>
      <w:widowControl/>
      <w:spacing w:line="440" w:lineRule="exact"/>
      <w:ind w:left="200" w:hanging="200"/>
      <w:jc w:val="left"/>
    </w:pPr>
    <w:rPr>
      <w:kern w:val="0"/>
      <w:szCs w:val="20"/>
    </w:rPr>
  </w:style>
  <w:style w:type="paragraph" w:styleId="23">
    <w:name w:val="toc 2"/>
    <w:basedOn w:val="1"/>
    <w:next w:val="1"/>
    <w:qFormat/>
    <w:locked/>
    <w:uiPriority w:val="39"/>
    <w:pPr>
      <w:widowControl/>
      <w:tabs>
        <w:tab w:val="right" w:leader="dot" w:pos="8777"/>
      </w:tabs>
      <w:spacing w:before="50" w:beforeLines="50"/>
      <w:ind w:firstLine="0" w:firstLineChars="0"/>
    </w:pPr>
    <w:rPr>
      <w:rFonts w:ascii="Calibri" w:hAnsi="Calibri" w:eastAsia="仿宋_GB2312"/>
      <w:smallCaps/>
      <w:szCs w:val="20"/>
    </w:rPr>
  </w:style>
  <w:style w:type="paragraph" w:styleId="24">
    <w:name w:val="Normal (Web)"/>
    <w:basedOn w:val="1"/>
    <w:next w:val="1"/>
    <w:link w:val="46"/>
    <w:qFormat/>
    <w:uiPriority w:val="0"/>
    <w:pPr>
      <w:widowControl/>
      <w:spacing w:before="100" w:beforeAutospacing="1" w:after="100" w:afterAutospacing="1"/>
      <w:jc w:val="left"/>
    </w:pPr>
    <w:rPr>
      <w:rFonts w:ascii="宋体" w:hAnsi="宋体"/>
      <w:kern w:val="0"/>
      <w:sz w:val="24"/>
      <w:szCs w:val="20"/>
    </w:rPr>
  </w:style>
  <w:style w:type="character" w:styleId="26">
    <w:name w:val="Strong"/>
    <w:basedOn w:val="25"/>
    <w:qFormat/>
    <w:locked/>
    <w:uiPriority w:val="0"/>
    <w:rPr>
      <w:b/>
    </w:rPr>
  </w:style>
  <w:style w:type="character" w:styleId="27">
    <w:name w:val="page number"/>
    <w:basedOn w:val="25"/>
    <w:qFormat/>
    <w:locked/>
    <w:uiPriority w:val="0"/>
  </w:style>
  <w:style w:type="character" w:styleId="28">
    <w:name w:val="Hyperlink"/>
    <w:basedOn w:val="25"/>
    <w:qFormat/>
    <w:locked/>
    <w:uiPriority w:val="0"/>
    <w:rPr>
      <w:color w:val="0000FF"/>
      <w:u w:val="single"/>
    </w:rPr>
  </w:style>
  <w:style w:type="character" w:styleId="29">
    <w:name w:val="annotation reference"/>
    <w:semiHidden/>
    <w:qFormat/>
    <w:uiPriority w:val="0"/>
    <w:rPr>
      <w:sz w:val="21"/>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
    <w:name w:val="无间隔11"/>
    <w:basedOn w:val="33"/>
    <w:next w:val="35"/>
    <w:link w:val="87"/>
    <w:qFormat/>
    <w:uiPriority w:val="0"/>
    <w:pPr>
      <w:adjustRightInd w:val="0"/>
      <w:snapToGrid w:val="0"/>
      <w:spacing w:line="240" w:lineRule="auto"/>
      <w:ind w:left="-48" w:leftChars="-20" w:right="-48" w:rightChars="-20"/>
      <w:jc w:val="center"/>
    </w:pPr>
    <w:rPr>
      <w:rFonts w:ascii="Times New Roman" w:hAnsi="Times New Roman" w:eastAsia="宋体"/>
      <w:kern w:val="0"/>
      <w:sz w:val="21"/>
      <w:szCs w:val="21"/>
    </w:rPr>
  </w:style>
  <w:style w:type="paragraph" w:styleId="33">
    <w:name w:val="No Spacing"/>
    <w:basedOn w:val="34"/>
    <w:qFormat/>
    <w:uiPriority w:val="0"/>
    <w:pPr>
      <w:widowControl w:val="0"/>
      <w:adjustRightInd w:val="0"/>
      <w:spacing w:line="360" w:lineRule="atLeast"/>
      <w:jc w:val="both"/>
      <w:textAlignment w:val="baseline"/>
    </w:pPr>
    <w:rPr>
      <w:rFonts w:ascii="Times New Roman" w:hAnsi="Times New Roman" w:eastAsia="宋体" w:cs="Times New Roman"/>
      <w:kern w:val="2"/>
      <w:sz w:val="24"/>
      <w:szCs w:val="24"/>
      <w:lang w:val="en-US" w:eastAsia="zh-CN" w:bidi="ar-SA"/>
    </w:rPr>
  </w:style>
  <w:style w:type="paragraph" w:customStyle="1" w:styleId="34">
    <w:name w:val="表格修改"/>
    <w:basedOn w:val="1"/>
    <w:qFormat/>
    <w:uiPriority w:val="0"/>
    <w:pPr>
      <w:spacing w:before="40" w:after="40" w:line="240" w:lineRule="auto"/>
      <w:ind w:firstLine="0" w:firstLineChars="0"/>
      <w:jc w:val="center"/>
    </w:pPr>
    <w:rPr>
      <w:rFonts w:ascii="Calibri" w:hAnsi="宋体"/>
      <w:sz w:val="20"/>
    </w:rPr>
  </w:style>
  <w:style w:type="paragraph" w:customStyle="1" w:styleId="35">
    <w:name w:val="无 间 隔"/>
    <w:basedOn w:val="1"/>
    <w:qFormat/>
    <w:uiPriority w:val="0"/>
    <w:pPr>
      <w:autoSpaceDE w:val="0"/>
      <w:autoSpaceDN w:val="0"/>
      <w:adjustRightInd w:val="0"/>
      <w:spacing w:line="240" w:lineRule="auto"/>
      <w:ind w:left="-24" w:leftChars="-10" w:right="-24" w:rightChars="-10" w:firstLine="0" w:firstLineChars="0"/>
      <w:jc w:val="center"/>
    </w:pPr>
    <w:rPr>
      <w:bCs/>
      <w:color w:val="000000"/>
      <w:kern w:val="0"/>
      <w:sz w:val="21"/>
      <w:szCs w:val="21"/>
    </w:rPr>
  </w:style>
  <w:style w:type="character" w:customStyle="1" w:styleId="36">
    <w:name w:val="标题 1 Char"/>
    <w:link w:val="4"/>
    <w:qFormat/>
    <w:uiPriority w:val="99"/>
    <w:rPr>
      <w:rFonts w:eastAsia="黑体"/>
      <w:b/>
      <w:bCs/>
      <w:color w:val="000000"/>
      <w:kern w:val="44"/>
      <w:sz w:val="30"/>
      <w:szCs w:val="30"/>
    </w:rPr>
  </w:style>
  <w:style w:type="paragraph" w:customStyle="1" w:styleId="37">
    <w:name w:val="xl27"/>
    <w:basedOn w:val="1"/>
    <w:qFormat/>
    <w:uiPriority w:val="0"/>
    <w:pPr>
      <w:widowControl/>
      <w:pBdr>
        <w:bottom w:val="single" w:color="auto" w:sz="12" w:space="0"/>
      </w:pBdr>
      <w:spacing w:before="100" w:beforeLines="0" w:after="100" w:afterLines="0"/>
      <w:jc w:val="center"/>
    </w:pPr>
    <w:rPr>
      <w:rFonts w:ascii="宋体" w:hAnsi="宋体" w:eastAsia="宋体" w:cs="Times New Roman"/>
      <w:kern w:val="0"/>
      <w:szCs w:val="20"/>
    </w:rPr>
  </w:style>
  <w:style w:type="paragraph" w:customStyle="1" w:styleId="38">
    <w:name w:val="Normal Indent1"/>
    <w:qFormat/>
    <w:uiPriority w:val="0"/>
    <w:pPr>
      <w:widowControl w:val="0"/>
      <w:ind w:firstLine="200" w:firstLineChars="200"/>
      <w:jc w:val="both"/>
    </w:pPr>
    <w:rPr>
      <w:rFonts w:ascii="Times New Roman" w:hAnsi="Times New Roman" w:eastAsia="楷体_GB2312" w:cs="Times New Roman"/>
      <w:kern w:val="2"/>
      <w:sz w:val="21"/>
      <w:szCs w:val="24"/>
      <w:lang w:val="en-US" w:eastAsia="zh-CN" w:bidi="ar-SA"/>
    </w:rPr>
  </w:style>
  <w:style w:type="character" w:customStyle="1" w:styleId="39">
    <w:name w:val="批注文字 Char"/>
    <w:link w:val="9"/>
    <w:qFormat/>
    <w:locked/>
    <w:uiPriority w:val="0"/>
    <w:rPr>
      <w:rFonts w:ascii="Times New Roman" w:hAnsi="Times New Roman" w:eastAsia="宋体"/>
      <w:sz w:val="24"/>
    </w:rPr>
  </w:style>
  <w:style w:type="character" w:customStyle="1" w:styleId="40">
    <w:name w:val="正文文本 Char"/>
    <w:link w:val="11"/>
    <w:qFormat/>
    <w:locked/>
    <w:uiPriority w:val="0"/>
    <w:rPr>
      <w:sz w:val="18"/>
    </w:rPr>
  </w:style>
  <w:style w:type="character" w:customStyle="1" w:styleId="41">
    <w:name w:val="正文文本缩进 Char"/>
    <w:link w:val="3"/>
    <w:semiHidden/>
    <w:qFormat/>
    <w:locked/>
    <w:uiPriority w:val="0"/>
    <w:rPr>
      <w:rFonts w:ascii="Times New Roman" w:hAnsi="Times New Roman" w:eastAsia="宋体"/>
      <w:sz w:val="24"/>
    </w:rPr>
  </w:style>
  <w:style w:type="character" w:customStyle="1" w:styleId="42">
    <w:name w:val="日期 Char"/>
    <w:link w:val="18"/>
    <w:qFormat/>
    <w:locked/>
    <w:uiPriority w:val="0"/>
    <w:rPr>
      <w:rFonts w:ascii="Times New Roman" w:hAnsi="Times New Roman" w:eastAsia="宋体"/>
      <w:sz w:val="24"/>
    </w:rPr>
  </w:style>
  <w:style w:type="character" w:customStyle="1" w:styleId="43">
    <w:name w:val="批注框文本 Char"/>
    <w:link w:val="19"/>
    <w:semiHidden/>
    <w:qFormat/>
    <w:locked/>
    <w:uiPriority w:val="0"/>
    <w:rPr>
      <w:rFonts w:ascii="Times New Roman" w:hAnsi="Times New Roman" w:eastAsia="宋体"/>
      <w:sz w:val="18"/>
    </w:rPr>
  </w:style>
  <w:style w:type="character" w:customStyle="1" w:styleId="44">
    <w:name w:val="页脚 Char"/>
    <w:link w:val="20"/>
    <w:qFormat/>
    <w:locked/>
    <w:uiPriority w:val="99"/>
    <w:rPr>
      <w:sz w:val="18"/>
    </w:rPr>
  </w:style>
  <w:style w:type="character" w:customStyle="1" w:styleId="45">
    <w:name w:val="页眉 Char"/>
    <w:link w:val="21"/>
    <w:qFormat/>
    <w:locked/>
    <w:uiPriority w:val="0"/>
    <w:rPr>
      <w:sz w:val="18"/>
    </w:rPr>
  </w:style>
  <w:style w:type="character" w:customStyle="1" w:styleId="46">
    <w:name w:val="普通(网站) Char"/>
    <w:link w:val="24"/>
    <w:qFormat/>
    <w:locked/>
    <w:uiPriority w:val="0"/>
    <w:rPr>
      <w:rFonts w:ascii="宋体" w:hAnsi="宋体" w:eastAsia="宋体"/>
      <w:sz w:val="24"/>
    </w:rPr>
  </w:style>
  <w:style w:type="character" w:customStyle="1" w:styleId="47">
    <w:name w:val="批注主题 Char"/>
    <w:link w:val="8"/>
    <w:semiHidden/>
    <w:qFormat/>
    <w:locked/>
    <w:uiPriority w:val="0"/>
    <w:rPr>
      <w:rFonts w:ascii="Times New Roman" w:hAnsi="Times New Roman" w:eastAsia="宋体"/>
      <w:b/>
      <w:kern w:val="2"/>
      <w:sz w:val="24"/>
    </w:rPr>
  </w:style>
  <w:style w:type="paragraph" w:customStyle="1" w:styleId="48">
    <w:name w:val="Default"/>
    <w:basedOn w:val="49"/>
    <w:next w:val="5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9">
    <w:name w:val="纯文本1"/>
    <w:basedOn w:val="1"/>
    <w:qFormat/>
    <w:uiPriority w:val="0"/>
    <w:pPr>
      <w:adjustRightInd w:val="0"/>
    </w:pPr>
    <w:rPr>
      <w:rFonts w:ascii="宋体" w:hAnsi="Courier New"/>
      <w:szCs w:val="20"/>
    </w:rPr>
  </w:style>
  <w:style w:type="paragraph" w:customStyle="1" w:styleId="50">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2">
    <w:name w:val="日期 字符"/>
    <w:semiHidden/>
    <w:qFormat/>
    <w:uiPriority w:val="0"/>
    <w:rPr>
      <w:rFonts w:ascii="Times New Roman" w:hAnsi="Times New Roman" w:eastAsia="宋体"/>
      <w:sz w:val="24"/>
    </w:rPr>
  </w:style>
  <w:style w:type="character" w:customStyle="1" w:styleId="53">
    <w:name w:val="页脚 字符"/>
    <w:basedOn w:val="25"/>
    <w:qFormat/>
    <w:uiPriority w:val="99"/>
  </w:style>
  <w:style w:type="character" w:customStyle="1" w:styleId="54">
    <w:name w:val="表格 Char"/>
    <w:link w:val="55"/>
    <w:qFormat/>
    <w:locked/>
    <w:uiPriority w:val="0"/>
    <w:rPr>
      <w:rFonts w:ascii="宋体"/>
      <w:sz w:val="21"/>
    </w:rPr>
  </w:style>
  <w:style w:type="paragraph" w:customStyle="1" w:styleId="55">
    <w:name w:val="表格"/>
    <w:basedOn w:val="22"/>
    <w:next w:val="1"/>
    <w:link w:val="54"/>
    <w:qFormat/>
    <w:uiPriority w:val="0"/>
    <w:pPr>
      <w:adjustRightInd w:val="0"/>
      <w:snapToGrid w:val="0"/>
      <w:spacing w:beforeLines="10" w:afterLines="10" w:line="259" w:lineRule="auto"/>
      <w:jc w:val="center"/>
    </w:pPr>
    <w:rPr>
      <w:rFonts w:ascii="宋体"/>
      <w:kern w:val="0"/>
      <w:szCs w:val="20"/>
    </w:rPr>
  </w:style>
  <w:style w:type="character" w:customStyle="1" w:styleId="56">
    <w:name w:val="批注文字 字符1"/>
    <w:semiHidden/>
    <w:qFormat/>
    <w:uiPriority w:val="0"/>
    <w:rPr>
      <w:rFonts w:ascii="Times New Roman" w:hAnsi="Times New Roman" w:eastAsia="宋体"/>
      <w:sz w:val="24"/>
    </w:rPr>
  </w:style>
  <w:style w:type="character" w:customStyle="1" w:styleId="57">
    <w:name w:val="正文文本 字符1"/>
    <w:semiHidden/>
    <w:qFormat/>
    <w:uiPriority w:val="0"/>
    <w:rPr>
      <w:rFonts w:ascii="Times New Roman" w:hAnsi="Times New Roman" w:eastAsia="宋体"/>
      <w:sz w:val="24"/>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Table Paragraph"/>
    <w:basedOn w:val="1"/>
    <w:qFormat/>
    <w:uiPriority w:val="1"/>
    <w:pPr>
      <w:autoSpaceDE w:val="0"/>
      <w:autoSpaceDN w:val="0"/>
      <w:jc w:val="left"/>
    </w:pPr>
    <w:rPr>
      <w:rFonts w:ascii="宋体" w:hAnsi="宋体" w:cs="宋体"/>
      <w:kern w:val="0"/>
      <w:sz w:val="22"/>
      <w:szCs w:val="22"/>
      <w:lang w:eastAsia="en-US" w:bidi="en-US"/>
    </w:rPr>
  </w:style>
  <w:style w:type="paragraph" w:customStyle="1" w:styleId="6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表内格式"/>
    <w:qFormat/>
    <w:uiPriority w:val="0"/>
    <w:pPr>
      <w:jc w:val="center"/>
    </w:pPr>
    <w:rPr>
      <w:rFonts w:ascii="Times New Roman" w:hAnsi="Times New Roman" w:eastAsia="宋体" w:cs="Times New Roman"/>
      <w:bCs/>
      <w:kern w:val="2"/>
      <w:sz w:val="21"/>
      <w:szCs w:val="21"/>
      <w:lang w:val="en-US" w:eastAsia="zh-CN" w:bidi="ar-SA"/>
    </w:rPr>
  </w:style>
  <w:style w:type="paragraph" w:customStyle="1" w:styleId="62">
    <w:name w:val="表格文字"/>
    <w:basedOn w:val="11"/>
    <w:next w:val="1"/>
    <w:qFormat/>
    <w:uiPriority w:val="0"/>
    <w:pPr>
      <w:spacing w:line="240" w:lineRule="auto"/>
      <w:ind w:firstLine="0" w:firstLineChars="0"/>
      <w:jc w:val="center"/>
    </w:pPr>
    <w:rPr>
      <w:kern w:val="44"/>
      <w:sz w:val="21"/>
    </w:rPr>
  </w:style>
  <w:style w:type="paragraph" w:customStyle="1" w:styleId="63">
    <w:name w:val="表 内容"/>
    <w:basedOn w:val="1"/>
    <w:qFormat/>
    <w:uiPriority w:val="0"/>
    <w:pPr>
      <w:widowControl w:val="0"/>
      <w:adjustRightInd w:val="0"/>
      <w:snapToGrid w:val="0"/>
      <w:spacing w:beforeLines="15" w:afterLines="15" w:line="240" w:lineRule="auto"/>
      <w:jc w:val="center"/>
    </w:pPr>
    <w:rPr>
      <w:b/>
      <w:color w:val="auto"/>
      <w:szCs w:val="21"/>
    </w:rPr>
  </w:style>
  <w:style w:type="paragraph" w:customStyle="1" w:styleId="64">
    <w:name w:val="c正文"/>
    <w:qFormat/>
    <w:uiPriority w:val="0"/>
    <w:pPr>
      <w:adjustRightInd w:val="0"/>
      <w:snapToGrid w:val="0"/>
      <w:spacing w:line="500" w:lineRule="exact"/>
      <w:ind w:firstLine="200" w:firstLineChars="200"/>
    </w:pPr>
    <w:rPr>
      <w:rFonts w:ascii="Calibri" w:hAnsi="Calibri" w:eastAsia="宋体" w:cs="Times New Roman"/>
      <w:color w:val="000000"/>
      <w:kern w:val="44"/>
      <w:sz w:val="24"/>
      <w:szCs w:val="22"/>
      <w:lang w:val="en-US" w:eastAsia="zh-CN" w:bidi="ar-SA"/>
    </w:rPr>
  </w:style>
  <w:style w:type="paragraph" w:customStyle="1" w:styleId="65">
    <w:name w:val="正文001"/>
    <w:basedOn w:val="1"/>
    <w:qFormat/>
    <w:uiPriority w:val="0"/>
    <w:pPr>
      <w:spacing w:before="60" w:line="420" w:lineRule="exact"/>
      <w:ind w:firstLine="482"/>
    </w:pPr>
    <w:rPr>
      <w:sz w:val="24"/>
      <w:szCs w:val="20"/>
    </w:rPr>
  </w:style>
  <w:style w:type="character" w:customStyle="1" w:styleId="66">
    <w:name w:val="fontstyle01"/>
    <w:basedOn w:val="25"/>
    <w:qFormat/>
    <w:uiPriority w:val="0"/>
    <w:rPr>
      <w:rFonts w:ascii="TimesNewRomanPS-BoldMT" w:hAnsi="TimesNewRomanPS-BoldMT" w:eastAsia="TimesNewRomanPS-BoldMT" w:cs="TimesNewRomanPS-BoldMT"/>
      <w:b/>
      <w:bCs/>
      <w:color w:val="000000"/>
      <w:sz w:val="30"/>
      <w:szCs w:val="30"/>
    </w:rPr>
  </w:style>
  <w:style w:type="character" w:customStyle="1" w:styleId="67">
    <w:name w:val="fontstyle21"/>
    <w:basedOn w:val="25"/>
    <w:qFormat/>
    <w:uiPriority w:val="0"/>
    <w:rPr>
      <w:rFonts w:ascii="黑体" w:hAnsi="宋体" w:eastAsia="黑体" w:cs="黑体"/>
      <w:b/>
      <w:bCs/>
      <w:color w:val="000000"/>
      <w:sz w:val="30"/>
      <w:szCs w:val="30"/>
    </w:rPr>
  </w:style>
  <w:style w:type="paragraph" w:customStyle="1" w:styleId="68">
    <w:name w:val="WPSOffice手动目录 1"/>
    <w:qFormat/>
    <w:uiPriority w:val="0"/>
    <w:pPr>
      <w:ind w:leftChars="0"/>
    </w:pPr>
    <w:rPr>
      <w:rFonts w:ascii="Times New Roman" w:hAnsi="Times New Roman" w:eastAsia="宋体" w:cs="Times New Roman"/>
      <w:sz w:val="20"/>
      <w:szCs w:val="20"/>
    </w:rPr>
  </w:style>
  <w:style w:type="character" w:customStyle="1" w:styleId="69">
    <w:name w:val="font01"/>
    <w:basedOn w:val="25"/>
    <w:qFormat/>
    <w:uiPriority w:val="0"/>
    <w:rPr>
      <w:rFonts w:hint="eastAsia" w:ascii="宋体" w:hAnsi="宋体" w:eastAsia="宋体" w:cs="宋体"/>
      <w:color w:val="000000"/>
      <w:sz w:val="22"/>
      <w:szCs w:val="22"/>
      <w:u w:val="none"/>
    </w:rPr>
  </w:style>
  <w:style w:type="paragraph" w:customStyle="1" w:styleId="70">
    <w:name w:val="正文-ls"/>
    <w:basedOn w:val="1"/>
    <w:qFormat/>
    <w:uiPriority w:val="0"/>
    <w:pPr>
      <w:spacing w:line="360" w:lineRule="auto"/>
      <w:ind w:firstLine="200" w:firstLineChars="200"/>
    </w:pPr>
    <w:rPr>
      <w:rFonts w:hAnsi="宋体" w:cs="宋体"/>
      <w:sz w:val="24"/>
      <w:szCs w:val="20"/>
    </w:rPr>
  </w:style>
  <w:style w:type="paragraph" w:customStyle="1" w:styleId="71">
    <w:name w:val="_Style 5"/>
    <w:basedOn w:val="1"/>
    <w:qFormat/>
    <w:uiPriority w:val="99"/>
    <w:pPr>
      <w:ind w:firstLine="420" w:firstLineChars="200"/>
    </w:pPr>
    <w:rPr>
      <w:rFonts w:ascii="Calibri"/>
    </w:rPr>
  </w:style>
  <w:style w:type="paragraph" w:customStyle="1" w:styleId="72">
    <w:name w:val="惠泽表格"/>
    <w:basedOn w:val="1"/>
    <w:qFormat/>
    <w:uiPriority w:val="0"/>
    <w:pPr>
      <w:spacing w:line="480" w:lineRule="exact"/>
      <w:jc w:val="center"/>
    </w:pPr>
    <w:rPr>
      <w:rFonts w:ascii="黑体" w:hAnsi="黑体" w:eastAsia="黑体" w:cs="宋体"/>
      <w:sz w:val="24"/>
    </w:rPr>
  </w:style>
  <w:style w:type="paragraph" w:customStyle="1" w:styleId="73">
    <w:name w:val="报告表样式"/>
    <w:basedOn w:val="1"/>
    <w:qFormat/>
    <w:uiPriority w:val="0"/>
    <w:pPr>
      <w:adjustRightInd w:val="0"/>
      <w:snapToGrid w:val="0"/>
      <w:spacing w:line="360" w:lineRule="auto"/>
      <w:ind w:firstLine="200" w:firstLineChars="200"/>
    </w:pPr>
    <w:rPr>
      <w:kern w:val="0"/>
      <w:sz w:val="28"/>
      <w:szCs w:val="28"/>
    </w:rPr>
  </w:style>
  <w:style w:type="paragraph" w:customStyle="1" w:styleId="74">
    <w:name w:val="Body text|1"/>
    <w:basedOn w:val="1"/>
    <w:qFormat/>
    <w:uiPriority w:val="0"/>
    <w:pPr>
      <w:widowControl w:val="0"/>
      <w:shd w:val="clear" w:color="auto" w:fill="auto"/>
      <w:spacing w:line="468" w:lineRule="auto"/>
      <w:ind w:firstLine="400"/>
    </w:pPr>
    <w:rPr>
      <w:rFonts w:ascii="宋体" w:hAnsi="宋体" w:eastAsia="宋体" w:cs="宋体"/>
      <w:sz w:val="28"/>
      <w:szCs w:val="28"/>
      <w:u w:val="none"/>
      <w:shd w:val="clear" w:color="auto" w:fill="auto"/>
      <w:lang w:val="zh-TW" w:eastAsia="zh-TW" w:bidi="zh-TW"/>
    </w:rPr>
  </w:style>
  <w:style w:type="table" w:customStyle="1" w:styleId="75">
    <w:name w:val="Table Normal"/>
    <w:unhideWhenUsed/>
    <w:qFormat/>
    <w:uiPriority w:val="0"/>
    <w:tblPr>
      <w:tblLayout w:type="fixed"/>
      <w:tblCellMar>
        <w:top w:w="0" w:type="dxa"/>
        <w:left w:w="0" w:type="dxa"/>
        <w:bottom w:w="0" w:type="dxa"/>
        <w:right w:w="0" w:type="dxa"/>
      </w:tblCellMar>
    </w:tblPr>
  </w:style>
  <w:style w:type="paragraph" w:customStyle="1" w:styleId="76">
    <w:name w:val="表头"/>
    <w:basedOn w:val="1"/>
    <w:link w:val="77"/>
    <w:qFormat/>
    <w:uiPriority w:val="0"/>
    <w:pPr>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pPr>
    <w:rPr>
      <w:b/>
      <w:sz w:val="24"/>
    </w:rPr>
  </w:style>
  <w:style w:type="character" w:customStyle="1" w:styleId="77">
    <w:name w:val="表头 Char"/>
    <w:link w:val="76"/>
    <w:qFormat/>
    <w:uiPriority w:val="0"/>
    <w:rPr>
      <w:b/>
      <w:sz w:val="24"/>
    </w:rPr>
  </w:style>
  <w:style w:type="paragraph" w:customStyle="1" w:styleId="78">
    <w:name w:val="正文首行缩进2个字 Char"/>
    <w:basedOn w:val="1"/>
    <w:qFormat/>
    <w:uiPriority w:val="0"/>
    <w:pPr>
      <w:ind w:firstLine="480" w:firstLineChars="200"/>
    </w:pPr>
    <w:rPr>
      <w:rFonts w:eastAsia="楷体"/>
      <w:sz w:val="24"/>
      <w:szCs w:val="24"/>
    </w:rPr>
  </w:style>
  <w:style w:type="paragraph" w:customStyle="1" w:styleId="79">
    <w:name w:val="BG表头"/>
    <w:basedOn w:val="1"/>
    <w:qFormat/>
    <w:uiPriority w:val="0"/>
    <w:pPr>
      <w:jc w:val="center"/>
    </w:pPr>
    <w:rPr>
      <w:rFonts w:ascii="宋体" w:hAnsi="宋体"/>
      <w:szCs w:val="21"/>
    </w:rPr>
  </w:style>
  <w:style w:type="paragraph" w:customStyle="1" w:styleId="80">
    <w:name w:val="表格内容"/>
    <w:basedOn w:val="1"/>
    <w:qFormat/>
    <w:uiPriority w:val="0"/>
    <w:pPr>
      <w:tabs>
        <w:tab w:val="left" w:pos="2340"/>
      </w:tabs>
      <w:snapToGrid w:val="0"/>
      <w:spacing w:line="240" w:lineRule="auto"/>
      <w:ind w:firstLine="0" w:firstLineChars="0"/>
      <w:jc w:val="center"/>
    </w:pPr>
    <w:rPr>
      <w:rFonts w:eastAsia="宋体" w:cs="Times New Roman"/>
      <w:kern w:val="2"/>
      <w:sz w:val="21"/>
      <w:szCs w:val="22"/>
    </w:rPr>
  </w:style>
  <w:style w:type="paragraph" w:customStyle="1" w:styleId="81">
    <w:name w:val="表   头"/>
    <w:basedOn w:val="1"/>
    <w:qFormat/>
    <w:uiPriority w:val="0"/>
    <w:pPr>
      <w:snapToGrid w:val="0"/>
      <w:spacing w:line="240" w:lineRule="auto"/>
      <w:ind w:firstLine="0" w:firstLineChars="0"/>
      <w:jc w:val="center"/>
    </w:pPr>
    <w:rPr>
      <w:b/>
    </w:rPr>
  </w:style>
  <w:style w:type="paragraph" w:customStyle="1" w:styleId="82">
    <w:name w:val="无间隔表格内"/>
    <w:basedOn w:val="81"/>
    <w:qFormat/>
    <w:uiPriority w:val="0"/>
    <w:pPr>
      <w:spacing w:line="240" w:lineRule="auto"/>
    </w:pPr>
    <w:rPr>
      <w:b w:val="0"/>
      <w:sz w:val="21"/>
    </w:rPr>
  </w:style>
  <w:style w:type="paragraph" w:customStyle="1" w:styleId="83">
    <w:name w:val="样式1"/>
    <w:basedOn w:val="1"/>
    <w:qFormat/>
    <w:uiPriority w:val="0"/>
    <w:pPr>
      <w:spacing w:line="360" w:lineRule="auto"/>
      <w:ind w:firstLine="567"/>
    </w:pPr>
    <w:rPr>
      <w:sz w:val="24"/>
      <w:szCs w:val="20"/>
    </w:rPr>
  </w:style>
  <w:style w:type="paragraph" w:styleId="84">
    <w:name w:val="List Paragraph"/>
    <w:basedOn w:val="1"/>
    <w:qFormat/>
    <w:uiPriority w:val="1"/>
    <w:pPr>
      <w:ind w:left="1317" w:hanging="601"/>
    </w:pPr>
    <w:rPr>
      <w:rFonts w:ascii="宋体" w:hAnsi="宋体" w:eastAsia="宋体" w:cs="宋体"/>
      <w:lang w:val="zh-CN" w:eastAsia="zh-CN" w:bidi="zh-CN"/>
    </w:rPr>
  </w:style>
  <w:style w:type="paragraph" w:customStyle="1" w:styleId="85">
    <w:name w:val="惠泽正文"/>
    <w:basedOn w:val="1"/>
    <w:qFormat/>
    <w:uiPriority w:val="0"/>
    <w:pPr>
      <w:spacing w:line="480" w:lineRule="exact"/>
      <w:ind w:firstLine="480" w:firstLineChars="200"/>
    </w:pPr>
    <w:rPr>
      <w:rFonts w:hAnsi="宋体" w:cs="宋体"/>
      <w:sz w:val="24"/>
      <w:szCs w:val="20"/>
    </w:rPr>
  </w:style>
  <w:style w:type="paragraph" w:customStyle="1" w:styleId="86">
    <w:name w:val="君邦正文"/>
    <w:qFormat/>
    <w:uiPriority w:val="0"/>
    <w:pPr>
      <w:spacing w:after="60" w:line="360" w:lineRule="auto"/>
      <w:ind w:firstLine="480" w:firstLineChars="200"/>
      <w:jc w:val="both"/>
    </w:pPr>
    <w:rPr>
      <w:rFonts w:ascii="Times New Roman" w:hAnsi="Times New Roman" w:eastAsia="宋体" w:cs="Times New Roman"/>
      <w:bCs/>
      <w:sz w:val="24"/>
      <w:lang w:val="en-US" w:eastAsia="zh-CN" w:bidi="ar-SA"/>
    </w:rPr>
  </w:style>
  <w:style w:type="character" w:customStyle="1" w:styleId="87">
    <w:name w:val="无间隔11 Char"/>
    <w:link w:val="32"/>
    <w:qFormat/>
    <w:uiPriority w:val="0"/>
    <w:rPr>
      <w:rFonts w:ascii="Times New Roman" w:hAnsi="Times New Roman" w:eastAsia="宋体"/>
      <w:kern w:val="0"/>
      <w:sz w:val="21"/>
      <w:szCs w:val="21"/>
    </w:rPr>
  </w:style>
  <w:style w:type="paragraph" w:customStyle="1" w:styleId="88">
    <w:name w:val="我正文"/>
    <w:basedOn w:val="1"/>
    <w:qFormat/>
    <w:uiPriority w:val="0"/>
    <w:pPr>
      <w:spacing w:line="360" w:lineRule="auto"/>
      <w:ind w:firstLine="48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0.emf"/><Relationship Id="rId26" Type="http://schemas.openxmlformats.org/officeDocument/2006/relationships/oleObject" Target="embeddings/oleObject6.bin"/><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emf"/><Relationship Id="rId22" Type="http://schemas.openxmlformats.org/officeDocument/2006/relationships/oleObject" Target="embeddings/oleObject5.bin"/><Relationship Id="rId21" Type="http://schemas.openxmlformats.org/officeDocument/2006/relationships/image" Target="media/image6.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3.bin"/><Relationship Id="rId17" Type="http://schemas.openxmlformats.org/officeDocument/2006/relationships/image" Target="media/image4.emf"/><Relationship Id="rId16" Type="http://schemas.openxmlformats.org/officeDocument/2006/relationships/oleObject" Target="embeddings/oleObject2.bin"/><Relationship Id="rId15" Type="http://schemas.openxmlformats.org/officeDocument/2006/relationships/image" Target="media/image3.emf"/><Relationship Id="rId14" Type="http://schemas.openxmlformats.org/officeDocument/2006/relationships/oleObject" Target="embeddings/oleObject1.bin"/><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51</Pages>
  <Words>14168</Words>
  <Characters>15791</Characters>
  <Lines>13</Lines>
  <Paragraphs>3</Paragraphs>
  <TotalTime>27</TotalTime>
  <ScaleCrop>false</ScaleCrop>
  <LinksUpToDate>false</LinksUpToDate>
  <CharactersWithSpaces>15911</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2021-05-07T07:50:00Z</cp:lastPrinted>
  <dcterms:modified xsi:type="dcterms:W3CDTF">2025-11-26T02:36:45Z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2B1ADE81BAA7494D814C5A8B58063C64_13</vt:lpwstr>
  </property>
  <property fmtid="{D5CDD505-2E9C-101B-9397-08002B2CF9AE}" pid="4" name="KSOTemplateDocerSaveRecord">
    <vt:lpwstr>eyJoZGlkIjoiNmFmNjFkOTc0ZjcwODUxOGViYmI3NDRiMWI5YWY5MjYiLCJ1c2VySWQiOiI2MzQwNTMwODEifQ==</vt:lpwstr>
  </property>
</Properties>
</file>